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23"/>
        <w:ind w:left="7238" w:right="1117"/>
        <w:jc w:val="left"/>
      </w:pPr>
      <w:r>
        <w:rPr/>
        <w:t>天舟文化股份有限公司</w:t>
      </w:r>
      <w:r>
        <w:rPr>
          <w:spacing w:val="-46"/>
        </w:rPr>
        <w:t> </w:t>
      </w:r>
      <w:r>
        <w:rPr>
          <w:rFonts w:ascii="Times New Roman" w:hAnsi="Times New Roman" w:cs="Times New Roman" w:eastAsia="Times New Roman" w:hint="default"/>
        </w:rPr>
        <w:t>2017 </w:t>
      </w:r>
      <w:r>
        <w:rPr/>
        <w:t>年度报告</w:t>
      </w:r>
    </w:p>
    <w:p>
      <w:pPr>
        <w:spacing w:line="240" w:lineRule="auto" w:before="8"/>
        <w:rPr>
          <w:rFonts w:ascii="宋体" w:hAnsi="宋体" w:cs="宋体" w:eastAsia="宋体" w:hint="default"/>
          <w:sz w:val="2"/>
          <w:szCs w:val="2"/>
        </w:rPr>
      </w:pPr>
    </w:p>
    <w:p>
      <w:pPr>
        <w:spacing w:line="20" w:lineRule="exact"/>
        <w:ind w:left="1664" w:right="0" w:firstLine="0"/>
        <w:rPr>
          <w:rFonts w:ascii="宋体" w:hAnsi="宋体" w:cs="宋体" w:eastAsia="宋体" w:hint="default"/>
          <w:sz w:val="2"/>
          <w:szCs w:val="2"/>
        </w:rPr>
      </w:pPr>
      <w:r>
        <w:rPr>
          <w:rFonts w:ascii="宋体" w:hAnsi="宋体" w:cs="宋体" w:eastAsia="宋体" w:hint="default"/>
          <w:sz w:val="2"/>
          <w:szCs w:val="2"/>
        </w:rPr>
        <w:pict>
          <v:group style="width:429.05pt;height:.75pt;mso-position-horizontal-relative:char;mso-position-vertical-relative:line" coordorigin="0,0" coordsize="8581,15">
            <v:group style="position:absolute;left:7;top:7;width:8567;height:2" coordorigin="7,7" coordsize="8567,2">
              <v:shape style="position:absolute;left:7;top:7;width:8567;height:2" coordorigin="7,7" coordsize="8567,0" path="m7,7l857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line="5232" w:lineRule="exact"/>
        <w:ind w:left="4199"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2239378" cy="332270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239378" cy="3322701"/>
                    </a:xfrm>
                    <a:prstGeom prst="rect">
                      <a:avLst/>
                    </a:prstGeom>
                  </pic:spPr>
                </pic:pic>
              </a:graphicData>
            </a:graphic>
          </wp:inline>
        </w:drawing>
      </w:r>
      <w:r>
        <w:rPr>
          <w:rFonts w:ascii="宋体" w:hAnsi="宋体" w:cs="宋体" w:eastAsia="宋体" w:hint="default"/>
          <w:position w:val="-10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540" w:lineRule="exact" w:before="0"/>
        <w:ind w:left="3" w:right="0" w:firstLine="0"/>
        <w:jc w:val="center"/>
        <w:rPr>
          <w:rFonts w:ascii="宋体" w:hAnsi="宋体" w:cs="宋体" w:eastAsia="宋体" w:hint="default"/>
          <w:sz w:val="44"/>
          <w:szCs w:val="44"/>
        </w:rPr>
      </w:pPr>
      <w:r>
        <w:rPr>
          <w:rFonts w:ascii="宋体" w:hAnsi="宋体" w:cs="宋体" w:eastAsia="宋体" w:hint="default"/>
          <w:b/>
          <w:bCs/>
          <w:sz w:val="44"/>
          <w:szCs w:val="44"/>
        </w:rPr>
        <w:t>天舟文化股份有限公司</w:t>
      </w:r>
      <w:r>
        <w:rPr>
          <w:rFonts w:ascii="宋体" w:hAnsi="宋体" w:cs="宋体" w:eastAsia="宋体" w:hint="default"/>
          <w:sz w:val="44"/>
          <w:szCs w:val="44"/>
        </w:rPr>
      </w:r>
    </w:p>
    <w:p>
      <w:pPr>
        <w:spacing w:before="88"/>
        <w:ind w:left="2" w:right="0"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2017</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6"/>
        <w:rPr>
          <w:rFonts w:ascii="宋体" w:hAnsi="宋体" w:cs="宋体" w:eastAsia="宋体" w:hint="default"/>
          <w:b/>
          <w:bCs/>
          <w:sz w:val="56"/>
          <w:szCs w:val="56"/>
        </w:rPr>
      </w:pPr>
    </w:p>
    <w:p>
      <w:pPr>
        <w:spacing w:line="384" w:lineRule="auto" w:before="0"/>
        <w:ind w:left="4297" w:right="4294" w:firstLine="1"/>
        <w:jc w:val="center"/>
        <w:rPr>
          <w:rFonts w:ascii="宋体" w:hAnsi="宋体" w:cs="宋体" w:eastAsia="宋体" w:hint="default"/>
          <w:sz w:val="30"/>
          <w:szCs w:val="30"/>
        </w:rPr>
      </w:pPr>
      <w:r>
        <w:rPr>
          <w:rFonts w:ascii="宋体" w:hAnsi="宋体" w:cs="宋体" w:eastAsia="宋体" w:hint="default"/>
          <w:b/>
          <w:bCs/>
          <w:sz w:val="30"/>
          <w:szCs w:val="30"/>
        </w:rPr>
        <w:t>证券代码：</w:t>
      </w:r>
      <w:r>
        <w:rPr>
          <w:rFonts w:ascii="Times New Roman" w:hAnsi="Times New Roman" w:cs="Times New Roman" w:eastAsia="Times New Roman" w:hint="default"/>
          <w:b/>
          <w:bCs/>
          <w:sz w:val="30"/>
          <w:szCs w:val="30"/>
        </w:rPr>
        <w:t>300148 </w:t>
      </w:r>
      <w:r>
        <w:rPr>
          <w:rFonts w:ascii="宋体" w:hAnsi="宋体" w:cs="宋体" w:eastAsia="宋体" w:hint="default"/>
          <w:b/>
          <w:bCs/>
          <w:sz w:val="30"/>
          <w:szCs w:val="30"/>
        </w:rPr>
        <w:t>证券简称：天舟文化</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before="242"/>
        <w:ind w:left="1" w:right="0" w:firstLine="0"/>
        <w:jc w:val="center"/>
        <w:rPr>
          <w:rFonts w:ascii="宋体" w:hAnsi="宋体" w:cs="宋体" w:eastAsia="宋体" w:hint="default"/>
          <w:sz w:val="30"/>
          <w:szCs w:val="30"/>
        </w:rPr>
      </w:pPr>
      <w:r>
        <w:rPr>
          <w:rFonts w:ascii="宋体" w:hAnsi="宋体" w:cs="宋体" w:eastAsia="宋体" w:hint="default"/>
          <w:b/>
          <w:bCs/>
          <w:sz w:val="30"/>
          <w:szCs w:val="30"/>
        </w:rPr>
        <w:t>二〇一八年四月二十五日</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pStyle w:val="BodyText"/>
        <w:spacing w:line="240" w:lineRule="auto" w:before="76"/>
        <w:ind w:left="0" w:right="1696"/>
        <w:jc w:val="right"/>
        <w:rPr>
          <w:rFonts w:ascii="Times New Roman" w:hAnsi="Times New Roman" w:cs="Times New Roman" w:eastAsia="Times New Roman" w:hint="default"/>
        </w:rPr>
      </w:pPr>
      <w:r>
        <w:rPr>
          <w:rFonts w:ascii="Times New Roman"/>
        </w:rPr>
        <w:t>1</w:t>
      </w:r>
    </w:p>
    <w:p>
      <w:pPr>
        <w:spacing w:after="0" w:line="240" w:lineRule="auto"/>
        <w:jc w:val="right"/>
        <w:rPr>
          <w:rFonts w:ascii="Times New Roman" w:hAnsi="Times New Roman" w:cs="Times New Roman" w:eastAsia="Times New Roman" w:hint="default"/>
        </w:rPr>
        <w:sectPr>
          <w:footerReference w:type="default" r:id="rId5"/>
          <w:type w:val="continuous"/>
          <w:pgSz w:w="11910" w:h="16840"/>
          <w:pgMar w:footer="640" w:top="780" w:bottom="84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785" w:right="1117"/>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6"/>
          <w:szCs w:val="46"/>
        </w:rPr>
      </w:pPr>
    </w:p>
    <w:p>
      <w:pPr>
        <w:pStyle w:val="Heading5"/>
        <w:spacing w:line="410" w:lineRule="auto"/>
        <w:ind w:left="1133" w:right="1117" w:firstLine="420"/>
        <w:jc w:val="left"/>
      </w:pPr>
      <w:r>
        <w:rPr>
          <w:spacing w:val="-1"/>
        </w:rPr>
        <w:t>一、本公司董事会、监事会及董事、监事、高级管理人员保证年度报告内容的真实、准确、完整，不</w:t>
      </w:r>
      <w:r>
        <w:rPr/>
        <w:t> 存在虚假记载、误导性陈述或重大遗漏，并承担个别和连带的法律责任。</w:t>
      </w:r>
    </w:p>
    <w:p>
      <w:pPr>
        <w:pStyle w:val="Heading5"/>
        <w:spacing w:line="386" w:lineRule="auto" w:before="82"/>
        <w:ind w:left="1133" w:right="1163" w:firstLine="420"/>
        <w:jc w:val="left"/>
      </w:pPr>
      <w:r>
        <w:rPr/>
        <w:t>二、公司负责人肖志鸿、主管会计工作负责人张葵及会计机构负责人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刘英声明：保证 年度报告中财务报告的真实、准确、完整。</w:t>
      </w:r>
    </w:p>
    <w:p>
      <w:pPr>
        <w:pStyle w:val="Heading5"/>
        <w:spacing w:line="444" w:lineRule="auto" w:before="106"/>
        <w:ind w:left="1554" w:right="3402"/>
        <w:jc w:val="left"/>
      </w:pPr>
      <w:r>
        <w:rPr/>
        <w:t>三、所有董事均已出席了审议本报告的董事会会议。 四、本公司请投资者认真阅读本年度报告全文，并特别注意下列风险因素： 投资并购整合风险</w:t>
      </w:r>
    </w:p>
    <w:p>
      <w:pPr>
        <w:pStyle w:val="Heading5"/>
        <w:spacing w:line="400" w:lineRule="auto" w:before="54"/>
        <w:ind w:left="1134" w:right="1117" w:firstLine="420"/>
        <w:jc w:val="left"/>
      </w:pPr>
      <w:r>
        <w:rPr/>
        <w:t>（</w:t>
      </w:r>
      <w:r>
        <w:rPr>
          <w:rFonts w:ascii="Times New Roman" w:hAnsi="Times New Roman" w:cs="Times New Roman" w:eastAsia="Times New Roman" w:hint="default"/>
        </w:rPr>
        <w:t>1</w:t>
      </w:r>
      <w:r>
        <w:rPr/>
        <w:t>）公司积极通过投资、并购、参股等方式推进公司的战略部署，延伸业务领域。在投资并购的过 </w:t>
      </w:r>
      <w:r>
        <w:rPr>
          <w:spacing w:val="-1"/>
        </w:rPr>
        <w:t>程中可能会出现决策失误风险、管理风险、经营风险或无法实现协同效应的风险等。公司在并购目标选择</w:t>
      </w:r>
      <w:r>
        <w:rPr>
          <w:spacing w:val="-83"/>
        </w:rPr>
        <w:t> </w:t>
      </w:r>
      <w:r>
        <w:rPr>
          <w:spacing w:val="-83"/>
        </w:rPr>
      </w:r>
      <w:r>
        <w:rPr>
          <w:spacing w:val="-1"/>
        </w:rPr>
        <w:t>和团队融合这块积累了宝贵的经验，将进一步提升经营管理水平，持续改进或优化运营机制，降低投资并</w:t>
      </w:r>
      <w:r>
        <w:rPr>
          <w:spacing w:val="-83"/>
        </w:rPr>
        <w:t> </w:t>
      </w:r>
      <w:r>
        <w:rPr>
          <w:spacing w:val="-83"/>
        </w:rPr>
      </w:r>
      <w:r>
        <w:rPr/>
        <w:t>购风险。</w:t>
      </w:r>
    </w:p>
    <w:p>
      <w:pPr>
        <w:pStyle w:val="Heading5"/>
        <w:spacing w:line="398" w:lineRule="auto" w:before="91"/>
        <w:ind w:left="1134" w:right="1117" w:firstLine="420"/>
        <w:jc w:val="left"/>
      </w:pPr>
      <w:r>
        <w:rPr/>
        <w:t>（</w:t>
      </w:r>
      <w:r>
        <w:rPr>
          <w:rFonts w:ascii="Times New Roman" w:hAnsi="Times New Roman" w:cs="Times New Roman" w:eastAsia="Times New Roman" w:hint="default"/>
        </w:rPr>
        <w:t>2</w:t>
      </w:r>
      <w:r>
        <w:rPr/>
        <w:t>）公司并购重组完成后仍存在盈利预测风险、业绩承诺无法实现的风险、整合风险及商誉减值风 </w:t>
      </w:r>
      <w:r>
        <w:rPr>
          <w:spacing w:val="-5"/>
        </w:rPr>
        <w:t>险。公司将更好地实现与重组公司有效整合，发挥协同效应；同时紧密关注重组公司发展中所遇到的风险，</w:t>
      </w:r>
      <w:r>
        <w:rPr>
          <w:spacing w:val="-101"/>
        </w:rPr>
        <w:t> </w:t>
      </w:r>
      <w:r>
        <w:rPr>
          <w:spacing w:val="-101"/>
        </w:rPr>
      </w:r>
      <w:r>
        <w:rPr/>
        <w:t>加强业务协同、财务管控的力度，维护上市公司股东权益。</w:t>
      </w:r>
    </w:p>
    <w:p>
      <w:pPr>
        <w:pStyle w:val="Heading5"/>
        <w:spacing w:line="444" w:lineRule="auto" w:before="94"/>
        <w:ind w:left="1553" w:right="0"/>
        <w:jc w:val="left"/>
      </w:pPr>
      <w:r>
        <w:rPr/>
        <w:t>五、董事会审议的报告期利润分配预案或公积金转增股本预案 公司经本次董事会审议通过的利润分配预案为：以未来实施分配方案时股权登记日的总股本为基数，</w:t>
      </w:r>
    </w:p>
    <w:p>
      <w:pPr>
        <w:pStyle w:val="Heading5"/>
        <w:spacing w:line="240" w:lineRule="auto" w:before="16"/>
        <w:ind w:left="1133" w:right="1117"/>
        <w:jc w:val="left"/>
      </w:pPr>
      <w:r>
        <w:rPr/>
        <w:t>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股派</w:t>
      </w:r>
      <w:r>
        <w:rPr>
          <w:spacing w:val="-2"/>
        </w:rPr>
        <w:t>发</w:t>
      </w:r>
      <w:r>
        <w:rPr/>
        <w:t>现金红利</w:t>
      </w:r>
      <w:r>
        <w:rPr>
          <w:spacing w:val="-53"/>
        </w:rPr>
        <w:t> </w:t>
      </w:r>
      <w:r>
        <w:rPr>
          <w:rFonts w:ascii="宋体" w:hAnsi="宋体" w:cs="宋体" w:eastAsia="宋体" w:hint="default"/>
        </w:rPr>
        <w:t>0.16</w:t>
      </w:r>
      <w:r>
        <w:rPr>
          <w:rFonts w:ascii="宋体" w:hAnsi="宋体" w:cs="宋体" w:eastAsia="宋体" w:hint="default"/>
          <w:spacing w:val="-53"/>
        </w:rPr>
        <w:t> </w:t>
      </w:r>
      <w:r>
        <w:rPr/>
        <w:t>元（含税</w:t>
      </w:r>
      <w:r>
        <w:rPr>
          <w:spacing w:val="-106"/>
        </w:rPr>
        <w:t>）</w:t>
      </w:r>
      <w:r>
        <w:rPr/>
        <w:t>，送红股</w:t>
      </w:r>
      <w:r>
        <w:rPr>
          <w:spacing w:val="-52"/>
        </w:rPr>
        <w:t> </w:t>
      </w:r>
      <w:r>
        <w:rPr>
          <w:rFonts w:ascii="宋体" w:hAnsi="宋体" w:cs="宋体" w:eastAsia="宋体" w:hint="default"/>
        </w:rPr>
        <w:t>0</w:t>
      </w:r>
      <w:r>
        <w:rPr>
          <w:rFonts w:ascii="宋体" w:hAnsi="宋体" w:cs="宋体" w:eastAsia="宋体" w:hint="default"/>
          <w:spacing w:val="-53"/>
        </w:rPr>
        <w:t> </w:t>
      </w:r>
      <w:r>
        <w:rPr/>
        <w:t>股（含税</w:t>
      </w:r>
      <w:r>
        <w:rPr>
          <w:spacing w:val="-105"/>
        </w:rPr>
        <w:t>）</w:t>
      </w:r>
      <w:r>
        <w:rPr>
          <w:spacing w:val="-2"/>
        </w:rPr>
        <w:t>，</w:t>
      </w:r>
      <w:r>
        <w:rPr/>
        <w:t>不以资本公积金转增股本。</w:t>
      </w:r>
    </w:p>
    <w:p>
      <w:pPr>
        <w:spacing w:after="0" w:line="240" w:lineRule="auto"/>
        <w:jc w:val="left"/>
        <w:sectPr>
          <w:headerReference w:type="default" r:id="rId7"/>
          <w:footerReference w:type="default" r:id="rId8"/>
          <w:pgSz w:w="11910" w:h="16840"/>
          <w:pgMar w:header="877" w:footer="979" w:top="1060" w:bottom="1160" w:left="0" w:right="0"/>
          <w:pgNumType w:start="2"/>
        </w:sectPr>
      </w:pPr>
    </w:p>
    <w:p>
      <w:pPr>
        <w:spacing w:line="240" w:lineRule="auto" w:before="0"/>
        <w:rPr>
          <w:rFonts w:ascii="宋体" w:hAnsi="宋体" w:cs="宋体" w:eastAsia="宋体" w:hint="default"/>
          <w:sz w:val="20"/>
          <w:szCs w:val="20"/>
        </w:rPr>
      </w:pPr>
    </w:p>
    <w:p>
      <w:pPr>
        <w:tabs>
          <w:tab w:pos="561" w:val="left" w:leader="none"/>
        </w:tabs>
        <w:spacing w:before="144"/>
        <w:ind w:left="0" w:right="0" w:firstLine="0"/>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0762" w:val="right" w:leader="dot"/>
            </w:tabs>
            <w:spacing w:line="240" w:lineRule="auto" w:before="837"/>
            <w:ind w:left="1133" w:right="0"/>
            <w:jc w:val="left"/>
            <w:rPr>
              <w:rFonts w:ascii="Calibri" w:hAnsi="Calibri" w:cs="Calibri" w:eastAsia="Calibri" w:hint="default"/>
            </w:rPr>
          </w:pPr>
          <w:hyperlink w:history="true" w:anchor="_bookmark0">
            <w:r>
              <w:rPr/>
              <w:t>第一节</w:t>
            </w:r>
            <w:r>
              <w:rPr>
                <w:spacing w:val="-1"/>
              </w:rPr>
              <w:t> </w:t>
            </w:r>
            <w:r>
              <w:rPr/>
              <w:t>重要提示、目录和释义</w:t>
            </w:r>
            <w:r>
              <w:rPr>
                <w:rFonts w:ascii="Calibri" w:hAnsi="Calibri" w:cs="Calibri" w:eastAsia="Calibri" w:hint="default"/>
              </w:rPr>
              <w:tab/>
              <w:t>2</w:t>
            </w:r>
          </w:hyperlink>
        </w:p>
        <w:p>
          <w:pPr>
            <w:pStyle w:val="TOC1"/>
            <w:tabs>
              <w:tab w:pos="10762" w:val="right" w:leader="dot"/>
            </w:tabs>
            <w:spacing w:line="240" w:lineRule="auto"/>
            <w:ind w:left="1133" w:right="0"/>
            <w:jc w:val="left"/>
            <w:rPr>
              <w:rFonts w:ascii="Calibri" w:hAnsi="Calibri" w:cs="Calibri" w:eastAsia="Calibri" w:hint="default"/>
            </w:rPr>
          </w:pPr>
          <w:hyperlink w:history="true" w:anchor="_bookmark1">
            <w:r>
              <w:rPr/>
              <w:t>第二节</w:t>
            </w:r>
            <w:r>
              <w:rPr>
                <w:spacing w:val="-1"/>
              </w:rPr>
              <w:t> </w:t>
            </w:r>
            <w:r>
              <w:rPr/>
              <w:t>公司简介和主要财务指标</w:t>
            </w:r>
            <w:r>
              <w:rPr>
                <w:rFonts w:ascii="Calibri" w:hAnsi="Calibri" w:cs="Calibri" w:eastAsia="Calibri" w:hint="default"/>
              </w:rPr>
              <w:tab/>
              <w:t>5</w:t>
            </w:r>
          </w:hyperlink>
        </w:p>
        <w:p>
          <w:pPr>
            <w:pStyle w:val="TOC1"/>
            <w:tabs>
              <w:tab w:pos="10762" w:val="right" w:leader="dot"/>
            </w:tabs>
            <w:spacing w:line="240" w:lineRule="auto"/>
            <w:ind w:left="1133" w:right="0"/>
            <w:jc w:val="left"/>
            <w:rPr>
              <w:rFonts w:ascii="Calibri" w:hAnsi="Calibri" w:cs="Calibri" w:eastAsia="Calibri" w:hint="default"/>
            </w:rPr>
          </w:pPr>
          <w:hyperlink w:history="true" w:anchor="_bookmark2">
            <w:r>
              <w:rPr/>
              <w:t>第三节</w:t>
            </w:r>
            <w:r>
              <w:rPr>
                <w:spacing w:val="-1"/>
              </w:rPr>
              <w:t> </w:t>
            </w:r>
            <w:r>
              <w:rPr/>
              <w:t>公司业务概要</w:t>
            </w:r>
            <w:r>
              <w:rPr>
                <w:rFonts w:ascii="Calibri" w:hAnsi="Calibri" w:cs="Calibri" w:eastAsia="Calibri" w:hint="default"/>
              </w:rPr>
              <w:tab/>
              <w:t>9</w:t>
            </w:r>
          </w:hyperlink>
        </w:p>
        <w:p>
          <w:pPr>
            <w:pStyle w:val="TOC1"/>
            <w:tabs>
              <w:tab w:pos="10762" w:val="right" w:leader="dot"/>
            </w:tabs>
            <w:spacing w:line="240" w:lineRule="auto" w:before="252"/>
            <w:ind w:right="0"/>
            <w:jc w:val="left"/>
            <w:rPr>
              <w:rFonts w:ascii="Calibri" w:hAnsi="Calibri" w:cs="Calibri" w:eastAsia="Calibri" w:hint="default"/>
            </w:rPr>
          </w:pPr>
          <w:hyperlink w:history="true" w:anchor="_bookmark3">
            <w:r>
              <w:rPr/>
              <w:t>第四节</w:t>
            </w:r>
            <w:r>
              <w:rPr>
                <w:spacing w:val="-1"/>
              </w:rPr>
              <w:t> </w:t>
            </w:r>
            <w:r>
              <w:rPr/>
              <w:t>经营情况讨论与分析</w:t>
            </w:r>
            <w:r>
              <w:rPr>
                <w:rFonts w:ascii="Calibri" w:hAnsi="Calibri" w:cs="Calibri" w:eastAsia="Calibri" w:hint="default"/>
              </w:rPr>
              <w:tab/>
              <w:t>12</w:t>
            </w:r>
          </w:hyperlink>
        </w:p>
        <w:p>
          <w:pPr>
            <w:pStyle w:val="TOC1"/>
            <w:tabs>
              <w:tab w:pos="10762" w:val="right" w:leader="dot"/>
            </w:tabs>
            <w:spacing w:line="240" w:lineRule="auto"/>
            <w:ind w:right="0"/>
            <w:jc w:val="left"/>
            <w:rPr>
              <w:rFonts w:ascii="Calibri" w:hAnsi="Calibri" w:cs="Calibri" w:eastAsia="Calibri" w:hint="default"/>
            </w:rPr>
          </w:pPr>
          <w:hyperlink w:history="true" w:anchor="_bookmark4">
            <w:r>
              <w:rPr/>
              <w:t>第五节</w:t>
            </w:r>
            <w:r>
              <w:rPr>
                <w:spacing w:val="-1"/>
              </w:rPr>
              <w:t> </w:t>
            </w:r>
            <w:r>
              <w:rPr/>
              <w:t>重要事项</w:t>
            </w:r>
            <w:r>
              <w:rPr>
                <w:rFonts w:ascii="Calibri" w:hAnsi="Calibri" w:cs="Calibri" w:eastAsia="Calibri" w:hint="default"/>
              </w:rPr>
              <w:tab/>
              <w:t>32</w:t>
            </w:r>
          </w:hyperlink>
        </w:p>
        <w:p>
          <w:pPr>
            <w:pStyle w:val="TOC1"/>
            <w:tabs>
              <w:tab w:pos="10762" w:val="right" w:leader="dot"/>
            </w:tabs>
            <w:spacing w:line="240" w:lineRule="auto"/>
            <w:ind w:right="0"/>
            <w:jc w:val="left"/>
            <w:rPr>
              <w:rFonts w:ascii="Calibri" w:hAnsi="Calibri" w:cs="Calibri" w:eastAsia="Calibri" w:hint="default"/>
            </w:rPr>
          </w:pPr>
          <w:hyperlink w:history="true" w:anchor="_bookmark5">
            <w:r>
              <w:rPr/>
              <w:t>第六节</w:t>
            </w:r>
            <w:r>
              <w:rPr>
                <w:spacing w:val="-1"/>
              </w:rPr>
              <w:t> </w:t>
            </w:r>
            <w:r>
              <w:rPr/>
              <w:t>股份变动及股东情况</w:t>
            </w:r>
            <w:r>
              <w:rPr>
                <w:rFonts w:ascii="Calibri" w:hAnsi="Calibri" w:cs="Calibri" w:eastAsia="Calibri" w:hint="default"/>
              </w:rPr>
              <w:tab/>
              <w:t>44</w:t>
            </w:r>
          </w:hyperlink>
        </w:p>
        <w:p>
          <w:pPr>
            <w:pStyle w:val="TOC1"/>
            <w:tabs>
              <w:tab w:pos="10762" w:val="right" w:leader="dot"/>
            </w:tabs>
            <w:spacing w:line="240" w:lineRule="auto" w:before="252"/>
            <w:ind w:right="0"/>
            <w:jc w:val="left"/>
            <w:rPr>
              <w:rFonts w:ascii="Calibri" w:hAnsi="Calibri" w:cs="Calibri" w:eastAsia="Calibri" w:hint="default"/>
            </w:rPr>
          </w:pPr>
          <w:hyperlink w:history="true" w:anchor="_bookmark6">
            <w:r>
              <w:rPr/>
              <w:t>第七节</w:t>
            </w:r>
            <w:r>
              <w:rPr>
                <w:spacing w:val="-1"/>
              </w:rPr>
              <w:t> </w:t>
            </w:r>
            <w:r>
              <w:rPr/>
              <w:t>优先股相关情况</w:t>
            </w:r>
            <w:r>
              <w:rPr>
                <w:rFonts w:ascii="Calibri" w:hAnsi="Calibri" w:cs="Calibri" w:eastAsia="Calibri" w:hint="default"/>
              </w:rPr>
              <w:tab/>
              <w:t>51</w:t>
            </w:r>
          </w:hyperlink>
        </w:p>
        <w:p>
          <w:pPr>
            <w:pStyle w:val="TOC1"/>
            <w:tabs>
              <w:tab w:pos="10762" w:val="right" w:leader="dot"/>
            </w:tabs>
            <w:spacing w:line="240" w:lineRule="auto"/>
            <w:ind w:right="0"/>
            <w:jc w:val="left"/>
            <w:rPr>
              <w:rFonts w:ascii="Calibri" w:hAnsi="Calibri" w:cs="Calibri" w:eastAsia="Calibri" w:hint="default"/>
            </w:rPr>
          </w:pPr>
          <w:hyperlink w:history="true" w:anchor="_bookmark7">
            <w:r>
              <w:rPr/>
              <w:t>第八节</w:t>
            </w:r>
            <w:r>
              <w:rPr>
                <w:spacing w:val="-1"/>
              </w:rPr>
              <w:t> </w:t>
            </w:r>
            <w:r>
              <w:rPr/>
              <w:t>董事、监事、高级管理人员和员工情况</w:t>
            </w:r>
            <w:r>
              <w:rPr>
                <w:rFonts w:ascii="Calibri" w:hAnsi="Calibri" w:cs="Calibri" w:eastAsia="Calibri" w:hint="default"/>
              </w:rPr>
              <w:tab/>
              <w:t>52</w:t>
            </w:r>
          </w:hyperlink>
        </w:p>
        <w:p>
          <w:pPr>
            <w:pStyle w:val="TOC1"/>
            <w:tabs>
              <w:tab w:pos="10762" w:val="right" w:leader="dot"/>
            </w:tabs>
            <w:spacing w:line="240" w:lineRule="auto"/>
            <w:ind w:right="0"/>
            <w:jc w:val="left"/>
            <w:rPr>
              <w:rFonts w:ascii="Calibri" w:hAnsi="Calibri" w:cs="Calibri" w:eastAsia="Calibri" w:hint="default"/>
            </w:rPr>
          </w:pPr>
          <w:hyperlink w:history="true" w:anchor="_bookmark8">
            <w:r>
              <w:rPr/>
              <w:t>第九节</w:t>
            </w:r>
            <w:r>
              <w:rPr>
                <w:spacing w:val="-1"/>
              </w:rPr>
              <w:t> </w:t>
            </w:r>
            <w:r>
              <w:rPr/>
              <w:t>公司治理</w:t>
            </w:r>
            <w:r>
              <w:rPr>
                <w:rFonts w:ascii="Calibri" w:hAnsi="Calibri" w:cs="Calibri" w:eastAsia="Calibri" w:hint="default"/>
              </w:rPr>
              <w:tab/>
              <w:t>61</w:t>
            </w:r>
          </w:hyperlink>
        </w:p>
        <w:p>
          <w:pPr>
            <w:pStyle w:val="TOC1"/>
            <w:tabs>
              <w:tab w:pos="10762" w:val="right" w:leader="dot"/>
            </w:tabs>
            <w:spacing w:line="240" w:lineRule="auto" w:before="252"/>
            <w:ind w:right="0"/>
            <w:jc w:val="left"/>
            <w:rPr>
              <w:rFonts w:ascii="Calibri" w:hAnsi="Calibri" w:cs="Calibri" w:eastAsia="Calibri" w:hint="default"/>
            </w:rPr>
          </w:pPr>
          <w:hyperlink w:history="true" w:anchor="_bookmark9">
            <w:r>
              <w:rPr/>
              <w:t>第十节</w:t>
            </w:r>
            <w:r>
              <w:rPr>
                <w:spacing w:val="-1"/>
              </w:rPr>
              <w:t> </w:t>
            </w:r>
            <w:r>
              <w:rPr/>
              <w:t>公司债券相关情况</w:t>
            </w:r>
            <w:r>
              <w:rPr>
                <w:rFonts w:ascii="Calibri" w:hAnsi="Calibri" w:cs="Calibri" w:eastAsia="Calibri" w:hint="default"/>
              </w:rPr>
              <w:tab/>
              <w:t>67</w:t>
            </w:r>
          </w:hyperlink>
        </w:p>
        <w:p>
          <w:pPr>
            <w:pStyle w:val="TOC1"/>
            <w:tabs>
              <w:tab w:pos="10762" w:val="right" w:leader="dot"/>
            </w:tabs>
            <w:spacing w:line="240" w:lineRule="auto" w:before="252"/>
            <w:ind w:right="0"/>
            <w:jc w:val="left"/>
            <w:rPr>
              <w:rFonts w:ascii="Calibri" w:hAnsi="Calibri" w:cs="Calibri" w:eastAsia="Calibri" w:hint="default"/>
            </w:rPr>
          </w:pPr>
          <w:hyperlink w:history="true" w:anchor="_bookmark10">
            <w:r>
              <w:rPr/>
              <w:t>第十一节</w:t>
            </w:r>
            <w:r>
              <w:rPr>
                <w:spacing w:val="-1"/>
              </w:rPr>
              <w:t> </w:t>
            </w:r>
            <w:r>
              <w:rPr/>
              <w:t>财务报告</w:t>
            </w:r>
            <w:r>
              <w:rPr>
                <w:rFonts w:ascii="Calibri" w:hAnsi="Calibri" w:cs="Calibri" w:eastAsia="Calibri" w:hint="default"/>
              </w:rPr>
              <w:tab/>
              <w:t>68</w:t>
            </w:r>
          </w:hyperlink>
        </w:p>
        <w:p>
          <w:pPr>
            <w:pStyle w:val="TOC1"/>
            <w:tabs>
              <w:tab w:pos="10762" w:val="right" w:leader="dot"/>
            </w:tabs>
            <w:spacing w:line="240" w:lineRule="auto"/>
            <w:ind w:right="0"/>
            <w:jc w:val="left"/>
            <w:rPr>
              <w:rFonts w:ascii="Calibri" w:hAnsi="Calibri" w:cs="Calibri" w:eastAsia="Calibri" w:hint="default"/>
            </w:rPr>
          </w:pPr>
          <w:hyperlink w:history="true" w:anchor="_bookmark11">
            <w:r>
              <w:rPr/>
              <w:t>第十二节</w:t>
            </w:r>
            <w:r>
              <w:rPr>
                <w:spacing w:val="-1"/>
              </w:rPr>
              <w:t> </w:t>
            </w:r>
            <w:r>
              <w:rPr/>
              <w:t>备查文件目录</w:t>
            </w:r>
            <w:r>
              <w:rPr>
                <w:rFonts w:ascii="Calibri" w:hAnsi="Calibri" w:cs="Calibri" w:eastAsia="Calibri" w:hint="default"/>
              </w:rPr>
              <w:tab/>
              <w:t>172</w:t>
            </w:r>
          </w:hyperlink>
        </w:p>
      </w:sdtContent>
    </w:sdt>
    <w:p>
      <w:pPr>
        <w:spacing w:after="0" w:line="240" w:lineRule="auto"/>
        <w:jc w:val="left"/>
        <w:rPr>
          <w:rFonts w:ascii="Calibri" w:hAnsi="Calibri" w:cs="Calibri" w:eastAsia="Calibri" w:hint="default"/>
        </w:rPr>
        <w:sectPr>
          <w:pgSz w:w="11910" w:h="16840"/>
          <w:pgMar w:header="877" w:footer="979" w:top="1100" w:bottom="1160" w:left="0" w:right="0"/>
        </w:sectPr>
      </w:pPr>
    </w:p>
    <w:p>
      <w:pPr>
        <w:tabs>
          <w:tab w:pos="561" w:val="left" w:leader="none"/>
        </w:tabs>
        <w:spacing w:before="406"/>
        <w:ind w:left="0" w:right="0" w:firstLine="0"/>
        <w:jc w:val="center"/>
        <w:rPr>
          <w:rFonts w:ascii="宋体" w:hAnsi="宋体" w:cs="宋体" w:eastAsia="宋体" w:hint="default"/>
          <w:sz w:val="28"/>
          <w:szCs w:val="28"/>
        </w:rPr>
      </w:pPr>
      <w:r>
        <w:rPr>
          <w:rFonts w:ascii="宋体" w:hAnsi="宋体" w:cs="宋体" w:eastAsia="宋体" w:hint="default"/>
          <w:b/>
          <w:bCs/>
          <w:w w:val="95"/>
          <w:sz w:val="28"/>
          <w:szCs w:val="28"/>
        </w:rPr>
        <w:t>释</w:t>
        <w:tab/>
      </w:r>
      <w:r>
        <w:rPr>
          <w:rFonts w:ascii="宋体" w:hAnsi="宋体" w:cs="宋体" w:eastAsia="宋体" w:hint="default"/>
          <w:b/>
          <w:bCs/>
          <w:sz w:val="28"/>
          <w:szCs w:val="28"/>
        </w:rPr>
        <w:t>义</w:t>
      </w:r>
      <w:r>
        <w:rPr>
          <w:rFonts w:ascii="宋体" w:hAnsi="宋体" w:cs="宋体" w:eastAsia="宋体" w:hint="default"/>
          <w:sz w:val="28"/>
          <w:szCs w:val="28"/>
        </w:rPr>
      </w:r>
    </w:p>
    <w:p>
      <w:pPr>
        <w:spacing w:line="240" w:lineRule="auto" w:before="2"/>
        <w:rPr>
          <w:rFonts w:ascii="宋体" w:hAnsi="宋体" w:cs="宋体" w:eastAsia="宋体" w:hint="default"/>
          <w:b/>
          <w:bCs/>
          <w:sz w:val="16"/>
          <w:szCs w:val="16"/>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天舟文化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天鸿投资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神奇时代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北方天舟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北京北方天舟文化有限公司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怀化天舟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广州天瑞文化传播有限公司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浙江天舟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浙江天舟图书有限公司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北京永载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北京永载文化有限公司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德天基金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上海德天股权投资基金中心（有限合伙）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天鸿致远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北洋传媒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北洋出版传媒股份有限公司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游爱网络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广州游爱网络技术有限公司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决胜股份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决胜教育科技集团股份有限公司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人民今典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人民今典科教传媒有限公司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初见科技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北京初见科技有限公司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银河数娱</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上海银河数娱网络科技有限公司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中南天舟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武汉中南天舟文化传媒有限公司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天舟大课堂</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湖南天舟大课堂教育科技有限公司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人民天舟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海德拉科技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北京海德拉科技有限公司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华育今典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华育今典（天津）版权服务合伙企业（有限合伙）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游爱兄弟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广州游爱兄弟信息技术有限公司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霍尔果斯游爱</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霍尔果斯游爱网络技术有限公司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海南奇遇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海南元游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合思益远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宁波梅山保税港区合思益远投资合伙企业（有限合伙）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广州炫动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78.7pt;height:.75pt;mso-position-horizontal-relative:char;mso-position-vertical-relative:line" coordorigin="0,0" coordsize="9574,15">
            <v:group style="position:absolute;left:7;top:7;width:9560;height:2" coordorigin="7,7" coordsize="9560,2">
              <v:shape style="position:absolute;left:7;top:7;width:9560;height:2" coordorigin="7,7" coordsize="9560,0" path="m7,7l95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3554" w:right="1117"/>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7"/>
        <w:jc w:val="left"/>
        <w:rPr>
          <w:b w:val="0"/>
          <w:bCs w:val="0"/>
        </w:rPr>
      </w:pPr>
      <w:r>
        <w:rPr/>
        <w:pict>
          <v:group style="position:absolute;margin-left:172.339996pt;margin-top:114.735596pt;width:361.5pt;height:19.6pt;mso-position-horizontal-relative:page;mso-position-vertical-relative:paragraph;z-index:-947992"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300148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天舟文化</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3"/>
                <w:sz w:val="18"/>
              </w:rPr>
              <w:t>TANGEL CULTURE </w:t>
            </w:r>
            <w:r>
              <w:rPr>
                <w:rFonts w:ascii="Times New Roman"/>
                <w:sz w:val="18"/>
              </w:rPr>
              <w:t>CO.,</w:t>
            </w:r>
            <w:r>
              <w:rPr>
                <w:rFonts w:ascii="Times New Roman"/>
                <w:spacing w:val="10"/>
                <w:sz w:val="18"/>
              </w:rPr>
              <w:t>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3"/>
                <w:sz w:val="18"/>
              </w:rPr>
              <w:t>TANGEL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肖志鸿</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湖南省长沙县星沙镇茶叶大市场办公楼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410199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号绿地中央广场紫峰写字楼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410013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http://www.t-angel.com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tangeldm@126.com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11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杨灏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姜玲</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号绿地中</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央广场紫峰写字楼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湖南省长沙市岳麓区银杉路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号绿地中</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央广场紫峰写字楼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0731-88834956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0731-88834956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0731-85462505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0731-85462505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tangeldm@126.com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tangeldm@126.com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11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before="44"/>
        <w:ind w:left="0" w:right="1139"/>
        <w:jc w:val="right"/>
      </w:pPr>
      <w:r>
        <w:rPr/>
        <w:pict>
          <v:shape style="position:absolute;margin-left:56.459999pt;margin-top:-20.948286pt;width:479.2pt;height:76.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1"/>
                          <w:jc w:val="left"/>
                          <w:rPr>
                            <w:rFonts w:ascii="Times New Roman" w:hAnsi="Times New Roman" w:cs="Times New Roman" w:eastAsia="Times New Roman" w:hint="default"/>
                            <w:sz w:val="18"/>
                            <w:szCs w:val="18"/>
                          </w:rPr>
                        </w:pPr>
                        <w:hyperlink r:id="rId11">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http://www.cs.com.cn/</w:t>
                          </w:r>
                        </w:hyperlink>
                        <w:r>
                          <w:rPr>
                            <w:rFonts w:ascii="宋体" w:hAnsi="宋体" w:cs="宋体" w:eastAsia="宋体" w:hint="default"/>
                            <w:spacing w:val="-2"/>
                            <w:sz w:val="18"/>
                            <w:szCs w:val="18"/>
                          </w:rPr>
                          <w:t>、</w:t>
                        </w:r>
                        <w:hyperlink r:id="rId13">
                          <w:r>
                            <w:rPr>
                              <w:rFonts w:ascii="Times New Roman" w:hAnsi="Times New Roman" w:cs="Times New Roman" w:eastAsia="Times New Roman" w:hint="default"/>
                              <w:spacing w:val="-2"/>
                              <w:sz w:val="18"/>
                              <w:szCs w:val="18"/>
                            </w:rPr>
                            <w:t>http://www.stcn.com/</w:t>
                          </w:r>
                        </w:hyperlink>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r>
                        <w:hyperlink r:id="rId14">
                          <w:r>
                            <w:rPr>
                              <w:rFonts w:ascii="Times New Roman" w:hAnsi="Times New Roman" w:cs="Times New Roman" w:eastAsia="Times New Roman" w:hint="default"/>
                              <w:sz w:val="18"/>
                              <w:szCs w:val="18"/>
                            </w:rPr>
                            <w:t>http://www.cnstock.com/</w:t>
                          </w:r>
                        </w:hyperlink>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http://www.ccstock.cn/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p>
              </w:txbxContent>
            </v:textbox>
            <w10:wrap type="none"/>
          </v:shape>
        </w:pict>
      </w:r>
      <w:r>
        <w:rPr/>
        <w:t>、</w:t>
      </w:r>
    </w:p>
    <w:p>
      <w:pPr>
        <w:spacing w:after="0" w:line="240" w:lineRule="auto"/>
        <w:jc w:val="right"/>
        <w:sectPr>
          <w:pgSz w:w="11910" w:h="16840"/>
          <w:pgMar w:header="87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117"/>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117"/>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湖南省长沙市开福区芙蓉中路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号泊富国际广场写字楼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刘智清、伍舫</w:t>
            </w:r>
          </w:p>
        </w:tc>
      </w:tr>
    </w:tbl>
    <w:p>
      <w:pPr>
        <w:spacing w:line="240" w:lineRule="auto" w:before="5"/>
        <w:rPr>
          <w:rFonts w:ascii="宋体" w:hAnsi="宋体" w:cs="宋体" w:eastAsia="宋体" w:hint="default"/>
          <w:sz w:val="27"/>
          <w:szCs w:val="27"/>
        </w:rPr>
      </w:pPr>
    </w:p>
    <w:p>
      <w:pPr>
        <w:pStyle w:val="BodyText"/>
        <w:spacing w:line="240" w:lineRule="auto" w:before="44"/>
        <w:ind w:left="1134" w:right="1117"/>
        <w:jc w:val="left"/>
      </w:pPr>
      <w:r>
        <w:rPr/>
        <w:t>公司聘请的报告期内履行持续督导职责的保荐机构</w:t>
      </w:r>
    </w:p>
    <w:p>
      <w:pPr>
        <w:pStyle w:val="BodyText"/>
        <w:spacing w:line="676" w:lineRule="auto" w:before="117"/>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spacing w:line="240" w:lineRule="auto" w:before="12"/>
        <w:rPr>
          <w:rFonts w:ascii="宋体" w:hAnsi="宋体" w:cs="宋体" w:eastAsia="宋体" w:hint="default"/>
          <w:sz w:val="26"/>
          <w:szCs w:val="26"/>
        </w:rPr>
      </w:pPr>
    </w:p>
    <w:p>
      <w:pPr>
        <w:pStyle w:val="BodyText"/>
        <w:spacing w:line="240" w:lineRule="auto" w:before="44"/>
        <w:ind w:left="0" w:right="1141"/>
        <w:jc w:val="right"/>
      </w:pPr>
      <w:r>
        <w:rPr/>
        <w:pict>
          <v:shape style="position:absolute;margin-left:56.459999pt;margin-top:-28.748297pt;width:479.2pt;height:56.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上海市浦东新区芳甸路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号紫竹国际大厦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江岚、张培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两年（截至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2"/>
        <w:spacing w:line="240" w:lineRule="auto" w:before="26"/>
        <w:ind w:left="1134" w:right="1117"/>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117"/>
        <w:jc w:val="left"/>
      </w:pPr>
      <w:r>
        <w:rPr/>
        <w:t>公司是否需追溯调整或重述以前年度会计数据</w:t>
      </w:r>
    </w:p>
    <w:p>
      <w:pPr>
        <w:pStyle w:val="BodyText"/>
        <w:spacing w:line="240" w:lineRule="auto" w:before="116"/>
        <w:ind w:left="1133"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936,023,719.25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779,939,639.94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20.01%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544,282,530.17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134,016,677.55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243,568,965.82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-44.98%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176,217,902.06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108,275,577.76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231,000,723.23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-53.13%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145,123,582.75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211,343,641.02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303,857,386.97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-30.45%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214,677,581.93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-52.94%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-52.94%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4,773,756,597.06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4,944,851,390.34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-3.46%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2,085,786,831.41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4,174,895,698.80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4,341,727,251.04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1,928,799,775.76</w:t>
            </w:r>
          </w:p>
        </w:tc>
      </w:tr>
    </w:tbl>
    <w:p>
      <w:pPr>
        <w:pStyle w:val="BodyText"/>
        <w:spacing w:line="240" w:lineRule="auto" w:before="51"/>
        <w:ind w:left="1134" w:right="1117"/>
        <w:jc w:val="left"/>
      </w:pPr>
      <w:r>
        <w:rPr/>
        <w:t>是否存在公司债</w:t>
      </w:r>
    </w:p>
    <w:p>
      <w:pPr>
        <w:pStyle w:val="BodyText"/>
        <w:spacing w:line="338" w:lineRule="auto" w:before="117"/>
        <w:ind w:left="1133"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公司是否存在最近两年连续亏损的情形</w:t>
      </w:r>
    </w:p>
    <w:p>
      <w:pPr>
        <w:pStyle w:val="BodyText"/>
        <w:spacing w:line="240" w:lineRule="auto" w:before="42"/>
        <w:ind w:left="1133"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71"/>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170,597,686.79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192,069,163.69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154,185,417.86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419,171,450.91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58,832,602.95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51,307,235.06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29,101,272.60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-5,224,433.06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56,567,402.46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46,931,631.51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28,702,970.69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-23,926,426.90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-72,703,581.71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130,718,660.96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-22,629,210.58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175,957,772.35</w:t>
            </w:r>
          </w:p>
        </w:tc>
      </w:tr>
    </w:tbl>
    <w:p>
      <w:pPr>
        <w:spacing w:line="240" w:lineRule="auto" w:before="5"/>
        <w:rPr>
          <w:rFonts w:ascii="宋体" w:hAnsi="宋体" w:cs="宋体" w:eastAsia="宋体" w:hint="default"/>
          <w:sz w:val="27"/>
          <w:szCs w:val="27"/>
        </w:rPr>
      </w:pPr>
    </w:p>
    <w:p>
      <w:pPr>
        <w:pStyle w:val="BodyText"/>
        <w:spacing w:line="240" w:lineRule="auto" w:before="44"/>
        <w:ind w:left="1134" w:right="1117"/>
        <w:jc w:val="left"/>
      </w:pPr>
      <w:r>
        <w:rPr/>
        <w:t>上述财务指标或其加总数是否与公司已披露季度报告、半年度报告相关财务指标存在重大差异</w:t>
      </w:r>
    </w:p>
    <w:p>
      <w:pPr>
        <w:pStyle w:val="BodyText"/>
        <w:spacing w:line="240" w:lineRule="auto" w:before="117"/>
        <w:ind w:left="1133"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八、非经常性损益项目及金额" w:id="12"/>
      <w:bookmarkEnd w:id="12"/>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71"/>
        <w:jc w:val="right"/>
      </w:pPr>
      <w:r>
        <w:rPr/>
        <w:t>单位：元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19,799,961.26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700,742.57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23,928,107.80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54"/>
              <w:jc w:val="left"/>
              <w:rPr>
                <w:rFonts w:ascii="宋体" w:hAnsi="宋体" w:cs="宋体" w:eastAsia="宋体" w:hint="default"/>
                <w:sz w:val="18"/>
                <w:szCs w:val="18"/>
              </w:rPr>
            </w:pPr>
            <w:r>
              <w:rPr>
                <w:rFonts w:ascii="宋体" w:hAnsi="宋体" w:cs="宋体" w:eastAsia="宋体" w:hint="default"/>
                <w:sz w:val="18"/>
                <w:szCs w:val="18"/>
              </w:rPr>
              <w:t>长期股权投资处置损 益</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8,530,838.08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6,207,911.58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14,686,190.85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2,096,825.88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29,927.40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处置可供出售金融资 产取得的投资收益</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-45,647.73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13,214,917.18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-79,829.93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-7,347,000.00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2,217,493.50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4,388,142.44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2,055,987.67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9,647,545.39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-44,090.62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249,166.95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40,024.92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25,741,099.79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12,568,242.59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31,094,319.31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1133" w:right="1117"/>
        <w:jc w:val="left"/>
      </w:pPr>
      <w:bookmarkStart w:name="_bookmark2" w:id="13"/>
      <w:bookmarkEnd w:id="13"/>
      <w:r>
        <w:rPr/>
      </w:r>
      <w:r>
        <w:rPr/>
        <w:t>对公司根据《公开发行证券的公司信息披露解释性公告第</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非经常性损益》定义界定的非经常性损益项目，以及把</w:t>
      </w:r>
    </w:p>
    <w:p>
      <w:pPr>
        <w:pStyle w:val="BodyText"/>
        <w:spacing w:line="302" w:lineRule="auto" w:before="63"/>
        <w:ind w:left="1134" w:right="1252"/>
        <w:jc w:val="left"/>
      </w:pPr>
      <w:r>
        <w:rPr/>
        <w:t>《公开发行证券的公司信息披露解释性公告第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非经常性损益》中列举的非经常性损益项目界定为经常性损益的项 目，应说明原因</w:t>
      </w:r>
    </w:p>
    <w:p>
      <w:pPr>
        <w:pStyle w:val="BodyText"/>
        <w:spacing w:line="240" w:lineRule="auto" w:before="71"/>
        <w:ind w:left="1134"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400" w:right="1538"/>
        <w:jc w:val="center"/>
        <w:rPr>
          <w:b w:val="0"/>
          <w:bCs w:val="0"/>
        </w:rPr>
      </w:pPr>
      <w:bookmarkStart w:name="第三节 公司业务概要" w:id="14"/>
      <w:bookmarkEnd w:id="14"/>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4" w:right="1117"/>
        <w:jc w:val="left"/>
        <w:rPr>
          <w:b w:val="0"/>
          <w:bCs w:val="0"/>
        </w:rPr>
      </w:pPr>
      <w:bookmarkStart w:name="一、报告期内公司从事的主要业务" w:id="15"/>
      <w:bookmarkEnd w:id="15"/>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Heading5"/>
        <w:spacing w:line="400" w:lineRule="auto"/>
        <w:ind w:left="1134" w:right="1320" w:firstLine="420"/>
        <w:jc w:val="both"/>
      </w:pPr>
      <w:r>
        <w:rPr/>
        <w:t>公司已完成从图书发行企业向文化产业集团的转型，聚焦泛娱乐、教育、文化三大板块。积极布局 移动互联网游戏、教育资源与服务、优秀文化的传播与传承三大领域，并向</w:t>
      </w:r>
      <w:r>
        <w:rPr>
          <w:rFonts w:ascii="Times New Roman" w:hAnsi="Times New Roman" w:cs="Times New Roman" w:eastAsia="Times New Roman" w:hint="default"/>
        </w:rPr>
        <w:t>“</w:t>
      </w:r>
      <w:r>
        <w:rPr/>
        <w:t>集团化、国际化、文化化</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的产业蓝图稳步迈进，打造国内一流的文化产业集团。公司主要从事手机游戏的研发、发行、代理与运 营业务；图书出版与发行业务。</w:t>
      </w:r>
    </w:p>
    <w:p>
      <w:pPr>
        <w:spacing w:line="240" w:lineRule="auto" w:before="3"/>
        <w:rPr>
          <w:rFonts w:ascii="宋体" w:hAnsi="宋体" w:cs="宋体" w:eastAsia="宋体" w:hint="default"/>
          <w:sz w:val="19"/>
          <w:szCs w:val="19"/>
        </w:rPr>
      </w:pPr>
    </w:p>
    <w:p>
      <w:pPr>
        <w:pStyle w:val="Heading2"/>
        <w:spacing w:line="240" w:lineRule="auto"/>
        <w:ind w:right="1117"/>
        <w:jc w:val="left"/>
        <w:rPr>
          <w:b w:val="0"/>
          <w:bCs w:val="0"/>
        </w:rPr>
      </w:pPr>
      <w:bookmarkStart w:name="二、主要资产重大变化情况" w:id="16"/>
      <w:bookmarkEnd w:id="16"/>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3" w:right="1117"/>
        <w:jc w:val="left"/>
        <w:rPr>
          <w:b w:val="0"/>
          <w:bCs w:val="0"/>
        </w:rPr>
      </w:pPr>
      <w:bookmarkStart w:name="1、主要资产重大变化情况" w:id="17"/>
      <w:bookmarkEnd w:id="17"/>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7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10"/>
              <w:ind w:left="16" w:right="19"/>
              <w:jc w:val="both"/>
              <w:rPr>
                <w:rFonts w:ascii="宋体" w:hAnsi="宋体" w:cs="宋体" w:eastAsia="宋体" w:hint="default"/>
                <w:sz w:val="18"/>
                <w:szCs w:val="18"/>
              </w:rPr>
            </w:pPr>
            <w:r>
              <w:rPr>
                <w:rFonts w:ascii="宋体" w:hAnsi="宋体" w:cs="宋体" w:eastAsia="宋体" w:hint="default"/>
                <w:sz w:val="18"/>
                <w:szCs w:val="18"/>
              </w:rPr>
              <w:t>报告期末可供出售金融资产较期初增长</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151.15%</w:t>
            </w:r>
            <w:r>
              <w:rPr>
                <w:rFonts w:ascii="宋体" w:hAnsi="宋体" w:cs="宋体" w:eastAsia="宋体" w:hint="default"/>
                <w:sz w:val="18"/>
                <w:szCs w:val="18"/>
              </w:rPr>
              <w:t>，主要系报告期新增初见科技投资 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亿元，海南奇遇投资款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万元等；计提银河数娱投资减值准备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vMerge/>
            <w:tcBorders>
              <w:left w:val="single" w:sz="9" w:space="0" w:color="D2D2D2"/>
              <w:right w:val="single" w:sz="4" w:space="0" w:color="000000"/>
            </w:tcBorders>
          </w:tcPr>
          <w:p>
            <w:pPr/>
          </w:p>
        </w:tc>
      </w:tr>
      <w:tr>
        <w:trPr>
          <w:trHeight w:val="27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2"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1"/>
              <w:jc w:val="left"/>
              <w:rPr>
                <w:rFonts w:ascii="宋体" w:hAnsi="宋体" w:cs="宋体" w:eastAsia="宋体" w:hint="default"/>
                <w:sz w:val="18"/>
                <w:szCs w:val="18"/>
              </w:rPr>
            </w:pPr>
            <w:r>
              <w:rPr>
                <w:rFonts w:ascii="宋体" w:hAnsi="宋体" w:cs="宋体" w:eastAsia="宋体" w:hint="default"/>
                <w:sz w:val="18"/>
                <w:szCs w:val="18"/>
              </w:rPr>
              <w:t>报告期末长期股权投资较期初增长</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48.08%</w:t>
            </w:r>
            <w:r>
              <w:rPr>
                <w:rFonts w:ascii="宋体" w:hAnsi="宋体" w:cs="宋体" w:eastAsia="宋体" w:hint="default"/>
                <w:spacing w:val="-4"/>
                <w:sz w:val="18"/>
                <w:szCs w:val="18"/>
              </w:rPr>
              <w:t>，主要系报告期新增投资合思益远、海南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元游和广州炫动等公司所致。</w:t>
            </w: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报告期末货币资金较期初下降</w:t>
            </w:r>
            <w:r>
              <w:rPr>
                <w:rFonts w:ascii="宋体" w:hAnsi="宋体" w:cs="宋体" w:eastAsia="宋体" w:hint="default"/>
                <w:spacing w:val="-29"/>
                <w:sz w:val="18"/>
                <w:szCs w:val="18"/>
              </w:rPr>
              <w:t> </w:t>
            </w:r>
            <w:r>
              <w:rPr>
                <w:rFonts w:ascii="Times New Roman" w:hAnsi="Times New Roman" w:cs="Times New Roman" w:eastAsia="Times New Roman" w:hint="default"/>
                <w:spacing w:val="-4"/>
                <w:sz w:val="18"/>
                <w:szCs w:val="18"/>
              </w:rPr>
              <w:t>33.60%</w:t>
            </w:r>
            <w:r>
              <w:rPr>
                <w:rFonts w:ascii="宋体" w:hAnsi="宋体" w:cs="宋体" w:eastAsia="宋体" w:hint="default"/>
                <w:spacing w:val="-4"/>
                <w:sz w:val="18"/>
                <w:szCs w:val="18"/>
              </w:rPr>
              <w:t>，主要系报告期支付投资款、并购诚意金等所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报告期末预付款项较期初增长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188.31%</w:t>
            </w:r>
            <w:r>
              <w:rPr>
                <w:rFonts w:ascii="宋体" w:hAnsi="宋体" w:cs="宋体" w:eastAsia="宋体" w:hint="default"/>
                <w:sz w:val="18"/>
                <w:szCs w:val="18"/>
              </w:rPr>
              <w:t>，主要系报告期采购预付款增加所致。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报告期末其他应收款较期初增长</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154.48%</w:t>
            </w:r>
            <w:r>
              <w:rPr>
                <w:rFonts w:ascii="宋体" w:hAnsi="宋体" w:cs="宋体" w:eastAsia="宋体" w:hint="default"/>
                <w:sz w:val="18"/>
                <w:szCs w:val="18"/>
              </w:rPr>
              <w:t>，主要系报告期支付并购诚意金等所致， 并购诚意金已于年报披露前收回。</w:t>
            </w:r>
          </w:p>
        </w:tc>
      </w:tr>
      <w:tr>
        <w:trPr>
          <w:trHeight w:val="403" w:hRule="exact"/>
        </w:trPr>
        <w:tc>
          <w:tcPr>
            <w:tcW w:w="3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报告期末存货较期初增长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62.08%</w:t>
            </w:r>
            <w:r>
              <w:rPr>
                <w:rFonts w:ascii="宋体" w:hAnsi="宋体" w:cs="宋体" w:eastAsia="宋体" w:hint="default"/>
                <w:sz w:val="18"/>
                <w:szCs w:val="18"/>
              </w:rPr>
              <w:t>，主要系报告期采购的存货增加所致。</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1117"/>
        <w:jc w:val="left"/>
        <w:rPr>
          <w:b w:val="0"/>
          <w:bCs w:val="0"/>
        </w:rPr>
      </w:pPr>
      <w:bookmarkStart w:name="2、主要境外资产情况" w:id="18"/>
      <w:bookmarkEnd w:id="18"/>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三、核心竞争力分析" w:id="19"/>
      <w:bookmarkEnd w:id="19"/>
      <w:r>
        <w:rPr>
          <w:b w:val="0"/>
          <w:bCs w:val="0"/>
        </w:rPr>
      </w:r>
      <w:r>
        <w:rPr/>
        <w:t>三、核心竞争力分析</w:t>
      </w:r>
      <w:r>
        <w:rPr>
          <w:b w:val="0"/>
          <w:bCs w:val="0"/>
        </w:rPr>
      </w:r>
    </w:p>
    <w:p>
      <w:pPr>
        <w:spacing w:line="240" w:lineRule="auto" w:before="8"/>
        <w:rPr>
          <w:rFonts w:ascii="宋体" w:hAnsi="宋体" w:cs="宋体" w:eastAsia="宋体" w:hint="default"/>
          <w:b/>
          <w:bCs/>
          <w:sz w:val="30"/>
          <w:szCs w:val="30"/>
        </w:rPr>
      </w:pPr>
    </w:p>
    <w:p>
      <w:pPr>
        <w:pStyle w:val="Heading5"/>
        <w:spacing w:line="240" w:lineRule="auto"/>
        <w:ind w:left="1553" w:right="1117"/>
        <w:jc w:val="left"/>
      </w:pPr>
      <w:r>
        <w:rPr/>
        <w:t>截止本报告期末，公司共拥有图书著作权</w:t>
      </w:r>
      <w:r>
        <w:rPr>
          <w:spacing w:val="-53"/>
        </w:rPr>
        <w:t> </w:t>
      </w:r>
      <w:r>
        <w:rPr>
          <w:rFonts w:ascii="宋体" w:hAnsi="宋体" w:cs="宋体" w:eastAsia="宋体" w:hint="default"/>
        </w:rPr>
        <w:t>191</w:t>
      </w:r>
      <w:r>
        <w:rPr>
          <w:rFonts w:ascii="宋体" w:hAnsi="宋体" w:cs="宋体" w:eastAsia="宋体" w:hint="default"/>
          <w:spacing w:val="-54"/>
        </w:rPr>
        <w:t> </w:t>
      </w:r>
      <w:r>
        <w:rPr/>
        <w:t>项、软件著作权</w:t>
      </w:r>
      <w:r>
        <w:rPr>
          <w:spacing w:val="-54"/>
        </w:rPr>
        <w:t> </w:t>
      </w:r>
      <w:r>
        <w:rPr>
          <w:rFonts w:ascii="宋体" w:hAnsi="宋体" w:cs="宋体" w:eastAsia="宋体" w:hint="default"/>
        </w:rPr>
        <w:t>137</w:t>
      </w:r>
      <w:r>
        <w:rPr>
          <w:rFonts w:ascii="宋体" w:hAnsi="宋体" w:cs="宋体" w:eastAsia="宋体" w:hint="default"/>
          <w:spacing w:val="-53"/>
        </w:rPr>
        <w:t> </w:t>
      </w:r>
      <w:r>
        <w:rPr/>
        <w:t>项，其中包括报告期内新增游爱</w:t>
      </w:r>
    </w:p>
    <w:p>
      <w:pPr>
        <w:spacing w:line="240" w:lineRule="auto" w:before="10"/>
        <w:rPr>
          <w:rFonts w:ascii="宋体" w:hAnsi="宋体" w:cs="宋体" w:eastAsia="宋体" w:hint="default"/>
          <w:sz w:val="14"/>
          <w:szCs w:val="14"/>
        </w:rPr>
      </w:pPr>
    </w:p>
    <w:p>
      <w:pPr>
        <w:pStyle w:val="Heading5"/>
        <w:spacing w:line="240" w:lineRule="auto"/>
        <w:ind w:left="1133" w:right="1117"/>
        <w:jc w:val="left"/>
      </w:pPr>
      <w:r>
        <w:rPr/>
        <w:t>网络软件著作权</w:t>
      </w:r>
      <w:r>
        <w:rPr>
          <w:spacing w:val="-53"/>
        </w:rPr>
        <w:t> </w:t>
      </w:r>
      <w:r>
        <w:rPr>
          <w:rFonts w:ascii="宋体" w:hAnsi="宋体" w:cs="宋体" w:eastAsia="宋体" w:hint="default"/>
        </w:rPr>
        <w:t>27</w:t>
      </w:r>
      <w:r>
        <w:rPr>
          <w:rFonts w:ascii="宋体" w:hAnsi="宋体" w:cs="宋体" w:eastAsia="宋体" w:hint="default"/>
          <w:spacing w:val="-53"/>
        </w:rPr>
        <w:t> </w:t>
      </w:r>
      <w:r>
        <w:rPr/>
        <w:t>项、神奇时代软件著作权</w:t>
      </w:r>
      <w:r>
        <w:rPr>
          <w:spacing w:val="-53"/>
        </w:rPr>
        <w:t> </w:t>
      </w:r>
      <w:r>
        <w:rPr>
          <w:rFonts w:ascii="宋体" w:hAnsi="宋体" w:cs="宋体" w:eastAsia="宋体" w:hint="default"/>
        </w:rPr>
        <w:t>1</w:t>
      </w:r>
      <w:r>
        <w:rPr>
          <w:rFonts w:ascii="宋体" w:hAnsi="宋体" w:cs="宋体" w:eastAsia="宋体" w:hint="default"/>
          <w:spacing w:val="-54"/>
        </w:rPr>
        <w:t> </w:t>
      </w:r>
      <w:r>
        <w:rPr/>
        <w:t>项。公司共拥有注册商标权</w:t>
      </w:r>
      <w:r>
        <w:rPr>
          <w:spacing w:val="-54"/>
        </w:rPr>
        <w:t> </w:t>
      </w:r>
      <w:r>
        <w:rPr>
          <w:rFonts w:ascii="宋体" w:hAnsi="宋体" w:cs="宋体" w:eastAsia="宋体" w:hint="default"/>
        </w:rPr>
        <w:t>96</w:t>
      </w:r>
      <w:r>
        <w:rPr>
          <w:rFonts w:ascii="宋体" w:hAnsi="宋体" w:cs="宋体" w:eastAsia="宋体" w:hint="default"/>
          <w:spacing w:val="-53"/>
        </w:rPr>
        <w:t> </w:t>
      </w:r>
      <w:r>
        <w:rPr/>
        <w:t>项，其中包括报告期内新</w:t>
      </w:r>
    </w:p>
    <w:p>
      <w:pPr>
        <w:spacing w:line="240" w:lineRule="auto" w:before="10"/>
        <w:rPr>
          <w:rFonts w:ascii="宋体" w:hAnsi="宋体" w:cs="宋体" w:eastAsia="宋体" w:hint="default"/>
          <w:sz w:val="14"/>
          <w:szCs w:val="14"/>
        </w:rPr>
      </w:pPr>
    </w:p>
    <w:p>
      <w:pPr>
        <w:pStyle w:val="Heading5"/>
        <w:spacing w:line="240" w:lineRule="auto"/>
        <w:ind w:left="1134" w:right="1117"/>
        <w:jc w:val="left"/>
      </w:pPr>
      <w:r>
        <w:rPr/>
        <w:t>增游爱网络注册商标</w:t>
      </w:r>
      <w:r>
        <w:rPr>
          <w:spacing w:val="-54"/>
        </w:rPr>
        <w:t> </w:t>
      </w:r>
      <w:r>
        <w:rPr>
          <w:rFonts w:ascii="宋体" w:hAnsi="宋体" w:cs="宋体" w:eastAsia="宋体" w:hint="default"/>
        </w:rPr>
        <w:t>2</w:t>
      </w:r>
      <w:r>
        <w:rPr>
          <w:rFonts w:ascii="宋体" w:hAnsi="宋体" w:cs="宋体" w:eastAsia="宋体" w:hint="default"/>
          <w:spacing w:val="-55"/>
        </w:rPr>
        <w:t> </w:t>
      </w:r>
      <w:r>
        <w:rPr/>
        <w:t>项</w:t>
      </w:r>
      <w:r>
        <w:rPr>
          <w:rFonts w:ascii="宋体" w:hAnsi="宋体" w:cs="宋体" w:eastAsia="宋体" w:hint="default"/>
        </w:rPr>
        <w:t>,</w:t>
      </w:r>
      <w:r>
        <w:rPr/>
        <w:t>新增神奇时代注册商标</w:t>
      </w:r>
      <w:r>
        <w:rPr>
          <w:spacing w:val="-54"/>
        </w:rPr>
        <w:t> </w:t>
      </w:r>
      <w:r>
        <w:rPr>
          <w:rFonts w:ascii="宋体" w:hAnsi="宋体" w:cs="宋体" w:eastAsia="宋体" w:hint="default"/>
        </w:rPr>
        <w:t>3</w:t>
      </w:r>
      <w:r>
        <w:rPr>
          <w:rFonts w:ascii="宋体" w:hAnsi="宋体" w:cs="宋体" w:eastAsia="宋体" w:hint="default"/>
          <w:spacing w:val="-54"/>
        </w:rPr>
        <w:t> </w:t>
      </w:r>
      <w:r>
        <w:rPr/>
        <w:t>项。公司共拥有游戏版号</w:t>
      </w:r>
      <w:r>
        <w:rPr>
          <w:spacing w:val="-54"/>
        </w:rPr>
        <w:t> </w:t>
      </w:r>
      <w:r>
        <w:rPr>
          <w:rFonts w:ascii="宋体" w:hAnsi="宋体" w:cs="宋体" w:eastAsia="宋体" w:hint="default"/>
        </w:rPr>
        <w:t>33</w:t>
      </w:r>
      <w:r>
        <w:rPr>
          <w:rFonts w:ascii="宋体" w:hAnsi="宋体" w:cs="宋体" w:eastAsia="宋体" w:hint="default"/>
          <w:spacing w:val="-54"/>
        </w:rPr>
        <w:t> </w:t>
      </w:r>
      <w:r>
        <w:rPr/>
        <w:t>项，其中包括报告期内</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410" w:lineRule="auto" w:before="174"/>
        <w:ind w:left="1133" w:right="1272"/>
        <w:jc w:val="both"/>
      </w:pPr>
      <w:r>
        <w:rPr/>
        <w:t>新增游爱网络游戏版号</w:t>
      </w:r>
      <w:r>
        <w:rPr>
          <w:spacing w:val="-53"/>
        </w:rPr>
        <w:t> </w:t>
      </w:r>
      <w:r>
        <w:rPr>
          <w:rFonts w:ascii="宋体" w:hAnsi="宋体" w:cs="宋体" w:eastAsia="宋体" w:hint="default"/>
        </w:rPr>
        <w:t>9</w:t>
      </w:r>
      <w:r>
        <w:rPr>
          <w:rFonts w:ascii="宋体" w:hAnsi="宋体" w:cs="宋体" w:eastAsia="宋体" w:hint="default"/>
          <w:spacing w:val="-53"/>
        </w:rPr>
        <w:t> </w:t>
      </w:r>
      <w:r>
        <w:rPr/>
        <w:t>项、神奇时代游戏版号</w:t>
      </w:r>
      <w:r>
        <w:rPr>
          <w:spacing w:val="-53"/>
        </w:rPr>
        <w:t> </w:t>
      </w:r>
      <w:r>
        <w:rPr>
          <w:rFonts w:ascii="宋体" w:hAnsi="宋体" w:cs="宋体" w:eastAsia="宋体" w:hint="default"/>
        </w:rPr>
        <w:t>1</w:t>
      </w:r>
      <w:r>
        <w:rPr>
          <w:rFonts w:ascii="宋体" w:hAnsi="宋体" w:cs="宋体" w:eastAsia="宋体" w:hint="default"/>
          <w:spacing w:val="-53"/>
        </w:rPr>
        <w:t> </w:t>
      </w:r>
      <w:r>
        <w:rPr/>
        <w:t>项。公司新增域名</w:t>
      </w:r>
      <w:r>
        <w:rPr>
          <w:spacing w:val="-54"/>
        </w:rPr>
        <w:t> </w:t>
      </w:r>
      <w:r>
        <w:rPr>
          <w:rFonts w:ascii="宋体" w:hAnsi="宋体" w:cs="宋体" w:eastAsia="宋体" w:hint="default"/>
        </w:rPr>
        <w:t>5</w:t>
      </w:r>
      <w:r>
        <w:rPr>
          <w:rFonts w:ascii="宋体" w:hAnsi="宋体" w:cs="宋体" w:eastAsia="宋体" w:hint="default"/>
          <w:spacing w:val="-53"/>
        </w:rPr>
        <w:t> </w:t>
      </w:r>
      <w:r>
        <w:rPr/>
        <w:t>项。以及土地使用权（公司所属 位于芙蓉区火星镇综合楼</w:t>
      </w:r>
      <w:r>
        <w:rPr>
          <w:spacing w:val="-56"/>
        </w:rPr>
        <w:t> </w:t>
      </w:r>
      <w:r>
        <w:rPr>
          <w:rFonts w:ascii="宋体" w:hAnsi="宋体" w:cs="宋体" w:eastAsia="宋体" w:hint="default"/>
        </w:rPr>
        <w:t>11</w:t>
      </w:r>
      <w:r>
        <w:rPr>
          <w:rFonts w:ascii="宋体" w:hAnsi="宋体" w:cs="宋体" w:eastAsia="宋体" w:hint="default"/>
          <w:spacing w:val="-56"/>
        </w:rPr>
        <w:t> </w:t>
      </w:r>
      <w:r>
        <w:rPr/>
        <w:t>套房屋、长沙县星沙镇茶叶大市场“山水茗园”4</w:t>
      </w:r>
      <w:r>
        <w:rPr>
          <w:spacing w:val="-56"/>
        </w:rPr>
        <w:t> </w:t>
      </w:r>
      <w:r>
        <w:rPr/>
        <w:t>套房屋分摊的土地使用权</w:t>
      </w:r>
      <w:r>
        <w:rPr/>
        <w:t> </w:t>
      </w:r>
      <w:r>
        <w:rPr>
          <w:spacing w:val="-35"/>
        </w:rPr>
        <w:t>等）。</w:t>
      </w:r>
    </w:p>
    <w:p>
      <w:pPr>
        <w:pStyle w:val="Heading5"/>
        <w:spacing w:line="240" w:lineRule="auto" w:before="6"/>
        <w:ind w:left="1554" w:right="1117"/>
        <w:jc w:val="left"/>
      </w:pPr>
      <w:r>
        <w:rPr/>
        <w:pict>
          <v:shape style="position:absolute;margin-left:70.620003pt;margin-top:23.513687pt;width:425.8pt;height:583.4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0"/>
                    <w:gridCol w:w="3257"/>
                    <w:gridCol w:w="1700"/>
                    <w:gridCol w:w="2693"/>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2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版本</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全民星座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2017SR016513</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百恋成仙</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2017SR015308</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文明：古代战争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2017SR046368</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塔防西游记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2017SR107030</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星萌物语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2017SR118461</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帝国传奇霸业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2017SR120347</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塔塔星座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2017SR138953</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8</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群雄激战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2017SR119443</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9</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塔防伏魔录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2017SR148845</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10</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一恋永恒</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2017SR157914</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11</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王者纷争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2017SR236344</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12</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塔防仙魔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2017SR339966</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13</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仙剑客栈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2017SR361424</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14</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中世纪海战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2017SR393287</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15</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塔防镇魂师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2017SR459627</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16</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海岛纪元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2017SR485618</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17</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乱世国战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2017SR534526</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18</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轮回生死诀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2017SR558890</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19</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大荒</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OL</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2017SR577472</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一统江山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2017SR577483</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21</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天师道长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2017SR582222</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22</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帝王崛起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2017SR592547</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23</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九洲山海录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2017SR628963</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24</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姑娘请看剑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2017SR641866</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25</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神仙亮剑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2017SR641799</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26</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嬴政天下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2017SR703169</w:t>
                        </w:r>
                      </w:p>
                    </w:tc>
                  </w:tr>
                  <w:tr>
                    <w:trPr>
                      <w:trHeight w:val="40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27</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乱世纷争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2017SR720330</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28</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神奇时代卧虎藏龙贰</w:t>
                        </w:r>
                        <w:r>
                          <w:rPr>
                            <w:rFonts w:ascii="宋体" w:hAnsi="宋体" w:cs="宋体" w:eastAsia="宋体" w:hint="default"/>
                            <w:spacing w:val="-46"/>
                            <w:sz w:val="18"/>
                            <w:szCs w:val="18"/>
                          </w:rPr>
                          <w:t> </w:t>
                        </w:r>
                        <w:r>
                          <w:rPr>
                            <w:rFonts w:ascii="宋体" w:hAnsi="宋体" w:cs="宋体" w:eastAsia="宋体" w:hint="default"/>
                            <w:sz w:val="18"/>
                            <w:szCs w:val="18"/>
                          </w:rPr>
                          <w:t>OnLine</w:t>
                        </w:r>
                        <w:r>
                          <w:rPr>
                            <w:rFonts w:ascii="宋体" w:hAnsi="宋体" w:cs="宋体" w:eastAsia="宋体" w:hint="default"/>
                            <w:spacing w:val="-45"/>
                            <w:sz w:val="18"/>
                            <w:szCs w:val="18"/>
                          </w:rPr>
                          <w:t> </w:t>
                        </w:r>
                        <w:r>
                          <w:rPr>
                            <w:rFonts w:ascii="宋体" w:hAnsi="宋体" w:cs="宋体" w:eastAsia="宋体" w:hint="default"/>
                            <w:sz w:val="18"/>
                            <w:szCs w:val="18"/>
                          </w:rPr>
                          <w:t>游戏软件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v1.0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2017SR062476</w:t>
                        </w:r>
                      </w:p>
                    </w:tc>
                  </w:tr>
                </w:tbl>
                <w:p>
                  <w:pPr/>
                </w:p>
              </w:txbxContent>
            </v:textbox>
            <w10:wrap type="none"/>
          </v:shape>
        </w:pict>
      </w:r>
      <w:r>
        <w:rPr/>
        <w:t>报告期内，新增</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项软件著作权如下：</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5"/>
        <w:spacing w:line="240" w:lineRule="auto"/>
        <w:ind w:left="0" w:right="1171"/>
        <w:jc w:val="right"/>
      </w:pPr>
      <w:r>
        <w:rPr/>
        <w:t>报</w:t>
      </w:r>
    </w:p>
    <w:p>
      <w:pPr>
        <w:spacing w:line="240" w:lineRule="auto" w:before="10"/>
        <w:rPr>
          <w:rFonts w:ascii="宋体" w:hAnsi="宋体" w:cs="宋体" w:eastAsia="宋体" w:hint="default"/>
          <w:sz w:val="14"/>
          <w:szCs w:val="14"/>
        </w:rPr>
      </w:pPr>
    </w:p>
    <w:p>
      <w:pPr>
        <w:pStyle w:val="Heading5"/>
        <w:spacing w:line="408" w:lineRule="auto"/>
        <w:ind w:left="10102" w:right="1271"/>
        <w:jc w:val="both"/>
        <w:rPr>
          <w:rFonts w:ascii="Times New Roman" w:hAnsi="Times New Roman" w:cs="Times New Roman" w:eastAsia="Times New Roman" w:hint="default"/>
        </w:rPr>
      </w:pPr>
      <w:r>
        <w:rPr/>
        <w:t>告</w:t>
      </w:r>
      <w:r>
        <w:rPr>
          <w:spacing w:val="5"/>
        </w:rPr>
        <w:t> </w:t>
      </w:r>
      <w:r>
        <w:rPr/>
        <w:t>期</w:t>
      </w:r>
      <w:r>
        <w:rPr/>
        <w:t> </w:t>
      </w:r>
      <w:r>
        <w:rPr>
          <w:spacing w:val="-34"/>
        </w:rPr>
        <w:t>内，新</w:t>
      </w:r>
      <w:r>
        <w:rPr>
          <w:spacing w:val="-103"/>
        </w:rPr>
        <w:t> </w:t>
      </w:r>
      <w:r>
        <w:rPr>
          <w:spacing w:val="-103"/>
        </w:rPr>
      </w:r>
      <w:r>
        <w:rPr/>
        <w:t>增 </w:t>
      </w:r>
      <w:r>
        <w:rPr>
          <w:spacing w:val="4"/>
        </w:rPr>
        <w:t> </w:t>
      </w:r>
      <w:r>
        <w:rPr>
          <w:rFonts w:ascii="Times New Roman" w:hAnsi="Times New Roman" w:cs="Times New Roman" w:eastAsia="Times New Roman" w:hint="default"/>
        </w:rPr>
        <w:t>5</w:t>
      </w:r>
    </w:p>
    <w:p>
      <w:pPr>
        <w:pStyle w:val="Heading5"/>
        <w:spacing w:line="240" w:lineRule="auto" w:before="14"/>
        <w:ind w:left="0" w:right="1271"/>
        <w:jc w:val="right"/>
      </w:pPr>
      <w:r>
        <w:rPr/>
        <w:t>项</w:t>
      </w:r>
      <w:r>
        <w:rPr>
          <w:spacing w:val="5"/>
        </w:rPr>
        <w:t> </w:t>
      </w:r>
      <w:r>
        <w:rPr/>
        <w:t>商</w:t>
      </w:r>
    </w:p>
    <w:p>
      <w:pPr>
        <w:spacing w:line="240" w:lineRule="auto" w:before="10"/>
        <w:rPr>
          <w:rFonts w:ascii="宋体" w:hAnsi="宋体" w:cs="宋体" w:eastAsia="宋体" w:hint="default"/>
          <w:sz w:val="14"/>
          <w:szCs w:val="14"/>
        </w:rPr>
      </w:pPr>
    </w:p>
    <w:p>
      <w:pPr>
        <w:pStyle w:val="Heading5"/>
        <w:spacing w:line="410" w:lineRule="auto"/>
        <w:ind w:left="10102" w:right="1271"/>
        <w:jc w:val="both"/>
      </w:pPr>
      <w:r>
        <w:rPr/>
        <w:t>标</w:t>
      </w:r>
      <w:r>
        <w:rPr>
          <w:spacing w:val="5"/>
        </w:rPr>
        <w:t> </w:t>
      </w:r>
      <w:r>
        <w:rPr/>
        <w:t>如</w:t>
      </w:r>
      <w:r>
        <w:rPr/>
        <w:t> 下：</w:t>
      </w:r>
    </w:p>
    <w:p>
      <w:pPr>
        <w:spacing w:after="0" w:line="410" w:lineRule="auto"/>
        <w:jc w:val="both"/>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2016" w:type="dxa"/>
        <w:tblLayout w:type="fixed"/>
        <w:tblCellMar>
          <w:top w:w="0" w:type="dxa"/>
          <w:left w:w="0" w:type="dxa"/>
          <w:bottom w:w="0" w:type="dxa"/>
          <w:right w:w="0" w:type="dxa"/>
        </w:tblCellMar>
        <w:tblLook w:val="01E0"/>
      </w:tblPr>
      <w:tblGrid>
        <w:gridCol w:w="1129"/>
        <w:gridCol w:w="3838"/>
        <w:gridCol w:w="2757"/>
      </w:tblGrid>
      <w:tr>
        <w:trPr>
          <w:trHeight w:val="402" w:hRule="exact"/>
        </w:trPr>
        <w:tc>
          <w:tcPr>
            <w:tcW w:w="1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2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一拳英雄</w:t>
            </w:r>
          </w:p>
        </w:tc>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19711404</w:t>
            </w: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精灵回忆</w:t>
            </w:r>
          </w:p>
        </w:tc>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19711307</w:t>
            </w: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万妖计</w:t>
            </w:r>
          </w:p>
        </w:tc>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19744662</w:t>
            </w: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本命悟空</w:t>
            </w:r>
          </w:p>
        </w:tc>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19744664</w:t>
            </w:r>
          </w:p>
        </w:tc>
      </w:tr>
      <w:tr>
        <w:trPr>
          <w:trHeight w:val="402" w:hRule="exact"/>
        </w:trPr>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五芒星战记</w:t>
            </w:r>
          </w:p>
        </w:tc>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22316875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5"/>
        <w:spacing w:line="240" w:lineRule="auto" w:before="35"/>
        <w:ind w:left="1554" w:right="1117"/>
        <w:jc w:val="left"/>
      </w:pPr>
      <w:r>
        <w:rPr/>
        <w:t>报告期内，新增</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项游戏版号如下：</w:t>
      </w:r>
    </w:p>
    <w:p>
      <w:pPr>
        <w:spacing w:line="240" w:lineRule="auto" w:before="2"/>
        <w:rPr>
          <w:rFonts w:ascii="宋体" w:hAnsi="宋体" w:cs="宋体" w:eastAsia="宋体" w:hint="default"/>
          <w:sz w:val="3"/>
          <w:szCs w:val="3"/>
        </w:rPr>
      </w:pPr>
    </w:p>
    <w:tbl>
      <w:tblPr>
        <w:tblW w:w="0" w:type="auto"/>
        <w:jc w:val="left"/>
        <w:tblInd w:w="2009" w:type="dxa"/>
        <w:tblLayout w:type="fixed"/>
        <w:tblCellMar>
          <w:top w:w="0" w:type="dxa"/>
          <w:left w:w="0" w:type="dxa"/>
          <w:bottom w:w="0" w:type="dxa"/>
          <w:right w:w="0" w:type="dxa"/>
        </w:tblCellMar>
        <w:tblLook w:val="01E0"/>
      </w:tblPr>
      <w:tblGrid>
        <w:gridCol w:w="1134"/>
        <w:gridCol w:w="3828"/>
        <w:gridCol w:w="2693"/>
      </w:tblGrid>
      <w:tr>
        <w:trPr>
          <w:trHeight w:val="370"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8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260"/>
              <w:jc w:val="center"/>
              <w:rPr>
                <w:rFonts w:ascii="宋体" w:hAnsi="宋体" w:cs="宋体" w:eastAsia="宋体" w:hint="default"/>
                <w:sz w:val="18"/>
                <w:szCs w:val="18"/>
              </w:rPr>
            </w:pPr>
            <w:r>
              <w:rPr>
                <w:rFonts w:ascii="宋体" w:hAnsi="宋体" w:cs="宋体" w:eastAsia="宋体" w:hint="default"/>
                <w:b/>
                <w:bCs/>
                <w:sz w:val="18"/>
                <w:szCs w:val="18"/>
              </w:rPr>
              <w:t>游戏名称</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b/>
                <w:bCs/>
                <w:sz w:val="18"/>
                <w:szCs w:val="18"/>
              </w:rPr>
              <w:t>出版许可文号</w:t>
            </w:r>
            <w:r>
              <w:rPr>
                <w:rFonts w:ascii="宋体" w:hAnsi="宋体" w:cs="宋体" w:eastAsia="宋体" w:hint="default"/>
                <w:sz w:val="18"/>
                <w:szCs w:val="18"/>
              </w:rPr>
            </w:r>
          </w:p>
        </w:tc>
      </w:tr>
      <w:tr>
        <w:trPr>
          <w:trHeight w:val="40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国战来了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[2017]1670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2</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末日围城</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[2017]1669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3</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百恋成仙</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[2017]2909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4</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塔防西游记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[2017]6055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5</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塔塔星座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[2017]6053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6</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王者纷争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[2017]7058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7</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魔幻之诗</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[2017]7699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8</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中世纪海战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[2017]8540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9</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勇者必须赢</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[2017]10105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79"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center"/>
              <w:rPr>
                <w:rFonts w:ascii="宋体" w:hAnsi="宋体" w:cs="宋体" w:eastAsia="宋体" w:hint="default"/>
                <w:sz w:val="18"/>
                <w:szCs w:val="18"/>
              </w:rPr>
            </w:pPr>
            <w:r>
              <w:rPr>
                <w:rFonts w:ascii="宋体" w:hAnsi="宋体" w:cs="宋体" w:eastAsia="宋体" w:hint="default"/>
                <w:sz w:val="18"/>
                <w:szCs w:val="18"/>
              </w:rPr>
              <w:t>卧虎藏龙贰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新广出审</w:t>
            </w:r>
            <w:r>
              <w:rPr>
                <w:rFonts w:ascii="Times New Roman" w:hAnsi="Times New Roman" w:cs="Times New Roman" w:eastAsia="Times New Roman" w:hint="default"/>
                <w:sz w:val="18"/>
                <w:szCs w:val="18"/>
              </w:rPr>
              <w:t>[2017]5531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5"/>
        <w:spacing w:line="240" w:lineRule="auto" w:before="35"/>
        <w:ind w:left="1554" w:right="1117"/>
        <w:jc w:val="left"/>
      </w:pPr>
      <w:r>
        <w:rPr/>
        <w:t>报告期内，新增</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项域名如下：</w:t>
      </w:r>
    </w:p>
    <w:p>
      <w:pPr>
        <w:spacing w:line="240" w:lineRule="auto" w:before="4"/>
        <w:rPr>
          <w:rFonts w:ascii="宋体" w:hAnsi="宋体" w:cs="宋体" w:eastAsia="宋体" w:hint="default"/>
          <w:sz w:val="3"/>
          <w:szCs w:val="3"/>
        </w:rPr>
      </w:pPr>
    </w:p>
    <w:tbl>
      <w:tblPr>
        <w:tblW w:w="0" w:type="auto"/>
        <w:jc w:val="left"/>
        <w:tblInd w:w="1490" w:type="dxa"/>
        <w:tblLayout w:type="fixed"/>
        <w:tblCellMar>
          <w:top w:w="0" w:type="dxa"/>
          <w:left w:w="0" w:type="dxa"/>
          <w:bottom w:w="0" w:type="dxa"/>
          <w:right w:w="0" w:type="dxa"/>
        </w:tblCellMar>
        <w:tblLook w:val="01E0"/>
      </w:tblPr>
      <w:tblGrid>
        <w:gridCol w:w="792"/>
        <w:gridCol w:w="2468"/>
        <w:gridCol w:w="2126"/>
        <w:gridCol w:w="1702"/>
        <w:gridCol w:w="1687"/>
      </w:tblGrid>
      <w:tr>
        <w:trPr>
          <w:trHeight w:val="337" w:hRule="exact"/>
        </w:trPr>
        <w:tc>
          <w:tcPr>
            <w:tcW w:w="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4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所有人</w:t>
            </w:r>
            <w:r>
              <w:rPr>
                <w:rFonts w:ascii="宋体" w:hAnsi="宋体" w:cs="宋体" w:eastAsia="宋体" w:hint="default"/>
                <w:sz w:val="18"/>
                <w:szCs w:val="18"/>
              </w:rPr>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域名</w:t>
            </w:r>
            <w:r>
              <w:rPr>
                <w:rFonts w:ascii="宋体" w:hAnsi="宋体" w:cs="宋体" w:eastAsia="宋体" w:hint="default"/>
                <w:sz w:val="18"/>
                <w:szCs w:val="18"/>
              </w:rPr>
            </w:r>
          </w:p>
        </w:tc>
        <w:tc>
          <w:tcPr>
            <w:tcW w:w="1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注册日期</w:t>
            </w:r>
            <w:r>
              <w:rPr>
                <w:rFonts w:ascii="宋体" w:hAnsi="宋体" w:cs="宋体" w:eastAsia="宋体" w:hint="default"/>
                <w:sz w:val="18"/>
                <w:szCs w:val="18"/>
              </w:rPr>
            </w:r>
          </w:p>
        </w:tc>
      </w:tr>
      <w:tr>
        <w:trPr>
          <w:trHeight w:val="409"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8"/>
                <w:szCs w:val="18"/>
              </w:rPr>
            </w:pPr>
            <w:r>
              <w:rPr>
                <w:rFonts w:ascii="Times New Roman"/>
                <w:sz w:val="18"/>
              </w:rPr>
              <w:t>1</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游爱兄弟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顶级国际域名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8" w:right="0"/>
              <w:jc w:val="left"/>
              <w:rPr>
                <w:rFonts w:ascii="Times New Roman" w:hAnsi="Times New Roman" w:cs="Times New Roman" w:eastAsia="Times New Roman" w:hint="default"/>
                <w:sz w:val="18"/>
                <w:szCs w:val="18"/>
              </w:rPr>
            </w:pPr>
            <w:r>
              <w:rPr>
                <w:rFonts w:ascii="Times New Roman"/>
                <w:sz w:val="18"/>
              </w:rPr>
              <w:t>gzyaxd.com</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8"/>
                <w:szCs w:val="18"/>
              </w:rPr>
            </w:pPr>
            <w:r>
              <w:rPr>
                <w:rFonts w:ascii="Times New Roman"/>
                <w:sz w:val="18"/>
              </w:rPr>
              <w:t>2017.3.7</w:t>
            </w:r>
          </w:p>
        </w:tc>
      </w:tr>
      <w:tr>
        <w:trPr>
          <w:trHeight w:val="40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游爱兄弟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顶级国际域名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uuufish.com</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2017.2.16</w:t>
            </w:r>
          </w:p>
        </w:tc>
      </w:tr>
      <w:tr>
        <w:trPr>
          <w:trHeight w:val="40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3</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霍尔果斯游爱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顶级国际域名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1"/>
              <w:jc w:val="right"/>
              <w:rPr>
                <w:rFonts w:ascii="Times New Roman" w:hAnsi="Times New Roman" w:cs="Times New Roman" w:eastAsia="Times New Roman" w:hint="default"/>
                <w:sz w:val="18"/>
                <w:szCs w:val="18"/>
              </w:rPr>
            </w:pPr>
            <w:r>
              <w:rPr>
                <w:rFonts w:ascii="Times New Roman"/>
                <w:spacing w:val="-1"/>
                <w:sz w:val="18"/>
              </w:rPr>
              <w:t>hegsgame.com</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2017.3.23</w:t>
            </w:r>
          </w:p>
        </w:tc>
      </w:tr>
      <w:tr>
        <w:trPr>
          <w:trHeight w:val="40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4</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霍尔果斯游爱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顶级国际域名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1"/>
              <w:jc w:val="right"/>
              <w:rPr>
                <w:rFonts w:ascii="Times New Roman" w:hAnsi="Times New Roman" w:cs="Times New Roman" w:eastAsia="Times New Roman" w:hint="default"/>
                <w:sz w:val="18"/>
                <w:szCs w:val="18"/>
              </w:rPr>
            </w:pPr>
            <w:r>
              <w:rPr>
                <w:rFonts w:ascii="Times New Roman"/>
                <w:spacing w:val="-1"/>
                <w:sz w:val="18"/>
              </w:rPr>
              <w:t>hegsyouxi.com</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2017.3.23</w:t>
            </w:r>
          </w:p>
        </w:tc>
      </w:tr>
      <w:tr>
        <w:trPr>
          <w:trHeight w:val="40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5</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霍尔果斯游爱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顶级国际域名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7"/>
              <w:jc w:val="right"/>
              <w:rPr>
                <w:rFonts w:ascii="Times New Roman" w:hAnsi="Times New Roman" w:cs="Times New Roman" w:eastAsia="Times New Roman" w:hint="default"/>
                <w:sz w:val="18"/>
                <w:szCs w:val="18"/>
              </w:rPr>
            </w:pPr>
            <w:r>
              <w:rPr>
                <w:rFonts w:ascii="Times New Roman"/>
                <w:spacing w:val="-1"/>
                <w:sz w:val="18"/>
              </w:rPr>
              <w:t>hegsyouai.com</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2016.12.23</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945" w:right="1117"/>
        <w:jc w:val="left"/>
        <w:rPr>
          <w:b w:val="0"/>
          <w:bCs w:val="0"/>
        </w:rPr>
      </w:pPr>
      <w:bookmarkStart w:name="第四节 经营情况讨论与分析" w:id="20"/>
      <w:bookmarkEnd w:id="20"/>
      <w:r>
        <w:rPr>
          <w:b w:val="0"/>
          <w:bCs w:val="0"/>
        </w:rPr>
      </w:r>
      <w:bookmarkStart w:name="_bookmark3" w:id="21"/>
      <w:bookmarkEnd w:id="21"/>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2"/>
      <w:bookmarkEnd w:id="22"/>
      <w:r>
        <w:rPr>
          <w:b w:val="0"/>
          <w:bCs w:val="0"/>
        </w:rPr>
      </w:r>
      <w:r>
        <w:rPr/>
        <w:t>一、概述</w:t>
      </w:r>
      <w:r>
        <w:rPr>
          <w:b w:val="0"/>
          <w:bCs w:val="0"/>
        </w:rPr>
      </w:r>
    </w:p>
    <w:p>
      <w:pPr>
        <w:spacing w:line="240" w:lineRule="auto" w:before="7"/>
        <w:rPr>
          <w:rFonts w:ascii="宋体" w:hAnsi="宋体" w:cs="宋体" w:eastAsia="宋体" w:hint="default"/>
          <w:b/>
          <w:bCs/>
          <w:sz w:val="30"/>
          <w:szCs w:val="30"/>
        </w:rPr>
      </w:pPr>
    </w:p>
    <w:p>
      <w:pPr>
        <w:pStyle w:val="Heading5"/>
        <w:spacing w:line="408" w:lineRule="auto"/>
        <w:ind w:left="1133" w:right="1271" w:firstLine="420"/>
        <w:jc w:val="both"/>
      </w:pPr>
      <w:r>
        <w:rPr>
          <w:rFonts w:ascii="宋体" w:hAnsi="宋体" w:cs="宋体" w:eastAsia="宋体" w:hint="default"/>
        </w:rPr>
        <w:t>2017</w:t>
      </w:r>
      <w:r>
        <w:rPr>
          <w:rFonts w:ascii="宋体" w:hAnsi="宋体" w:cs="宋体" w:eastAsia="宋体" w:hint="default"/>
          <w:spacing w:val="-61"/>
        </w:rPr>
        <w:t> </w:t>
      </w:r>
      <w:r>
        <w:rPr/>
        <w:t>年度，公司持续发力泛娱乐、教育、文化三大板块，泛娱乐业务围绕“多样化、精品化、全球 </w:t>
      </w:r>
      <w:r>
        <w:rPr>
          <w:spacing w:val="-4"/>
        </w:rPr>
        <w:t>化、大</w:t>
      </w:r>
      <w:r>
        <w:rPr>
          <w:spacing w:val="-75"/>
        </w:rPr>
        <w:t> </w:t>
      </w:r>
      <w:r>
        <w:rPr>
          <w:rFonts w:ascii="宋体" w:hAnsi="宋体" w:cs="宋体" w:eastAsia="宋体" w:hint="default"/>
        </w:rPr>
        <w:t>IP</w:t>
      </w:r>
      <w:r>
        <w:rPr/>
        <w:t>”的发展战略，以游戏研发与运营、</w:t>
      </w:r>
      <w:r>
        <w:rPr>
          <w:rFonts w:ascii="宋体" w:hAnsi="宋体" w:cs="宋体" w:eastAsia="宋体" w:hint="default"/>
        </w:rPr>
        <w:t>IP</w:t>
      </w:r>
      <w:r>
        <w:rPr>
          <w:rFonts w:ascii="宋体" w:hAnsi="宋体" w:cs="宋体" w:eastAsia="宋体" w:hint="default"/>
          <w:spacing w:val="-75"/>
        </w:rPr>
        <w:t> </w:t>
      </w:r>
      <w:r>
        <w:rPr/>
        <w:t>打造及储备为发展重点，实现了游戏业务持续稳定的增 长。继续加大游戏发行渠道布局，公司基本实现了从游戏的研发、发行到运营的全产业链布局。教育板</w:t>
      </w:r>
      <w:r>
        <w:rPr>
          <w:spacing w:val="-68"/>
        </w:rPr>
        <w:t> </w:t>
      </w:r>
      <w:r>
        <w:rPr>
          <w:spacing w:val="-68"/>
        </w:rPr>
      </w:r>
      <w:r>
        <w:rPr/>
        <w:t>块多点发力，保持稳步发展。公司的综合实力与品牌影响力进一步提升。天舟文化入选“中国创业板上</w:t>
      </w:r>
      <w:r>
        <w:rPr>
          <w:spacing w:val="-68"/>
        </w:rPr>
        <w:t> </w:t>
      </w:r>
      <w:r>
        <w:rPr>
          <w:spacing w:val="-68"/>
        </w:rPr>
      </w:r>
      <w:r>
        <w:rPr>
          <w:spacing w:val="-9"/>
        </w:rPr>
        <w:t>市公司价值五十强”，并蝉联“世界媒体</w:t>
      </w:r>
      <w:r>
        <w:rPr>
          <w:spacing w:val="-51"/>
        </w:rPr>
        <w:t> </w:t>
      </w:r>
      <w:r>
        <w:rPr>
          <w:rFonts w:ascii="宋体" w:hAnsi="宋体" w:cs="宋体" w:eastAsia="宋体" w:hint="default"/>
        </w:rPr>
        <w:t>500</w:t>
      </w:r>
      <w:r>
        <w:rPr>
          <w:rFonts w:ascii="宋体" w:hAnsi="宋体" w:cs="宋体" w:eastAsia="宋体" w:hint="default"/>
          <w:spacing w:val="-50"/>
        </w:rPr>
        <w:t> </w:t>
      </w:r>
      <w:r>
        <w:rPr>
          <w:spacing w:val="-10"/>
        </w:rPr>
        <w:t>强”。子公司游爱网络入选“</w:t>
      </w:r>
      <w:r>
        <w:rPr>
          <w:rFonts w:ascii="宋体" w:hAnsi="宋体" w:cs="宋体" w:eastAsia="宋体" w:hint="default"/>
          <w:spacing w:val="-10"/>
        </w:rPr>
        <w:t>2017</w:t>
      </w:r>
      <w:r>
        <w:rPr>
          <w:rFonts w:ascii="宋体" w:hAnsi="宋体" w:cs="宋体" w:eastAsia="宋体" w:hint="default"/>
          <w:spacing w:val="-50"/>
        </w:rPr>
        <w:t> </w:t>
      </w:r>
      <w:r>
        <w:rPr>
          <w:spacing w:val="-9"/>
        </w:rPr>
        <w:t>年中国互联网百强企业”，</w:t>
      </w:r>
      <w:r>
        <w:rPr/>
        <w:t> 人民天舟作为中国文化输出的典型代表获央视、新华社等主流媒体的推介报道。</w:t>
      </w:r>
    </w:p>
    <w:p>
      <w:pPr>
        <w:pStyle w:val="Heading5"/>
        <w:spacing w:line="410" w:lineRule="auto" w:before="85"/>
        <w:ind w:left="1133" w:right="1271" w:firstLine="420"/>
        <w:jc w:val="both"/>
      </w:pPr>
      <w:r>
        <w:rPr>
          <w:spacing w:val="-6"/>
        </w:rPr>
        <w:t>报告期内，公司实现营业总收入</w:t>
      </w:r>
      <w:r>
        <w:rPr>
          <w:spacing w:val="-50"/>
        </w:rPr>
        <w:t> </w:t>
      </w:r>
      <w:r>
        <w:rPr>
          <w:rFonts w:ascii="宋体" w:hAnsi="宋体" w:cs="宋体" w:eastAsia="宋体" w:hint="default"/>
        </w:rPr>
        <w:t>93,602.37</w:t>
      </w:r>
      <w:r>
        <w:rPr>
          <w:rFonts w:ascii="宋体" w:hAnsi="宋体" w:cs="宋体" w:eastAsia="宋体" w:hint="default"/>
          <w:spacing w:val="-49"/>
        </w:rPr>
        <w:t> </w:t>
      </w:r>
      <w:r>
        <w:rPr>
          <w:spacing w:val="-11"/>
        </w:rPr>
        <w:t>万元，同比增长</w:t>
      </w:r>
      <w:r>
        <w:rPr>
          <w:spacing w:val="-50"/>
        </w:rPr>
        <w:t> </w:t>
      </w:r>
      <w:r>
        <w:rPr>
          <w:rFonts w:ascii="宋体" w:hAnsi="宋体" w:cs="宋体" w:eastAsia="宋体" w:hint="default"/>
          <w:spacing w:val="-6"/>
        </w:rPr>
        <w:t>20.01%</w:t>
      </w:r>
      <w:r>
        <w:rPr>
          <w:spacing w:val="-6"/>
        </w:rPr>
        <w:t>；实现营业利润</w:t>
      </w:r>
      <w:r>
        <w:rPr>
          <w:spacing w:val="-49"/>
        </w:rPr>
        <w:t> </w:t>
      </w:r>
      <w:r>
        <w:rPr>
          <w:rFonts w:ascii="宋体" w:hAnsi="宋体" w:cs="宋体" w:eastAsia="宋体" w:hint="default"/>
        </w:rPr>
        <w:t>17,432.10</w:t>
      </w:r>
      <w:r>
        <w:rPr>
          <w:rFonts w:ascii="宋体" w:hAnsi="宋体" w:cs="宋体" w:eastAsia="宋体" w:hint="default"/>
          <w:spacing w:val="-48"/>
        </w:rPr>
        <w:t> </w:t>
      </w:r>
      <w:r>
        <w:rPr/>
        <w:t>万元， 同比下降</w:t>
      </w:r>
      <w:r>
        <w:rPr>
          <w:spacing w:val="-54"/>
        </w:rPr>
        <w:t> </w:t>
      </w:r>
      <w:r>
        <w:rPr>
          <w:rFonts w:ascii="宋体" w:hAnsi="宋体" w:cs="宋体" w:eastAsia="宋体" w:hint="default"/>
        </w:rPr>
        <w:t>38.45%</w:t>
      </w:r>
      <w:r>
        <w:rPr/>
        <w:t>；实现归属于上市公司股东净利润</w:t>
      </w:r>
      <w:r>
        <w:rPr>
          <w:spacing w:val="-54"/>
        </w:rPr>
        <w:t> </w:t>
      </w:r>
      <w:r>
        <w:rPr>
          <w:rFonts w:ascii="宋体" w:hAnsi="宋体" w:cs="宋体" w:eastAsia="宋体" w:hint="default"/>
        </w:rPr>
        <w:t>13,401.67</w:t>
      </w:r>
      <w:r>
        <w:rPr>
          <w:rFonts w:ascii="宋体" w:hAnsi="宋体" w:cs="宋体" w:eastAsia="宋体" w:hint="default"/>
          <w:spacing w:val="-55"/>
        </w:rPr>
        <w:t> </w:t>
      </w:r>
      <w:r>
        <w:rPr/>
        <w:t>万元，同比下降</w:t>
      </w:r>
      <w:r>
        <w:rPr>
          <w:spacing w:val="-54"/>
        </w:rPr>
        <w:t> </w:t>
      </w:r>
      <w:r>
        <w:rPr>
          <w:rFonts w:ascii="宋体" w:hAnsi="宋体" w:cs="宋体" w:eastAsia="宋体" w:hint="default"/>
        </w:rPr>
        <w:t>44.98%</w:t>
      </w:r>
      <w:r>
        <w:rPr/>
        <w:t>。</w:t>
      </w:r>
    </w:p>
    <w:p>
      <w:pPr>
        <w:pStyle w:val="Heading5"/>
        <w:spacing w:line="441" w:lineRule="auto" w:before="83"/>
        <w:ind w:left="1554" w:right="1261"/>
        <w:jc w:val="left"/>
      </w:pPr>
      <w:r>
        <w:rPr>
          <w:rFonts w:ascii="宋体" w:hAnsi="宋体" w:cs="宋体" w:eastAsia="宋体" w:hint="default"/>
        </w:rPr>
        <w:t>1.</w:t>
      </w:r>
      <w:r>
        <w:rPr/>
        <w:t>游戏业务持续增长</w:t>
      </w:r>
      <w:r>
        <w:rPr>
          <w:rFonts w:ascii="宋体" w:hAnsi="宋体" w:cs="宋体" w:eastAsia="宋体" w:hint="default"/>
        </w:rPr>
        <w:t>,</w:t>
      </w:r>
      <w:r>
        <w:rPr/>
        <w:t>大力拓展海外市场 </w:t>
      </w:r>
      <w:r>
        <w:rPr>
          <w:spacing w:val="-1"/>
        </w:rPr>
        <w:t>报告期内，公司自主研发、运营的多款精品游戏，如《风云天下</w:t>
      </w:r>
      <w:r>
        <w:rPr>
          <w:spacing w:val="-20"/>
        </w:rPr>
        <w:t> </w:t>
      </w:r>
      <w:r>
        <w:rPr>
          <w:rFonts w:ascii="宋体" w:hAnsi="宋体" w:cs="宋体" w:eastAsia="宋体" w:hint="default"/>
          <w:spacing w:val="-34"/>
        </w:rPr>
        <w:t>OL</w:t>
      </w:r>
      <w:r>
        <w:rPr>
          <w:spacing w:val="-34"/>
        </w:rPr>
        <w:t>》、《五虎将》、《塔王之王》、《卧</w:t>
      </w:r>
    </w:p>
    <w:p>
      <w:pPr>
        <w:pStyle w:val="Heading5"/>
        <w:spacing w:line="408" w:lineRule="auto" w:before="16"/>
        <w:ind w:left="1133" w:right="1270"/>
        <w:jc w:val="both"/>
      </w:pPr>
      <w:r>
        <w:rPr>
          <w:spacing w:val="-1"/>
        </w:rPr>
        <w:t>虎藏龙》等，依旧延续了以前期间的优秀表现。</w:t>
      </w:r>
      <w:r>
        <w:rPr>
          <w:rFonts w:ascii="宋体" w:hAnsi="宋体" w:cs="宋体" w:eastAsia="宋体" w:hint="default"/>
          <w:spacing w:val="-1"/>
        </w:rPr>
        <w:t>2017</w:t>
      </w:r>
      <w:r>
        <w:rPr>
          <w:rFonts w:ascii="宋体" w:hAnsi="宋体" w:cs="宋体" w:eastAsia="宋体" w:hint="default"/>
          <w:spacing w:val="-27"/>
        </w:rPr>
        <w:t> </w:t>
      </w:r>
      <w:r>
        <w:rPr>
          <w:spacing w:val="-10"/>
        </w:rPr>
        <w:t>年新研发游戏《大秦之帝国崛起》、《莽荒天下》等</w:t>
      </w:r>
      <w:r>
        <w:rPr>
          <w:spacing w:val="-97"/>
        </w:rPr>
        <w:t> </w:t>
      </w:r>
      <w:r>
        <w:rPr>
          <w:spacing w:val="-97"/>
        </w:rPr>
      </w:r>
      <w:r>
        <w:rPr/>
        <w:t>进一步充实了公司在 </w:t>
      </w:r>
      <w:r>
        <w:rPr>
          <w:rFonts w:ascii="宋体" w:hAnsi="宋体" w:cs="宋体" w:eastAsia="宋体" w:hint="default"/>
        </w:rPr>
        <w:t>MMORPG</w:t>
      </w:r>
      <w:r>
        <w:rPr/>
        <w:t>、</w:t>
      </w:r>
      <w:r>
        <w:rPr>
          <w:rFonts w:ascii="宋体" w:hAnsi="宋体" w:cs="宋体" w:eastAsia="宋体" w:hint="default"/>
        </w:rPr>
        <w:t>SLG</w:t>
      </w:r>
      <w:r>
        <w:rPr>
          <w:rFonts w:ascii="宋体" w:hAnsi="宋体" w:cs="宋体" w:eastAsia="宋体" w:hint="default"/>
          <w:spacing w:val="-58"/>
        </w:rPr>
        <w:t> </w:t>
      </w:r>
      <w:r>
        <w:rPr/>
        <w:t>游戏领域的布局。公司通过拓充游戏品类，提升游戏品质等手段，极 大地扩大了市场用户群体，拓宽了业务空间。截至报告期末，公司运营游戏产品</w:t>
      </w:r>
      <w:r>
        <w:rPr>
          <w:spacing w:val="-80"/>
        </w:rPr>
        <w:t> </w:t>
      </w:r>
      <w:r>
        <w:rPr>
          <w:rFonts w:ascii="宋体" w:hAnsi="宋体" w:cs="宋体" w:eastAsia="宋体" w:hint="default"/>
        </w:rPr>
        <w:t>32</w:t>
      </w:r>
      <w:r>
        <w:rPr>
          <w:rFonts w:ascii="宋体" w:hAnsi="宋体" w:cs="宋体" w:eastAsia="宋体" w:hint="default"/>
          <w:spacing w:val="-80"/>
        </w:rPr>
        <w:t> </w:t>
      </w:r>
      <w:r>
        <w:rPr/>
        <w:t>款，多款精品游戏保 持较好的持续盈利能力。</w:t>
      </w:r>
      <w:r>
        <w:rPr>
          <w:rFonts w:ascii="宋体" w:hAnsi="宋体" w:cs="宋体" w:eastAsia="宋体" w:hint="default"/>
        </w:rPr>
        <w:t>SLG </w:t>
      </w:r>
      <w:r>
        <w:rPr/>
        <w:t>经典作品《风云天下</w:t>
      </w:r>
      <w:r>
        <w:rPr>
          <w:spacing w:val="-60"/>
        </w:rPr>
        <w:t> </w:t>
      </w:r>
      <w:r>
        <w:rPr>
          <w:rFonts w:ascii="宋体" w:hAnsi="宋体" w:cs="宋体" w:eastAsia="宋体" w:hint="default"/>
        </w:rPr>
        <w:t>OL</w:t>
      </w:r>
      <w:r>
        <w:rPr/>
        <w:t>》续作之《风云天下重燃》市场反应良好，该款游 戏月均充值流水在千万元左右；由阿里游戏独家代理发行的动作武侠 </w:t>
      </w:r>
      <w:r>
        <w:rPr>
          <w:rFonts w:ascii="宋体" w:hAnsi="宋体" w:cs="宋体" w:eastAsia="宋体" w:hint="default"/>
        </w:rPr>
        <w:t>3D</w:t>
      </w:r>
      <w:r>
        <w:rPr>
          <w:rFonts w:ascii="宋体" w:hAnsi="宋体" w:cs="宋体" w:eastAsia="宋体" w:hint="default"/>
          <w:spacing w:val="-54"/>
        </w:rPr>
        <w:t> </w:t>
      </w:r>
      <w:r>
        <w:rPr>
          <w:spacing w:val="-8"/>
        </w:rPr>
        <w:t>手游《卧虎藏龙贰》，月均流水</w:t>
      </w:r>
      <w:r>
        <w:rPr/>
        <w:t> 在一千五百万元左右，受到玩家广泛喜爱；</w:t>
      </w:r>
      <w:r>
        <w:rPr>
          <w:rFonts w:ascii="宋体" w:hAnsi="宋体" w:cs="宋体" w:eastAsia="宋体" w:hint="default"/>
        </w:rPr>
        <w:t>SLG</w:t>
      </w:r>
      <w:r>
        <w:rPr>
          <w:rFonts w:ascii="宋体" w:hAnsi="宋体" w:cs="宋体" w:eastAsia="宋体" w:hint="default"/>
          <w:spacing w:val="34"/>
        </w:rPr>
        <w:t> </w:t>
      </w:r>
      <w:r>
        <w:rPr/>
        <w:t>新作《大秦之帝国崛起》上线后，月均充值流水也在千</w:t>
      </w:r>
      <w:r>
        <w:rPr>
          <w:spacing w:val="-100"/>
        </w:rPr>
        <w:t> </w:t>
      </w:r>
      <w:r>
        <w:rPr>
          <w:spacing w:val="-100"/>
        </w:rPr>
      </w:r>
      <w:r>
        <w:rPr/>
        <w:t>万元以上。</w:t>
      </w:r>
    </w:p>
    <w:p>
      <w:pPr>
        <w:pStyle w:val="Heading5"/>
        <w:spacing w:line="410" w:lineRule="auto" w:before="84"/>
        <w:ind w:left="1134" w:right="1271" w:firstLine="420"/>
        <w:jc w:val="both"/>
      </w:pPr>
      <w:r>
        <w:rPr/>
        <w:t>公司进一步增加游戏业务在海外市场的渗透率，公司游戏发行遍布韩国，越南，印尼，马来西亚等 地。</w:t>
      </w:r>
    </w:p>
    <w:p>
      <w:pPr>
        <w:pStyle w:val="Heading5"/>
        <w:spacing w:line="441" w:lineRule="auto" w:before="85"/>
        <w:ind w:left="1553" w:right="1117"/>
        <w:jc w:val="left"/>
      </w:pPr>
      <w:r>
        <w:rPr>
          <w:rFonts w:ascii="宋体" w:hAnsi="宋体" w:cs="宋体" w:eastAsia="宋体" w:hint="default"/>
        </w:rPr>
        <w:t>2.</w:t>
      </w:r>
      <w:r>
        <w:rPr/>
        <w:t>游戏发行实力不断提升，打造精品大</w:t>
      </w:r>
      <w:r>
        <w:rPr>
          <w:spacing w:val="-52"/>
        </w:rPr>
        <w:t> </w:t>
      </w:r>
      <w:r>
        <w:rPr>
          <w:rFonts w:ascii="宋体" w:hAnsi="宋体" w:cs="宋体" w:eastAsia="宋体" w:hint="default"/>
        </w:rPr>
        <w:t>IP </w:t>
      </w:r>
      <w:r>
        <w:rPr/>
        <w:t>报告期内，公司加强与渠道的联系，与各主流渠道保持紧密的合作伙伴关系，公司游戏发行实力不</w:t>
      </w:r>
    </w:p>
    <w:p>
      <w:pPr>
        <w:pStyle w:val="Heading5"/>
        <w:spacing w:line="408" w:lineRule="auto" w:before="16"/>
        <w:ind w:left="1133" w:right="1271"/>
        <w:jc w:val="both"/>
      </w:pPr>
      <w:r>
        <w:rPr>
          <w:spacing w:val="-9"/>
        </w:rPr>
        <w:t>断增强。除代理自研游戏外，还代理了《青云决》、《莽荒天下》等多款知名游戏。其中，代理发行的《青</w:t>
      </w:r>
      <w:r>
        <w:rPr>
          <w:spacing w:val="-61"/>
        </w:rPr>
        <w:t> </w:t>
      </w:r>
      <w:r>
        <w:rPr>
          <w:spacing w:val="-61"/>
        </w:rPr>
      </w:r>
      <w:r>
        <w:rPr/>
        <w:t>云决》手游于</w:t>
      </w:r>
      <w:r>
        <w:rPr>
          <w:spacing w:val="-41"/>
        </w:rPr>
        <w:t> </w:t>
      </w:r>
      <w:r>
        <w:rPr>
          <w:rFonts w:ascii="宋体" w:hAnsi="宋体" w:cs="宋体" w:eastAsia="宋体" w:hint="default"/>
        </w:rPr>
        <w:t>2017</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1"/>
        </w:rPr>
        <w:t> </w:t>
      </w:r>
      <w:r>
        <w:rPr/>
        <w:t>月，月流水突破一亿五千万。同时，公司积累了宝贵的发行经验，拓宽了推广 渠道，发行能力得到进一步提升。未来神奇时代将进行经营模式转型，加大发行投入，由研发为主向发</w:t>
      </w:r>
      <w:r>
        <w:rPr>
          <w:spacing w:val="-68"/>
        </w:rPr>
        <w:t> </w:t>
      </w:r>
      <w:r>
        <w:rPr>
          <w:spacing w:val="-68"/>
        </w:rPr>
      </w:r>
      <w:r>
        <w:rPr/>
        <w:t>行为主过渡。</w:t>
      </w:r>
    </w:p>
    <w:p>
      <w:pPr>
        <w:spacing w:after="0" w:line="408"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408" w:lineRule="auto" w:before="174"/>
        <w:ind w:left="1133" w:right="1271" w:firstLine="420"/>
        <w:jc w:val="both"/>
      </w:pPr>
      <w:r>
        <w:rPr/>
        <w:t>报告期内，公司在原有游戏基础上进行了 </w:t>
      </w:r>
      <w:r>
        <w:rPr>
          <w:rFonts w:ascii="宋体" w:hAnsi="宋体" w:cs="宋体" w:eastAsia="宋体" w:hint="default"/>
        </w:rPr>
        <w:t>IP </w:t>
      </w:r>
      <w:r>
        <w:rPr/>
        <w:t>的二次拓展，如子公司游爱网络在《风云天下</w:t>
      </w:r>
      <w:r>
        <w:rPr>
          <w:spacing w:val="-59"/>
        </w:rPr>
        <w:t> </w:t>
      </w:r>
      <w:r>
        <w:rPr>
          <w:rFonts w:ascii="宋体" w:hAnsi="宋体" w:cs="宋体" w:eastAsia="宋体" w:hint="default"/>
        </w:rPr>
        <w:t>OL</w:t>
      </w:r>
      <w:r>
        <w:rPr/>
        <w:t>》运 </w:t>
      </w:r>
      <w:r>
        <w:rPr>
          <w:spacing w:val="-3"/>
        </w:rPr>
        <w:t>营六周年之际，自研发行了风云二部曲之《风云天下重燃》；子公司神奇时代在原影视</w:t>
      </w:r>
      <w:r>
        <w:rPr/>
        <w:t> </w:t>
      </w:r>
      <w:r>
        <w:rPr>
          <w:rFonts w:ascii="宋体" w:hAnsi="宋体" w:cs="宋体" w:eastAsia="宋体" w:hint="default"/>
          <w:spacing w:val="-1"/>
        </w:rPr>
        <w:t>IP</w:t>
      </w:r>
      <w:r>
        <w:rPr>
          <w:rFonts w:ascii="宋体" w:hAnsi="宋体" w:cs="宋体" w:eastAsia="宋体" w:hint="default"/>
          <w:spacing w:val="-43"/>
        </w:rPr>
        <w:t> </w:t>
      </w:r>
      <w:r>
        <w:rPr>
          <w:spacing w:val="-1"/>
        </w:rPr>
        <w:t>游戏《卧虎藏</w:t>
      </w:r>
      <w:r>
        <w:rPr/>
        <w:t> </w:t>
      </w:r>
      <w:r>
        <w:rPr>
          <w:spacing w:val="-4"/>
        </w:rPr>
        <w:t>龙》的基础上，与阿里游戏共同打造了《卧虎藏龙贰》。其次，公司进一步加强</w:t>
      </w:r>
      <w:r>
        <w:rPr>
          <w:spacing w:val="-12"/>
        </w:rPr>
        <w:t> </w:t>
      </w:r>
      <w:r>
        <w:rPr>
          <w:rFonts w:ascii="宋体" w:hAnsi="宋体" w:cs="宋体" w:eastAsia="宋体" w:hint="default"/>
          <w:spacing w:val="-1"/>
        </w:rPr>
        <w:t>IP</w:t>
      </w:r>
      <w:r>
        <w:rPr>
          <w:rFonts w:ascii="宋体" w:hAnsi="宋体" w:cs="宋体" w:eastAsia="宋体" w:hint="default"/>
          <w:spacing w:val="-14"/>
        </w:rPr>
        <w:t> </w:t>
      </w:r>
      <w:r>
        <w:rPr/>
        <w:t>储备。公司通过联合</w:t>
      </w:r>
      <w:r>
        <w:rPr>
          <w:spacing w:val="-103"/>
        </w:rPr>
        <w:t> </w:t>
      </w:r>
      <w:r>
        <w:rPr>
          <w:rFonts w:ascii="宋体" w:hAnsi="宋体" w:cs="宋体" w:eastAsia="宋体" w:hint="default"/>
        </w:rPr>
        <w:t>IP</w:t>
      </w:r>
      <w:r>
        <w:rPr>
          <w:rFonts w:ascii="宋体" w:hAnsi="宋体" w:cs="宋体" w:eastAsia="宋体" w:hint="default"/>
          <w:spacing w:val="-50"/>
        </w:rPr>
        <w:t> </w:t>
      </w:r>
      <w:r>
        <w:rPr>
          <w:spacing w:val="-5"/>
        </w:rPr>
        <w:t>版权方合作进行研发发行，储备了天蚕土豆知名网络小说《大主宰》、知名韩国网络游戏《精灵》、台</w:t>
      </w:r>
      <w:r>
        <w:rPr/>
        <w:t> 湾戏偶剧《东篱剑游记》以及仙剑客栈、恋光明、百炼成神、天行轶事等十多项热门</w:t>
      </w:r>
      <w:r>
        <w:rPr>
          <w:spacing w:val="-80"/>
        </w:rPr>
        <w:t> </w:t>
      </w:r>
      <w:r>
        <w:rPr>
          <w:rFonts w:ascii="宋体" w:hAnsi="宋体" w:cs="宋体" w:eastAsia="宋体" w:hint="default"/>
        </w:rPr>
        <w:t>IP</w:t>
      </w:r>
      <w:r>
        <w:rPr>
          <w:rFonts w:ascii="宋体" w:hAnsi="宋体" w:cs="宋体" w:eastAsia="宋体" w:hint="default"/>
          <w:spacing w:val="-81"/>
        </w:rPr>
        <w:t> </w:t>
      </w:r>
      <w:r>
        <w:rPr/>
        <w:t>资源，目前已有 部分 </w:t>
      </w:r>
      <w:r>
        <w:rPr>
          <w:rFonts w:ascii="宋体" w:hAnsi="宋体" w:cs="宋体" w:eastAsia="宋体" w:hint="default"/>
        </w:rPr>
        <w:t>IP </w:t>
      </w:r>
      <w:r>
        <w:rPr/>
        <w:t>资源的游戏已处于研发和上线阶段。公司坚持通过文化沉淀和传承打造精品</w:t>
      </w:r>
      <w:r>
        <w:rPr>
          <w:spacing w:val="-60"/>
        </w:rPr>
        <w:t> </w:t>
      </w:r>
      <w:r>
        <w:rPr>
          <w:rFonts w:ascii="宋体" w:hAnsi="宋体" w:cs="宋体" w:eastAsia="宋体" w:hint="default"/>
        </w:rPr>
        <w:t>IP</w:t>
      </w:r>
      <w:r>
        <w:rPr/>
        <w:t>，通过自建、获 取优质文学、影视、动漫等内容型作品在游戏领域的改编权，充分利用知名</w:t>
      </w:r>
      <w:r>
        <w:rPr>
          <w:spacing w:val="-81"/>
        </w:rPr>
        <w:t> </w:t>
      </w:r>
      <w:r>
        <w:rPr>
          <w:rFonts w:ascii="宋体" w:hAnsi="宋体" w:cs="宋体" w:eastAsia="宋体" w:hint="default"/>
        </w:rPr>
        <w:t>IP</w:t>
      </w:r>
      <w:r>
        <w:rPr>
          <w:rFonts w:ascii="宋体" w:hAnsi="宋体" w:cs="宋体" w:eastAsia="宋体" w:hint="default"/>
          <w:spacing w:val="-81"/>
        </w:rPr>
        <w:t> </w:t>
      </w:r>
      <w:r>
        <w:rPr/>
        <w:t>与研发实力的结合，践行 公司大</w:t>
      </w:r>
      <w:r>
        <w:rPr>
          <w:spacing w:val="-54"/>
        </w:rPr>
        <w:t> </w:t>
      </w:r>
      <w:r>
        <w:rPr>
          <w:rFonts w:ascii="宋体" w:hAnsi="宋体" w:cs="宋体" w:eastAsia="宋体" w:hint="default"/>
        </w:rPr>
        <w:t>IP</w:t>
      </w:r>
      <w:r>
        <w:rPr>
          <w:rFonts w:ascii="宋体" w:hAnsi="宋体" w:cs="宋体" w:eastAsia="宋体" w:hint="default"/>
          <w:spacing w:val="-54"/>
        </w:rPr>
        <w:t> </w:t>
      </w:r>
      <w:r>
        <w:rPr/>
        <w:t>的发展战略，实现了业绩的稳健增长。</w:t>
      </w:r>
    </w:p>
    <w:p>
      <w:pPr>
        <w:pStyle w:val="Heading5"/>
        <w:spacing w:line="444" w:lineRule="auto" w:before="85"/>
        <w:ind w:left="1554" w:right="1117"/>
        <w:jc w:val="left"/>
      </w:pPr>
      <w:r>
        <w:rPr>
          <w:rFonts w:ascii="宋体" w:hAnsi="宋体" w:cs="宋体" w:eastAsia="宋体" w:hint="default"/>
        </w:rPr>
        <w:t>3.</w:t>
      </w:r>
      <w:r>
        <w:rPr/>
        <w:t>教育板块多点发力</w:t>
      </w:r>
      <w:r>
        <w:rPr>
          <w:rFonts w:ascii="宋体" w:hAnsi="宋体" w:cs="宋体" w:eastAsia="宋体" w:hint="default"/>
        </w:rPr>
        <w:t>, </w:t>
      </w:r>
      <w:r>
        <w:rPr/>
        <w:t>积极布局文化产业 公司教育板块在原有业务稳步发展的基础上，大力拓展研学游学业务。天舟心理中心、天舟创客成</w:t>
      </w:r>
    </w:p>
    <w:p>
      <w:pPr>
        <w:pStyle w:val="Heading5"/>
        <w:spacing w:line="410" w:lineRule="auto" w:before="14"/>
        <w:ind w:left="1134" w:right="1117"/>
        <w:jc w:val="left"/>
      </w:pPr>
      <w:r>
        <w:rPr/>
        <w:t>立，完善布局心理咨询培训、艺术培训、社会培训领域。积极整合衡水中学优质教育资源，促进公司在</w:t>
      </w:r>
      <w:r>
        <w:rPr>
          <w:spacing w:val="-68"/>
        </w:rPr>
        <w:t> </w:t>
      </w:r>
      <w:r>
        <w:rPr>
          <w:spacing w:val="-68"/>
        </w:rPr>
      </w:r>
      <w:r>
        <w:rPr/>
        <w:t>教育领域品牌价值的进一步提升。</w:t>
      </w:r>
    </w:p>
    <w:p>
      <w:pPr>
        <w:pStyle w:val="Heading5"/>
        <w:spacing w:line="398" w:lineRule="auto" w:before="82"/>
        <w:ind w:left="1134" w:right="1275" w:firstLine="420"/>
        <w:jc w:val="both"/>
      </w:pPr>
      <w:r>
        <w:rPr/>
        <w:t>报告期内，人民天舟积极实行</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战略，布局海外市场，在海外举办了多场艺术主题展览，摩 </w:t>
      </w:r>
      <w:r>
        <w:rPr>
          <w:spacing w:val="-9"/>
        </w:rPr>
        <w:t>洛哥举办的“艺术中国墨飘北非主题展览”、“湖湘风华·湖南书画展”；新西兰举办的中国艺术家主题展</w:t>
      </w:r>
      <w:r>
        <w:rPr>
          <w:spacing w:val="-59"/>
        </w:rPr>
        <w:t> </w:t>
      </w:r>
      <w:r>
        <w:rPr>
          <w:spacing w:val="-59"/>
        </w:rPr>
      </w:r>
      <w:r>
        <w:rPr/>
        <w:t>览等，以文化传播为纽带，公司提供优质文化产品与文化服务，推动文化产业国际化发展。</w:t>
      </w:r>
    </w:p>
    <w:p>
      <w:pPr>
        <w:spacing w:line="240" w:lineRule="auto" w:before="4"/>
        <w:rPr>
          <w:rFonts w:ascii="宋体" w:hAnsi="宋体" w:cs="宋体" w:eastAsia="宋体" w:hint="default"/>
          <w:sz w:val="19"/>
          <w:szCs w:val="19"/>
        </w:rPr>
      </w:pPr>
    </w:p>
    <w:p>
      <w:pPr>
        <w:pStyle w:val="Heading2"/>
        <w:spacing w:line="240" w:lineRule="auto"/>
        <w:ind w:left="1134" w:right="1117"/>
        <w:jc w:val="left"/>
        <w:rPr>
          <w:b w:val="0"/>
          <w:bCs w:val="0"/>
        </w:rPr>
      </w:pPr>
      <w:bookmarkStart w:name="二、主营业务分析" w:id="23"/>
      <w:bookmarkEnd w:id="23"/>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1117"/>
        <w:jc w:val="left"/>
        <w:rPr>
          <w:b w:val="0"/>
          <w:bCs w:val="0"/>
        </w:rPr>
      </w:pPr>
      <w:bookmarkStart w:name="1、概述" w:id="24"/>
      <w:bookmarkEnd w:id="24"/>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117"/>
        <w:jc w:val="left"/>
      </w:pPr>
      <w:r>
        <w:rPr/>
        <w:t>是否与经营情况讨论与分析中的概述披露相同</w:t>
      </w:r>
    </w:p>
    <w:p>
      <w:pPr>
        <w:pStyle w:val="BodyText"/>
        <w:spacing w:line="240" w:lineRule="auto" w:before="116"/>
        <w:ind w:left="1134"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271" w:type="dxa"/>
        <w:tblLayout w:type="fixed"/>
        <w:tblCellMar>
          <w:top w:w="0" w:type="dxa"/>
          <w:left w:w="0" w:type="dxa"/>
          <w:bottom w:w="0" w:type="dxa"/>
          <w:right w:w="0" w:type="dxa"/>
        </w:tblCellMar>
        <w:tblLook w:val="01E0"/>
      </w:tblPr>
      <w:tblGrid>
        <w:gridCol w:w="2801"/>
        <w:gridCol w:w="2466"/>
        <w:gridCol w:w="2466"/>
        <w:gridCol w:w="1765"/>
      </w:tblGrid>
      <w:tr>
        <w:trPr>
          <w:trHeight w:val="322" w:hRule="exact"/>
        </w:trPr>
        <w:tc>
          <w:tcPr>
            <w:tcW w:w="28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37"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8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936,023,719.25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779,939,639.94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20.01%</w:t>
            </w:r>
          </w:p>
        </w:tc>
      </w:tr>
      <w:tr>
        <w:trPr>
          <w:trHeight w:val="402" w:hRule="exact"/>
        </w:trPr>
        <w:tc>
          <w:tcPr>
            <w:tcW w:w="28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439,528,567.20</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300,437,608.67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46.30%</w:t>
            </w:r>
          </w:p>
        </w:tc>
      </w:tr>
      <w:tr>
        <w:trPr>
          <w:trHeight w:val="402" w:hRule="exact"/>
        </w:trPr>
        <w:tc>
          <w:tcPr>
            <w:tcW w:w="28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销售及管理费用</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278,957,898.17</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182,770,985.63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52.63%</w:t>
            </w:r>
          </w:p>
        </w:tc>
      </w:tr>
      <w:tr>
        <w:trPr>
          <w:trHeight w:val="402" w:hRule="exact"/>
        </w:trPr>
        <w:tc>
          <w:tcPr>
            <w:tcW w:w="28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研发经费投入</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117,091,251.82</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58,816,890.71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99.08%</w:t>
            </w:r>
          </w:p>
        </w:tc>
      </w:tr>
      <w:tr>
        <w:trPr>
          <w:trHeight w:val="634" w:hRule="exact"/>
        </w:trPr>
        <w:tc>
          <w:tcPr>
            <w:tcW w:w="28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10"/>
              <w:ind w:left="102" w:right="103"/>
              <w:jc w:val="left"/>
              <w:rPr>
                <w:rFonts w:ascii="宋体" w:hAnsi="宋体" w:cs="宋体" w:eastAsia="宋体" w:hint="default"/>
                <w:sz w:val="18"/>
                <w:szCs w:val="18"/>
              </w:rPr>
            </w:pPr>
            <w:r>
              <w:rPr>
                <w:rFonts w:ascii="宋体" w:hAnsi="宋体" w:cs="宋体" w:eastAsia="宋体" w:hint="default"/>
                <w:spacing w:val="3"/>
                <w:sz w:val="18"/>
                <w:szCs w:val="18"/>
              </w:rPr>
              <w:t>归属于上市公司普通股股东的净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利润</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134,016,677.55</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243,568,965.82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-44.98%</w:t>
            </w:r>
          </w:p>
        </w:tc>
      </w:tr>
      <w:tr>
        <w:trPr>
          <w:trHeight w:val="413" w:hRule="exact"/>
        </w:trPr>
        <w:tc>
          <w:tcPr>
            <w:tcW w:w="28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pacing w:val="-1"/>
                <w:sz w:val="18"/>
              </w:rPr>
              <w:t>211,343,641.02</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303,857,386.97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z w:val="18"/>
              </w:rPr>
              <w:t>-30.45%</w:t>
            </w:r>
          </w:p>
        </w:tc>
      </w:tr>
      <w:tr>
        <w:trPr>
          <w:trHeight w:val="412" w:hRule="exact"/>
        </w:trPr>
        <w:tc>
          <w:tcPr>
            <w:tcW w:w="28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-182,985,928.80</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-656,974,377.89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72.15%</w:t>
            </w:r>
          </w:p>
        </w:tc>
      </w:tr>
      <w:tr>
        <w:trPr>
          <w:trHeight w:val="413" w:hRule="exact"/>
        </w:trPr>
        <w:tc>
          <w:tcPr>
            <w:tcW w:w="28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pacing w:val="-1"/>
                <w:sz w:val="18"/>
              </w:rPr>
              <w:t>-302,244,354.19</w:t>
            </w:r>
          </w:p>
        </w:tc>
        <w:tc>
          <w:tcPr>
            <w:tcW w:w="2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spacing w:val="-1"/>
                <w:sz w:val="18"/>
              </w:rPr>
              <w:t>1,098,748,150.24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w w:val="95"/>
                <w:sz w:val="18"/>
              </w:rPr>
              <w:t>-127.51%</w:t>
            </w:r>
            <w:r>
              <w:rPr>
                <w:rFonts w:ascii="Times New Roman"/>
                <w:sz w:val="18"/>
              </w:rPr>
            </w:r>
          </w:p>
        </w:tc>
      </w:tr>
    </w:tbl>
    <w:p>
      <w:pPr>
        <w:pStyle w:val="BodyText"/>
        <w:spacing w:line="345" w:lineRule="auto" w:before="74"/>
        <w:ind w:left="1134" w:right="1302" w:firstLine="360"/>
        <w:jc w:val="left"/>
      </w:pPr>
      <w:r>
        <w:rPr/>
        <w:t>（</w:t>
      </w:r>
      <w:r>
        <w:rPr>
          <w:rFonts w:ascii="Times New Roman" w:hAnsi="Times New Roman" w:cs="Times New Roman" w:eastAsia="Times New Roman" w:hint="default"/>
        </w:rPr>
        <w:t>1</w:t>
      </w:r>
      <w:r>
        <w:rPr/>
        <w:t>）报告期公司营业收入、营业成本、销售及管理费用、研发经费投入，较上年同期均有不同幅度的增长，主要系 报告期游爱网络的合并期间较上年同期增加所致。</w:t>
      </w:r>
    </w:p>
    <w:p>
      <w:pPr>
        <w:spacing w:after="0" w:line="345"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133" w:right="1319" w:firstLine="360"/>
        <w:jc w:val="both"/>
      </w:pPr>
      <w:r>
        <w:rPr/>
        <w:t>（</w:t>
      </w:r>
      <w:r>
        <w:rPr>
          <w:rFonts w:ascii="Times New Roman" w:hAnsi="Times New Roman" w:cs="Times New Roman" w:eastAsia="Times New Roman" w:hint="default"/>
        </w:rPr>
        <w:t>2</w:t>
      </w:r>
      <w:r>
        <w:rPr/>
        <w:t>）报告期归属于上市公司普通股股东的净利润较上年同期下降</w:t>
      </w:r>
      <w:r>
        <w:rPr>
          <w:spacing w:val="-46"/>
        </w:rPr>
        <w:t> </w:t>
      </w:r>
      <w:r>
        <w:rPr>
          <w:rFonts w:ascii="Times New Roman" w:hAnsi="Times New Roman" w:cs="Times New Roman" w:eastAsia="Times New Roman" w:hint="default"/>
        </w:rPr>
        <w:t>44.98%</w:t>
      </w:r>
      <w:r>
        <w:rPr/>
        <w:t>，主要系：</w:t>
      </w:r>
      <w:r>
        <w:rPr>
          <w:rFonts w:ascii="Times New Roman" w:hAnsi="Times New Roman" w:cs="Times New Roman" w:eastAsia="Times New Roman" w:hint="default"/>
        </w:rPr>
        <w:t>1</w:t>
      </w:r>
      <w:r>
        <w:rPr/>
        <w:t>）报告期内子公司神奇时代的 净利润同比下降，主要是新游戏产品上线时间推迟，已上线游戏产品流水未达预期，导致营业收入和利润同比下降；</w:t>
      </w:r>
      <w:r>
        <w:rPr>
          <w:rFonts w:ascii="Times New Roman" w:hAnsi="Times New Roman" w:cs="Times New Roman" w:eastAsia="Times New Roman" w:hint="default"/>
        </w:rPr>
        <w:t>2</w:t>
      </w:r>
      <w:r>
        <w:rPr/>
        <w:t>） 受政策影响，图书出版发行业务的利润同比有所下降；</w:t>
      </w:r>
      <w:r>
        <w:rPr>
          <w:rFonts w:ascii="Times New Roman" w:hAnsi="Times New Roman" w:cs="Times New Roman" w:eastAsia="Times New Roman" w:hint="default"/>
        </w:rPr>
        <w:t>3</w:t>
      </w:r>
      <w:r>
        <w:rPr/>
        <w:t>）报告期内计提商誉减值准备</w:t>
      </w:r>
      <w:r>
        <w:rPr>
          <w:spacing w:val="-46"/>
        </w:rPr>
        <w:t> </w:t>
      </w:r>
      <w:r>
        <w:rPr>
          <w:rFonts w:ascii="Times New Roman" w:hAnsi="Times New Roman" w:cs="Times New Roman" w:eastAsia="Times New Roman" w:hint="default"/>
        </w:rPr>
        <w:t>8,821.63 </w:t>
      </w:r>
      <w:r>
        <w:rPr/>
        <w:t>万元，对公司报告期业绩 产生重大影响。</w:t>
      </w:r>
    </w:p>
    <w:p>
      <w:pPr>
        <w:pStyle w:val="BodyText"/>
        <w:spacing w:line="302" w:lineRule="auto" w:before="70"/>
        <w:ind w:left="1133" w:right="1271" w:firstLine="360"/>
        <w:jc w:val="both"/>
      </w:pPr>
      <w:r>
        <w:rPr/>
        <w:t>（</w:t>
      </w:r>
      <w:r>
        <w:rPr>
          <w:rFonts w:ascii="Times New Roman" w:hAnsi="Times New Roman" w:cs="Times New Roman" w:eastAsia="Times New Roman" w:hint="default"/>
        </w:rPr>
        <w:t>3</w:t>
      </w:r>
      <w:r>
        <w:rPr/>
        <w:t>）经营活动产生的现金流量净额本报告期较上年同期下降</w:t>
      </w:r>
      <w:r>
        <w:rPr>
          <w:spacing w:val="-56"/>
        </w:rPr>
        <w:t> </w:t>
      </w:r>
      <w:r>
        <w:rPr>
          <w:rFonts w:ascii="Times New Roman" w:hAnsi="Times New Roman" w:cs="Times New Roman" w:eastAsia="Times New Roman" w:hint="default"/>
        </w:rPr>
        <w:t>30.45%</w:t>
      </w:r>
      <w:r>
        <w:rPr/>
        <w:t>，主要系报告期游爱网络合并期间较上年同期增 加，经营活动现金流入和流出同比增加，其中经营活动现金流出同比增加额超过经营活动现金流入的增加额。</w:t>
      </w:r>
    </w:p>
    <w:p>
      <w:pPr>
        <w:pStyle w:val="BodyText"/>
        <w:spacing w:line="309" w:lineRule="auto" w:before="69"/>
        <w:ind w:left="1133" w:right="1271" w:firstLine="360"/>
        <w:jc w:val="both"/>
      </w:pPr>
      <w:r>
        <w:rPr>
          <w:spacing w:val="-4"/>
        </w:rPr>
        <w:t>（</w:t>
      </w:r>
      <w:r>
        <w:rPr>
          <w:rFonts w:ascii="Times New Roman" w:hAnsi="Times New Roman" w:cs="Times New Roman" w:eastAsia="Times New Roman" w:hint="default"/>
          <w:spacing w:val="-4"/>
        </w:rPr>
        <w:t>4</w:t>
      </w:r>
      <w:r>
        <w:rPr>
          <w:spacing w:val="-4"/>
        </w:rPr>
        <w:t>）投资活动产生的现金流量净额本报告期较上年同期增长</w:t>
      </w:r>
      <w:r>
        <w:rPr>
          <w:spacing w:val="-26"/>
        </w:rPr>
        <w:t> </w:t>
      </w:r>
      <w:r>
        <w:rPr>
          <w:rFonts w:ascii="Times New Roman" w:hAnsi="Times New Roman" w:cs="Times New Roman" w:eastAsia="Times New Roman" w:hint="default"/>
          <w:spacing w:val="-4"/>
        </w:rPr>
        <w:t>72.15%</w:t>
      </w:r>
      <w:r>
        <w:rPr>
          <w:spacing w:val="-4"/>
        </w:rPr>
        <w:t>，主要系本报告期收回的到期定期存款同比增加，</w:t>
      </w:r>
      <w:r>
        <w:rPr/>
        <w:t> </w:t>
      </w:r>
      <w:r>
        <w:rPr>
          <w:spacing w:val="-1"/>
        </w:rPr>
        <w:t>导致投资活动现金流入同比增加；取得子公司及其他营业单位支付的现金净额同比减少，导致投资活动现金流出同比减少</w:t>
      </w:r>
      <w:r>
        <w:rPr>
          <w:spacing w:val="-81"/>
        </w:rPr>
        <w:t> </w:t>
      </w:r>
      <w:r>
        <w:rPr>
          <w:spacing w:val="-81"/>
        </w:rPr>
      </w:r>
      <w:r>
        <w:rPr/>
        <w:t>所致。</w:t>
      </w:r>
    </w:p>
    <w:p>
      <w:pPr>
        <w:pStyle w:val="BodyText"/>
        <w:spacing w:line="355" w:lineRule="auto" w:before="85"/>
        <w:ind w:left="1133" w:right="1266" w:firstLine="360"/>
        <w:jc w:val="left"/>
      </w:pPr>
      <w:r>
        <w:rPr/>
        <w:t>（</w:t>
      </w:r>
      <w:r>
        <w:rPr>
          <w:rFonts w:ascii="Times New Roman" w:hAnsi="Times New Roman" w:cs="Times New Roman" w:eastAsia="Times New Roman" w:hint="default"/>
        </w:rPr>
        <w:t>5</w:t>
      </w:r>
      <w:r>
        <w:rPr/>
        <w:t>）筹资活动产生的现金流量净额本报告期较上年同期下降</w:t>
      </w:r>
      <w:r>
        <w:rPr>
          <w:spacing w:val="-46"/>
        </w:rPr>
        <w:t> </w:t>
      </w:r>
      <w:r>
        <w:rPr>
          <w:rFonts w:ascii="Times New Roman" w:hAnsi="Times New Roman" w:cs="Times New Roman" w:eastAsia="Times New Roman" w:hint="default"/>
        </w:rPr>
        <w:t>127.51%</w:t>
      </w:r>
      <w:r>
        <w:rPr/>
        <w:t>，主要系上年同期收到并购游爱网络定向增发 </w:t>
      </w:r>
      <w:r>
        <w:rPr>
          <w:spacing w:val="-1"/>
        </w:rPr>
        <w:t>股份募集的配套资金，导致筹资活动现金流入同比减少；同时本报告期公司支付股份回购款，且现金股利分配款同比增加</w:t>
      </w:r>
      <w:r>
        <w:rPr>
          <w:spacing w:val="-82"/>
        </w:rPr>
        <w:t> </w:t>
      </w:r>
      <w:r>
        <w:rPr>
          <w:spacing w:val="-82"/>
        </w:rPr>
      </w:r>
      <w:r>
        <w:rPr/>
        <w:t>等，导致筹资活动现金流出同比增加。</w:t>
      </w:r>
    </w:p>
    <w:p>
      <w:pPr>
        <w:spacing w:line="240" w:lineRule="auto" w:before="13"/>
        <w:rPr>
          <w:rFonts w:ascii="宋体" w:hAnsi="宋体" w:cs="宋体" w:eastAsia="宋体" w:hint="default"/>
          <w:sz w:val="21"/>
          <w:szCs w:val="21"/>
        </w:rPr>
      </w:pPr>
    </w:p>
    <w:p>
      <w:pPr>
        <w:pStyle w:val="Heading4"/>
        <w:spacing w:line="240" w:lineRule="auto"/>
        <w:ind w:left="1134" w:right="1117"/>
        <w:jc w:val="left"/>
        <w:rPr>
          <w:b w:val="0"/>
          <w:bCs w:val="0"/>
        </w:rPr>
      </w:pPr>
      <w:bookmarkStart w:name="2、收入与成本" w:id="25"/>
      <w:bookmarkEnd w:id="25"/>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117"/>
        <w:jc w:val="left"/>
        <w:rPr>
          <w:b w:val="0"/>
          <w:bCs w:val="0"/>
        </w:rPr>
      </w:pPr>
      <w:bookmarkStart w:name="（1）营业收入构成" w:id="26"/>
      <w:bookmarkEnd w:id="26"/>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117"/>
        <w:jc w:val="left"/>
      </w:pPr>
      <w:r>
        <w:rPr/>
        <w:t>营业收入整体情况</w:t>
      </w:r>
    </w:p>
    <w:p>
      <w:pPr>
        <w:pStyle w:val="BodyText"/>
        <w:spacing w:line="345" w:lineRule="auto" w:before="137"/>
        <w:ind w:left="1133" w:right="1514" w:firstLine="360"/>
        <w:jc w:val="left"/>
      </w:pPr>
      <w:r>
        <w:rPr/>
        <w:t>报告期内，公司图书出版发行业务营业收入占营业总收入的</w:t>
      </w:r>
      <w:r>
        <w:rPr>
          <w:spacing w:val="-46"/>
        </w:rPr>
        <w:t> </w:t>
      </w:r>
      <w:r>
        <w:rPr>
          <w:rFonts w:ascii="Times New Roman" w:hAnsi="Times New Roman" w:cs="Times New Roman" w:eastAsia="Times New Roman" w:hint="default"/>
        </w:rPr>
        <w:t>46.31%</w:t>
      </w:r>
      <w:r>
        <w:rPr/>
        <w:t>，移动网络游戏业务营业收入占营业总收入的 </w:t>
      </w:r>
      <w:r>
        <w:rPr>
          <w:rFonts w:ascii="Times New Roman" w:hAnsi="Times New Roman" w:cs="Times New Roman" w:eastAsia="Times New Roman" w:hint="default"/>
        </w:rPr>
        <w:t>53.69%</w:t>
      </w:r>
      <w:r>
        <w:rPr/>
        <w:t>。</w:t>
      </w:r>
    </w:p>
    <w:p>
      <w:pPr>
        <w:pStyle w:val="BodyText"/>
        <w:spacing w:line="240" w:lineRule="auto" w:before="62"/>
        <w:ind w:left="1493" w:right="1117"/>
        <w:jc w:val="left"/>
      </w:pPr>
      <w:r>
        <w:rPr/>
        <w:t>报告期内，不存在单款游戏收入占游戏总收入</w:t>
      </w:r>
      <w:r>
        <w:rPr>
          <w:spacing w:val="-45"/>
        </w:rPr>
        <w:t> </w:t>
      </w:r>
      <w:r>
        <w:rPr>
          <w:rFonts w:ascii="Times New Roman" w:hAnsi="Times New Roman" w:cs="Times New Roman" w:eastAsia="Times New Roman" w:hint="default"/>
        </w:rPr>
        <w:t>30%</w:t>
      </w:r>
      <w:r>
        <w:rPr/>
        <w:t>以上的主要游戏。</w:t>
      </w:r>
    </w:p>
    <w:p>
      <w:pPr>
        <w:pStyle w:val="BodyText"/>
        <w:spacing w:line="240" w:lineRule="auto" w:before="127"/>
        <w:ind w:left="0" w:right="1271"/>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936,023,719.25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779,939,639.94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433,514,635.58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434,188,218.87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55.67%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502,509,083.67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345,751,421.07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44.33%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392,210,098.13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385,976,435.20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49.49%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37,213,547.74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46,187,775.03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忘仙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45,835,625.57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112,792,446.01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14.46%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移动网络游戏</w:t>
            </w:r>
            <w:r>
              <w:rPr>
                <w:rFonts w:ascii="Times New Roman" w:hAnsi="Times New Roman" w:cs="Times New Roman" w:eastAsia="Times New Roman" w:hint="default"/>
                <w:sz w:val="18"/>
                <w:szCs w:val="18"/>
              </w:rPr>
              <w:t>-</w:t>
            </w:r>
            <w:r>
              <w:rPr>
                <w:rFonts w:ascii="宋体" w:hAnsi="宋体" w:cs="宋体" w:eastAsia="宋体" w:hint="default"/>
                <w:sz w:val="18"/>
                <w:szCs w:val="18"/>
              </w:rPr>
              <w:t>青云 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134,082,507.22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14.32%</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326,681,940.59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234,982,983.70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30.13%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919,144,735.96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759,517,802.24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97.38%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16,878,983.29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20,421,837.70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left="1133" w:right="1117"/>
        <w:jc w:val="left"/>
        <w:rPr>
          <w:b w:val="0"/>
          <w:bCs w:val="0"/>
        </w:rPr>
      </w:pPr>
      <w:bookmarkStart w:name="（2）占公司营业收入或营业利润10%以上的行业、产品或地区情况" w:id="27"/>
      <w:bookmarkEnd w:id="27"/>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271"/>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433,514,635.58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285,370,166.72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502,509,083.67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154,158,400.48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392,210,098.13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256,163,562.44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移动网络游戏</w:t>
            </w:r>
            <w:r>
              <w:rPr>
                <w:rFonts w:ascii="Times New Roman" w:hAnsi="Times New Roman" w:cs="Times New Roman" w:eastAsia="Times New Roman" w:hint="default"/>
                <w:sz w:val="18"/>
                <w:szCs w:val="18"/>
              </w:rPr>
              <w:t>- </w:t>
            </w:r>
            <w:r>
              <w:rPr>
                <w:rFonts w:ascii="宋体" w:hAnsi="宋体" w:cs="宋体" w:eastAsia="宋体" w:hint="default"/>
                <w:sz w:val="18"/>
                <w:szCs w:val="18"/>
              </w:rPr>
              <w:t>青云诀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134,082,507.22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91,463,663.40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919,144,735.96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437,289,399.30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w:t>
            </w:r>
          </w:p>
        </w:tc>
      </w:tr>
    </w:tbl>
    <w:p>
      <w:pPr>
        <w:pStyle w:val="BodyText"/>
        <w:spacing w:line="240" w:lineRule="auto" w:before="74"/>
        <w:ind w:left="1134" w:right="1117"/>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81" w:lineRule="auto" w:before="150"/>
        <w:ind w:left="1493" w:right="1336"/>
        <w:jc w:val="left"/>
      </w:pPr>
      <w:r>
        <w:rPr/>
        <w:t>报告期内，移动网络游戏营业收入较上年同期增长</w:t>
      </w:r>
      <w:r>
        <w:rPr>
          <w:spacing w:val="-45"/>
        </w:rPr>
        <w:t> </w:t>
      </w:r>
      <w:r>
        <w:rPr>
          <w:rFonts w:ascii="Times New Roman" w:hAnsi="Times New Roman" w:cs="Times New Roman" w:eastAsia="Times New Roman" w:hint="default"/>
        </w:rPr>
        <w:t>45.34%</w:t>
      </w:r>
      <w:r>
        <w:rPr/>
        <w:t>，主要系游爱网络的合并期间较上年同期增加所致。 报告期内，境内营业成本较上年同期增长</w:t>
      </w:r>
      <w:r>
        <w:rPr>
          <w:spacing w:val="-48"/>
        </w:rPr>
        <w:t> </w:t>
      </w:r>
      <w:r>
        <w:rPr>
          <w:rFonts w:ascii="Times New Roman" w:hAnsi="Times New Roman" w:cs="Times New Roman" w:eastAsia="Times New Roman" w:hint="default"/>
        </w:rPr>
        <w:t>45.52%</w:t>
      </w:r>
      <w:r>
        <w:rPr/>
        <w:t>，主要系移动网络游戏成本同比增加所致。移动网络游戏营业成本</w:t>
      </w:r>
    </w:p>
    <w:p>
      <w:pPr>
        <w:pStyle w:val="BodyText"/>
        <w:spacing w:line="345" w:lineRule="auto"/>
        <w:ind w:left="1133" w:right="1258"/>
        <w:jc w:val="left"/>
      </w:pPr>
      <w:r>
        <w:rPr/>
        <w:t>较上年同期增长</w:t>
      </w:r>
      <w:r>
        <w:rPr>
          <w:spacing w:val="-60"/>
        </w:rPr>
        <w:t> </w:t>
      </w:r>
      <w:r>
        <w:rPr>
          <w:rFonts w:ascii="Times New Roman" w:hAnsi="Times New Roman" w:cs="Times New Roman" w:eastAsia="Times New Roman" w:hint="default"/>
        </w:rPr>
        <w:t>438.16%</w:t>
      </w:r>
      <w:r>
        <w:rPr/>
        <w:t>，主要系：</w:t>
      </w:r>
      <w:r>
        <w:rPr>
          <w:rFonts w:ascii="Times New Roman" w:hAnsi="Times New Roman" w:cs="Times New Roman" w:eastAsia="Times New Roman" w:hint="default"/>
        </w:rPr>
        <w:t>1</w:t>
      </w:r>
      <w:r>
        <w:rPr/>
        <w:t>）与营业收入增长相配比，营业成本同比增长；</w:t>
      </w:r>
      <w:r>
        <w:rPr>
          <w:rFonts w:ascii="Times New Roman" w:hAnsi="Times New Roman" w:cs="Times New Roman" w:eastAsia="Times New Roman" w:hint="default"/>
        </w:rPr>
        <w:t>2</w:t>
      </w:r>
      <w:r>
        <w:rPr/>
        <w:t>）新增代理游戏《青云诀》的成本 </w:t>
      </w:r>
      <w:r>
        <w:rPr>
          <w:spacing w:val="-7"/>
        </w:rPr>
        <w:t>较高，《青云诀》的毛利率为</w:t>
      </w:r>
      <w:r>
        <w:rPr>
          <w:spacing w:val="-24"/>
        </w:rPr>
        <w:t> </w:t>
      </w:r>
      <w:r>
        <w:rPr>
          <w:rFonts w:ascii="Times New Roman" w:hAnsi="Times New Roman" w:cs="Times New Roman" w:eastAsia="Times New Roman" w:hint="default"/>
          <w:spacing w:val="-1"/>
        </w:rPr>
        <w:t>31.79%</w:t>
      </w:r>
      <w:r>
        <w:rPr>
          <w:spacing w:val="-1"/>
        </w:rPr>
        <w:t>，低于移动网络游戏整体毛利率水平。</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1133" w:right="111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133" w:right="1117"/>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left="1134" w:right="1117"/>
        <w:jc w:val="left"/>
        <w:rPr>
          <w:b w:val="0"/>
          <w:bCs w:val="0"/>
        </w:rPr>
      </w:pPr>
      <w:bookmarkStart w:name="（3）公司实物销售收入是否大于劳务收入" w:id="28"/>
      <w:bookmarkEnd w:id="28"/>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133" w:right="1117"/>
        <w:jc w:val="left"/>
        <w:rPr>
          <w:b w:val="0"/>
          <w:bCs w:val="0"/>
        </w:rPr>
      </w:pPr>
      <w:bookmarkStart w:name="（4）公司已签订的重大销售合同截至本报告期的履行情况" w:id="29"/>
      <w:bookmarkEnd w:id="29"/>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33" w:right="1117"/>
        <w:jc w:val="left"/>
        <w:rPr>
          <w:b w:val="0"/>
          <w:bCs w:val="0"/>
        </w:rPr>
      </w:pPr>
      <w:bookmarkStart w:name="（5）营业成本构成" w:id="30"/>
      <w:bookmarkEnd w:id="30"/>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117"/>
        <w:jc w:val="left"/>
      </w:pPr>
      <w:r>
        <w:rPr/>
        <w:t>营业成本构成</w:t>
      </w:r>
    </w:p>
    <w:p>
      <w:pPr>
        <w:pStyle w:val="BodyText"/>
        <w:spacing w:line="240" w:lineRule="auto" w:before="117"/>
        <w:ind w:left="0" w:right="1271"/>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285,370,166.72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271,791,996.55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154,158,400.48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28,645,612.12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Times New Roman" w:hAnsi="Times New Roman" w:cs="Times New Roman" w:eastAsia="Times New Roman" w:hint="default"/>
                <w:sz w:val="18"/>
                <w:szCs w:val="18"/>
              </w:rPr>
            </w:pPr>
            <w:r>
              <w:rPr>
                <w:rFonts w:ascii="Times New Roman"/>
                <w:sz w:val="18"/>
              </w:rPr>
              <w:t>438.16%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439,528,567.20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300,437,608.67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20"/>
                <w:szCs w:val="20"/>
              </w:rPr>
            </w:pPr>
            <w:r>
              <w:rPr>
                <w:rFonts w:ascii="Times New Roman"/>
                <w:spacing w:val="-1"/>
                <w:sz w:val="20"/>
              </w:rPr>
              <w:t>100.00%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1117"/>
        <w:jc w:val="left"/>
        <w:rPr>
          <w:b w:val="0"/>
          <w:bCs w:val="0"/>
        </w:rPr>
      </w:pPr>
      <w:bookmarkStart w:name="（6）报告期内合并范围是否发生变动" w:id="31"/>
      <w:bookmarkEnd w:id="31"/>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133" w:right="1266" w:firstLine="360"/>
        <w:jc w:val="left"/>
      </w:pPr>
      <w:r>
        <w:rPr/>
        <w:t>（</w:t>
      </w:r>
      <w:r>
        <w:rPr>
          <w:rFonts w:ascii="Times New Roman" w:hAnsi="Times New Roman" w:cs="Times New Roman" w:eastAsia="Times New Roman" w:hint="default"/>
        </w:rPr>
        <w:t>1</w:t>
      </w:r>
      <w:r>
        <w:rPr/>
        <w:t>）湖南天舟游戏科技有限公司于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月成立，注册资本</w:t>
      </w:r>
      <w:r>
        <w:rPr>
          <w:spacing w:val="-52"/>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7"/>
        </w:rPr>
        <w:t> </w:t>
      </w:r>
      <w:r>
        <w:rPr>
          <w:spacing w:val="-3"/>
        </w:rPr>
        <w:t>万元。公司持股</w:t>
      </w:r>
      <w:r>
        <w:rPr>
          <w:spacing w:val="-52"/>
        </w:rPr>
        <w:t> </w:t>
      </w:r>
      <w:r>
        <w:rPr>
          <w:rFonts w:ascii="Times New Roman" w:hAnsi="Times New Roman" w:cs="Times New Roman" w:eastAsia="Times New Roman" w:hint="default"/>
        </w:rPr>
        <w:t>100%</w:t>
      </w:r>
      <w:r>
        <w:rPr/>
        <w:t>，自成立之日起纳入 合并范围。</w:t>
      </w:r>
    </w:p>
    <w:p>
      <w:pPr>
        <w:pStyle w:val="BodyText"/>
        <w:spacing w:line="451" w:lineRule="auto" w:before="74"/>
        <w:ind w:left="1133" w:right="1259" w:firstLine="360"/>
        <w:jc w:val="left"/>
      </w:pPr>
      <w:r>
        <w:rPr/>
        <w:t>（</w:t>
      </w:r>
      <w:r>
        <w:rPr>
          <w:rFonts w:ascii="Times New Roman" w:hAnsi="Times New Roman" w:cs="Times New Roman" w:eastAsia="Times New Roman" w:hint="default"/>
        </w:rPr>
        <w:t>2</w:t>
      </w:r>
      <w:r>
        <w:rPr/>
        <w:t>）广州游爱数据汇互联网有限公司于</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月成立，注册资本</w:t>
      </w:r>
      <w:r>
        <w:rPr>
          <w:spacing w:val="-38"/>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8"/>
        </w:rPr>
        <w:t> </w:t>
      </w:r>
      <w:r>
        <w:rPr/>
        <w:t>万元。本公司之子公司湖南天舟游戏 科技有限公司持股</w:t>
      </w:r>
      <w:r>
        <w:rPr>
          <w:spacing w:val="-46"/>
        </w:rPr>
        <w:t> </w:t>
      </w:r>
      <w:r>
        <w:rPr>
          <w:rFonts w:ascii="Times New Roman" w:hAnsi="Times New Roman" w:cs="Times New Roman" w:eastAsia="Times New Roman" w:hint="default"/>
        </w:rPr>
        <w:t>100%</w:t>
      </w:r>
      <w:r>
        <w:rPr/>
        <w:t>，自成立之日起纳入合并范围。</w:t>
      </w:r>
    </w:p>
    <w:p>
      <w:pPr>
        <w:pStyle w:val="BodyText"/>
        <w:spacing w:line="451" w:lineRule="auto" w:before="43"/>
        <w:ind w:left="1134" w:right="1261" w:firstLine="360"/>
        <w:jc w:val="left"/>
      </w:pPr>
      <w:r>
        <w:rPr>
          <w:spacing w:val="-3"/>
        </w:rPr>
        <w:t>（</w:t>
      </w:r>
      <w:r>
        <w:rPr>
          <w:rFonts w:ascii="Times New Roman" w:hAnsi="Times New Roman" w:cs="Times New Roman" w:eastAsia="Times New Roman" w:hint="default"/>
          <w:spacing w:val="-3"/>
        </w:rPr>
        <w:t>3</w:t>
      </w:r>
      <w:r>
        <w:rPr>
          <w:spacing w:val="-3"/>
        </w:rPr>
        <w:t>）天畅互娱（天津）科技有限公司于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3"/>
        </w:rPr>
        <w:t>月成立，注册资本</w:t>
      </w:r>
      <w:r>
        <w:rPr>
          <w:spacing w:val="-48"/>
        </w:rPr>
        <w:t> </w:t>
      </w:r>
      <w:r>
        <w:rPr>
          <w:rFonts w:ascii="Times New Roman" w:hAnsi="Times New Roman" w:cs="Times New Roman" w:eastAsia="Times New Roman" w:hint="default"/>
        </w:rPr>
        <w:t>650.00</w:t>
      </w:r>
      <w:r>
        <w:rPr>
          <w:rFonts w:ascii="Times New Roman" w:hAnsi="Times New Roman" w:cs="Times New Roman" w:eastAsia="Times New Roman" w:hint="default"/>
          <w:spacing w:val="-3"/>
        </w:rPr>
        <w:t> </w:t>
      </w:r>
      <w:r>
        <w:rPr/>
        <w:t>万元。本公司之子公司湖南天舟游戏科技 有限公司持股</w:t>
      </w:r>
      <w:r>
        <w:rPr>
          <w:spacing w:val="-48"/>
        </w:rPr>
        <w:t> </w:t>
      </w:r>
      <w:r>
        <w:rPr>
          <w:rFonts w:ascii="Times New Roman" w:hAnsi="Times New Roman" w:cs="Times New Roman" w:eastAsia="Times New Roman" w:hint="default"/>
        </w:rPr>
        <w:t>51.00%</w:t>
      </w:r>
      <w:r>
        <w:rPr/>
        <w:t>，自成立之日起纳入合并范围。</w:t>
      </w:r>
    </w:p>
    <w:p>
      <w:pPr>
        <w:pStyle w:val="BodyText"/>
        <w:spacing w:line="451" w:lineRule="auto" w:before="43"/>
        <w:ind w:left="1133" w:right="1267" w:firstLine="360"/>
        <w:jc w:val="left"/>
      </w:pPr>
      <w:r>
        <w:rPr>
          <w:spacing w:val="-2"/>
        </w:rPr>
        <w:t>（</w:t>
      </w:r>
      <w:r>
        <w:rPr>
          <w:rFonts w:ascii="Times New Roman" w:hAnsi="Times New Roman" w:cs="Times New Roman" w:eastAsia="Times New Roman" w:hint="default"/>
          <w:spacing w:val="-2"/>
        </w:rPr>
        <w:t>4</w:t>
      </w:r>
      <w:r>
        <w:rPr>
          <w:spacing w:val="-2"/>
        </w:rPr>
        <w:t>）广州游爱兄弟信息技术有限公司于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月成立</w:t>
      </w:r>
      <w:r>
        <w:rPr>
          <w:spacing w:val="-26"/>
        </w:rPr>
        <w:t> </w:t>
      </w:r>
      <w:r>
        <w:rPr>
          <w:spacing w:val="-2"/>
        </w:rPr>
        <w:t>，注册资本</w:t>
      </w:r>
      <w:r>
        <w:rPr>
          <w:rFonts w:ascii="Times New Roman" w:hAnsi="Times New Roman" w:cs="Times New Roman" w:eastAsia="Times New Roman" w:hint="default"/>
          <w:spacing w:val="-2"/>
        </w:rPr>
        <w:t>10,000.00</w:t>
      </w:r>
      <w:r>
        <w:rPr>
          <w:spacing w:val="-2"/>
        </w:rPr>
        <w:t>万元。本公司之子公司广州游爱网络技术</w:t>
      </w:r>
      <w:r>
        <w:rPr/>
        <w:t> 有限公司持股</w:t>
      </w:r>
      <w:r>
        <w:rPr>
          <w:rFonts w:ascii="Times New Roman" w:hAnsi="Times New Roman" w:cs="Times New Roman" w:eastAsia="Times New Roman" w:hint="default"/>
        </w:rPr>
        <w:t>100%</w:t>
      </w:r>
      <w:r>
        <w:rPr/>
        <w:t>，自成立之日起纳入合并范围。</w:t>
      </w:r>
    </w:p>
    <w:p>
      <w:pPr>
        <w:pStyle w:val="BodyText"/>
        <w:spacing w:line="451" w:lineRule="auto" w:before="43"/>
        <w:ind w:left="1133" w:right="1117" w:firstLine="360"/>
        <w:jc w:val="left"/>
      </w:pPr>
      <w:r>
        <w:rPr>
          <w:spacing w:val="-1"/>
        </w:rPr>
        <w:t>（</w:t>
      </w:r>
      <w:r>
        <w:rPr>
          <w:rFonts w:ascii="Times New Roman" w:hAnsi="Times New Roman" w:cs="Times New Roman" w:eastAsia="Times New Roman" w:hint="default"/>
          <w:spacing w:val="-1"/>
        </w:rPr>
        <w:t>5</w:t>
      </w:r>
      <w:r>
        <w:rPr>
          <w:spacing w:val="-1"/>
        </w:rPr>
        <w:t>）广州游爱互娱网络技术有限公司于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月成立，注册资本</w:t>
      </w:r>
      <w:r>
        <w:rPr>
          <w:rFonts w:ascii="Times New Roman" w:hAnsi="Times New Roman" w:cs="Times New Roman" w:eastAsia="Times New Roman" w:hint="default"/>
          <w:spacing w:val="-1"/>
        </w:rPr>
        <w:t>10,000.00</w:t>
      </w:r>
      <w:r>
        <w:rPr>
          <w:spacing w:val="-1"/>
        </w:rPr>
        <w:t>万元。本公司之子公司广州游爱网络技术</w:t>
      </w:r>
      <w:r>
        <w:rPr/>
        <w:t> 有限公司持股</w:t>
      </w:r>
      <w:r>
        <w:rPr>
          <w:rFonts w:ascii="Times New Roman" w:hAnsi="Times New Roman" w:cs="Times New Roman" w:eastAsia="Times New Roman" w:hint="default"/>
        </w:rPr>
        <w:t>100%</w:t>
      </w:r>
      <w:r>
        <w:rPr/>
        <w:t>，自成立之日起纳入合并范围。</w:t>
      </w:r>
    </w:p>
    <w:p>
      <w:pPr>
        <w:pStyle w:val="BodyText"/>
        <w:spacing w:line="451" w:lineRule="auto" w:before="43"/>
        <w:ind w:left="1134" w:right="1269" w:firstLine="360"/>
        <w:jc w:val="left"/>
      </w:pPr>
      <w:r>
        <w:rPr/>
        <w:t>（</w:t>
      </w:r>
      <w:r>
        <w:rPr>
          <w:rFonts w:ascii="Times New Roman" w:hAnsi="Times New Roman" w:cs="Times New Roman" w:eastAsia="Times New Roman" w:hint="default"/>
        </w:rPr>
        <w:t>6</w:t>
      </w:r>
      <w:r>
        <w:rPr/>
        <w:t>）湖南天舟创新智能科技有限公司于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月成立，注册资本</w:t>
      </w:r>
      <w:r>
        <w:rPr>
          <w:spacing w:val="-46"/>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t>万元，本公司之子公司湖南天舟大课堂 教育科技有限公司持股</w:t>
      </w:r>
      <w:r>
        <w:rPr>
          <w:spacing w:val="-46"/>
        </w:rPr>
        <w:t> </w:t>
      </w:r>
      <w:r>
        <w:rPr>
          <w:rFonts w:ascii="Times New Roman" w:hAnsi="Times New Roman" w:cs="Times New Roman" w:eastAsia="Times New Roman" w:hint="default"/>
        </w:rPr>
        <w:t>52.50%</w:t>
      </w:r>
      <w:r>
        <w:rPr/>
        <w:t>，自成立之日起纳入合并范围。</w:t>
      </w:r>
    </w:p>
    <w:p>
      <w:pPr>
        <w:spacing w:line="240" w:lineRule="auto" w:before="6"/>
        <w:rPr>
          <w:rFonts w:ascii="宋体" w:hAnsi="宋体" w:cs="宋体" w:eastAsia="宋体" w:hint="default"/>
          <w:sz w:val="18"/>
          <w:szCs w:val="18"/>
        </w:rPr>
      </w:pPr>
    </w:p>
    <w:p>
      <w:pPr>
        <w:pStyle w:val="Heading4"/>
        <w:spacing w:line="240" w:lineRule="auto"/>
        <w:ind w:left="1134" w:right="1117"/>
        <w:jc w:val="left"/>
        <w:rPr>
          <w:b w:val="0"/>
          <w:bCs w:val="0"/>
        </w:rPr>
      </w:pPr>
      <w:bookmarkStart w:name="（7）公司报告期内业务、产品或服务发生重大变化或调整有关情况" w:id="32"/>
      <w:bookmarkEnd w:id="32"/>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33" w:right="1117"/>
        <w:jc w:val="left"/>
        <w:rPr>
          <w:b w:val="0"/>
          <w:bCs w:val="0"/>
        </w:rPr>
      </w:pPr>
      <w:bookmarkStart w:name="（8）主要销售客户和主要供应商情况" w:id="33"/>
      <w:bookmarkEnd w:id="33"/>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117"/>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263,214,303.78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27"/>
          <w:szCs w:val="27"/>
        </w:rPr>
      </w:pPr>
    </w:p>
    <w:p>
      <w:pPr>
        <w:pStyle w:val="BodyText"/>
        <w:spacing w:line="240" w:lineRule="auto" w:before="44"/>
        <w:ind w:left="1134" w:right="1117"/>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572"/>
        <w:gridCol w:w="2551"/>
        <w:gridCol w:w="2655"/>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101,016,481.01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48,176,363.32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42,740,409.66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572"/>
        <w:gridCol w:w="2551"/>
        <w:gridCol w:w="2655"/>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40,771,608.58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30,509,441.21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263,214,303.78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28.13%</w:t>
            </w:r>
          </w:p>
        </w:tc>
      </w:tr>
    </w:tbl>
    <w:p>
      <w:pPr>
        <w:pStyle w:val="BodyText"/>
        <w:spacing w:line="240" w:lineRule="auto" w:before="51"/>
        <w:ind w:left="1134" w:right="1117"/>
        <w:jc w:val="left"/>
      </w:pPr>
      <w:r>
        <w:rPr/>
        <w:t>主要客户其他情况说明</w:t>
      </w:r>
    </w:p>
    <w:p>
      <w:pPr>
        <w:pStyle w:val="BodyText"/>
        <w:spacing w:line="679" w:lineRule="auto" w:before="117"/>
        <w:ind w:left="1134" w:right="9132"/>
        <w:jc w:val="left"/>
      </w:pPr>
      <w:r>
        <w:rPr/>
        <w:pict>
          <v:shape style="position:absolute;margin-left:56.459999pt;margin-top:58.061745pt;width:479.2pt;height:76.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249,232,275.73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19.19%</w:t>
                        </w:r>
                      </w:p>
                    </w:tc>
                  </w:tr>
                </w:tbl>
                <w:p>
                  <w:pPr/>
                </w:p>
              </w:txbxContent>
            </v:textbox>
            <w10:wrap type="none"/>
          </v:shape>
        </w:pict>
      </w:r>
      <w:r>
        <w:rPr>
          <w:rFonts w:ascii="Times New Roman" w:hAnsi="Times New Roman" w:cs="Times New Roman" w:eastAsia="Times New Roman" w:hint="default"/>
        </w:rPr>
        <w:t>□ </w:t>
      </w:r>
      <w:r>
        <w:rPr/>
        <w:t>适用 √ 不适用</w:t>
      </w:r>
      <w:r>
        <w:rPr>
          <w:w w:val="99"/>
        </w:rPr>
        <w:t> </w:t>
      </w:r>
      <w:r>
        <w:rPr/>
        <w:t>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240" w:lineRule="auto" w:before="44"/>
        <w:ind w:left="1134" w:right="1117"/>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330"/>
        <w:gridCol w:w="2660"/>
        <w:gridCol w:w="2655"/>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83,947,801.36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64,120,376.36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54,693,208.78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31,505,759.13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3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14,965,130.10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6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249,232,275.73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56.97%</w:t>
            </w:r>
          </w:p>
        </w:tc>
      </w:tr>
    </w:tbl>
    <w:p>
      <w:pPr>
        <w:pStyle w:val="BodyText"/>
        <w:spacing w:line="240" w:lineRule="auto" w:before="51"/>
        <w:ind w:left="1134" w:right="1117"/>
        <w:jc w:val="left"/>
      </w:pPr>
      <w:r>
        <w:rPr/>
        <w:t>主要供应商其他情况说明</w:t>
      </w:r>
    </w:p>
    <w:p>
      <w:pPr>
        <w:pStyle w:val="BodyText"/>
        <w:spacing w:line="307" w:lineRule="auto" w:before="115"/>
        <w:ind w:left="1134" w:right="1273" w:firstLine="360"/>
        <w:jc w:val="both"/>
      </w:pPr>
      <w:r>
        <w:rPr/>
        <w:t>报告期内，前五名供应商中，第一名为海南元游信息技术有限公司，持有公司</w:t>
      </w:r>
      <w:r>
        <w:rPr>
          <w:spacing w:val="-45"/>
        </w:rPr>
        <w:t> </w:t>
      </w:r>
      <w:r>
        <w:rPr>
          <w:rFonts w:ascii="Times New Roman" w:hAnsi="Times New Roman" w:cs="Times New Roman" w:eastAsia="Times New Roman" w:hint="default"/>
        </w:rPr>
        <w:t>5%</w:t>
      </w:r>
      <w:r>
        <w:rPr/>
        <w:t>以上股份的股东、公司副董事长、 </w:t>
      </w:r>
      <w:r>
        <w:rPr>
          <w:spacing w:val="-5"/>
        </w:rPr>
        <w:t>执行总裁袁雄贵先生任海南元游的董事，与公司存在关联关系；除海南元游外，其他主要供应商均与公司不存在关联关系，</w:t>
      </w:r>
      <w:r>
        <w:rPr>
          <w:spacing w:val="-45"/>
        </w:rPr>
        <w:t> </w:t>
      </w:r>
      <w:r>
        <w:rPr>
          <w:spacing w:val="-45"/>
        </w:rPr>
      </w:r>
      <w:r>
        <w:rPr/>
        <w:t>公司董事、监事、高级管理人员、核心技术人员、持股</w:t>
      </w:r>
      <w:r>
        <w:rPr>
          <w:spacing w:val="-45"/>
        </w:rPr>
        <w:t> </w:t>
      </w:r>
      <w:r>
        <w:rPr>
          <w:rFonts w:ascii="Times New Roman" w:hAnsi="Times New Roman" w:cs="Times New Roman" w:eastAsia="Times New Roman" w:hint="default"/>
        </w:rPr>
        <w:t>5%</w:t>
      </w:r>
      <w:r>
        <w:rPr/>
        <w:t>以上股东、实际控制人和其他关联方在主要供应商中不存在直 接或者间接拥有权益的情形。</w:t>
      </w:r>
    </w:p>
    <w:p>
      <w:pPr>
        <w:spacing w:line="240" w:lineRule="auto" w:before="13"/>
        <w:rPr>
          <w:rFonts w:ascii="宋体" w:hAnsi="宋体" w:cs="宋体" w:eastAsia="宋体" w:hint="default"/>
          <w:sz w:val="22"/>
          <w:szCs w:val="22"/>
        </w:rPr>
      </w:pPr>
    </w:p>
    <w:p>
      <w:pPr>
        <w:pStyle w:val="Heading4"/>
        <w:spacing w:line="240" w:lineRule="auto"/>
        <w:ind w:left="1134" w:right="1117"/>
        <w:jc w:val="left"/>
        <w:rPr>
          <w:b w:val="0"/>
          <w:bCs w:val="0"/>
        </w:rPr>
      </w:pPr>
      <w:bookmarkStart w:name="3、费用" w:id="34"/>
      <w:bookmarkEnd w:id="34"/>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271"/>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7" w:right="0"/>
              <w:jc w:val="left"/>
              <w:rPr>
                <w:rFonts w:ascii="Times New Roman" w:hAnsi="Times New Roman" w:cs="Times New Roman" w:eastAsia="Times New Roman" w:hint="default"/>
                <w:sz w:val="18"/>
                <w:szCs w:val="18"/>
              </w:rPr>
            </w:pPr>
            <w:r>
              <w:rPr>
                <w:rFonts w:ascii="Times New Roman"/>
                <w:sz w:val="18"/>
              </w:rPr>
              <w:t>64,738,018.91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63,718,397.95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214,219,879.26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6" w:right="0"/>
              <w:jc w:val="left"/>
              <w:rPr>
                <w:rFonts w:ascii="Times New Roman" w:hAnsi="Times New Roman" w:cs="Times New Roman" w:eastAsia="Times New Roman" w:hint="default"/>
                <w:sz w:val="18"/>
                <w:szCs w:val="18"/>
              </w:rPr>
            </w:pPr>
            <w:r>
              <w:rPr>
                <w:rFonts w:ascii="Times New Roman"/>
                <w:sz w:val="18"/>
              </w:rPr>
              <w:t>119,052,587.68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11" w:right="0"/>
              <w:jc w:val="left"/>
              <w:rPr>
                <w:rFonts w:ascii="Times New Roman" w:hAnsi="Times New Roman" w:cs="Times New Roman" w:eastAsia="Times New Roman" w:hint="default"/>
                <w:sz w:val="20"/>
                <w:szCs w:val="20"/>
              </w:rPr>
            </w:pPr>
            <w:r>
              <w:rPr>
                <w:rFonts w:ascii="Times New Roman"/>
                <w:sz w:val="20"/>
              </w:rPr>
              <w:t>79.94%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主要系报告期内游爱网络的合并期 间较上年增加所致。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-14,794,208.68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-8,009,834.58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主要系利息收入同比增加所致。</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7"/>
        <w:jc w:val="left"/>
        <w:rPr>
          <w:b w:val="0"/>
          <w:bCs w:val="0"/>
        </w:rPr>
      </w:pPr>
      <w:bookmarkStart w:name="4、研发投入" w:id="35"/>
      <w:bookmarkEnd w:id="35"/>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554" w:right="1117"/>
        <w:jc w:val="left"/>
      </w:pPr>
      <w:r>
        <w:rPr/>
        <w:t>公司持续加大研发力度，逐年增加研发投入。报告期内，公司有多款移动网游戏产品立项筹划并投</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left="1133" w:right="1117"/>
        <w:jc w:val="left"/>
      </w:pPr>
      <w:r>
        <w:rPr/>
        <w:t>入研发，在研游戏按计划稳步推进。部分游戏产品成功上线测试及正式推广运营。</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117,091,251.82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58,816,890.71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38,426,415.63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117"/>
        <w:jc w:val="left"/>
      </w:pPr>
      <w:r>
        <w:rPr/>
        <w:t>研发投入总额占营业收入的比重较上年发生显著变化的原因</w:t>
      </w:r>
    </w:p>
    <w:p>
      <w:pPr>
        <w:pStyle w:val="BodyText"/>
        <w:spacing w:line="340" w:lineRule="auto" w:before="116"/>
        <w:ind w:left="113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33" w:right="1117"/>
        <w:jc w:val="left"/>
        <w:rPr>
          <w:b w:val="0"/>
          <w:bCs w:val="0"/>
        </w:rPr>
      </w:pPr>
      <w:bookmarkStart w:name="5、现金流" w:id="36"/>
      <w:bookmarkEnd w:id="36"/>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271"/>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45"/>
        <w:gridCol w:w="2404"/>
        <w:gridCol w:w="2392"/>
        <w:gridCol w:w="2393"/>
      </w:tblGrid>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960,620,511.85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726,983,023.00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32.14%</w:t>
            </w:r>
          </w:p>
        </w:tc>
      </w:tr>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749,276,870.83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423,125,636.03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77.08%</w:t>
            </w:r>
          </w:p>
        </w:tc>
      </w:tr>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211,343,641.02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303,857,386.97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-30.45%</w:t>
            </w:r>
          </w:p>
        </w:tc>
      </w:tr>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253,132,872.85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135,907,214.68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86.25%</w:t>
            </w:r>
          </w:p>
        </w:tc>
      </w:tr>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436,118,801.65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792,881,592.57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-45.00%</w:t>
            </w:r>
          </w:p>
        </w:tc>
      </w:tr>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-182,985,928.80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-656,974,377.89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72.15%</w:t>
            </w:r>
          </w:p>
        </w:tc>
      </w:tr>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1,121,159,055.76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-99.65%</w:t>
            </w:r>
          </w:p>
        </w:tc>
      </w:tr>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306,179,354.19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22,410,905.52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1266.21%</w:t>
            </w:r>
          </w:p>
        </w:tc>
      </w:tr>
      <w:tr>
        <w:trPr>
          <w:trHeight w:val="402"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-302,244,354.19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1,098,748,150.24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-127.51%</w:t>
            </w:r>
            <w:r>
              <w:rPr>
                <w:rFonts w:ascii="Times New Roman"/>
                <w:sz w:val="18"/>
              </w:rPr>
            </w:r>
          </w:p>
        </w:tc>
      </w:tr>
      <w:tr>
        <w:trPr>
          <w:trHeight w:val="403"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-274,396,076.70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745,744,847.34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-136.79%</w:t>
            </w:r>
            <w:r>
              <w:rPr>
                <w:rFonts w:ascii="Times New Roman"/>
                <w:sz w:val="18"/>
              </w:rPr>
            </w:r>
          </w:p>
        </w:tc>
      </w:tr>
    </w:tbl>
    <w:p>
      <w:pPr>
        <w:pStyle w:val="BodyText"/>
        <w:spacing w:line="240" w:lineRule="auto" w:before="51"/>
        <w:ind w:left="1134" w:right="1117"/>
        <w:jc w:val="left"/>
      </w:pPr>
      <w:r>
        <w:rPr/>
        <w:t>相关数据同比发生重大变动的主要影响因素说明</w:t>
      </w:r>
    </w:p>
    <w:p>
      <w:pPr>
        <w:pStyle w:val="BodyText"/>
        <w:spacing w:line="345" w:lineRule="auto" w:before="137"/>
        <w:ind w:left="1133" w:right="1254" w:firstLine="360"/>
        <w:jc w:val="left"/>
      </w:pPr>
      <w:r>
        <w:rPr/>
        <w:t>（</w:t>
      </w:r>
      <w:r>
        <w:rPr>
          <w:rFonts w:ascii="Times New Roman" w:hAnsi="Times New Roman" w:cs="Times New Roman" w:eastAsia="Times New Roman" w:hint="default"/>
        </w:rPr>
        <w:t>1</w:t>
      </w:r>
      <w:r>
        <w:rPr/>
        <w:t>）经营活动现金流入本报告期较上年同期增长</w:t>
      </w:r>
      <w:r>
        <w:rPr>
          <w:spacing w:val="-67"/>
        </w:rPr>
        <w:t> </w:t>
      </w:r>
      <w:r>
        <w:rPr>
          <w:rFonts w:ascii="Times New Roman" w:hAnsi="Times New Roman" w:cs="Times New Roman" w:eastAsia="Times New Roman" w:hint="default"/>
        </w:rPr>
        <w:t>32.14%</w:t>
      </w:r>
      <w:r>
        <w:rPr/>
        <w:t>，经营活动现金流出本报告期较上年同期增长</w:t>
      </w:r>
      <w:r>
        <w:rPr>
          <w:spacing w:val="-67"/>
        </w:rPr>
        <w:t> </w:t>
      </w:r>
      <w:r>
        <w:rPr>
          <w:rFonts w:ascii="Times New Roman" w:hAnsi="Times New Roman" w:cs="Times New Roman" w:eastAsia="Times New Roman" w:hint="default"/>
          <w:spacing w:val="-3"/>
        </w:rPr>
        <w:t>77.08%</w:t>
      </w:r>
      <w:r>
        <w:rPr>
          <w:spacing w:val="-3"/>
        </w:rPr>
        <w:t>，经营</w:t>
      </w:r>
      <w:r>
        <w:rPr/>
        <w:t> 活动产生的现金流量净额本报告期较上年同期下降</w:t>
      </w:r>
      <w:r>
        <w:rPr>
          <w:spacing w:val="-45"/>
        </w:rPr>
        <w:t> </w:t>
      </w:r>
      <w:r>
        <w:rPr>
          <w:rFonts w:ascii="Times New Roman" w:hAnsi="Times New Roman" w:cs="Times New Roman" w:eastAsia="Times New Roman" w:hint="default"/>
        </w:rPr>
        <w:t>30.45%</w:t>
      </w:r>
      <w:r>
        <w:rPr/>
        <w:t>，主要系报告期游爱网络合并期间较上年同期增加，导致经营 活动现金流入和流出同比增加，其中经营活动现金流出同比增加额超经营活动现金流入的增加额。</w:t>
      </w:r>
    </w:p>
    <w:p>
      <w:pPr>
        <w:pStyle w:val="BodyText"/>
        <w:spacing w:line="345" w:lineRule="auto" w:before="83"/>
        <w:ind w:left="1133" w:right="1270" w:firstLine="360"/>
        <w:jc w:val="both"/>
      </w:pPr>
      <w:r>
        <w:rPr/>
        <w:t>（</w:t>
      </w:r>
      <w:r>
        <w:rPr>
          <w:rFonts w:ascii="Times New Roman" w:hAnsi="Times New Roman" w:cs="Times New Roman" w:eastAsia="Times New Roman" w:hint="default"/>
        </w:rPr>
        <w:t>2</w:t>
      </w:r>
      <w:r>
        <w:rPr/>
        <w:t>）投资活动现金流入本报告期较上年同期增长</w:t>
      </w:r>
      <w:r>
        <w:rPr>
          <w:spacing w:val="-56"/>
        </w:rPr>
        <w:t> </w:t>
      </w:r>
      <w:r>
        <w:rPr>
          <w:rFonts w:ascii="Times New Roman" w:hAnsi="Times New Roman" w:cs="Times New Roman" w:eastAsia="Times New Roman" w:hint="default"/>
        </w:rPr>
        <w:t>86.25%</w:t>
      </w:r>
      <w:r>
        <w:rPr/>
        <w:t>，主要系本报告期收回的到期定期存款同比增加；投资活动 现金流出本报告期较上年同期下降</w:t>
      </w:r>
      <w:r>
        <w:rPr>
          <w:spacing w:val="-29"/>
        </w:rPr>
        <w:t> </w:t>
      </w:r>
      <w:r>
        <w:rPr>
          <w:rFonts w:ascii="Times New Roman" w:hAnsi="Times New Roman" w:cs="Times New Roman" w:eastAsia="Times New Roman" w:hint="default"/>
          <w:spacing w:val="-2"/>
        </w:rPr>
        <w:t>45%</w:t>
      </w:r>
      <w:r>
        <w:rPr>
          <w:spacing w:val="-2"/>
        </w:rPr>
        <w:t>，主要系本报告期取得子公司及其他营业单位支付的现金净额同比减少；投资活动</w:t>
      </w:r>
      <w:r>
        <w:rPr>
          <w:spacing w:val="-87"/>
        </w:rPr>
        <w:t> </w:t>
      </w:r>
      <w:r>
        <w:rPr>
          <w:spacing w:val="-87"/>
        </w:rPr>
      </w:r>
      <w:r>
        <w:rPr/>
        <w:t>产生的现金流量净额本报告期较上年同期增长</w:t>
      </w:r>
      <w:r>
        <w:rPr>
          <w:spacing w:val="-46"/>
        </w:rPr>
        <w:t> </w:t>
      </w:r>
      <w:r>
        <w:rPr>
          <w:rFonts w:ascii="Times New Roman" w:hAnsi="Times New Roman" w:cs="Times New Roman" w:eastAsia="Times New Roman" w:hint="default"/>
        </w:rPr>
        <w:t>72.15%</w:t>
      </w:r>
      <w:r>
        <w:rPr/>
        <w:t>，主要系本报告期投资活动现金流入同比增加，而投资活动现金流</w:t>
      </w:r>
    </w:p>
    <w:p>
      <w:pPr>
        <w:spacing w:after="0" w:line="345" w:lineRule="auto"/>
        <w:jc w:val="both"/>
        <w:sectPr>
          <w:pgSz w:w="11910" w:h="16840"/>
          <w:pgMar w:header="877" w:footer="979" w:top="1060" w:bottom="1160" w:left="0" w:right="0"/>
        </w:sectPr>
      </w:pPr>
    </w:p>
    <w:p>
      <w:pPr>
        <w:spacing w:line="240" w:lineRule="auto" w:before="10"/>
        <w:rPr>
          <w:rFonts w:ascii="宋体" w:hAnsi="宋体" w:cs="宋体" w:eastAsia="宋体" w:hint="default"/>
          <w:sz w:val="27"/>
          <w:szCs w:val="27"/>
        </w:rPr>
      </w:pPr>
    </w:p>
    <w:p>
      <w:pPr>
        <w:pStyle w:val="BodyText"/>
        <w:spacing w:line="240" w:lineRule="auto" w:before="44"/>
        <w:ind w:left="1133" w:right="1117"/>
        <w:jc w:val="left"/>
      </w:pPr>
      <w:r>
        <w:rPr/>
        <w:t>出同比减少所致。</w:t>
      </w:r>
    </w:p>
    <w:p>
      <w:pPr>
        <w:pStyle w:val="BodyText"/>
        <w:spacing w:line="345" w:lineRule="auto" w:before="161"/>
        <w:ind w:left="1133" w:right="1254" w:firstLine="360"/>
        <w:jc w:val="left"/>
      </w:pPr>
      <w:r>
        <w:rPr/>
        <w:t>（</w:t>
      </w:r>
      <w:r>
        <w:rPr>
          <w:rFonts w:ascii="Times New Roman" w:hAnsi="Times New Roman" w:cs="Times New Roman" w:eastAsia="Times New Roman" w:hint="default"/>
        </w:rPr>
        <w:t>3</w:t>
      </w:r>
      <w:r>
        <w:rPr/>
        <w:t>）筹资活动现金流入本报告期较上年同期下降</w:t>
      </w:r>
      <w:r>
        <w:rPr>
          <w:spacing w:val="-56"/>
        </w:rPr>
        <w:t> </w:t>
      </w:r>
      <w:r>
        <w:rPr>
          <w:rFonts w:ascii="Times New Roman" w:hAnsi="Times New Roman" w:cs="Times New Roman" w:eastAsia="Times New Roman" w:hint="default"/>
        </w:rPr>
        <w:t>99.65%</w:t>
      </w:r>
      <w:r>
        <w:rPr/>
        <w:t>，主要系上年同期收到并购游爱网络定向增发股份募集的配 套资金；筹资活动现金流出本报告期较上年同期增长</w:t>
      </w:r>
      <w:r>
        <w:rPr>
          <w:spacing w:val="-46"/>
        </w:rPr>
        <w:t> </w:t>
      </w:r>
      <w:r>
        <w:rPr>
          <w:rFonts w:ascii="Times New Roman" w:hAnsi="Times New Roman" w:cs="Times New Roman" w:eastAsia="Times New Roman" w:hint="default"/>
        </w:rPr>
        <w:t>1266.21%</w:t>
      </w:r>
      <w:r>
        <w:rPr/>
        <w:t>，主要系本报告期公司支付股份回购款，且现金股利分配 款同比增加等；筹资活动产生的现金流量净额较上年同期下降</w:t>
      </w:r>
      <w:r>
        <w:rPr>
          <w:spacing w:val="-56"/>
        </w:rPr>
        <w:t> </w:t>
      </w:r>
      <w:r>
        <w:rPr>
          <w:rFonts w:ascii="Times New Roman" w:hAnsi="Times New Roman" w:cs="Times New Roman" w:eastAsia="Times New Roman" w:hint="default"/>
        </w:rPr>
        <w:t>127.51%</w:t>
      </w:r>
      <w:r>
        <w:rPr/>
        <w:t>，主要系筹资活动现金流入同比减少，而筹资活动 现金流出同比增加所致。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57" w:lineRule="auto"/>
        <w:ind w:left="1133" w:right="2114"/>
        <w:jc w:val="left"/>
      </w:pPr>
      <w:r>
        <w:rPr/>
        <w:t>报告期内公司经营活动产生的现金净流量与本年度净利润存在重大差异的原因说明 存在重大差异的原因为：本报告期计提商誉减值准备</w:t>
      </w:r>
      <w:r>
        <w:rPr>
          <w:spacing w:val="-45"/>
        </w:rPr>
        <w:t> </w:t>
      </w:r>
      <w:r>
        <w:rPr>
          <w:rFonts w:ascii="Times New Roman" w:hAnsi="Times New Roman" w:cs="Times New Roman" w:eastAsia="Times New Roman" w:hint="default"/>
        </w:rPr>
        <w:t>8,821.63</w:t>
      </w:r>
      <w:r>
        <w:rPr>
          <w:rFonts w:ascii="Times New Roman" w:hAnsi="Times New Roman" w:cs="Times New Roman" w:eastAsia="Times New Roman" w:hint="default"/>
          <w:spacing w:val="-1"/>
        </w:rPr>
        <w:t> </w:t>
      </w:r>
      <w:r>
        <w:rPr/>
        <w:t>万元等，影响本年度净利润，但不产生现金流。</w:t>
      </w:r>
    </w:p>
    <w:p>
      <w:pPr>
        <w:spacing w:line="240" w:lineRule="auto" w:before="7"/>
        <w:rPr>
          <w:rFonts w:ascii="宋体" w:hAnsi="宋体" w:cs="宋体" w:eastAsia="宋体" w:hint="default"/>
          <w:sz w:val="16"/>
          <w:szCs w:val="16"/>
        </w:rPr>
      </w:pPr>
    </w:p>
    <w:p>
      <w:pPr>
        <w:pStyle w:val="Heading2"/>
        <w:spacing w:line="240" w:lineRule="auto"/>
        <w:ind w:right="1117"/>
        <w:jc w:val="left"/>
        <w:rPr>
          <w:b w:val="0"/>
          <w:bCs w:val="0"/>
        </w:rPr>
      </w:pPr>
      <w:bookmarkStart w:name="三、非主营业务情况" w:id="37"/>
      <w:bookmarkEnd w:id="37"/>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271"/>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844"/>
        <w:gridCol w:w="1662"/>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45,031,611.44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25.82%</w:t>
            </w:r>
          </w:p>
        </w:tc>
        <w:tc>
          <w:tcPr>
            <w:tcW w:w="2844" w:type="dxa"/>
            <w:vMerge w:val="restart"/>
            <w:tcBorders>
              <w:top w:val="single" w:sz="4" w:space="0" w:color="000000"/>
              <w:left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2"/>
              <w:jc w:val="left"/>
              <w:rPr>
                <w:rFonts w:ascii="宋体" w:hAnsi="宋体" w:cs="宋体" w:eastAsia="宋体" w:hint="default"/>
                <w:sz w:val="18"/>
                <w:szCs w:val="18"/>
              </w:rPr>
            </w:pPr>
            <w:r>
              <w:rPr>
                <w:rFonts w:ascii="宋体" w:hAnsi="宋体" w:cs="宋体" w:eastAsia="宋体" w:hint="default"/>
                <w:sz w:val="18"/>
                <w:szCs w:val="18"/>
              </w:rPr>
              <w:t>主要是权益法核算的长期股权投资 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2,279.47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万元、处置长期股权</w:t>
            </w:r>
          </w:p>
          <w:p>
            <w:pPr>
              <w:pStyle w:val="TableParagraph"/>
              <w:spacing w:line="240" w:lineRule="auto"/>
              <w:ind w:left="23" w:right="-31"/>
              <w:jc w:val="left"/>
              <w:rPr>
                <w:rFonts w:ascii="宋体" w:hAnsi="宋体" w:cs="宋体" w:eastAsia="宋体" w:hint="default"/>
                <w:sz w:val="18"/>
                <w:szCs w:val="18"/>
              </w:rPr>
            </w:pPr>
            <w:r>
              <w:rPr>
                <w:rFonts w:ascii="宋体" w:hAnsi="宋体" w:cs="宋体" w:eastAsia="宋体" w:hint="default"/>
                <w:sz w:val="18"/>
                <w:szCs w:val="18"/>
              </w:rPr>
              <w:t>投资产生的投资收益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1,980 </w:t>
            </w:r>
            <w:r>
              <w:rPr>
                <w:rFonts w:ascii="宋体" w:hAnsi="宋体" w:cs="宋体" w:eastAsia="宋体" w:hint="default"/>
                <w:sz w:val="18"/>
                <w:szCs w:val="18"/>
              </w:rPr>
              <w:t>万元等。</w:t>
            </w:r>
          </w:p>
        </w:tc>
        <w:tc>
          <w:tcPr>
            <w:tcW w:w="1662" w:type="dxa"/>
            <w:vMerge w:val="restart"/>
            <w:tcBorders>
              <w:top w:val="single" w:sz="4" w:space="0" w:color="000000"/>
              <w:left w:val="single" w:sz="9" w:space="0" w:color="FFFFFF"/>
              <w:right w:val="single" w:sz="4" w:space="0" w:color="000000"/>
            </w:tcBorders>
          </w:tcPr>
          <w:p>
            <w:pPr>
              <w:pStyle w:val="TableParagraph"/>
              <w:spacing w:line="316" w:lineRule="auto" w:before="51"/>
              <w:ind w:left="16" w:right="7"/>
              <w:jc w:val="left"/>
              <w:rPr>
                <w:rFonts w:ascii="宋体" w:hAnsi="宋体" w:cs="宋体" w:eastAsia="宋体" w:hint="default"/>
                <w:sz w:val="18"/>
                <w:szCs w:val="18"/>
              </w:rPr>
            </w:pPr>
            <w:r>
              <w:rPr>
                <w:rFonts w:ascii="宋体" w:hAnsi="宋体" w:cs="宋体" w:eastAsia="宋体" w:hint="default"/>
                <w:sz w:val="18"/>
                <w:szCs w:val="18"/>
              </w:rPr>
              <w:t>其中按照权益法核 算的具有可持续性； 处置长期股权投资 不具有可持续性。</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844" w:type="dxa"/>
            <w:vMerge/>
            <w:tcBorders>
              <w:left w:val="single" w:sz="4" w:space="0" w:color="000000"/>
              <w:right w:val="single" w:sz="9" w:space="0" w:color="FFFFFF"/>
            </w:tcBorders>
          </w:tcPr>
          <w:p>
            <w:pPr/>
          </w:p>
        </w:tc>
        <w:tc>
          <w:tcPr>
            <w:tcW w:w="1662" w:type="dxa"/>
            <w:vMerge/>
            <w:tcBorders>
              <w:left w:val="single" w:sz="9" w:space="0" w:color="FFFFFF"/>
              <w:right w:val="single" w:sz="4" w:space="0" w:color="000000"/>
            </w:tcBorders>
          </w:tcPr>
          <w:p>
            <w:pPr/>
          </w:p>
        </w:tc>
      </w:tr>
      <w:tr>
        <w:trPr>
          <w:trHeight w:val="47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844" w:type="dxa"/>
            <w:vMerge/>
            <w:tcBorders>
              <w:left w:val="single" w:sz="4" w:space="0" w:color="000000"/>
              <w:bottom w:val="single" w:sz="4" w:space="0" w:color="000000"/>
              <w:right w:val="single" w:sz="9" w:space="0" w:color="FFFFFF"/>
            </w:tcBorders>
          </w:tcPr>
          <w:p>
            <w:pPr/>
          </w:p>
        </w:tc>
        <w:tc>
          <w:tcPr>
            <w:tcW w:w="1662" w:type="dxa"/>
            <w:vMerge/>
            <w:tcBorders>
              <w:left w:val="single" w:sz="9" w:space="0" w:color="FFFFFF"/>
              <w:bottom w:val="single" w:sz="4" w:space="0" w:color="000000"/>
              <w:right w:val="single" w:sz="4" w:space="0" w:color="000000"/>
            </w:tcBorders>
          </w:tcPr>
          <w:p>
            <w:pPr/>
          </w:p>
        </w:tc>
      </w:tr>
      <w:tr>
        <w:trPr>
          <w:trHeight w:val="31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0" w:right="0"/>
              <w:jc w:val="left"/>
              <w:rPr>
                <w:rFonts w:ascii="Times New Roman" w:hAnsi="Times New Roman" w:cs="Times New Roman" w:eastAsia="Times New Roman" w:hint="default"/>
                <w:sz w:val="18"/>
                <w:szCs w:val="18"/>
              </w:rPr>
            </w:pPr>
            <w:r>
              <w:rPr>
                <w:rFonts w:ascii="Times New Roman"/>
                <w:sz w:val="18"/>
              </w:rPr>
              <w:t>105,966,859.25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60.77%</w:t>
            </w:r>
          </w:p>
        </w:tc>
        <w:tc>
          <w:tcPr>
            <w:tcW w:w="284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主要是商誉减值损失、可供出售金 融资产减值损失、坏账损失和存货 跌价损失。</w:t>
            </w:r>
          </w:p>
        </w:tc>
        <w:tc>
          <w:tcPr>
            <w:tcW w:w="16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844" w:type="dxa"/>
            <w:vMerge/>
            <w:tcBorders>
              <w:left w:val="single" w:sz="4" w:space="0" w:color="000000"/>
              <w:right w:val="single" w:sz="4" w:space="0" w:color="000000"/>
            </w:tcBorders>
          </w:tcPr>
          <w:p>
            <w:pPr/>
          </w:p>
        </w:tc>
        <w:tc>
          <w:tcPr>
            <w:tcW w:w="1662"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844" w:type="dxa"/>
            <w:vMerge/>
            <w:tcBorders>
              <w:left w:val="single" w:sz="4" w:space="0" w:color="000000"/>
              <w:bottom w:val="single" w:sz="4" w:space="0" w:color="000000"/>
              <w:right w:val="single" w:sz="4" w:space="0" w:color="000000"/>
            </w:tcBorders>
          </w:tcPr>
          <w:p>
            <w:pPr/>
          </w:p>
        </w:tc>
        <w:tc>
          <w:tcPr>
            <w:tcW w:w="1662"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334,755.16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主要是政府补助等。</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282,898.14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2844"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134" w:right="1117"/>
        <w:jc w:val="left"/>
        <w:rPr>
          <w:b w:val="0"/>
          <w:bCs w:val="0"/>
        </w:rPr>
      </w:pPr>
      <w:bookmarkStart w:name="四、资产及负债状况" w:id="38"/>
      <w:bookmarkEnd w:id="38"/>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3" w:right="1117"/>
        <w:jc w:val="left"/>
        <w:rPr>
          <w:b w:val="0"/>
          <w:bCs w:val="0"/>
        </w:rPr>
      </w:pPr>
      <w:bookmarkStart w:name="1、资产构成重大变动情况" w:id="39"/>
      <w:bookmarkEnd w:id="39"/>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271"/>
        <w:jc w:val="right"/>
      </w:pPr>
      <w:r>
        <w:rPr/>
        <w:t>单位：元</w:t>
      </w:r>
    </w:p>
    <w:p>
      <w:pPr>
        <w:spacing w:line="240" w:lineRule="auto" w:before="13"/>
        <w:rPr>
          <w:rFonts w:ascii="宋体" w:hAnsi="宋体" w:cs="宋体" w:eastAsia="宋体" w:hint="default"/>
          <w:sz w:val="7"/>
          <w:szCs w:val="7"/>
        </w:rPr>
      </w:pPr>
    </w:p>
    <w:tbl>
      <w:tblPr>
        <w:tblW w:w="0" w:type="auto"/>
        <w:jc w:val="left"/>
        <w:tblInd w:w="965" w:type="dxa"/>
        <w:tblLayout w:type="fixed"/>
        <w:tblCellMar>
          <w:top w:w="0" w:type="dxa"/>
          <w:left w:w="0" w:type="dxa"/>
          <w:bottom w:w="0" w:type="dxa"/>
          <w:right w:w="0" w:type="dxa"/>
        </w:tblCellMar>
        <w:tblLook w:val="01E0"/>
      </w:tblPr>
      <w:tblGrid>
        <w:gridCol w:w="1532"/>
        <w:gridCol w:w="1294"/>
        <w:gridCol w:w="934"/>
        <w:gridCol w:w="1335"/>
        <w:gridCol w:w="924"/>
        <w:gridCol w:w="798"/>
        <w:gridCol w:w="2955"/>
      </w:tblGrid>
      <w:tr>
        <w:trPr>
          <w:trHeight w:val="380" w:hRule="exact"/>
        </w:trPr>
        <w:tc>
          <w:tcPr>
            <w:tcW w:w="1532"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55"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532" w:type="dxa"/>
            <w:vMerge w:val="restart"/>
            <w:tcBorders>
              <w:top w:val="single" w:sz="14" w:space="0" w:color="FFFFFF"/>
              <w:left w:val="single" w:sz="4" w:space="0" w:color="000000"/>
              <w:right w:val="single" w:sz="4" w:space="0" w:color="000000"/>
            </w:tcBorders>
            <w:shd w:val="clear" w:color="auto" w:fill="D2D2D2"/>
          </w:tcPr>
          <w:p>
            <w:pPr/>
          </w:p>
        </w:tc>
        <w:tc>
          <w:tcPr>
            <w:tcW w:w="1294" w:type="dxa"/>
            <w:tcBorders>
              <w:top w:val="single" w:sz="14" w:space="0" w:color="FFFFFF"/>
              <w:left w:val="single" w:sz="4" w:space="0" w:color="000000"/>
              <w:bottom w:val="nil" w:sz="6" w:space="0" w:color="auto"/>
              <w:right w:val="single" w:sz="4" w:space="0" w:color="000000"/>
            </w:tcBorders>
            <w:shd w:val="clear" w:color="auto" w:fill="D2D2D2"/>
          </w:tcPr>
          <w:p>
            <w:pPr/>
          </w:p>
        </w:tc>
        <w:tc>
          <w:tcPr>
            <w:tcW w:w="934"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281" w:right="101"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35" w:type="dxa"/>
            <w:tcBorders>
              <w:top w:val="single" w:sz="14" w:space="0" w:color="FFFFFF"/>
              <w:left w:val="single" w:sz="4" w:space="0" w:color="000000"/>
              <w:bottom w:val="nil" w:sz="6" w:space="0" w:color="auto"/>
              <w:right w:val="single" w:sz="4" w:space="0" w:color="000000"/>
            </w:tcBorders>
            <w:shd w:val="clear" w:color="auto" w:fill="D2D2D2"/>
          </w:tcPr>
          <w:p>
            <w:pPr/>
          </w:p>
        </w:tc>
        <w:tc>
          <w:tcPr>
            <w:tcW w:w="924"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275" w:right="9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55"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3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532" w:type="dxa"/>
            <w:vMerge/>
            <w:tcBorders>
              <w:left w:val="single" w:sz="4" w:space="0" w:color="000000"/>
              <w:bottom w:val="nil" w:sz="6" w:space="0" w:color="auto"/>
              <w:right w:val="single" w:sz="4" w:space="0" w:color="000000"/>
            </w:tcBorders>
            <w:shd w:val="clear" w:color="auto" w:fill="D2D2D2"/>
          </w:tcPr>
          <w:p>
            <w:pPr/>
          </w:p>
        </w:tc>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tcBorders>
              <w:left w:val="single" w:sz="4" w:space="0" w:color="000000"/>
              <w:right w:val="single" w:sz="4" w:space="0" w:color="000000"/>
            </w:tcBorders>
            <w:shd w:val="clear" w:color="auto" w:fill="D2D2D2"/>
          </w:tcPr>
          <w:p>
            <w:pPr/>
          </w:p>
        </w:tc>
        <w:tc>
          <w:tcPr>
            <w:tcW w:w="13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5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32" w:type="dxa"/>
            <w:vMerge w:val="restart"/>
            <w:tcBorders>
              <w:top w:val="nil" w:sz="6" w:space="0" w:color="auto"/>
              <w:left w:val="single" w:sz="4" w:space="0" w:color="000000"/>
              <w:right w:val="single" w:sz="4" w:space="0" w:color="000000"/>
            </w:tcBorders>
            <w:shd w:val="clear" w:color="auto" w:fill="D2D2D2"/>
          </w:tcPr>
          <w:p>
            <w:pPr/>
          </w:p>
        </w:tc>
        <w:tc>
          <w:tcPr>
            <w:tcW w:w="129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1335"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5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32" w:type="dxa"/>
            <w:vMerge/>
            <w:tcBorders>
              <w:left w:val="single" w:sz="4" w:space="0" w:color="000000"/>
              <w:bottom w:val="single" w:sz="4" w:space="0" w:color="000000"/>
              <w:right w:val="single" w:sz="4" w:space="0" w:color="000000"/>
            </w:tcBorders>
            <w:shd w:val="clear" w:color="auto" w:fill="D2D2D2"/>
          </w:tcPr>
          <w:p>
            <w:pPr/>
          </w:p>
        </w:tc>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55"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4" w:type="dxa"/>
            <w:vMerge w:val="restart"/>
            <w:tcBorders>
              <w:top w:val="single" w:sz="4" w:space="0" w:color="000000"/>
              <w:left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985,041,341.15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20.63%</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1,483,437,417.85</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30.00%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-9.37%</w:t>
            </w:r>
          </w:p>
        </w:tc>
        <w:tc>
          <w:tcPr>
            <w:tcW w:w="2955"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主要系报告期支付投资款、股份回购 款、并购诚意金等所致。</w:t>
            </w:r>
          </w:p>
        </w:tc>
      </w:tr>
      <w:tr>
        <w:trPr>
          <w:trHeight w:val="392" w:hRule="exact"/>
        </w:trPr>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94" w:type="dxa"/>
            <w:vMerge/>
            <w:tcBorders>
              <w:left w:val="single" w:sz="9" w:space="0" w:color="D2D2D2"/>
              <w:right w:val="single" w:sz="4" w:space="0" w:color="000000"/>
            </w:tcBorders>
          </w:tcPr>
          <w:p>
            <w:pPr/>
          </w:p>
        </w:tc>
        <w:tc>
          <w:tcPr>
            <w:tcW w:w="934"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55" w:type="dxa"/>
            <w:vMerge/>
            <w:tcBorders>
              <w:left w:val="single" w:sz="4" w:space="0" w:color="000000"/>
              <w:right w:val="single" w:sz="4" w:space="0" w:color="000000"/>
            </w:tcBorders>
          </w:tcPr>
          <w:p>
            <w:pPr/>
          </w:p>
        </w:tc>
      </w:tr>
      <w:tr>
        <w:trPr>
          <w:trHeight w:val="161" w:hRule="exact"/>
        </w:trPr>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4" w:type="dxa"/>
            <w:vMerge/>
            <w:tcBorders>
              <w:left w:val="single" w:sz="9" w:space="0" w:color="D2D2D2"/>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55" w:type="dxa"/>
            <w:vMerge/>
            <w:tcBorders>
              <w:left w:val="single" w:sz="4" w:space="0" w:color="000000"/>
              <w:bottom w:val="single" w:sz="4" w:space="0" w:color="000000"/>
              <w:right w:val="single" w:sz="4" w:space="0" w:color="000000"/>
            </w:tcBorders>
          </w:tcPr>
          <w:p>
            <w:pPr/>
          </w:p>
        </w:tc>
      </w:tr>
      <w:tr>
        <w:trPr>
          <w:trHeight w:val="402"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274,226,349.96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219,381,204.09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36,921,522.19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22,779,260.92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主要系报告期采购的存货增加所致。</w:t>
            </w:r>
          </w:p>
        </w:tc>
      </w:tr>
      <w:tr>
        <w:trPr>
          <w:trHeight w:val="161" w:hRule="exact"/>
        </w:trPr>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7,103,313.40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0.15%</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3,713,989.47</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0.08%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0.07%</w:t>
            </w:r>
          </w:p>
        </w:tc>
        <w:tc>
          <w:tcPr>
            <w:tcW w:w="2955"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主要系报告期已出租的房屋从固定资 产转入所致。</w:t>
            </w:r>
          </w:p>
        </w:tc>
      </w:tr>
      <w:tr>
        <w:trPr>
          <w:trHeight w:val="392" w:hRule="exact"/>
        </w:trPr>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94" w:type="dxa"/>
            <w:vMerge/>
            <w:tcBorders>
              <w:left w:val="single" w:sz="9" w:space="0" w:color="D2D2D2"/>
              <w:right w:val="single" w:sz="4" w:space="0" w:color="000000"/>
            </w:tcBorders>
          </w:tcPr>
          <w:p>
            <w:pPr/>
          </w:p>
        </w:tc>
        <w:tc>
          <w:tcPr>
            <w:tcW w:w="934"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55" w:type="dxa"/>
            <w:vMerge/>
            <w:tcBorders>
              <w:left w:val="single" w:sz="4" w:space="0" w:color="000000"/>
              <w:right w:val="single" w:sz="4" w:space="0" w:color="000000"/>
            </w:tcBorders>
          </w:tcPr>
          <w:p>
            <w:pPr/>
          </w:p>
        </w:tc>
      </w:tr>
      <w:tr>
        <w:trPr>
          <w:trHeight w:val="161" w:hRule="exact"/>
        </w:trPr>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4" w:type="dxa"/>
            <w:vMerge/>
            <w:tcBorders>
              <w:left w:val="single" w:sz="9" w:space="0" w:color="D2D2D2"/>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55" w:type="dxa"/>
            <w:vMerge/>
            <w:tcBorders>
              <w:left w:val="single" w:sz="4" w:space="0" w:color="000000"/>
              <w:bottom w:val="single" w:sz="4" w:space="0" w:color="000000"/>
              <w:right w:val="single" w:sz="4" w:space="0" w:color="000000"/>
            </w:tcBorders>
          </w:tcPr>
          <w:p>
            <w:pPr/>
          </w:p>
        </w:tc>
      </w:tr>
      <w:tr>
        <w:trPr>
          <w:trHeight w:val="402" w:hRule="exact"/>
        </w:trPr>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255,909,591.53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172,814,922.09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主要系报告期新增投资合思益远、海</w:t>
            </w:r>
          </w:p>
        </w:tc>
      </w:tr>
    </w:tbl>
    <w:p>
      <w:pPr>
        <w:spacing w:after="0" w:line="240" w:lineRule="auto"/>
        <w:jc w:val="righ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44"/>
        <w:ind w:left="0" w:right="1101"/>
        <w:jc w:val="right"/>
      </w:pPr>
      <w:r>
        <w:rPr/>
        <w:pict>
          <v:shape style="position:absolute;margin-left:47.700001pt;margin-top:-135.088287pt;width:489.85pt;height:353.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4"/>
                    <w:gridCol w:w="1294"/>
                    <w:gridCol w:w="934"/>
                    <w:gridCol w:w="1335"/>
                    <w:gridCol w:w="924"/>
                    <w:gridCol w:w="798"/>
                    <w:gridCol w:w="2955"/>
                  </w:tblGrid>
                  <w:tr>
                    <w:trPr>
                      <w:trHeight w:val="362"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南元游和广州炫动等公司所致。</w:t>
                        </w:r>
                      </w:p>
                    </w:tc>
                  </w:tr>
                  <w:tr>
                    <w:trPr>
                      <w:trHeight w:val="402"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51,705,106.11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57,772,448.16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9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9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9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40,751,899.97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14,134,737.04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主要系报告期采购预付款增加所致。</w:t>
                        </w:r>
                      </w:p>
                    </w:tc>
                  </w:tr>
                  <w:tr>
                    <w:trPr>
                      <w:trHeight w:val="714" w:hRule="exact"/>
                    </w:trPr>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77,003,811.86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30,259,430.12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主要系报告期支付并购诚意金等所 </w:t>
                        </w:r>
                        <w:r>
                          <w:rPr>
                            <w:rFonts w:ascii="宋体" w:hAnsi="宋体" w:cs="宋体" w:eastAsia="宋体" w:hint="default"/>
                            <w:spacing w:val="-5"/>
                            <w:sz w:val="18"/>
                            <w:szCs w:val="18"/>
                          </w:rPr>
                          <w:t>致，并购诚意金已于年报披露前收回</w:t>
                        </w:r>
                      </w:p>
                    </w:tc>
                  </w:tr>
                  <w:tr>
                    <w:trPr>
                      <w:trHeight w:val="1338" w:hRule="exact"/>
                    </w:trPr>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325,508,325.00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129,607,116.00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主要系报告期新增初见科技投资款 </w:t>
                        </w:r>
                        <w:r>
                          <w:rPr>
                            <w:rFonts w:ascii="Times New Roman" w:hAnsi="Times New Roman" w:cs="Times New Roman" w:eastAsia="Times New Roman" w:hint="default"/>
                            <w:sz w:val="18"/>
                            <w:szCs w:val="18"/>
                          </w:rPr>
                          <w:t>1.44 </w:t>
                        </w:r>
                        <w:r>
                          <w:rPr>
                            <w:rFonts w:ascii="宋体" w:hAnsi="宋体" w:cs="宋体" w:eastAsia="宋体" w:hint="default"/>
                            <w:sz w:val="18"/>
                            <w:szCs w:val="18"/>
                          </w:rPr>
                          <w:t>亿元，海南奇遇投资款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元等；计提银河数娱投资减值准备 </w:t>
                        </w:r>
                        <w:r>
                          <w:rPr>
                            <w:rFonts w:ascii="Times New Roman" w:hAnsi="Times New Roman" w:cs="Times New Roman" w:eastAsia="Times New Roman" w:hint="default"/>
                            <w:sz w:val="18"/>
                            <w:szCs w:val="18"/>
                          </w:rPr>
                          <w:t>1,400 </w:t>
                        </w:r>
                        <w:r>
                          <w:rPr>
                            <w:rFonts w:ascii="宋体" w:hAnsi="宋体" w:cs="宋体" w:eastAsia="宋体" w:hint="default"/>
                            <w:sz w:val="18"/>
                            <w:szCs w:val="18"/>
                          </w:rPr>
                          <w:t>万元。</w:t>
                        </w:r>
                      </w:p>
                    </w:tc>
                  </w:tr>
                  <w:tr>
                    <w:trPr>
                      <w:trHeight w:val="402" w:hRule="exact"/>
                    </w:trPr>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29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278,617,929.37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210,167,583.24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主要系报告期应付采购款增加所致。</w:t>
                        </w:r>
                      </w:p>
                    </w:tc>
                  </w:tr>
                  <w:tr>
                    <w:trPr>
                      <w:trHeight w:val="402" w:hRule="exact"/>
                    </w:trPr>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27,160,677.58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15,237,275.69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主要系报告期预收货款增加所致。</w:t>
                        </w:r>
                      </w:p>
                    </w:tc>
                  </w:tr>
                  <w:tr>
                    <w:trPr>
                      <w:trHeight w:val="714" w:hRule="exact"/>
                    </w:trPr>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25,389,327.61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36,518,268.46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主要系子公司神奇时代利润同比减 少，增值税和企业所得税减少所致。</w:t>
                        </w:r>
                      </w:p>
                    </w:tc>
                  </w:tr>
                  <w:tr>
                    <w:trPr>
                      <w:trHeight w:val="714" w:hRule="exact"/>
                    </w:trPr>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117,097,491.29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199,693,427.82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主要系报告期支付游爱网络的股权转 让款所致。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left="1134" w:right="1117"/>
        <w:jc w:val="left"/>
        <w:rPr>
          <w:b w:val="0"/>
          <w:bCs w:val="0"/>
        </w:rPr>
      </w:pPr>
      <w:bookmarkStart w:name="2、以公允价值计量的资产和负债" w:id="40"/>
      <w:bookmarkEnd w:id="40"/>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33" w:right="1117"/>
        <w:jc w:val="left"/>
        <w:rPr>
          <w:b w:val="0"/>
          <w:bCs w:val="0"/>
        </w:rPr>
      </w:pPr>
      <w:bookmarkStart w:name="3、截至报告期末的资产权利受限情况" w:id="41"/>
      <w:bookmarkEnd w:id="41"/>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tbl>
      <w:tblPr>
        <w:tblW w:w="0" w:type="auto"/>
        <w:jc w:val="left"/>
        <w:tblInd w:w="1101"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47,000,000.00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定期存款</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2"/>
        <w:spacing w:line="240" w:lineRule="auto"/>
        <w:ind w:right="1117"/>
        <w:jc w:val="left"/>
        <w:rPr>
          <w:b w:val="0"/>
          <w:bCs w:val="0"/>
        </w:rPr>
      </w:pPr>
      <w:bookmarkStart w:name="五、投资状况分析" w:id="42"/>
      <w:bookmarkEnd w:id="42"/>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3" w:right="1117"/>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389,078,900.00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1,888,973,407.00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b/>
          <w:bCs/>
          <w:sz w:val="24"/>
          <w:szCs w:val="24"/>
        </w:rPr>
      </w:pPr>
    </w:p>
    <w:p>
      <w:pPr>
        <w:pStyle w:val="Heading4"/>
        <w:spacing w:line="240" w:lineRule="auto" w:before="35"/>
        <w:ind w:left="1133" w:right="1117"/>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71"/>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785"/>
        <w:gridCol w:w="528"/>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83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19"/>
              <w:jc w:val="both"/>
              <w:rPr>
                <w:rFonts w:ascii="宋体" w:hAnsi="宋体" w:cs="宋体" w:eastAsia="宋体" w:hint="default"/>
                <w:sz w:val="18"/>
                <w:szCs w:val="18"/>
              </w:rPr>
            </w:pPr>
            <w:r>
              <w:rPr>
                <w:rFonts w:ascii="宋体" w:hAnsi="宋体" w:cs="宋体" w:eastAsia="宋体" w:hint="default"/>
                <w:sz w:val="18"/>
                <w:szCs w:val="18"/>
              </w:rPr>
              <w:t>北京初 见科技 有限公 司</w:t>
            </w:r>
          </w:p>
        </w:tc>
        <w:tc>
          <w:tcPr>
            <w:tcW w:w="69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pacing w:val="32"/>
                <w:sz w:val="18"/>
                <w:szCs w:val="18"/>
              </w:rPr>
              <w:t>游戏发</w:t>
            </w:r>
            <w:r>
              <w:rPr>
                <w:rFonts w:ascii="宋体" w:hAnsi="宋体" w:cs="宋体" w:eastAsia="宋体" w:hint="default"/>
                <w:spacing w:val="-42"/>
                <w:sz w:val="18"/>
                <w:szCs w:val="18"/>
              </w:rPr>
              <w:t> </w:t>
            </w:r>
            <w:r>
              <w:rPr>
                <w:rFonts w:ascii="宋体" w:hAnsi="宋体" w:cs="宋体" w:eastAsia="宋体" w:hint="default"/>
                <w:sz w:val="18"/>
                <w:szCs w:val="18"/>
              </w:rPr>
              <w:t>行</w:t>
            </w:r>
          </w:p>
        </w:tc>
        <w:tc>
          <w:tcPr>
            <w:tcW w:w="6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69"/>
              <w:jc w:val="righ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144,000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98" w:right="0"/>
              <w:jc w:val="left"/>
              <w:rPr>
                <w:rFonts w:ascii="Times New Roman" w:hAnsi="Times New Roman" w:cs="Times New Roman" w:eastAsia="Times New Roman" w:hint="default"/>
                <w:sz w:val="18"/>
                <w:szCs w:val="18"/>
              </w:rPr>
            </w:pPr>
            <w:r>
              <w:rPr>
                <w:rFonts w:ascii="Times New Roman"/>
                <w:sz w:val="18"/>
              </w:rPr>
              <w:t>27%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0"/>
              <w:jc w:val="both"/>
              <w:rPr>
                <w:rFonts w:ascii="宋体" w:hAnsi="宋体" w:cs="宋体" w:eastAsia="宋体" w:hint="default"/>
                <w:sz w:val="18"/>
                <w:szCs w:val="18"/>
              </w:rPr>
            </w:pPr>
            <w:r>
              <w:rPr>
                <w:rFonts w:ascii="宋体" w:hAnsi="宋体" w:cs="宋体" w:eastAsia="宋体" w:hint="default"/>
                <w:sz w:val="18"/>
                <w:szCs w:val="18"/>
              </w:rPr>
              <w:t>方小奇、 游族网络 股份有限 公司、创 想力量</w:t>
            </w:r>
          </w:p>
          <w:p>
            <w:pPr>
              <w:pStyle w:val="TableParagraph"/>
              <w:spacing w:line="319" w:lineRule="auto" w:before="19"/>
              <w:ind w:left="22" w:right="30"/>
              <w:jc w:val="left"/>
              <w:rPr>
                <w:rFonts w:ascii="宋体" w:hAnsi="宋体" w:cs="宋体" w:eastAsia="宋体" w:hint="default"/>
                <w:sz w:val="18"/>
                <w:szCs w:val="18"/>
              </w:rPr>
            </w:pPr>
            <w:r>
              <w:rPr>
                <w:rFonts w:ascii="宋体" w:hAnsi="宋体" w:cs="宋体" w:eastAsia="宋体" w:hint="default"/>
                <w:sz w:val="18"/>
                <w:szCs w:val="18"/>
              </w:rPr>
              <w:t>（北京） 网络科技 有限公 司、深圳 墨麟科技 股份有限 公司</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10"/>
              <w:jc w:val="center"/>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9"/>
              <w:jc w:val="left"/>
              <w:rPr>
                <w:rFonts w:ascii="宋体" w:hAnsi="宋体" w:cs="宋体" w:eastAsia="宋体" w:hint="default"/>
                <w:sz w:val="18"/>
                <w:szCs w:val="18"/>
              </w:rPr>
            </w:pPr>
            <w:r>
              <w:rPr>
                <w:rFonts w:ascii="宋体" w:hAnsi="宋体" w:cs="宋体" w:eastAsia="宋体" w:hint="default"/>
                <w:spacing w:val="20"/>
                <w:sz w:val="18"/>
                <w:szCs w:val="18"/>
              </w:rPr>
              <w:t>股权投</w:t>
            </w:r>
            <w:r>
              <w:rPr>
                <w:rFonts w:ascii="宋体" w:hAnsi="宋体" w:cs="宋体" w:eastAsia="宋体" w:hint="default"/>
                <w:spacing w:val="-59"/>
                <w:sz w:val="18"/>
                <w:szCs w:val="18"/>
              </w:rPr>
              <w:t> </w:t>
            </w:r>
            <w:r>
              <w:rPr>
                <w:rFonts w:ascii="宋体" w:hAnsi="宋体" w:cs="宋体" w:eastAsia="宋体" w:hint="default"/>
                <w:sz w:val="18"/>
                <w:szCs w:val="18"/>
              </w:rPr>
              <w:t>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2017-07-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62" w:lineRule="auto"/>
              <w:ind w:left="23" w:right="24"/>
              <w:jc w:val="left"/>
              <w:rPr>
                <w:rFonts w:ascii="Times New Roman" w:hAnsi="Times New Roman" w:cs="Times New Roman" w:eastAsia="Times New Roman" w:hint="default"/>
                <w:sz w:val="18"/>
                <w:szCs w:val="18"/>
              </w:rPr>
            </w:pPr>
            <w:hyperlink r:id="rId16">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tc>
      </w:tr>
      <w:tr>
        <w:trPr>
          <w:trHeight w:val="1379"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144,000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1134" w:right="1117"/>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33" w:right="1117"/>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33" w:right="1117"/>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3" w:right="1117"/>
        <w:jc w:val="left"/>
        <w:rPr>
          <w:b w:val="0"/>
          <w:bCs w:val="0"/>
        </w:rPr>
      </w:pPr>
      <w:bookmarkStart w:name="（1）募集资金总体使用情况" w:id="48"/>
      <w:bookmarkEnd w:id="4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71"/>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63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37,946.27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31,144.70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9,633.454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存放于募 集资金专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322" w:hRule="exact"/>
        </w:trPr>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22,578.20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22,578.20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946" w:hRule="exact"/>
        </w:trPr>
        <w:tc>
          <w:tcPr>
            <w:tcW w:w="866"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4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114,350.28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35,486.86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80,150.84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35,025.843</w:t>
            </w:r>
          </w:p>
        </w:tc>
        <w:tc>
          <w:tcPr>
            <w:tcW w:w="870" w:type="dxa"/>
            <w:tcBorders>
              <w:top w:val="single" w:sz="4" w:space="0" w:color="000000"/>
              <w:left w:val="single" w:sz="4" w:space="0" w:color="000000"/>
              <w:bottom w:val="single" w:sz="20" w:space="0" w:color="D2D2D2"/>
              <w:right w:val="single" w:sz="4" w:space="0" w:color="000000"/>
            </w:tcBorders>
          </w:tcPr>
          <w:p>
            <w:pPr>
              <w:pStyle w:val="TableParagraph"/>
              <w:spacing w:line="319" w:lineRule="auto" w:before="10"/>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6"/>
              <w:jc w:val="righ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174,874.75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35,486.86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133,873.74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44,659.30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1091"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（一）募集资金总体使用情况说明</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年首次公开发行股票</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[2010]1697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号核准，并经深圳证券交易所同意，由主承销商海通证券股份有限公司采 用网下询价配售与网上资金申购定价发行相结合的方式，向社会公开发行人民币普通股（</w:t>
            </w:r>
            <w:r>
              <w:rPr>
                <w:rFonts w:ascii="Times New Roman" w:hAnsi="Times New Roman" w:cs="Times New Roman" w:eastAsia="Times New Roman" w:hint="default"/>
                <w:sz w:val="18"/>
                <w:szCs w:val="18"/>
              </w:rPr>
              <w:t>A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1,900 </w:t>
            </w:r>
            <w:r>
              <w:rPr>
                <w:rFonts w:ascii="宋体" w:hAnsi="宋体" w:cs="宋体" w:eastAsia="宋体" w:hint="default"/>
                <w:sz w:val="18"/>
                <w:szCs w:val="18"/>
              </w:rPr>
              <w:t>万</w:t>
            </w:r>
            <w:r>
              <w:rPr>
                <w:rFonts w:ascii="宋体" w:hAnsi="宋体" w:cs="宋体" w:eastAsia="宋体" w:hint="default"/>
                <w:spacing w:val="-28"/>
                <w:sz w:val="18"/>
                <w:szCs w:val="18"/>
              </w:rPr>
              <w:t> </w:t>
            </w:r>
            <w:r>
              <w:rPr>
                <w:rFonts w:ascii="宋体" w:hAnsi="宋体" w:cs="宋体" w:eastAsia="宋体" w:hint="default"/>
                <w:spacing w:val="-3"/>
                <w:sz w:val="18"/>
                <w:szCs w:val="18"/>
              </w:rPr>
              <w:t>股，发行价格为</w:t>
            </w:r>
            <w:r>
              <w:rPr>
                <w:rFonts w:ascii="宋体" w:hAnsi="宋体" w:cs="宋体" w:eastAsia="宋体" w:hint="default"/>
                <w:sz w:val="18"/>
                <w:szCs w:val="18"/>
              </w:rPr>
              <w:t> 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21.88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元。募集资金总额</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41,572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万元，扣除海通证券股份有限公司的承销费和保荐费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2,997.16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万元，募集资金人民币</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38,574.84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万元，已由主承销商海通证券股份有限公司于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日汇入本公司账户，扣除交易所的发行手续费等发</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行费用人民币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628.572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万元后，募集资金净额为人民币</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37,946.268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万元。上述资金到位情况业经天职国际会计师事务所有 限公司验证，并出具天职湘核字</w:t>
            </w:r>
            <w:r>
              <w:rPr>
                <w:rFonts w:ascii="Times New Roman" w:hAnsi="Times New Roman" w:cs="Times New Roman" w:eastAsia="Times New Roman" w:hint="default"/>
                <w:sz w:val="18"/>
                <w:szCs w:val="18"/>
              </w:rPr>
              <w:t>[2010]442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号验资报告。公司对募集资金采取了专户存储制度。</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w:t>
            </w:r>
          </w:p>
          <w:p>
            <w:pPr>
              <w:pStyle w:val="TableParagraph"/>
              <w:spacing w:line="300"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日，经中国证券监督管理委员会《关于核准天舟文化股份有限公司向李桂华等发行股份购买资产并募集配 套资金的批复》（证监许可字</w:t>
            </w:r>
            <w:r>
              <w:rPr>
                <w:rFonts w:ascii="Times New Roman" w:hAnsi="Times New Roman" w:cs="Times New Roman" w:eastAsia="Times New Roman" w:hint="default"/>
                <w:sz w:val="18"/>
                <w:szCs w:val="18"/>
              </w:rPr>
              <w:t>[2014]416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号文件）核准，公司向特定投资者章浩、陈伟娟、茅惠芳、财通基金管理有限公 司发行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1,839.5879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万股，每股面值人民币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元，每股作价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13.59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股，共募集配套资金总额为人民币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24,999.999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万元，扣</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除与发行有关的费用人民币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2,421.80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万元，实际募资收购北京神奇时代网络有限公司全部股权资金净额为人民币</w:t>
            </w:r>
          </w:p>
          <w:p>
            <w:pPr>
              <w:pStyle w:val="TableParagraph"/>
              <w:spacing w:line="300" w:lineRule="auto" w:before="63"/>
              <w:ind w:left="22"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22,578.199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日，上述发行募集的资金已全部到位，经天职国际会计师事务所（特殊普通合伙） 验证，并出具天职业字</w:t>
            </w:r>
            <w:r>
              <w:rPr>
                <w:rFonts w:ascii="Times New Roman" w:hAnsi="Times New Roman" w:cs="Times New Roman" w:eastAsia="Times New Roman" w:hint="default"/>
                <w:sz w:val="18"/>
                <w:szCs w:val="18"/>
              </w:rPr>
              <w:t>[2014]9367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w:t>
            </w:r>
          </w:p>
          <w:p>
            <w:pPr>
              <w:pStyle w:val="TableParagraph"/>
              <w:spacing w:line="240" w:lineRule="auto" w:before="5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w:t>
            </w:r>
          </w:p>
          <w:p>
            <w:pPr>
              <w:pStyle w:val="TableParagraph"/>
              <w:spacing w:line="300" w:lineRule="auto" w:before="63"/>
              <w:ind w:left="22"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日，经中国证券监督管理委员会《关于核准天舟文化股份有限公司向袁雄贵等发行股份购买资产并募集配 套资金的批复》（证监许可</w:t>
            </w:r>
            <w:r>
              <w:rPr>
                <w:rFonts w:ascii="Times New Roman" w:hAnsi="Times New Roman" w:cs="Times New Roman" w:eastAsia="Times New Roman" w:hint="default"/>
                <w:sz w:val="18"/>
                <w:szCs w:val="18"/>
              </w:rPr>
              <w:t>[2016]1585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号）核准，公司向宝盈基金管理有限公司、北信瑞丰基金管理有限公司、财通基金 </w:t>
            </w:r>
            <w:r>
              <w:rPr>
                <w:rFonts w:ascii="宋体" w:hAnsi="宋体" w:cs="宋体" w:eastAsia="宋体" w:hint="default"/>
                <w:spacing w:val="-3"/>
                <w:sz w:val="18"/>
                <w:szCs w:val="18"/>
              </w:rPr>
              <w:t>管理有限公司、安信基金管理有限责任公司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名投资者非公开发行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6,998.1814</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万股，每股面值人民币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元，每股作价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16.34</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股，共募集配套资金总额为人民币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114,350.2841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万元，扣除与发行有关的费用人民币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3,826.6529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万元，实际募资资金净</w:t>
            </w:r>
          </w:p>
          <w:p>
            <w:pPr>
              <w:pStyle w:val="TableParagraph"/>
              <w:spacing w:line="302" w:lineRule="auto" w:before="63"/>
              <w:ind w:left="22" w:right="81"/>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110,523.6312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日，上述发行募集的资金已全部到位，经天职国际会计师事务所（特 殊普通合伙）验证，并出具天职业字</w:t>
            </w:r>
            <w:r>
              <w:rPr>
                <w:rFonts w:ascii="Times New Roman" w:hAnsi="Times New Roman" w:cs="Times New Roman" w:eastAsia="Times New Roman" w:hint="default"/>
                <w:sz w:val="18"/>
                <w:szCs w:val="18"/>
              </w:rPr>
              <w:t>[2016]14836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p>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（二）募集资金以前年度使用金额</w:t>
            </w:r>
          </w:p>
          <w:p>
            <w:pPr>
              <w:pStyle w:val="TableParagraph"/>
              <w:spacing w:line="240" w:lineRule="auto" w:before="115"/>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年首次公开发行股票募集资金累计使用情况</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本公司以前年度累计使用募集资金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311,447,045.27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元。其中：置换预先已投入内容策划与图书发行项目的自筹资金</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20,029,336.73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元；内容策划与图书发行项目使用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56,013,063.27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元；营销网络建设项目使用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2,308,572.55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元；管理信息与出</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版创意平台软件款项目使用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2,026,541.00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元；投资设立浙江天舟图书有限责任公司使用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元；投资设立北京北</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舟文化传媒有限责任公司使用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29,400,000.00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元；设立北京事业部使用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元；投资设立北京东方天舟教育科技</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有限公司使用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元；超募资金永久补充流动资金使用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元；教育内容资源研发与服务平台使用超</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4,171,131.72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元；并购神奇时代股权使用超募资金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108,998,400.00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募集资金专用账户以前年度共取得利息收入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27,667,960.25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元，支付银行手续费及账户管理费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27,575.29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年非公开发行股票募集的资金累计使用情况</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年公司累计支付募集资金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225,781,992.52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元，全部用于收购北京神奇时代网络有限公司的股权。</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年非公开发行股票募集的资金累计使用情况</w:t>
            </w:r>
          </w:p>
          <w:p>
            <w:pPr>
              <w:pStyle w:val="TableParagraph"/>
              <w:spacing w:line="240" w:lineRule="auto" w:before="102"/>
              <w:ind w:left="22" w:right="0"/>
              <w:jc w:val="both"/>
              <w:rPr>
                <w:rFonts w:ascii="宋体" w:hAnsi="宋体" w:cs="宋体" w:eastAsia="宋体" w:hint="default"/>
                <w:sz w:val="18"/>
                <w:szCs w:val="18"/>
              </w:rPr>
            </w:pPr>
            <w:r>
              <w:rPr>
                <w:rFonts w:ascii="宋体" w:hAnsi="宋体" w:cs="宋体" w:eastAsia="宋体" w:hint="default"/>
                <w:sz w:val="18"/>
                <w:szCs w:val="18"/>
              </w:rPr>
              <w:t>本公司以前年度累计使用募集资金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446,639,795.38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元。其中：为支付游爱网络并购项目现金对价使用募集资金</w:t>
            </w:r>
          </w:p>
        </w:tc>
      </w:tr>
    </w:tbl>
    <w:p>
      <w:pPr>
        <w:spacing w:after="0" w:line="240" w:lineRule="auto"/>
        <w:jc w:val="both"/>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240" w:lineRule="auto"/>
        <w:ind w:left="1161" w:right="1117"/>
        <w:jc w:val="left"/>
      </w:pPr>
      <w:r>
        <w:rPr/>
        <w:pict>
          <v:group style="position:absolute;margin-left:56.459999pt;margin-top:-1.248257pt;width:478.7pt;height:383.95pt;mso-position-horizontal-relative:page;mso-position-vertical-relative:paragraph;z-index:-947848" coordorigin="1129,-25" coordsize="9574,7679">
            <v:group style="position:absolute;left:1139;top:-15;width:9555;height:2" coordorigin="1139,-15" coordsize="9555,2">
              <v:shape style="position:absolute;left:1139;top:-15;width:9555;height:2" coordorigin="1139,-15" coordsize="9555,0" path="m1139,-15l10693,-15e" filled="false" stroked="true" strokeweight=".48pt" strokecolor="#000000">
                <v:path arrowok="t"/>
              </v:shape>
            </v:group>
            <v:group style="position:absolute;left:1134;top:-20;width:2;height:7669" coordorigin="1134,-20" coordsize="2,7669">
              <v:shape style="position:absolute;left:1134;top:-20;width:2;height:7669" coordorigin="1134,-20" coordsize="0,7669" path="m1134,-20l1134,7649e" filled="false" stroked="true" strokeweight=".48pt" strokecolor="#000000">
                <v:path arrowok="t"/>
              </v:shape>
            </v:group>
            <v:group style="position:absolute;left:1139;top:7644;width:9555;height:2" coordorigin="1139,7644" coordsize="9555,2">
              <v:shape style="position:absolute;left:1139;top:7644;width:9555;height:2" coordorigin="1139,7644" coordsize="9555,0" path="m1139,7644l10693,7644e" filled="false" stroked="true" strokeweight=".48pt" strokecolor="#000000">
                <v:path arrowok="t"/>
              </v:shape>
            </v:group>
            <v:group style="position:absolute;left:10698;top:-20;width:2;height:7669" coordorigin="10698,-20" coordsize="2,7669">
              <v:shape style="position:absolute;left:10698;top:-20;width:2;height:7669" coordorigin="10698,-20" coordsize="0,7669" path="m10698,-20l10698,7649e" filled="false" stroked="true" strokeweight=".48pt" strokecolor="#000000">
                <v:path arrowok="t"/>
              </v:shape>
            </v:group>
            <w10:wrap type="none"/>
          </v:group>
        </w:pict>
      </w:r>
      <w:r>
        <w:rPr>
          <w:rFonts w:ascii="Times New Roman" w:hAnsi="Times New Roman" w:cs="Times New Roman" w:eastAsia="Times New Roman" w:hint="default"/>
        </w:rPr>
        <w:t>349,721,010.38</w:t>
      </w:r>
      <w:r>
        <w:rPr>
          <w:rFonts w:ascii="Times New Roman" w:hAnsi="Times New Roman" w:cs="Times New Roman" w:eastAsia="Times New Roman" w:hint="default"/>
          <w:spacing w:val="-2"/>
        </w:rPr>
        <w:t> </w:t>
      </w:r>
      <w:r>
        <w:rPr/>
        <w:t>元，支付游爱网络并购项目中介费用及交易税费使用募集资金</w:t>
      </w:r>
      <w:r>
        <w:rPr>
          <w:spacing w:val="-48"/>
        </w:rPr>
        <w:t> </w:t>
      </w:r>
      <w:r>
        <w:rPr>
          <w:rFonts w:ascii="Times New Roman" w:hAnsi="Times New Roman" w:cs="Times New Roman" w:eastAsia="Times New Roman" w:hint="default"/>
        </w:rPr>
        <w:t>36,918,785.00</w:t>
      </w:r>
      <w:r>
        <w:rPr>
          <w:rFonts w:ascii="Times New Roman" w:hAnsi="Times New Roman" w:cs="Times New Roman" w:eastAsia="Times New Roman" w:hint="default"/>
          <w:spacing w:val="-2"/>
        </w:rPr>
        <w:t> </w:t>
      </w:r>
      <w:r>
        <w:rPr/>
        <w:t>元，补充流动资金使用募集资</w:t>
      </w:r>
    </w:p>
    <w:p>
      <w:pPr>
        <w:pStyle w:val="BodyText"/>
        <w:spacing w:line="240" w:lineRule="auto" w:before="63"/>
        <w:ind w:left="1161" w:right="1117"/>
        <w:jc w:val="left"/>
      </w:pPr>
      <w:r>
        <w:rPr/>
        <w:t>金</w:t>
      </w:r>
      <w:r>
        <w:rPr>
          <w:spacing w:val="-47"/>
        </w:rPr>
        <w:t> </w:t>
      </w:r>
      <w:r>
        <w:rPr>
          <w:rFonts w:ascii="Times New Roman" w:hAnsi="Times New Roman" w:cs="Times New Roman" w:eastAsia="Times New Roman" w:hint="default"/>
        </w:rPr>
        <w:t>60,000,000.00</w:t>
      </w:r>
      <w:r>
        <w:rPr>
          <w:rFonts w:ascii="Times New Roman" w:hAnsi="Times New Roman" w:cs="Times New Roman" w:eastAsia="Times New Roman" w:hint="default"/>
          <w:spacing w:val="-1"/>
        </w:rPr>
        <w:t> </w:t>
      </w:r>
      <w:r>
        <w:rPr/>
        <w:t>元。</w:t>
      </w:r>
    </w:p>
    <w:p>
      <w:pPr>
        <w:pStyle w:val="BodyText"/>
        <w:spacing w:line="240" w:lineRule="auto" w:before="64"/>
        <w:ind w:left="1161" w:right="1117"/>
        <w:jc w:val="left"/>
      </w:pPr>
      <w:r>
        <w:rPr/>
        <w:t>募集资金专用账户以前年度取得利息收入</w:t>
      </w:r>
      <w:r>
        <w:rPr>
          <w:spacing w:val="-47"/>
        </w:rPr>
        <w:t> </w:t>
      </w:r>
      <w:r>
        <w:rPr>
          <w:rFonts w:ascii="Times New Roman" w:hAnsi="Times New Roman" w:cs="Times New Roman" w:eastAsia="Times New Roman" w:hint="default"/>
        </w:rPr>
        <w:t>2,234,531.41</w:t>
      </w:r>
      <w:r>
        <w:rPr>
          <w:rFonts w:ascii="Times New Roman" w:hAnsi="Times New Roman" w:cs="Times New Roman" w:eastAsia="Times New Roman" w:hint="default"/>
          <w:spacing w:val="-1"/>
        </w:rPr>
        <w:t> </w:t>
      </w:r>
      <w:r>
        <w:rPr/>
        <w:t>元，支付银行手续费及账户管理费</w:t>
      </w:r>
      <w:r>
        <w:rPr>
          <w:spacing w:val="-47"/>
        </w:rPr>
        <w:t> </w:t>
      </w:r>
      <w:r>
        <w:rPr>
          <w:rFonts w:ascii="Times New Roman" w:hAnsi="Times New Roman" w:cs="Times New Roman" w:eastAsia="Times New Roman" w:hint="default"/>
        </w:rPr>
        <w:t>3,406.23</w:t>
      </w:r>
      <w:r>
        <w:rPr>
          <w:rFonts w:ascii="Times New Roman" w:hAnsi="Times New Roman" w:cs="Times New Roman" w:eastAsia="Times New Roman" w:hint="default"/>
          <w:spacing w:val="-2"/>
        </w:rPr>
        <w:t> </w:t>
      </w:r>
      <w:r>
        <w:rPr/>
        <w:t>元。</w:t>
      </w:r>
    </w:p>
    <w:p>
      <w:pPr>
        <w:pStyle w:val="BodyText"/>
        <w:spacing w:line="240" w:lineRule="auto" w:before="102"/>
        <w:ind w:left="1161" w:right="1117"/>
        <w:jc w:val="left"/>
      </w:pPr>
      <w:r>
        <w:rPr/>
        <w:t>（</w:t>
      </w:r>
      <w:r>
        <w:rPr>
          <w:rFonts w:ascii="Times New Roman" w:hAnsi="Times New Roman" w:cs="Times New Roman" w:eastAsia="Times New Roman" w:hint="default"/>
        </w:rPr>
        <w:t>4</w:t>
      </w:r>
      <w:r>
        <w:rPr/>
        <w:t>）部分闲置募集资金暂时性补充流动资金</w:t>
      </w:r>
    </w:p>
    <w:p>
      <w:pPr>
        <w:pStyle w:val="BodyText"/>
        <w:spacing w:line="240" w:lineRule="auto" w:before="63"/>
        <w:ind w:left="1161" w:right="1117"/>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16 </w:t>
      </w:r>
      <w:r>
        <w:rPr/>
        <w:t>日，本公司第二届董事会第四十九次会议审议通过了《关于使用部分闲置募集资金暂时补充流动资金的议</w:t>
      </w:r>
    </w:p>
    <w:p>
      <w:pPr>
        <w:pStyle w:val="BodyText"/>
        <w:spacing w:line="240" w:lineRule="auto" w:before="63"/>
        <w:ind w:left="1161" w:right="1117"/>
        <w:jc w:val="left"/>
      </w:pPr>
      <w:r>
        <w:rPr/>
        <w:t>案》，同意使用部分闲置募集资金</w:t>
      </w:r>
      <w:r>
        <w:rPr>
          <w:spacing w:val="-47"/>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2"/>
        </w:rPr>
        <w:t> </w:t>
      </w:r>
      <w:r>
        <w:rPr/>
        <w:t>万元暂时补充流动资金，使用期限自董事会审议批准实施之日起不超过</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w:t>
      </w:r>
    </w:p>
    <w:p>
      <w:pPr>
        <w:pStyle w:val="BodyText"/>
        <w:spacing w:line="300" w:lineRule="auto" w:before="63"/>
        <w:ind w:left="1161" w:right="1225"/>
        <w:jc w:val="left"/>
      </w:pPr>
      <w:r>
        <w:rPr/>
        <w:t>月，到期将归还至募集资金专户。公司</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年使用</w:t>
      </w:r>
      <w:r>
        <w:rPr>
          <w:spacing w:val="-50"/>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5"/>
        </w:rPr>
        <w:t> </w:t>
      </w:r>
      <w:r>
        <w:rPr/>
        <w:t>万元募集资金补充流动资金，且已于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月归还至募集 资金专户。</w:t>
      </w:r>
    </w:p>
    <w:p>
      <w:pPr>
        <w:pStyle w:val="BodyText"/>
        <w:spacing w:line="240" w:lineRule="auto" w:before="32"/>
        <w:ind w:left="1161" w:right="1117"/>
        <w:jc w:val="left"/>
      </w:pPr>
      <w:r>
        <w:rPr/>
        <w:t>截至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日，公司募集资金专户余额为</w:t>
      </w:r>
      <w:r>
        <w:rPr>
          <w:spacing w:val="-46"/>
        </w:rPr>
        <w:t> </w:t>
      </w:r>
      <w:r>
        <w:rPr>
          <w:rFonts w:ascii="Times New Roman" w:hAnsi="Times New Roman" w:cs="Times New Roman" w:eastAsia="Times New Roman" w:hint="default"/>
        </w:rPr>
        <w:t>724,750,190.25 </w:t>
      </w:r>
      <w:r>
        <w:rPr/>
        <w:t>元。</w:t>
      </w:r>
    </w:p>
    <w:p>
      <w:pPr>
        <w:pStyle w:val="BodyText"/>
        <w:spacing w:line="240" w:lineRule="auto" w:before="101"/>
        <w:ind w:left="1161" w:right="1117"/>
        <w:jc w:val="left"/>
      </w:pPr>
      <w:r>
        <w:rPr/>
        <w:t>（三）</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年度募集资金使用及结余情况</w:t>
      </w:r>
    </w:p>
    <w:p>
      <w:pPr>
        <w:pStyle w:val="BodyText"/>
        <w:spacing w:line="240" w:lineRule="auto" w:before="63"/>
        <w:ind w:left="1161" w:right="111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年度募集资金使用情况如下：</w:t>
      </w:r>
    </w:p>
    <w:p>
      <w:pPr>
        <w:pStyle w:val="BodyText"/>
        <w:spacing w:line="240" w:lineRule="auto" w:before="63"/>
        <w:ind w:left="1161" w:right="111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年首次公开发行股票募集资金使用情况</w:t>
      </w:r>
    </w:p>
    <w:p>
      <w:pPr>
        <w:pStyle w:val="BodyText"/>
        <w:spacing w:line="240" w:lineRule="auto" w:before="63"/>
        <w:ind w:left="1161" w:right="11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年度，募集资金专户取得利息收入</w:t>
      </w:r>
      <w:r>
        <w:rPr>
          <w:spacing w:val="-47"/>
        </w:rPr>
        <w:t> </w:t>
      </w:r>
      <w:r>
        <w:rPr>
          <w:rFonts w:ascii="Times New Roman" w:hAnsi="Times New Roman" w:cs="Times New Roman" w:eastAsia="Times New Roman" w:hint="default"/>
        </w:rPr>
        <w:t>682,351.05</w:t>
      </w:r>
      <w:r>
        <w:rPr>
          <w:rFonts w:ascii="Times New Roman" w:hAnsi="Times New Roman" w:cs="Times New Roman" w:eastAsia="Times New Roman" w:hint="default"/>
          <w:spacing w:val="-1"/>
        </w:rPr>
        <w:t> </w:t>
      </w:r>
      <w:r>
        <w:rPr/>
        <w:t>元，支付银行手续费及账户管理费</w:t>
      </w:r>
      <w:r>
        <w:rPr>
          <w:spacing w:val="-47"/>
        </w:rPr>
        <w:t> </w:t>
      </w:r>
      <w:r>
        <w:rPr>
          <w:rFonts w:ascii="Times New Roman" w:hAnsi="Times New Roman" w:cs="Times New Roman" w:eastAsia="Times New Roman" w:hint="default"/>
        </w:rPr>
        <w:t>3,835.00</w:t>
      </w:r>
      <w:r>
        <w:rPr>
          <w:rFonts w:ascii="Times New Roman" w:hAnsi="Times New Roman" w:cs="Times New Roman" w:eastAsia="Times New Roman" w:hint="default"/>
          <w:spacing w:val="-1"/>
        </w:rPr>
        <w:t> </w:t>
      </w:r>
      <w:r>
        <w:rPr/>
        <w:t>元。</w:t>
      </w:r>
    </w:p>
    <w:p>
      <w:pPr>
        <w:pStyle w:val="BodyText"/>
        <w:spacing w:line="240" w:lineRule="auto" w:before="63"/>
        <w:ind w:left="1161" w:right="1117"/>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年非公开发行股票募集的资金使用情况</w:t>
      </w:r>
    </w:p>
    <w:p>
      <w:pPr>
        <w:pStyle w:val="BodyText"/>
        <w:spacing w:line="240" w:lineRule="auto" w:before="63"/>
        <w:ind w:left="1161" w:right="1117"/>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年度，本公司累计使用募集资金</w:t>
      </w:r>
      <w:r>
        <w:rPr>
          <w:spacing w:val="-47"/>
        </w:rPr>
        <w:t> </w:t>
      </w:r>
      <w:r>
        <w:rPr>
          <w:rFonts w:ascii="Times New Roman" w:hAnsi="Times New Roman" w:cs="Times New Roman" w:eastAsia="Times New Roman" w:hint="default"/>
        </w:rPr>
        <w:t>354,868,594.21</w:t>
      </w:r>
      <w:r>
        <w:rPr>
          <w:rFonts w:ascii="Times New Roman" w:hAnsi="Times New Roman" w:cs="Times New Roman" w:eastAsia="Times New Roman" w:hint="default"/>
          <w:spacing w:val="-1"/>
        </w:rPr>
        <w:t> </w:t>
      </w:r>
      <w:r>
        <w:rPr/>
        <w:t>元，为支付游爱网络并购项目现金对价使用募集资金</w:t>
      </w:r>
      <w:r>
        <w:rPr>
          <w:spacing w:val="-47"/>
        </w:rPr>
        <w:t> </w:t>
      </w:r>
      <w:r>
        <w:rPr>
          <w:rFonts w:ascii="Times New Roman" w:hAnsi="Times New Roman" w:cs="Times New Roman" w:eastAsia="Times New Roman" w:hint="default"/>
        </w:rPr>
        <w:t>94,590,918.13</w:t>
      </w:r>
    </w:p>
    <w:p>
      <w:pPr>
        <w:pStyle w:val="BodyText"/>
        <w:spacing w:line="240" w:lineRule="auto" w:before="63"/>
        <w:ind w:left="1161" w:right="1117"/>
        <w:jc w:val="left"/>
      </w:pPr>
      <w:r>
        <w:rPr/>
        <w:t>元，支付自运营及发行平台建设使用募集资金</w:t>
      </w:r>
      <w:r>
        <w:rPr>
          <w:spacing w:val="-47"/>
        </w:rPr>
        <w:t> </w:t>
      </w:r>
      <w:r>
        <w:rPr>
          <w:rFonts w:ascii="Times New Roman" w:hAnsi="Times New Roman" w:cs="Times New Roman" w:eastAsia="Times New Roman" w:hint="default"/>
        </w:rPr>
        <w:t>22,062,932.37</w:t>
      </w:r>
      <w:r>
        <w:rPr>
          <w:rFonts w:ascii="Times New Roman" w:hAnsi="Times New Roman" w:cs="Times New Roman" w:eastAsia="Times New Roman" w:hint="default"/>
          <w:spacing w:val="-1"/>
        </w:rPr>
        <w:t> </w:t>
      </w:r>
      <w:r>
        <w:rPr/>
        <w:t>元，补充流动资金使用募集资金</w:t>
      </w:r>
      <w:r>
        <w:rPr>
          <w:spacing w:val="-47"/>
        </w:rPr>
        <w:t> </w:t>
      </w:r>
      <w:r>
        <w:rPr>
          <w:rFonts w:ascii="Times New Roman" w:hAnsi="Times New Roman" w:cs="Times New Roman" w:eastAsia="Times New Roman" w:hint="default"/>
        </w:rPr>
        <w:t>238,214,743.71</w:t>
      </w:r>
      <w:r>
        <w:rPr>
          <w:rFonts w:ascii="Times New Roman" w:hAnsi="Times New Roman" w:cs="Times New Roman" w:eastAsia="Times New Roman" w:hint="default"/>
          <w:spacing w:val="-2"/>
        </w:rPr>
        <w:t> </w:t>
      </w:r>
      <w:r>
        <w:rPr/>
        <w:t>元。</w:t>
      </w:r>
    </w:p>
    <w:p>
      <w:pPr>
        <w:pStyle w:val="BodyText"/>
        <w:spacing w:line="240" w:lineRule="auto" w:before="63"/>
        <w:ind w:left="1161" w:right="11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年度，募集资金专户取得利息收入</w:t>
      </w:r>
      <w:r>
        <w:rPr>
          <w:spacing w:val="-47"/>
        </w:rPr>
        <w:t> </w:t>
      </w:r>
      <w:r>
        <w:rPr>
          <w:rFonts w:ascii="Times New Roman" w:hAnsi="Times New Roman" w:cs="Times New Roman" w:eastAsia="Times New Roman" w:hint="default"/>
        </w:rPr>
        <w:t>6,039,986.45</w:t>
      </w:r>
      <w:r>
        <w:rPr>
          <w:rFonts w:ascii="Times New Roman" w:hAnsi="Times New Roman" w:cs="Times New Roman" w:eastAsia="Times New Roman" w:hint="default"/>
          <w:spacing w:val="-1"/>
        </w:rPr>
        <w:t> </w:t>
      </w:r>
      <w:r>
        <w:rPr/>
        <w:t>元，支付银行手续费及账户管理费</w:t>
      </w:r>
      <w:r>
        <w:rPr>
          <w:spacing w:val="-47"/>
        </w:rPr>
        <w:t> </w:t>
      </w:r>
      <w:r>
        <w:rPr>
          <w:rFonts w:ascii="Times New Roman" w:hAnsi="Times New Roman" w:cs="Times New Roman" w:eastAsia="Times New Roman" w:hint="default"/>
        </w:rPr>
        <w:t>7,134.68</w:t>
      </w:r>
      <w:r>
        <w:rPr>
          <w:rFonts w:ascii="Times New Roman" w:hAnsi="Times New Roman" w:cs="Times New Roman" w:eastAsia="Times New Roman" w:hint="default"/>
          <w:spacing w:val="-1"/>
        </w:rPr>
        <w:t> </w:t>
      </w:r>
      <w:r>
        <w:rPr/>
        <w:t>元。</w:t>
      </w:r>
    </w:p>
    <w:p>
      <w:pPr>
        <w:pStyle w:val="BodyText"/>
        <w:spacing w:line="240" w:lineRule="auto" w:before="63"/>
        <w:ind w:left="1161" w:right="1117"/>
        <w:jc w:val="left"/>
      </w:pPr>
      <w:r>
        <w:rPr/>
        <w:t>（</w:t>
      </w:r>
      <w:r>
        <w:rPr>
          <w:rFonts w:ascii="Times New Roman" w:hAnsi="Times New Roman" w:cs="Times New Roman" w:eastAsia="Times New Roman" w:hint="default"/>
        </w:rPr>
        <w:t>3</w:t>
      </w:r>
      <w:r>
        <w:rPr/>
        <w:t>）部分闲置募集资金暂时性补充流动资金</w:t>
      </w:r>
    </w:p>
    <w:p>
      <w:pPr>
        <w:pStyle w:val="BodyText"/>
        <w:spacing w:line="240" w:lineRule="auto" w:before="63"/>
        <w:ind w:left="1161" w:right="1117"/>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16 </w:t>
      </w:r>
      <w:r>
        <w:rPr/>
        <w:t>日，本公司第二届董事会第四十九次会议审议通过了《关于使用部分闲置募集资金暂时补充流动资金的议</w:t>
      </w:r>
    </w:p>
    <w:p>
      <w:pPr>
        <w:pStyle w:val="BodyText"/>
        <w:spacing w:line="240" w:lineRule="auto" w:before="63"/>
        <w:ind w:left="1161" w:right="1117"/>
        <w:jc w:val="left"/>
      </w:pPr>
      <w:r>
        <w:rPr/>
        <w:t>案》，同意使用部分闲置募集资金</w:t>
      </w:r>
      <w:r>
        <w:rPr>
          <w:spacing w:val="-47"/>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2"/>
        </w:rPr>
        <w:t> </w:t>
      </w:r>
      <w:r>
        <w:rPr/>
        <w:t>万元暂时补充流动资金，使用期限自董事会审议批准实施之日起不超过</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w:t>
      </w:r>
    </w:p>
    <w:p>
      <w:pPr>
        <w:pStyle w:val="BodyText"/>
        <w:spacing w:line="302" w:lineRule="auto" w:before="63"/>
        <w:ind w:left="1161" w:right="1225"/>
        <w:jc w:val="left"/>
      </w:pPr>
      <w:r>
        <w:rPr/>
        <w:t>月，到期将归还至募集资金专户。公司</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年使用</w:t>
      </w:r>
      <w:r>
        <w:rPr>
          <w:spacing w:val="-50"/>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5"/>
        </w:rPr>
        <w:t> </w:t>
      </w:r>
      <w:r>
        <w:rPr/>
        <w:t>万元募集资金补充流动资金，且已于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月归还至募集 资金专户。</w:t>
      </w:r>
    </w:p>
    <w:p>
      <w:pPr>
        <w:pStyle w:val="BodyText"/>
        <w:spacing w:line="240" w:lineRule="auto" w:before="68"/>
        <w:ind w:left="1161" w:right="111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日募集资金结余情况</w:t>
      </w:r>
    </w:p>
    <w:p>
      <w:pPr>
        <w:pStyle w:val="BodyText"/>
        <w:spacing w:line="240" w:lineRule="auto" w:before="64"/>
        <w:ind w:left="1161" w:right="1117"/>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日，公司募集资金专户余额为</w:t>
      </w:r>
      <w:r>
        <w:rPr>
          <w:spacing w:val="-46"/>
        </w:rPr>
        <w:t> </w:t>
      </w:r>
      <w:r>
        <w:rPr>
          <w:rFonts w:ascii="Times New Roman" w:hAnsi="Times New Roman" w:cs="Times New Roman" w:eastAsia="Times New Roman" w:hint="default"/>
        </w:rPr>
        <w:t>446,592,963.86 </w:t>
      </w:r>
      <w:r>
        <w:rPr/>
        <w:t>元。</w:t>
      </w:r>
    </w:p>
    <w:p>
      <w:pPr>
        <w:spacing w:line="240" w:lineRule="auto" w:before="12"/>
        <w:rPr>
          <w:rFonts w:ascii="宋体" w:hAnsi="宋体" w:cs="宋体" w:eastAsia="宋体" w:hint="default"/>
          <w:sz w:val="26"/>
          <w:szCs w:val="26"/>
        </w:rPr>
      </w:pPr>
    </w:p>
    <w:p>
      <w:pPr>
        <w:pStyle w:val="Heading4"/>
        <w:spacing w:line="240" w:lineRule="auto" w:before="35"/>
        <w:ind w:left="1134" w:right="1117"/>
        <w:jc w:val="left"/>
        <w:rPr>
          <w:b w:val="0"/>
          <w:bCs w:val="0"/>
        </w:rPr>
      </w:pPr>
      <w:bookmarkStart w:name="（2）募集资金承诺项目情况" w:id="49"/>
      <w:bookmarkEnd w:id="4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71"/>
        <w:jc w:val="right"/>
      </w:pPr>
      <w:r>
        <w:rPr/>
        <w:t>单位：万元</w:t>
      </w:r>
    </w:p>
    <w:p>
      <w:pPr>
        <w:spacing w:line="240" w:lineRule="auto" w:before="0"/>
        <w:rPr>
          <w:rFonts w:ascii="宋体" w:hAnsi="宋体" w:cs="宋体" w:eastAsia="宋体" w:hint="default"/>
          <w:sz w:val="8"/>
          <w:szCs w:val="8"/>
        </w:rPr>
      </w:pPr>
    </w:p>
    <w:tbl>
      <w:tblPr>
        <w:tblW w:w="0" w:type="auto"/>
        <w:jc w:val="left"/>
        <w:tblInd w:w="703" w:type="dxa"/>
        <w:tblLayout w:type="fixed"/>
        <w:tblCellMar>
          <w:top w:w="0" w:type="dxa"/>
          <w:left w:w="0" w:type="dxa"/>
          <w:bottom w:w="0" w:type="dxa"/>
          <w:right w:w="0" w:type="dxa"/>
        </w:tblCellMar>
        <w:tblLook w:val="01E0"/>
      </w:tblPr>
      <w:tblGrid>
        <w:gridCol w:w="2270"/>
        <w:gridCol w:w="534"/>
        <w:gridCol w:w="884"/>
        <w:gridCol w:w="992"/>
        <w:gridCol w:w="992"/>
        <w:gridCol w:w="992"/>
        <w:gridCol w:w="708"/>
        <w:gridCol w:w="710"/>
        <w:gridCol w:w="709"/>
        <w:gridCol w:w="708"/>
        <w:gridCol w:w="709"/>
      </w:tblGrid>
      <w:tr>
        <w:trPr>
          <w:trHeight w:val="1961"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9" w:right="48" w:hanging="991"/>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1" w:right="50"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5" w:right="39" w:hanging="16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38" w:lineRule="auto"/>
              <w:ind w:left="40"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2"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77"/>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102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内容策划与图书发行项目</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7,604.24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7,604.24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7,604.24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营销网络建设项目</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3,320.40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3,320.40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230.86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管理信息和出版创意平台 建设项目</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神奇时代股权并购项目</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22,578.20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22,578.20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22,578.20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支付游爱网络并购项目现 金对价</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53,890.28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53,890.28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9,459.092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44,431.19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703" w:type="dxa"/>
        <w:tblLayout w:type="fixed"/>
        <w:tblCellMar>
          <w:top w:w="0" w:type="dxa"/>
          <w:left w:w="0" w:type="dxa"/>
          <w:bottom w:w="0" w:type="dxa"/>
          <w:right w:w="0" w:type="dxa"/>
        </w:tblCellMar>
        <w:tblLook w:val="01E0"/>
      </w:tblPr>
      <w:tblGrid>
        <w:gridCol w:w="710"/>
        <w:gridCol w:w="1559"/>
        <w:gridCol w:w="534"/>
        <w:gridCol w:w="884"/>
        <w:gridCol w:w="992"/>
        <w:gridCol w:w="992"/>
        <w:gridCol w:w="992"/>
        <w:gridCol w:w="708"/>
        <w:gridCol w:w="710"/>
        <w:gridCol w:w="709"/>
        <w:gridCol w:w="708"/>
        <w:gridCol w:w="709"/>
      </w:tblGrid>
      <w:tr>
        <w:trPr>
          <w:trHeight w:val="714" w:hRule="exact"/>
        </w:trPr>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游爱网络并购项目中介费 用及交易税费</w:t>
            </w:r>
          </w:p>
        </w:tc>
        <w:tc>
          <w:tcPr>
            <w:tcW w:w="534" w:type="dxa"/>
            <w:tcBorders>
              <w:top w:val="nil" w:sz="6" w:space="0" w:color="auto"/>
              <w:left w:val="single" w:sz="4" w:space="0" w:color="000000"/>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3,826.65</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3,826.65</w:t>
            </w:r>
          </w:p>
        </w:tc>
        <w:tc>
          <w:tcPr>
            <w:tcW w:w="99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3,691.88</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96.48%</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9" w:lineRule="auto"/>
              <w:ind w:left="22" w:right="137"/>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游爱 网络投 资项目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新移动网络游戏产 品研发项目</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710" w:type="dxa"/>
            <w:vMerge/>
            <w:tcBorders>
              <w:left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自运营及发行平台 建设项目</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2,206.293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2,206.29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1"/>
              <w:jc w:val="right"/>
              <w:rPr>
                <w:rFonts w:ascii="Times New Roman" w:hAnsi="Times New Roman" w:cs="Times New Roman" w:eastAsia="Times New Roman" w:hint="default"/>
                <w:sz w:val="18"/>
                <w:szCs w:val="18"/>
              </w:rPr>
            </w:pPr>
            <w:r>
              <w:rPr>
                <w:rFonts w:ascii="Times New Roman"/>
                <w:sz w:val="18"/>
              </w:rPr>
              <w:t>-929.97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710"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4"/>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AR</w:t>
            </w:r>
            <w:r>
              <w:rPr>
                <w:rFonts w:ascii="宋体" w:hAnsi="宋体" w:cs="宋体" w:eastAsia="宋体" w:hint="default"/>
                <w:sz w:val="18"/>
                <w:szCs w:val="18"/>
              </w:rPr>
              <w:t>、</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互动游戏 及应用项目</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55"/>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补充流动资金</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29,633.35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29,633.35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23,821.474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29,821.47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151,053.70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151,053.70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35,486.859</w:t>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110,766.78</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63"/>
              <w:jc w:val="right"/>
              <w:rPr>
                <w:rFonts w:ascii="Times New Roman" w:hAnsi="Times New Roman" w:cs="Times New Roman" w:eastAsia="Times New Roman" w:hint="default"/>
                <w:sz w:val="18"/>
                <w:szCs w:val="18"/>
              </w:rPr>
            </w:pPr>
            <w:r>
              <w:rPr>
                <w:rFonts w:ascii="Times New Roman"/>
                <w:sz w:val="18"/>
              </w:rPr>
              <w:t>-929.97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020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投资设立浙江天舟图书有 限责任公司</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设立北京事业部</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投资设立北京北舟文化传 媒有限责任公司</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教育内容资源研发与服务 平台建设项目</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2,884.00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417.11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投资设立北京东方天舟教 育科技有限责任公司</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神奇时代股权并购项目</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10,899.84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10,899.84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10,899.84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永久性补充流动资金</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13" w:space="0" w:color="D2D2D2"/>
            </w:tcBorders>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13" w:space="0" w:color="D2D2D2"/>
            </w:tcBorders>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25,573.84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25,573.84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23,106.95</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3" w:space="0" w:color="D2D2D2"/>
              <w:bottom w:val="single" w:sz="4" w:space="0" w:color="000000"/>
              <w:right w:val="single" w:sz="9" w:space="0" w:color="D2D2D2"/>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176,627.54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176,627.54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35,486.859</w:t>
            </w:r>
          </w:p>
        </w:tc>
        <w:tc>
          <w:tcPr>
            <w:tcW w:w="9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133,873.73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-929.97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r>
      <w:tr>
        <w:trPr>
          <w:trHeight w:val="1681" w:hRule="exact"/>
        </w:trPr>
        <w:tc>
          <w:tcPr>
            <w:tcW w:w="227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39" w:type="dxa"/>
            <w:gridSpan w:val="10"/>
            <w:vMerge w:val="restart"/>
            <w:tcBorders>
              <w:top w:val="single" w:sz="4" w:space="0" w:color="000000"/>
              <w:left w:val="single" w:sz="10" w:space="0" w:color="D2D2D2"/>
              <w:right w:val="single" w:sz="4" w:space="0" w:color="000000"/>
            </w:tcBorders>
          </w:tcPr>
          <w:p>
            <w:pPr>
              <w:pStyle w:val="TableParagraph"/>
              <w:spacing w:line="312" w:lineRule="auto" w:before="10"/>
              <w:ind w:left="15"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营销网络建设项目：近年来，互联网、移动通讯、现代物流业的迅猛发展，对整个图书出版发行业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造成了巨大的冲击。网络阅读、移动电子设备阅读改变了传统的阅读方式，电子商务和现代物流业的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发展改变了传统的图书发行模式，图书出版发行企业必须在数字出版和电子商务的冲击下积极寻求转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型。另外，</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年以来，教育部、新闻出版总署对中小学教材、教辅的审定、出版、发行等方面的政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策规定进行了较大幅度的调整，原有的教辅发行模式发生了较大的变化；根据政策环境的变化和公司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的战略目标，公司加快了现有图书发行业务结构的调整，完善了公司的产业结构布局。为适应新形势</w:t>
            </w:r>
          </w:p>
          <w:p>
            <w:pPr>
              <w:pStyle w:val="TableParagraph"/>
              <w:spacing w:line="196" w:lineRule="exact" w:before="22"/>
              <w:ind w:left="15" w:right="0"/>
              <w:jc w:val="left"/>
              <w:rPr>
                <w:rFonts w:ascii="宋体" w:hAnsi="宋体" w:cs="宋体" w:eastAsia="宋体" w:hint="default"/>
                <w:sz w:val="18"/>
                <w:szCs w:val="18"/>
              </w:rPr>
            </w:pPr>
            <w:r>
              <w:rPr>
                <w:rFonts w:ascii="宋体" w:hAnsi="宋体" w:cs="宋体" w:eastAsia="宋体" w:hint="default"/>
                <w:spacing w:val="-1"/>
                <w:sz w:val="18"/>
                <w:szCs w:val="18"/>
              </w:rPr>
              <w:t>的变化，避免盲目投入，提高资金使用效率，公司主动放缓了营销网络建设，并可能根据未来经营发</w:t>
            </w:r>
          </w:p>
          <w:p>
            <w:pPr>
              <w:pStyle w:val="TableParagraph"/>
              <w:spacing w:line="156"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5" w:right="0"/>
              <w:jc w:val="left"/>
              <w:rPr>
                <w:rFonts w:ascii="宋体" w:hAnsi="宋体" w:cs="宋体" w:eastAsia="宋体" w:hint="default"/>
                <w:sz w:val="18"/>
                <w:szCs w:val="18"/>
              </w:rPr>
            </w:pPr>
            <w:r>
              <w:rPr>
                <w:rFonts w:ascii="宋体" w:hAnsi="宋体" w:cs="宋体" w:eastAsia="宋体" w:hint="default"/>
                <w:sz w:val="18"/>
                <w:szCs w:val="18"/>
              </w:rPr>
              <w:t>展的需要，适时寻找新的募投项目替代。</w:t>
            </w:r>
          </w:p>
          <w:p>
            <w:pPr>
              <w:pStyle w:val="TableParagraph"/>
              <w:spacing w:line="309" w:lineRule="auto" w:before="76"/>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管理信息和出版创意平台建设项目：与营销网络建设项目同步配套实施，由于营销网络建设未能按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期推进，公司管理信息系统建设和创意资源平台项目也相应推迟实施，公司可能根据未来经营发展的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需要，适时寻找新的募投项目替代。 </w:t>
            </w:r>
            <w:r>
              <w:rPr>
                <w:rFonts w:ascii="Times New Roman" w:hAnsi="Times New Roman" w:cs="Times New Roman" w:eastAsia="Times New Roman" w:hint="default"/>
                <w:sz w:val="18"/>
                <w:szCs w:val="18"/>
              </w:rPr>
              <w:t>3.</w:t>
            </w:r>
            <w:r>
              <w:rPr>
                <w:rFonts w:ascii="宋体" w:hAnsi="宋体" w:cs="宋体" w:eastAsia="宋体" w:hint="default"/>
                <w:sz w:val="18"/>
                <w:szCs w:val="18"/>
              </w:rPr>
              <w:t>教育内容资源研发与服务平台项目：合资公司尚未组建，根据教育部有关政策规定，中国教科院被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确定为公益性事业单位，不得直接开展对外投资和经营性业务，公司可能根据未来经营发展的需要，</w:t>
            </w:r>
          </w:p>
        </w:tc>
      </w:tr>
      <w:tr>
        <w:trPr>
          <w:trHeight w:val="703" w:hRule="exact"/>
        </w:trPr>
        <w:tc>
          <w:tcPr>
            <w:tcW w:w="227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未达到计划进度或预计收益 </w:t>
            </w:r>
            <w:r>
              <w:rPr>
                <w:rFonts w:ascii="宋体" w:hAnsi="宋体" w:cs="宋体" w:eastAsia="宋体" w:hint="default"/>
                <w:spacing w:val="-4"/>
                <w:sz w:val="18"/>
                <w:szCs w:val="18"/>
              </w:rPr>
              <w:t>的情况和原因（分具体项目</w:t>
            </w:r>
          </w:p>
        </w:tc>
        <w:tc>
          <w:tcPr>
            <w:tcW w:w="7939" w:type="dxa"/>
            <w:gridSpan w:val="10"/>
            <w:vMerge/>
            <w:tcBorders>
              <w:left w:val="single" w:sz="10" w:space="0" w:color="D2D2D2"/>
              <w:right w:val="single" w:sz="4" w:space="0" w:color="000000"/>
            </w:tcBorders>
          </w:tcPr>
          <w:p>
            <w:pPr/>
          </w:p>
        </w:tc>
      </w:tr>
      <w:tr>
        <w:trPr>
          <w:trHeight w:val="1682" w:hRule="exact"/>
        </w:trPr>
        <w:tc>
          <w:tcPr>
            <w:tcW w:w="227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39"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pStyle w:val="BodyText"/>
        <w:spacing w:line="240" w:lineRule="auto" w:before="44"/>
        <w:ind w:left="0" w:right="928"/>
        <w:jc w:val="right"/>
      </w:pPr>
      <w:r>
        <w:rPr/>
        <w:pict>
          <v:shape style="position:absolute;margin-left:35.160pt;margin-top:-30.008268pt;width:511.15pt;height:375.9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0"/>
                    <w:gridCol w:w="7939"/>
                  </w:tblGrid>
                  <w:tr>
                    <w:trPr>
                      <w:trHeight w:val="3754"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调整或变更原定的“教育内容资源研发与服务平台建设项目”。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投资设立的浙江天舟未达到预期收益的主要原因是：目前少儿图书市场品种繁多，公司的销售渠道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有限，市场竞争加剧，以致我司开发的图书品种销量未达到预计目标。经公司董事会决定处置该公司</w:t>
                        </w:r>
                        <w:r>
                          <w:rPr>
                            <w:rFonts w:ascii="宋体" w:hAnsi="宋体" w:cs="宋体" w:eastAsia="宋体" w:hint="default"/>
                            <w:sz w:val="18"/>
                            <w:szCs w:val="18"/>
                          </w:rPr>
                          <w:t> 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月完成工商注销登记。 </w:t>
                        </w: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投资设立的北京北舟公司未达到预期收益的主要原因为：</w:t>
                        </w:r>
                        <w:r>
                          <w:rPr>
                            <w:rFonts w:ascii="Times New Roman" w:hAnsi="Times New Roman" w:cs="Times New Roman" w:eastAsia="Times New Roman" w:hint="default"/>
                            <w:sz w:val="18"/>
                            <w:szCs w:val="18"/>
                          </w:rPr>
                          <w:t>A</w:t>
                        </w:r>
                        <w:r>
                          <w:rPr>
                            <w:rFonts w:ascii="宋体" w:hAnsi="宋体" w:cs="宋体" w:eastAsia="宋体" w:hint="default"/>
                            <w:sz w:val="18"/>
                            <w:szCs w:val="18"/>
                          </w:rPr>
                          <w:t>、原预计招投标市场具有一定的不确定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性，市场规律难以掌控，业务开拓需要一个过程，使得招投标业务未达到预期目标；</w:t>
                        </w:r>
                        <w:r>
                          <w:rPr>
                            <w:rFonts w:ascii="Times New Roman" w:hAnsi="Times New Roman" w:cs="Times New Roman" w:eastAsia="Times New Roman" w:hint="default"/>
                            <w:sz w:val="18"/>
                            <w:szCs w:val="18"/>
                          </w:rPr>
                          <w:t>B</w:t>
                        </w:r>
                        <w:r>
                          <w:rPr>
                            <w:rFonts w:ascii="宋体" w:hAnsi="宋体" w:cs="宋体" w:eastAsia="宋体" w:hint="default"/>
                            <w:sz w:val="18"/>
                            <w:szCs w:val="18"/>
                          </w:rPr>
                          <w:t>、受国家教材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教辅管理政策调整的影响，全国教材教辅市场推广未能按预期的计划进行。根据公司的战略目标，将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持有的北舟公司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的股份转让给北洋传媒，并已于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月收到北洋传媒股权转让款。 </w:t>
                        </w:r>
                        <w:r>
                          <w:rPr>
                            <w:rFonts w:ascii="Times New Roman" w:hAnsi="Times New Roman" w:cs="Times New Roman" w:eastAsia="Times New Roman" w:hint="default"/>
                            <w:sz w:val="18"/>
                            <w:szCs w:val="18"/>
                          </w:rPr>
                          <w:t>6.</w:t>
                        </w:r>
                        <w:r>
                          <w:rPr>
                            <w:rFonts w:ascii="宋体" w:hAnsi="宋体" w:cs="宋体" w:eastAsia="宋体" w:hint="default"/>
                            <w:sz w:val="18"/>
                            <w:szCs w:val="18"/>
                          </w:rPr>
                          <w:t>投资设立东方天舟未达到预期收益的主要原因为：</w:t>
                        </w:r>
                        <w:r>
                          <w:rPr>
                            <w:rFonts w:ascii="Times New Roman" w:hAnsi="Times New Roman" w:cs="Times New Roman" w:eastAsia="Times New Roman" w:hint="default"/>
                            <w:sz w:val="18"/>
                            <w:szCs w:val="18"/>
                          </w:rPr>
                          <w:t>A</w:t>
                        </w:r>
                        <w:r>
                          <w:rPr>
                            <w:rFonts w:ascii="宋体" w:hAnsi="宋体" w:cs="宋体" w:eastAsia="宋体" w:hint="default"/>
                            <w:sz w:val="18"/>
                            <w:szCs w:val="18"/>
                          </w:rPr>
                          <w:t>、原托管上海东阶双语学校因学校面临搬迁，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经营存在不确定性，延缓了实施计划；</w:t>
                        </w:r>
                        <w:r>
                          <w:rPr>
                            <w:rFonts w:ascii="Times New Roman" w:hAnsi="Times New Roman" w:cs="Times New Roman" w:eastAsia="Times New Roman" w:hint="default"/>
                            <w:sz w:val="18"/>
                            <w:szCs w:val="18"/>
                          </w:rPr>
                          <w:t>B</w:t>
                        </w:r>
                        <w:r>
                          <w:rPr>
                            <w:rFonts w:ascii="宋体" w:hAnsi="宋体" w:cs="宋体" w:eastAsia="宋体" w:hint="default"/>
                            <w:sz w:val="18"/>
                            <w:szCs w:val="18"/>
                          </w:rPr>
                          <w:t>、原预计的教具教材的销售及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NCET </w:t>
                        </w:r>
                        <w:r>
                          <w:rPr>
                            <w:rFonts w:ascii="宋体" w:hAnsi="宋体" w:cs="宋体" w:eastAsia="宋体" w:hint="default"/>
                            <w:sz w:val="18"/>
                            <w:szCs w:val="18"/>
                          </w:rPr>
                          <w:t>的考试因暂未得到中国 </w:t>
                        </w:r>
                        <w:r>
                          <w:rPr>
                            <w:rFonts w:ascii="宋体" w:hAnsi="宋体" w:cs="宋体" w:eastAsia="宋体" w:hint="default"/>
                            <w:spacing w:val="-1"/>
                            <w:sz w:val="18"/>
                            <w:szCs w:val="18"/>
                          </w:rPr>
                          <w:t>教育学会外语专业委员会正式推广的配合，考生人数未达到预期水平等。经公司董事会决议，将持有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东方天舟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w:t>
                        </w:r>
                        <w:r>
                          <w:rPr>
                            <w:rFonts w:ascii="宋体" w:hAnsi="宋体" w:cs="宋体" w:eastAsia="宋体" w:hint="default"/>
                            <w:sz w:val="18"/>
                            <w:szCs w:val="18"/>
                          </w:rPr>
                          <w:t>的股份转让给控股股东天鸿投资，并已收到天鸿投资股权转让款项。</w:t>
                        </w:r>
                      </w:p>
                    </w:tc>
                  </w:tr>
                  <w:tr>
                    <w:trPr>
                      <w:trHeight w:val="3755"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8"/>
                          <w:ind w:left="22" w:right="75"/>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投资设立浙江天舟图书有限责任公司。因行业市场情况发生较大变化，该公司实际运营情况与预测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差距较大，造成图书库存积压严重。经公司董事会决定处置该公司，</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年下半年进入清算期，并于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月完成工商注销登记。</w:t>
                        </w:r>
                      </w:p>
                      <w:p>
                        <w:pPr>
                          <w:pStyle w:val="TableParagraph"/>
                          <w:spacing w:line="300" w:lineRule="auto" w:before="13"/>
                          <w:ind w:left="22" w:right="11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投资设立北京北舟文化传媒有限责任公司。根据公司的战略目标，公司将加快现有业务结构的调整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将持有的北舟公司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的股份转让给北洋传媒，并已于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月收到北洋传媒股权转让款。</w:t>
                        </w:r>
                      </w:p>
                      <w:p>
                        <w:pPr>
                          <w:pStyle w:val="TableParagraph"/>
                          <w:spacing w:line="309" w:lineRule="auto" w:before="1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投资设立北京东方天舟教育科技有限责任公司。因该子公司总部及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所学校严重亏损，且短期内难 以扭转，新项目投资存在重大不确定性风险。经公司董事会决议，将持有东方天舟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77.5%</w:t>
                        </w:r>
                        <w:r>
                          <w:rPr>
                            <w:rFonts w:ascii="宋体" w:hAnsi="宋体" w:cs="宋体" w:eastAsia="宋体" w:hint="default"/>
                            <w:sz w:val="18"/>
                            <w:szCs w:val="18"/>
                          </w:rPr>
                          <w:t>的股份转让 给控股股东天鸿投资，并已收到天鸿投资股权转让款项。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教育内容资源研发与服务平台项目：该项目原定为公司与中国教育科学研究院组建合资公司共同推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进，有关幼教产品的研究开发已经基本完成。但根据教育部有关政策规定，中国教科院被确定为公益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性事业单位，不得直接开展对外投资和经营性业务，因此合资公司一直无法组建。公司可能根据未来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经营发展的需要，调整或变更原定的</w:t>
                        </w:r>
                        <w:r>
                          <w:rPr>
                            <w:rFonts w:ascii="Times New Roman" w:hAnsi="Times New Roman" w:cs="Times New Roman" w:eastAsia="Times New Roman" w:hint="default"/>
                            <w:sz w:val="18"/>
                            <w:szCs w:val="18"/>
                          </w:rPr>
                          <w:t>“</w:t>
                        </w:r>
                        <w:r>
                          <w:rPr>
                            <w:rFonts w:ascii="宋体" w:hAnsi="宋体" w:cs="宋体" w:eastAsia="宋体" w:hint="default"/>
                            <w:sz w:val="18"/>
                            <w:szCs w:val="18"/>
                          </w:rPr>
                          <w:t>教育内容资源研发与服务平台建设项目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928"/>
        <w:jc w:val="right"/>
      </w:pPr>
      <w:r>
        <w:rPr/>
        <w:t>，</w:t>
      </w:r>
    </w:p>
    <w:p>
      <w:pPr>
        <w:spacing w:after="0" w:line="240" w:lineRule="auto"/>
        <w:jc w:val="right"/>
        <w:sectPr>
          <w:pgSz w:w="11910" w:h="16840"/>
          <w:pgMar w:header="877" w:footer="979" w:top="1060" w:bottom="1160" w:left="0" w:right="0"/>
        </w:sectPr>
      </w:pPr>
    </w:p>
    <w:p>
      <w:pPr>
        <w:spacing w:line="240" w:lineRule="auto" w:before="0"/>
        <w:rPr>
          <w:rFonts w:ascii="宋体" w:hAnsi="宋体" w:cs="宋体" w:eastAsia="宋体" w:hint="default"/>
          <w:sz w:val="20"/>
          <w:szCs w:val="20"/>
        </w:rPr>
      </w:pPr>
      <w:r>
        <w:rPr/>
        <w:pict>
          <v:shape style="position:absolute;margin-left:35.160pt;margin-top:71.999985pt;width:511.15pt;height:694.4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0"/>
                    <w:gridCol w:w="7939"/>
                  </w:tblGrid>
                  <w:tr>
                    <w:trPr>
                      <w:trHeight w:val="9058"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超募资金的金额、用途及使 用进展情况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本公司超募资金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23,821.048 </w:t>
                        </w:r>
                        <w:r>
                          <w:rPr>
                            <w:rFonts w:ascii="宋体" w:hAnsi="宋体" w:cs="宋体" w:eastAsia="宋体" w:hint="default"/>
                            <w:sz w:val="18"/>
                            <w:szCs w:val="18"/>
                          </w:rPr>
                          <w:t>万元，其使用情况如下：</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日，公司第二届董事会第二次会议审议通过了《关于审议使用部分与主营业务相关</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的营运资金投资设立浙江天舟图书有限公司的议案</w:t>
                        </w:r>
                        <w:r>
                          <w:rPr>
                            <w:rFonts w:ascii="宋体" w:hAnsi="宋体" w:cs="宋体" w:eastAsia="宋体" w:hint="default"/>
                            <w:spacing w:val="-90"/>
                            <w:sz w:val="18"/>
                            <w:szCs w:val="18"/>
                          </w:rPr>
                          <w:t>》</w:t>
                        </w:r>
                        <w:r>
                          <w:rPr>
                            <w:rFonts w:ascii="宋体" w:hAnsi="宋体" w:cs="宋体" w:eastAsia="宋体" w:hint="default"/>
                            <w:sz w:val="18"/>
                            <w:szCs w:val="18"/>
                          </w:rPr>
                          <w:t>，同意公司以人民币</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350 </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万元现金投资设立浙江</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天舟。</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日，浙江天舟在工商行政管理部门登记成立并已正常开展经营活动。但由于行 </w:t>
                        </w:r>
                        <w:r>
                          <w:rPr>
                            <w:rFonts w:ascii="宋体" w:hAnsi="宋体" w:cs="宋体" w:eastAsia="宋体" w:hint="default"/>
                            <w:spacing w:val="-5"/>
                            <w:sz w:val="18"/>
                            <w:szCs w:val="18"/>
                          </w:rPr>
                          <w:t>业市场情况发生较大变化，该公司实际运营情况与预测差距较大，经公司董事会决定处置该公司，</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年下半年进入清算期，已于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月完成工商注销登记。</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日，公司第二届董事会第四次会议审议通过了《关于使用超募资金投资设立北京事业</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部的议案</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同意使用公司首次公开发行超募资金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万元投资设立北京事业部</w:t>
                        </w:r>
                        <w:r>
                          <w:rPr>
                            <w:rFonts w:ascii="宋体" w:hAnsi="宋体" w:cs="宋体" w:eastAsia="宋体" w:hint="default"/>
                            <w:spacing w:val="-42"/>
                            <w:sz w:val="18"/>
                            <w:szCs w:val="18"/>
                          </w:rPr>
                          <w:t>。</w:t>
                        </w:r>
                        <w:r>
                          <w:rPr>
                            <w:rFonts w:ascii="宋体" w:hAnsi="宋体" w:cs="宋体" w:eastAsia="宋体" w:hint="default"/>
                            <w:sz w:val="18"/>
                            <w:szCs w:val="18"/>
                          </w:rPr>
                          <w:t>投资的主要用途如</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下：投资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2,610 </w:t>
                        </w:r>
                        <w:r>
                          <w:rPr>
                            <w:rFonts w:ascii="宋体" w:hAnsi="宋体" w:cs="宋体" w:eastAsia="宋体" w:hint="default"/>
                            <w:sz w:val="18"/>
                            <w:szCs w:val="18"/>
                          </w:rPr>
                          <w:t>万购置北京事业部办公场地，投资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万元用于北京事业部人员招聘和补充北京事业 部流动资金等。北京事业部目前已正常运营。</w:t>
                        </w:r>
                      </w:p>
                      <w:p>
                        <w:pPr>
                          <w:pStyle w:val="TableParagraph"/>
                          <w:spacing w:line="240" w:lineRule="auto" w:before="3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日，公司第二届董事会第七次会议审议通过了《关于使用超募资金投资参股北京北</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pacing w:val="-7"/>
                            <w:sz w:val="18"/>
                            <w:szCs w:val="18"/>
                          </w:rPr>
                          <w:t>舟文化传媒有限公司的议案》，公司以现金出资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2,940</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万元参股成立北京北舟文化传媒有限公司，持股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日，北京北舟文化传媒有限责任公司在工商行政管理部门登记成立并已正 常开展经营活动。但为适应公司发展战略，调整业务结构，公司已将该公司股权转让。</w:t>
                        </w:r>
                      </w:p>
                      <w:p>
                        <w:pPr>
                          <w:pStyle w:val="TableParagraph"/>
                          <w:spacing w:line="240" w:lineRule="auto" w:before="3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4.2011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日，公司第二届董事会第十一次会议审议通过了《关于使用超募资金投资建设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教</w:t>
                        </w:r>
                      </w:p>
                      <w:p>
                        <w:pPr>
                          <w:pStyle w:val="TableParagraph"/>
                          <w:spacing w:line="307" w:lineRule="auto" w:before="63"/>
                          <w:ind w:left="22" w:right="20"/>
                          <w:jc w:val="both"/>
                          <w:rPr>
                            <w:rFonts w:ascii="宋体" w:hAnsi="宋体" w:cs="宋体" w:eastAsia="宋体" w:hint="default"/>
                            <w:sz w:val="18"/>
                            <w:szCs w:val="18"/>
                          </w:rPr>
                        </w:pPr>
                        <w:r>
                          <w:rPr>
                            <w:rFonts w:ascii="宋体" w:hAnsi="宋体" w:cs="宋体" w:eastAsia="宋体" w:hint="default"/>
                            <w:spacing w:val="-4"/>
                            <w:w w:val="100"/>
                            <w:sz w:val="18"/>
                            <w:szCs w:val="18"/>
                          </w:rPr>
                          <w:t>育内容资源研发与服务平台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项目的议案》，同意使用超募资金</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2,884 </w:t>
                        </w:r>
                        <w:r>
                          <w:rPr>
                            <w:rFonts w:ascii="宋体" w:hAnsi="宋体" w:cs="宋体" w:eastAsia="宋体" w:hint="default"/>
                            <w:spacing w:val="-1"/>
                            <w:sz w:val="18"/>
                            <w:szCs w:val="18"/>
                          </w:rPr>
                          <w:t>万元与中国教育科学研究院共同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投资建设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教育内容资源研发与服务平台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项目。根据教育部有关政策规定，中国教科院被确定为公益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性事业单位，不得直接开展对外投资和经营性业务，因此合资公司一直无法组建。公司可能根据未来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经营发展的需要，调整或变更原定的“教育内容资源研发与服务平台建设项目”。</w:t>
                        </w:r>
                      </w:p>
                      <w:p>
                        <w:pPr>
                          <w:pStyle w:val="TableParagraph"/>
                          <w:spacing w:line="240" w:lineRule="auto" w:before="2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日，公司第二届董事会第十四次会议审议通过了《关于使用超募资金投资设立北京东</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方天舟教育科技有限公司的议案</w:t>
                        </w:r>
                        <w:r>
                          <w:rPr>
                            <w:rFonts w:ascii="宋体" w:hAnsi="宋体" w:cs="宋体" w:eastAsia="宋体" w:hint="default"/>
                            <w:spacing w:val="-90"/>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万元与上海东方阶梯智力发展有限公司</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生艳秋女士共同出资设立北京东方天舟教育科技有限公司。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北京东方天舟教育科技 </w:t>
                        </w:r>
                        <w:r>
                          <w:rPr>
                            <w:rFonts w:ascii="宋体" w:hAnsi="宋体" w:cs="宋体" w:eastAsia="宋体" w:hint="default"/>
                            <w:spacing w:val="-1"/>
                            <w:sz w:val="18"/>
                            <w:szCs w:val="18"/>
                          </w:rPr>
                          <w:t>有限责任公司在工商行政管理部门登记成立。但由于该公司严重亏损，短期内难以扭转，公司已将其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所持股权转让。</w:t>
                        </w:r>
                      </w:p>
                      <w:p>
                        <w:pPr>
                          <w:pStyle w:val="TableParagraph"/>
                          <w:spacing w:line="300" w:lineRule="auto" w:before="24"/>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6.2014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日，公司第一次临时股东大会审议并通过了《关于使用超募资金及利息用于向李桂 华等购买神奇时代</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股权的部分现金对价支付的议案》，同意使用超募资金及利息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10,899.84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 用于向李桂华等购买神奇时代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股权的部分现金对价支付，该款项已支付完毕。</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日，公司第二届董事会第十五次会议审议通过了《关于使用部分超募资金永久补充</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流动资金的议案</w:t>
                        </w:r>
                        <w:r>
                          <w:rPr>
                            <w:rFonts w:ascii="宋体" w:hAnsi="宋体" w:cs="宋体" w:eastAsia="宋体" w:hint="default"/>
                            <w:spacing w:val="-90"/>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万元用于永久补充流动资金，流动资金已补充到位。</w:t>
                        </w:r>
                      </w:p>
                    </w:tc>
                  </w:tr>
                  <w:tr>
                    <w:trPr>
                      <w:trHeight w:val="714"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5"/>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本公司在募集资金实际到位之前，利用自筹资金对募投项目已累计投入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万元，其中内容策</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划与图书发行项目使用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日，本公司第二届董事会第二次会议审议通过</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pacing w:val="-4"/>
                            <w:sz w:val="18"/>
                            <w:szCs w:val="18"/>
                          </w:rPr>
                          <w:t>了《关于用募集资金置换已投入募集资金投资项目自筹资金的议案》，公司以</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2,002.934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万元募集资金</w:t>
                        </w:r>
                        <w:r>
                          <w:rPr>
                            <w:rFonts w:ascii="宋体" w:hAnsi="宋体" w:cs="宋体" w:eastAsia="宋体" w:hint="default"/>
                            <w:spacing w:val="-88"/>
                            <w:sz w:val="18"/>
                            <w:szCs w:val="18"/>
                          </w:rPr>
                          <w:t> </w:t>
                        </w:r>
                        <w:r>
                          <w:rPr>
                            <w:rFonts w:ascii="宋体" w:hAnsi="宋体" w:cs="宋体" w:eastAsia="宋体" w:hint="default"/>
                            <w:sz w:val="18"/>
                            <w:szCs w:val="18"/>
                          </w:rPr>
                          <w:t>置换预先已投入募集资金投资项目的自筹资金。</w:t>
                        </w:r>
                      </w:p>
                    </w:tc>
                  </w:tr>
                  <w:tr>
                    <w:trPr>
                      <w:trHeight w:val="1338"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75"/>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日，公司第二届董事会第四十九次会议审议通过了《关于使用部分闲置募集资金暂时</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万元暂时补充流动资金，使用期限自董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事会审议批准实施之日起不超过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个月，到期将归还至募集资金专户。公司暂时补充流动资金使用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月归还至募集资金专户。</w:t>
                        </w:r>
                      </w:p>
                    </w:tc>
                  </w:tr>
                  <w:tr>
                    <w:trPr>
                      <w:trHeight w:val="715"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44"/>
        <w:ind w:left="0" w:right="934"/>
        <w:jc w:val="right"/>
      </w:pPr>
      <w:r>
        <w:rPr/>
        <w:t>、</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703" w:type="dxa"/>
        <w:tblLayout w:type="fixed"/>
        <w:tblCellMar>
          <w:top w:w="0" w:type="dxa"/>
          <w:left w:w="0" w:type="dxa"/>
          <w:bottom w:w="0" w:type="dxa"/>
          <w:right w:w="0" w:type="dxa"/>
        </w:tblCellMar>
        <w:tblLook w:val="01E0"/>
      </w:tblPr>
      <w:tblGrid>
        <w:gridCol w:w="2270"/>
        <w:gridCol w:w="7939"/>
      </w:tblGrid>
      <w:tr>
        <w:trPr>
          <w:trHeight w:val="714"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714" w:hRule="exact"/>
        </w:trPr>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134" w:right="1117"/>
        <w:jc w:val="left"/>
        <w:rPr>
          <w:b w:val="0"/>
          <w:bCs w:val="0"/>
        </w:rPr>
      </w:pPr>
      <w:bookmarkStart w:name="（3）募集资金变更项目情况" w:id="50"/>
      <w:bookmarkEnd w:id="5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3" w:right="1117"/>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33" w:right="1117"/>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1117"/>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pStyle w:val="BodyText"/>
        <w:spacing w:line="240" w:lineRule="auto" w:before="103"/>
        <w:ind w:left="0" w:right="1271"/>
        <w:jc w:val="right"/>
      </w:pPr>
      <w:r>
        <w:rPr/>
        <w:t>单位：元</w:t>
      </w:r>
    </w:p>
    <w:p>
      <w:pPr>
        <w:spacing w:line="240" w:lineRule="auto" w:before="0"/>
        <w:rPr>
          <w:rFonts w:ascii="宋体" w:hAnsi="宋体" w:cs="宋体" w:eastAsia="宋体" w:hint="default"/>
          <w:sz w:val="8"/>
          <w:szCs w:val="8"/>
        </w:rPr>
      </w:pPr>
    </w:p>
    <w:tbl>
      <w:tblPr>
        <w:tblW w:w="0" w:type="auto"/>
        <w:jc w:val="left"/>
        <w:tblInd w:w="812" w:type="dxa"/>
        <w:tblLayout w:type="fixed"/>
        <w:tblCellMar>
          <w:top w:w="0" w:type="dxa"/>
          <w:left w:w="0" w:type="dxa"/>
          <w:bottom w:w="0" w:type="dxa"/>
          <w:right w:w="0" w:type="dxa"/>
        </w:tblCellMar>
        <w:tblLook w:val="01E0"/>
      </w:tblPr>
      <w:tblGrid>
        <w:gridCol w:w="1136"/>
        <w:gridCol w:w="566"/>
        <w:gridCol w:w="992"/>
        <w:gridCol w:w="1276"/>
        <w:gridCol w:w="1277"/>
        <w:gridCol w:w="1274"/>
        <w:gridCol w:w="1276"/>
        <w:gridCol w:w="1277"/>
        <w:gridCol w:w="1276"/>
      </w:tblGrid>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北京神奇时 代网络有限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移动网络游 戏研发与运 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268,096,123.69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252,516,151.54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163,364,167.54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92,058,118.21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78,527,880.30</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both"/>
              <w:rPr>
                <w:rFonts w:ascii="宋体" w:hAnsi="宋体" w:cs="宋体" w:eastAsia="宋体" w:hint="default"/>
                <w:sz w:val="18"/>
                <w:szCs w:val="18"/>
              </w:rPr>
            </w:pPr>
            <w:r>
              <w:rPr>
                <w:rFonts w:ascii="宋体" w:hAnsi="宋体" w:cs="宋体" w:eastAsia="宋体" w:hint="default"/>
                <w:sz w:val="18"/>
                <w:szCs w:val="18"/>
              </w:rPr>
              <w:t>广州游爱网 络技术有限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移动网络游 戏研发与运 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558,480,038.44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397,251,916.69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339,115,789.92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160,870,481.57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149,113,644.74</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both"/>
              <w:rPr>
                <w:rFonts w:ascii="宋体" w:hAnsi="宋体" w:cs="宋体" w:eastAsia="宋体" w:hint="default"/>
                <w:sz w:val="18"/>
                <w:szCs w:val="18"/>
              </w:rPr>
            </w:pPr>
            <w:r>
              <w:rPr>
                <w:rFonts w:ascii="宋体" w:hAnsi="宋体" w:cs="宋体" w:eastAsia="宋体" w:hint="default"/>
                <w:sz w:val="18"/>
                <w:szCs w:val="18"/>
              </w:rPr>
              <w:t>海南元游信 息技术有限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235,196,190.15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179,298,566.67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205,579,367.09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147,620,218.67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147,680,731.29</w:t>
            </w:r>
          </w:p>
        </w:tc>
      </w:tr>
    </w:tbl>
    <w:p>
      <w:pPr>
        <w:spacing w:line="240" w:lineRule="auto" w:before="5"/>
        <w:rPr>
          <w:rFonts w:ascii="宋体" w:hAnsi="宋体" w:cs="宋体" w:eastAsia="宋体" w:hint="default"/>
          <w:sz w:val="27"/>
          <w:szCs w:val="27"/>
        </w:rPr>
      </w:pPr>
    </w:p>
    <w:p>
      <w:pPr>
        <w:pStyle w:val="BodyText"/>
        <w:spacing w:line="240" w:lineRule="auto" w:before="44"/>
        <w:ind w:left="1134" w:right="1117"/>
        <w:jc w:val="left"/>
      </w:pPr>
      <w:r>
        <w:rPr/>
        <w:t>报告期内取得和处置子公司的情况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广州游爱兄弟信息技术有限公司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月起纳入合并范围，合并净 利润</w:t>
            </w:r>
            <w:r>
              <w:rPr>
                <w:rFonts w:ascii="Times New Roman" w:hAnsi="Times New Roman" w:cs="Times New Roman" w:eastAsia="Times New Roman" w:hint="default"/>
                <w:sz w:val="18"/>
                <w:szCs w:val="18"/>
              </w:rPr>
              <w:t>-929.97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广州游爱互娱网络技术有限公司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本报告期影响不大</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湖南天舟创新智能科技有限公司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本报告期影响不大</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湖南天舟游戏科技有限公司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本报告期影响不大</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广州游爱数据汇互联网有限公司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本报告期影响不大</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天畅互娱（天津）科技有限公司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本报告期影响不大</w:t>
            </w:r>
          </w:p>
        </w:tc>
      </w:tr>
    </w:tbl>
    <w:p>
      <w:pPr>
        <w:pStyle w:val="BodyText"/>
        <w:spacing w:line="240" w:lineRule="auto" w:before="51"/>
        <w:ind w:left="1134" w:right="1117"/>
        <w:jc w:val="left"/>
      </w:pPr>
      <w:r>
        <w:rPr/>
        <w:t>主要控股参股公司情况说明</w:t>
      </w:r>
    </w:p>
    <w:p>
      <w:pPr>
        <w:pStyle w:val="BodyText"/>
        <w:spacing w:line="345" w:lineRule="auto" w:before="139"/>
        <w:ind w:left="1133" w:right="1186" w:firstLine="360"/>
        <w:jc w:val="both"/>
      </w:pPr>
      <w:r>
        <w:rPr/>
        <w:t>（</w:t>
      </w:r>
      <w:r>
        <w:rPr>
          <w:rFonts w:ascii="Times New Roman" w:hAnsi="Times New Roman" w:cs="Times New Roman" w:eastAsia="Times New Roman" w:hint="default"/>
        </w:rPr>
        <w:t>1</w:t>
      </w:r>
      <w:r>
        <w:rPr/>
        <w:t>）子公司神奇时代报告期合并净利润 </w:t>
      </w:r>
      <w:r>
        <w:rPr>
          <w:rFonts w:ascii="Times New Roman" w:hAnsi="Times New Roman" w:cs="Times New Roman" w:eastAsia="Times New Roman" w:hint="default"/>
        </w:rPr>
        <w:t>7,852.79 </w:t>
      </w:r>
      <w:r>
        <w:rPr/>
        <w:t>万元，较上年同期下降</w:t>
      </w:r>
      <w:r>
        <w:rPr>
          <w:spacing w:val="-37"/>
        </w:rPr>
        <w:t> </w:t>
      </w:r>
      <w:r>
        <w:rPr>
          <w:rFonts w:ascii="Times New Roman" w:hAnsi="Times New Roman" w:cs="Times New Roman" w:eastAsia="Times New Roman" w:hint="default"/>
        </w:rPr>
        <w:t>51.91%</w:t>
      </w:r>
      <w:r>
        <w:rPr/>
        <w:t>，主要系新游戏产品上线时间推迟， 已上线游戏产品流水未达预期所致。</w:t>
      </w:r>
    </w:p>
    <w:p>
      <w:pPr>
        <w:pStyle w:val="BodyText"/>
        <w:spacing w:line="345" w:lineRule="auto" w:before="82"/>
        <w:ind w:left="1133" w:right="1274" w:firstLine="360"/>
        <w:jc w:val="both"/>
      </w:pPr>
      <w:r>
        <w:rPr/>
        <w:t>（</w:t>
      </w:r>
      <w:r>
        <w:rPr>
          <w:rFonts w:ascii="Times New Roman" w:hAnsi="Times New Roman" w:cs="Times New Roman" w:eastAsia="Times New Roman" w:hint="default"/>
        </w:rPr>
        <w:t>2</w:t>
      </w:r>
      <w:r>
        <w:rPr/>
        <w:t>）子公司游爱网络报告期合并净利润</w:t>
      </w:r>
      <w:r>
        <w:rPr>
          <w:spacing w:val="-52"/>
        </w:rPr>
        <w:t> </w:t>
      </w:r>
      <w:r>
        <w:rPr>
          <w:rFonts w:ascii="Times New Roman" w:hAnsi="Times New Roman" w:cs="Times New Roman" w:eastAsia="Times New Roman" w:hint="default"/>
        </w:rPr>
        <w:t>14,911.36</w:t>
      </w:r>
      <w:r>
        <w:rPr>
          <w:rFonts w:ascii="Times New Roman" w:hAnsi="Times New Roman" w:cs="Times New Roman" w:eastAsia="Times New Roman" w:hint="default"/>
          <w:spacing w:val="-7"/>
        </w:rPr>
        <w:t> </w:t>
      </w:r>
      <w:r>
        <w:rPr/>
        <w:t>万元，较上年同期增长</w:t>
      </w:r>
      <w:r>
        <w:rPr>
          <w:spacing w:val="-52"/>
        </w:rPr>
        <w:t> </w:t>
      </w:r>
      <w:r>
        <w:rPr>
          <w:rFonts w:ascii="Times New Roman" w:hAnsi="Times New Roman" w:cs="Times New Roman" w:eastAsia="Times New Roman" w:hint="default"/>
        </w:rPr>
        <w:t>203.43%</w:t>
      </w:r>
      <w:r>
        <w:rPr/>
        <w:t>，主要系游爱网络的合并期间同比 增加导致，上年自</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月纳入合并范围。</w:t>
      </w:r>
    </w:p>
    <w:p>
      <w:pPr>
        <w:pStyle w:val="BodyText"/>
        <w:spacing w:line="345" w:lineRule="auto" w:before="61"/>
        <w:ind w:left="1133" w:right="1319" w:firstLine="360"/>
        <w:jc w:val="both"/>
      </w:pPr>
      <w:r>
        <w:rPr/>
        <w:t>（</w:t>
      </w:r>
      <w:r>
        <w:rPr>
          <w:rFonts w:ascii="Times New Roman" w:hAnsi="Times New Roman" w:cs="Times New Roman" w:eastAsia="Times New Roman" w:hint="default"/>
        </w:rPr>
        <w:t>3</w:t>
      </w:r>
      <w:r>
        <w:rPr/>
        <w:t>）海南元游信息技术有限公司为子公司上海游爱之星信息科技有限公司投资的联营公司，采用权益法核算，本期 确认其投资收益</w:t>
      </w:r>
      <w:r>
        <w:rPr>
          <w:spacing w:val="-46"/>
        </w:rPr>
        <w:t> </w:t>
      </w:r>
      <w:r>
        <w:rPr>
          <w:rFonts w:ascii="Times New Roman" w:hAnsi="Times New Roman" w:cs="Times New Roman" w:eastAsia="Times New Roman" w:hint="default"/>
        </w:rPr>
        <w:t>2,953.61</w:t>
      </w:r>
      <w:r>
        <w:rPr>
          <w:rFonts w:ascii="Times New Roman" w:hAnsi="Times New Roman" w:cs="Times New Roman" w:eastAsia="Times New Roman" w:hint="default"/>
          <w:spacing w:val="-1"/>
        </w:rPr>
        <w:t> </w:t>
      </w:r>
      <w:r>
        <w:rPr/>
        <w:t>万元。上表中的营业收入、营业利润和净利润为合并期</w:t>
      </w:r>
      <w:r>
        <w:rPr>
          <w:spacing w:val="-46"/>
        </w:rPr>
        <w:t> </w:t>
      </w:r>
      <w:r>
        <w:rPr>
          <w:rFonts w:ascii="Times New Roman" w:hAnsi="Times New Roman" w:cs="Times New Roman" w:eastAsia="Times New Roman" w:hint="default"/>
        </w:rPr>
        <w:t>8-12</w:t>
      </w:r>
      <w:r>
        <w:rPr>
          <w:rFonts w:ascii="Times New Roman" w:hAnsi="Times New Roman" w:cs="Times New Roman" w:eastAsia="Times New Roman" w:hint="default"/>
          <w:spacing w:val="-1"/>
        </w:rPr>
        <w:t> </w:t>
      </w:r>
      <w:r>
        <w:rPr/>
        <w:t>月的数据。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0"/>
        <w:ind w:right="1117"/>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7"/>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9"/>
        <w:rPr>
          <w:rFonts w:ascii="宋体" w:hAnsi="宋体" w:cs="宋体" w:eastAsia="宋体" w:hint="default"/>
          <w:b/>
          <w:bCs/>
          <w:sz w:val="30"/>
          <w:szCs w:val="30"/>
        </w:rPr>
      </w:pPr>
    </w:p>
    <w:p>
      <w:pPr>
        <w:spacing w:line="441" w:lineRule="auto" w:before="0"/>
        <w:ind w:left="1553" w:right="1117" w:firstLine="2"/>
        <w:jc w:val="left"/>
        <w:rPr>
          <w:rFonts w:ascii="宋体" w:hAnsi="宋体" w:cs="宋体" w:eastAsia="宋体" w:hint="default"/>
          <w:sz w:val="21"/>
          <w:szCs w:val="21"/>
        </w:rPr>
      </w:pPr>
      <w:r>
        <w:rPr>
          <w:rFonts w:ascii="宋体" w:hAnsi="宋体" w:cs="宋体" w:eastAsia="宋体" w:hint="default"/>
          <w:b/>
          <w:bCs/>
          <w:sz w:val="21"/>
          <w:szCs w:val="21"/>
        </w:rPr>
        <w:t>（一）公司发展战略规划</w:t>
      </w:r>
      <w:r>
        <w:rPr>
          <w:rFonts w:ascii="宋体" w:hAnsi="宋体" w:cs="宋体" w:eastAsia="宋体" w:hint="default"/>
          <w:b/>
          <w:bCs/>
          <w:w w:val="99"/>
          <w:sz w:val="21"/>
          <w:szCs w:val="21"/>
        </w:rPr>
        <w:t> </w:t>
      </w:r>
      <w:r>
        <w:rPr>
          <w:rFonts w:ascii="宋体" w:hAnsi="宋体" w:cs="宋体" w:eastAsia="宋体" w:hint="default"/>
          <w:sz w:val="21"/>
          <w:szCs w:val="21"/>
        </w:rPr>
        <w:t>天舟文化将发展战略确定为</w:t>
      </w:r>
      <w:r>
        <w:rPr>
          <w:rFonts w:ascii="Times New Roman" w:hAnsi="Times New Roman" w:cs="Times New Roman" w:eastAsia="Times New Roman" w:hint="default"/>
          <w:sz w:val="21"/>
          <w:szCs w:val="21"/>
        </w:rPr>
        <w:t>“</w:t>
      </w:r>
      <w:r>
        <w:rPr>
          <w:rFonts w:ascii="宋体" w:hAnsi="宋体" w:cs="宋体" w:eastAsia="宋体" w:hint="default"/>
          <w:sz w:val="21"/>
          <w:szCs w:val="21"/>
        </w:rPr>
        <w:t>三三战略</w:t>
      </w:r>
      <w:r>
        <w:rPr>
          <w:rFonts w:ascii="Times New Roman" w:hAnsi="Times New Roman" w:cs="Times New Roman" w:eastAsia="Times New Roman" w:hint="default"/>
          <w:sz w:val="21"/>
          <w:szCs w:val="21"/>
        </w:rPr>
        <w:t>”</w:t>
      </w:r>
      <w:r>
        <w:rPr>
          <w:rFonts w:ascii="宋体" w:hAnsi="宋体" w:cs="宋体" w:eastAsia="宋体" w:hint="default"/>
          <w:sz w:val="21"/>
          <w:szCs w:val="21"/>
        </w:rPr>
        <w:t>，即经过三个发展阶段、做好三个产业板块、成为</w:t>
      </w:r>
      <w:r>
        <w:rPr>
          <w:rFonts w:ascii="Times New Roman" w:hAnsi="Times New Roman" w:cs="Times New Roman" w:eastAsia="Times New Roman" w:hint="default"/>
          <w:sz w:val="21"/>
          <w:szCs w:val="21"/>
        </w:rPr>
        <w:t>“</w:t>
      </w:r>
      <w:r>
        <w:rPr>
          <w:rFonts w:ascii="宋体" w:hAnsi="宋体" w:cs="宋体" w:eastAsia="宋体" w:hint="default"/>
          <w:sz w:val="21"/>
          <w:szCs w:val="21"/>
        </w:rPr>
        <w:t>三化</w:t>
      </w:r>
      <w:r>
        <w:rPr>
          <w:rFonts w:ascii="Times New Roman" w:hAnsi="Times New Roman" w:cs="Times New Roman" w:eastAsia="Times New Roman" w:hint="default"/>
          <w:sz w:val="21"/>
          <w:szCs w:val="21"/>
        </w:rPr>
        <w:t>”</w:t>
      </w:r>
      <w:r>
        <w:rPr>
          <w:rFonts w:ascii="宋体" w:hAnsi="宋体" w:cs="宋体" w:eastAsia="宋体" w:hint="default"/>
          <w:sz w:val="21"/>
          <w:szCs w:val="21"/>
        </w:rPr>
        <w:t>集</w:t>
      </w:r>
    </w:p>
    <w:p>
      <w:pPr>
        <w:pStyle w:val="Heading5"/>
        <w:spacing w:line="257" w:lineRule="exact"/>
        <w:ind w:left="1133" w:right="1117"/>
        <w:jc w:val="left"/>
      </w:pPr>
      <w:r>
        <w:rPr/>
        <w:t>团。公司已完成从图书发行企业向文化产业集团的转型，聚焦教育、泛娱乐、文化三大板块。公司通过</w:t>
      </w:r>
    </w:p>
    <w:p>
      <w:pPr>
        <w:spacing w:line="240" w:lineRule="auto" w:before="10"/>
        <w:rPr>
          <w:rFonts w:ascii="宋体" w:hAnsi="宋体" w:cs="宋体" w:eastAsia="宋体" w:hint="default"/>
          <w:sz w:val="14"/>
          <w:szCs w:val="14"/>
        </w:rPr>
      </w:pPr>
    </w:p>
    <w:p>
      <w:pPr>
        <w:pStyle w:val="Heading5"/>
        <w:spacing w:line="410" w:lineRule="auto"/>
        <w:ind w:left="1133" w:right="1117"/>
        <w:jc w:val="left"/>
      </w:pPr>
      <w:r>
        <w:rPr/>
        <w:t>内生发展与外延并购，积极布局教育资源与服务、移动互联网娱乐、优秀文化的传承与传播三大领域，</w:t>
      </w:r>
      <w:r>
        <w:rPr>
          <w:spacing w:val="-68"/>
        </w:rPr>
        <w:t> </w:t>
      </w:r>
      <w:r>
        <w:rPr>
          <w:spacing w:val="-68"/>
        </w:rPr>
      </w:r>
      <w:r>
        <w:rPr/>
        <w:t>并向</w:t>
      </w:r>
      <w:r>
        <w:rPr>
          <w:rFonts w:ascii="Times New Roman" w:hAnsi="Times New Roman" w:cs="Times New Roman" w:eastAsia="Times New Roman" w:hint="default"/>
        </w:rPr>
        <w:t>“</w:t>
      </w:r>
      <w:r>
        <w:rPr/>
        <w:t>集团化、国际化、文化化</w:t>
      </w:r>
      <w:r>
        <w:rPr>
          <w:rFonts w:ascii="Times New Roman" w:hAnsi="Times New Roman" w:cs="Times New Roman" w:eastAsia="Times New Roman" w:hint="default"/>
        </w:rPr>
        <w:t>”</w:t>
      </w:r>
      <w:r>
        <w:rPr/>
        <w:t>的产业蓝图稳步迈进，打造国内一流的文化产业集团。</w:t>
      </w:r>
    </w:p>
    <w:p>
      <w:pPr>
        <w:pStyle w:val="Heading5"/>
        <w:spacing w:line="410" w:lineRule="auto" w:before="51"/>
        <w:ind w:left="1133" w:right="1272" w:firstLine="420"/>
        <w:jc w:val="both"/>
      </w:pPr>
      <w:r>
        <w:rPr>
          <w:spacing w:val="-6"/>
        </w:rPr>
        <w:t>公司将坚持泛娱乐板块“多样化、精品化、全球化、大</w:t>
      </w:r>
      <w:r>
        <w:rPr>
          <w:spacing w:val="-44"/>
        </w:rPr>
        <w:t> </w:t>
      </w:r>
      <w:r>
        <w:rPr>
          <w:rFonts w:ascii="宋体" w:hAnsi="宋体" w:cs="宋体" w:eastAsia="宋体" w:hint="default"/>
          <w:spacing w:val="-4"/>
        </w:rPr>
        <w:t>IP</w:t>
      </w:r>
      <w:r>
        <w:rPr>
          <w:spacing w:val="-4"/>
        </w:rPr>
        <w:t>”的发展战略，秉承追求卓越的创业精神，</w:t>
      </w:r>
      <w:r>
        <w:rPr/>
        <w:t> 发挥团队优势，通过积极拓展游戏品类提升游戏品质、开拓</w:t>
      </w:r>
      <w:r>
        <w:rPr>
          <w:spacing w:val="-41"/>
        </w:rPr>
        <w:t> </w:t>
      </w:r>
      <w:r>
        <w:rPr>
          <w:rFonts w:ascii="宋体" w:hAnsi="宋体" w:cs="宋体" w:eastAsia="宋体" w:hint="default"/>
        </w:rPr>
        <w:t>H5</w:t>
      </w:r>
      <w:r>
        <w:rPr>
          <w:rFonts w:ascii="宋体" w:hAnsi="宋体" w:cs="宋体" w:eastAsia="宋体" w:hint="default"/>
          <w:spacing w:val="-41"/>
        </w:rPr>
        <w:t> </w:t>
      </w:r>
      <w:r>
        <w:rPr/>
        <w:t>游戏布局、深耕</w:t>
      </w:r>
      <w:r>
        <w:rPr>
          <w:spacing w:val="-41"/>
        </w:rPr>
        <w:t> </w:t>
      </w:r>
      <w:r>
        <w:rPr>
          <w:rFonts w:ascii="宋体" w:hAnsi="宋体" w:cs="宋体" w:eastAsia="宋体" w:hint="default"/>
        </w:rPr>
        <w:t>IP</w:t>
      </w:r>
      <w:r>
        <w:rPr>
          <w:rFonts w:ascii="宋体" w:hAnsi="宋体" w:cs="宋体" w:eastAsia="宋体" w:hint="default"/>
          <w:spacing w:val="-42"/>
        </w:rPr>
        <w:t> </w:t>
      </w:r>
      <w:r>
        <w:rPr/>
        <w:t>开发与游戏相结合、 提高海外市场份额扩大全球发行范围等方法来实现经营业绩增长，提升公司行业地位。</w:t>
      </w:r>
    </w:p>
    <w:p>
      <w:pPr>
        <w:spacing w:line="444" w:lineRule="auto" w:before="83"/>
        <w:ind w:left="1553" w:right="7080"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2018</w:t>
      </w:r>
      <w:r>
        <w:rPr>
          <w:rFonts w:ascii="宋体" w:hAnsi="宋体" w:cs="宋体" w:eastAsia="宋体" w:hint="default"/>
          <w:b/>
          <w:bCs/>
          <w:spacing w:val="-53"/>
          <w:sz w:val="21"/>
          <w:szCs w:val="21"/>
        </w:rPr>
        <w:t> </w:t>
      </w:r>
      <w:r>
        <w:rPr>
          <w:rFonts w:ascii="宋体" w:hAnsi="宋体" w:cs="宋体" w:eastAsia="宋体" w:hint="default"/>
          <w:b/>
          <w:bCs/>
          <w:sz w:val="21"/>
          <w:szCs w:val="21"/>
        </w:rPr>
        <w:t>年经营工作计划</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拓展游戏品类，开拓</w:t>
      </w:r>
      <w:r>
        <w:rPr>
          <w:rFonts w:ascii="宋体" w:hAnsi="宋体" w:cs="宋体" w:eastAsia="宋体" w:hint="default"/>
          <w:spacing w:val="-54"/>
          <w:sz w:val="21"/>
          <w:szCs w:val="21"/>
        </w:rPr>
        <w:t> </w:t>
      </w:r>
      <w:r>
        <w:rPr>
          <w:rFonts w:ascii="宋体" w:hAnsi="宋体" w:cs="宋体" w:eastAsia="宋体" w:hint="default"/>
          <w:sz w:val="21"/>
          <w:szCs w:val="21"/>
        </w:rPr>
        <w:t>H5</w:t>
      </w:r>
      <w:r>
        <w:rPr>
          <w:rFonts w:ascii="宋体" w:hAnsi="宋体" w:cs="宋体" w:eastAsia="宋体" w:hint="default"/>
          <w:spacing w:val="-53"/>
          <w:sz w:val="21"/>
          <w:szCs w:val="21"/>
        </w:rPr>
        <w:t> </w:t>
      </w:r>
      <w:r>
        <w:rPr>
          <w:rFonts w:ascii="宋体" w:hAnsi="宋体" w:cs="宋体" w:eastAsia="宋体" w:hint="default"/>
          <w:sz w:val="21"/>
          <w:szCs w:val="21"/>
        </w:rPr>
        <w:t>游戏布局</w:t>
      </w:r>
    </w:p>
    <w:p>
      <w:pPr>
        <w:pStyle w:val="Heading5"/>
        <w:spacing w:line="408" w:lineRule="auto" w:before="54"/>
        <w:ind w:left="1133" w:right="1271" w:firstLine="420"/>
        <w:jc w:val="both"/>
      </w:pPr>
      <w:r>
        <w:rPr/>
        <w:t>公司在 </w:t>
      </w:r>
      <w:r>
        <w:rPr>
          <w:rFonts w:ascii="宋体" w:hAnsi="宋体" w:cs="宋体" w:eastAsia="宋体" w:hint="default"/>
        </w:rPr>
        <w:t>SLG</w:t>
      </w:r>
      <w:r>
        <w:rPr/>
        <w:t>、塔防类、</w:t>
      </w:r>
      <w:r>
        <w:rPr>
          <w:rFonts w:ascii="宋体" w:hAnsi="宋体" w:cs="宋体" w:eastAsia="宋体" w:hint="default"/>
        </w:rPr>
        <w:t>MMORPG</w:t>
      </w:r>
      <w:r>
        <w:rPr>
          <w:rFonts w:ascii="宋体" w:hAnsi="宋体" w:cs="宋体" w:eastAsia="宋体" w:hint="default"/>
          <w:spacing w:val="-60"/>
        </w:rPr>
        <w:t> </w:t>
      </w:r>
      <w:r>
        <w:rPr/>
        <w:t>类型游戏领域拥有较强的研发能力和运营经验，也在不断进军二次元 类、女性向类、挂机放置类等新的游戏品类。未来，公司将持续推出更多题材品类的新游戏上线，满足</w:t>
      </w:r>
      <w:r>
        <w:rPr>
          <w:spacing w:val="-68"/>
        </w:rPr>
        <w:t> </w:t>
      </w:r>
      <w:r>
        <w:rPr>
          <w:spacing w:val="-68"/>
        </w:rPr>
      </w:r>
      <w:r>
        <w:rPr/>
        <w:t>更多玩家不同的需求。公司顺应</w:t>
      </w:r>
      <w:r>
        <w:rPr>
          <w:spacing w:val="-41"/>
        </w:rPr>
        <w:t> </w:t>
      </w:r>
      <w:r>
        <w:rPr>
          <w:rFonts w:ascii="宋体" w:hAnsi="宋体" w:cs="宋体" w:eastAsia="宋体" w:hint="default"/>
        </w:rPr>
        <w:t>H5</w:t>
      </w:r>
      <w:r>
        <w:rPr>
          <w:rFonts w:ascii="宋体" w:hAnsi="宋体" w:cs="宋体" w:eastAsia="宋体" w:hint="default"/>
          <w:spacing w:val="-42"/>
        </w:rPr>
        <w:t> </w:t>
      </w:r>
      <w:r>
        <w:rPr/>
        <w:t>游戏大发展的市场趋势，将加大对</w:t>
      </w:r>
      <w:r>
        <w:rPr>
          <w:spacing w:val="-41"/>
        </w:rPr>
        <w:t> </w:t>
      </w:r>
      <w:r>
        <w:rPr>
          <w:rFonts w:ascii="宋体" w:hAnsi="宋体" w:cs="宋体" w:eastAsia="宋体" w:hint="default"/>
        </w:rPr>
        <w:t>H5</w:t>
      </w:r>
      <w:r>
        <w:rPr>
          <w:rFonts w:ascii="宋体" w:hAnsi="宋体" w:cs="宋体" w:eastAsia="宋体" w:hint="default"/>
          <w:spacing w:val="-41"/>
        </w:rPr>
        <w:t> </w:t>
      </w:r>
      <w:r>
        <w:rPr/>
        <w:t>游戏研发、发行的投入，研发 技术重点倾向</w:t>
      </w:r>
      <w:r>
        <w:rPr>
          <w:spacing w:val="-54"/>
        </w:rPr>
        <w:t> </w:t>
      </w:r>
      <w:r>
        <w:rPr>
          <w:rFonts w:ascii="宋体" w:hAnsi="宋体" w:cs="宋体" w:eastAsia="宋体" w:hint="default"/>
        </w:rPr>
        <w:t>H5</w:t>
      </w:r>
      <w:r>
        <w:rPr>
          <w:rFonts w:ascii="宋体" w:hAnsi="宋体" w:cs="宋体" w:eastAsia="宋体" w:hint="default"/>
          <w:spacing w:val="-54"/>
        </w:rPr>
        <w:t> </w:t>
      </w:r>
      <w:r>
        <w:rPr/>
        <w:t>领域，力求自研优质的</w:t>
      </w:r>
      <w:r>
        <w:rPr>
          <w:spacing w:val="-55"/>
        </w:rPr>
        <w:t> </w:t>
      </w:r>
      <w:r>
        <w:rPr>
          <w:rFonts w:ascii="宋体" w:hAnsi="宋体" w:cs="宋体" w:eastAsia="宋体" w:hint="default"/>
        </w:rPr>
        <w:t>H5</w:t>
      </w:r>
      <w:r>
        <w:rPr>
          <w:rFonts w:ascii="宋体" w:hAnsi="宋体" w:cs="宋体" w:eastAsia="宋体" w:hint="default"/>
          <w:spacing w:val="-54"/>
        </w:rPr>
        <w:t> </w:t>
      </w:r>
      <w:r>
        <w:rPr/>
        <w:t>游戏呈现给玩家。</w:t>
      </w:r>
    </w:p>
    <w:p>
      <w:pPr>
        <w:pStyle w:val="Heading5"/>
        <w:spacing w:line="240" w:lineRule="auto" w:before="85"/>
        <w:ind w:left="1554" w:right="1117"/>
        <w:jc w:val="left"/>
      </w:pPr>
      <w:r>
        <w:rPr>
          <w:rFonts w:ascii="宋体" w:hAnsi="宋体" w:cs="宋体" w:eastAsia="宋体" w:hint="default"/>
        </w:rPr>
        <w:t>2.</w:t>
      </w:r>
      <w:r>
        <w:rPr>
          <w:rFonts w:ascii="宋体" w:hAnsi="宋体" w:cs="宋体" w:eastAsia="宋体" w:hint="default"/>
          <w:spacing w:val="-1"/>
        </w:rPr>
        <w:t> </w:t>
      </w:r>
      <w:r>
        <w:rPr/>
        <w:t>拓宽游戏发行业务，深耕</w:t>
      </w:r>
      <w:r>
        <w:rPr>
          <w:spacing w:val="-54"/>
        </w:rPr>
        <w:t> </w:t>
      </w:r>
      <w:r>
        <w:rPr>
          <w:rFonts w:ascii="宋体" w:hAnsi="宋体" w:cs="宋体" w:eastAsia="宋体" w:hint="default"/>
        </w:rPr>
        <w:t>IP</w:t>
      </w:r>
      <w:r>
        <w:rPr>
          <w:rFonts w:ascii="宋体" w:hAnsi="宋体" w:cs="宋体" w:eastAsia="宋体" w:hint="default"/>
          <w:spacing w:val="-53"/>
        </w:rPr>
        <w:t> </w:t>
      </w:r>
      <w:r>
        <w:rPr/>
        <w:t>开发</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410" w:lineRule="auto" w:before="174"/>
        <w:ind w:left="1133" w:right="1272" w:firstLine="420"/>
        <w:jc w:val="both"/>
      </w:pPr>
      <w:r>
        <w:rPr/>
        <w:t>公司将加大游戏发行投入，研发、发行总体布局，均衡发展。</w:t>
      </w:r>
      <w:r>
        <w:rPr>
          <w:rFonts w:ascii="宋体" w:hAnsi="宋体" w:cs="宋体" w:eastAsia="宋体" w:hint="default"/>
        </w:rPr>
        <w:t>2017</w:t>
      </w:r>
      <w:r>
        <w:rPr>
          <w:rFonts w:ascii="宋体" w:hAnsi="宋体" w:cs="宋体" w:eastAsia="宋体" w:hint="default"/>
          <w:spacing w:val="-61"/>
        </w:rPr>
        <w:t> </w:t>
      </w:r>
      <w:r>
        <w:rPr/>
        <w:t>年，公司代理发行了流水过亿的 </w:t>
      </w:r>
      <w:r>
        <w:rPr>
          <w:spacing w:val="-4"/>
        </w:rPr>
        <w:t>游戏产品《青云决》，发行团队得到了进一步锤炼，为公司积累了丰富的大型产品发行经验。未来继续与</w:t>
      </w:r>
      <w:r>
        <w:rPr>
          <w:spacing w:val="-86"/>
        </w:rPr>
        <w:t> </w:t>
      </w:r>
      <w:r>
        <w:rPr>
          <w:spacing w:val="-86"/>
        </w:rPr>
      </w:r>
      <w:r>
        <w:rPr/>
        <w:t>国内外主流渠道建立良好的合作伙伴关系，深化公司发行能力，拓宽国内外游戏发行业务。</w:t>
      </w:r>
    </w:p>
    <w:p>
      <w:pPr>
        <w:pStyle w:val="Heading5"/>
        <w:spacing w:line="408" w:lineRule="auto" w:before="83"/>
        <w:ind w:left="1134" w:right="1271" w:firstLine="420"/>
        <w:jc w:val="both"/>
      </w:pPr>
      <w:r>
        <w:rPr/>
        <w:t>公司继续深耕“大</w:t>
      </w:r>
      <w:r>
        <w:rPr>
          <w:spacing w:val="-42"/>
        </w:rPr>
        <w:t> </w:t>
      </w:r>
      <w:r>
        <w:rPr>
          <w:rFonts w:ascii="宋体" w:hAnsi="宋体" w:cs="宋体" w:eastAsia="宋体" w:hint="default"/>
        </w:rPr>
        <w:t>IP</w:t>
      </w:r>
      <w:r>
        <w:rPr/>
        <w:t>”的发展战略。</w:t>
      </w:r>
      <w:r>
        <w:rPr>
          <w:rFonts w:ascii="宋体" w:hAnsi="宋体" w:cs="宋体" w:eastAsia="宋体" w:hint="default"/>
        </w:rPr>
        <w:t>2017</w:t>
      </w:r>
      <w:r>
        <w:rPr>
          <w:rFonts w:ascii="宋体" w:hAnsi="宋体" w:cs="宋体" w:eastAsia="宋体" w:hint="default"/>
          <w:spacing w:val="-41"/>
        </w:rPr>
        <w:t> </w:t>
      </w:r>
      <w:r>
        <w:rPr/>
        <w:t>年，公司在原创</w:t>
      </w:r>
      <w:r>
        <w:rPr>
          <w:spacing w:val="-43"/>
        </w:rPr>
        <w:t> </w:t>
      </w:r>
      <w:r>
        <w:rPr>
          <w:rFonts w:ascii="宋体" w:hAnsi="宋体" w:cs="宋体" w:eastAsia="宋体" w:hint="default"/>
        </w:rPr>
        <w:t>IP</w:t>
      </w:r>
      <w:r>
        <w:rPr>
          <w:rFonts w:ascii="宋体" w:hAnsi="宋体" w:cs="宋体" w:eastAsia="宋体" w:hint="default"/>
          <w:spacing w:val="-42"/>
        </w:rPr>
        <w:t> </w:t>
      </w:r>
      <w:r>
        <w:rPr/>
        <w:t>基础上，进行了二次拓展，自研并发 </w:t>
      </w:r>
      <w:r>
        <w:rPr>
          <w:spacing w:val="-13"/>
        </w:rPr>
        <w:t>行了《风云天下重燃》、《卧虎藏龙</w:t>
      </w:r>
      <w:r>
        <w:rPr>
          <w:spacing w:val="10"/>
        </w:rPr>
        <w:t> </w:t>
      </w:r>
      <w:r>
        <w:rPr>
          <w:rFonts w:ascii="宋体" w:hAnsi="宋体" w:cs="宋体" w:eastAsia="宋体" w:hint="default"/>
          <w:spacing w:val="-6"/>
        </w:rPr>
        <w:t>2</w:t>
      </w:r>
      <w:r>
        <w:rPr>
          <w:spacing w:val="-6"/>
        </w:rPr>
        <w:t>》，另外也储备了网络文学《大主宰》、台湾戏偶剧《东篱剑游记》</w:t>
      </w:r>
      <w:r>
        <w:rPr/>
        <w:t> 等热门</w:t>
      </w:r>
      <w:r>
        <w:rPr>
          <w:spacing w:val="-42"/>
        </w:rPr>
        <w:t> </w:t>
      </w:r>
      <w:r>
        <w:rPr>
          <w:rFonts w:ascii="宋体" w:hAnsi="宋体" w:cs="宋体" w:eastAsia="宋体" w:hint="default"/>
        </w:rPr>
        <w:t>IP</w:t>
      </w:r>
      <w:r>
        <w:rPr>
          <w:rFonts w:ascii="宋体" w:hAnsi="宋体" w:cs="宋体" w:eastAsia="宋体" w:hint="default"/>
          <w:spacing w:val="-42"/>
        </w:rPr>
        <w:t> </w:t>
      </w:r>
      <w:r>
        <w:rPr/>
        <w:t>版权，未来公司还将积极探索影游联动、文游联动的模式，深入挖掘游戏与</w:t>
      </w:r>
      <w:r>
        <w:rPr>
          <w:spacing w:val="-42"/>
        </w:rPr>
        <w:t> </w:t>
      </w:r>
      <w:r>
        <w:rPr>
          <w:rFonts w:ascii="宋体" w:hAnsi="宋体" w:cs="宋体" w:eastAsia="宋体" w:hint="default"/>
        </w:rPr>
        <w:t>IP</w:t>
      </w:r>
      <w:r>
        <w:rPr>
          <w:rFonts w:ascii="宋体" w:hAnsi="宋体" w:cs="宋体" w:eastAsia="宋体" w:hint="default"/>
          <w:spacing w:val="-42"/>
        </w:rPr>
        <w:t> </w:t>
      </w:r>
      <w:r>
        <w:rPr/>
        <w:t>的合作，整合 优秀资源，实现</w:t>
      </w:r>
      <w:r>
        <w:rPr>
          <w:spacing w:val="-54"/>
        </w:rPr>
        <w:t> </w:t>
      </w:r>
      <w:r>
        <w:rPr>
          <w:rFonts w:ascii="宋体" w:hAnsi="宋体" w:cs="宋体" w:eastAsia="宋体" w:hint="default"/>
        </w:rPr>
        <w:t>IP</w:t>
      </w:r>
      <w:r>
        <w:rPr>
          <w:rFonts w:ascii="宋体" w:hAnsi="宋体" w:cs="宋体" w:eastAsia="宋体" w:hint="default"/>
          <w:spacing w:val="-54"/>
        </w:rPr>
        <w:t> </w:t>
      </w:r>
      <w:r>
        <w:rPr/>
        <w:t>价值的催化剂作用。</w:t>
      </w:r>
    </w:p>
    <w:p>
      <w:pPr>
        <w:pStyle w:val="Heading5"/>
        <w:spacing w:line="240" w:lineRule="auto" w:before="87"/>
        <w:ind w:left="1554" w:right="1117"/>
        <w:jc w:val="left"/>
      </w:pPr>
      <w:r>
        <w:rPr>
          <w:rFonts w:ascii="宋体" w:hAnsi="宋体" w:cs="宋体" w:eastAsia="宋体" w:hint="default"/>
        </w:rPr>
        <w:t>3.</w:t>
      </w:r>
      <w:r>
        <w:rPr/>
        <w:t>与大数据、</w:t>
      </w:r>
      <w:r>
        <w:rPr>
          <w:rFonts w:ascii="宋体" w:hAnsi="宋体" w:cs="宋体" w:eastAsia="宋体" w:hint="default"/>
        </w:rPr>
        <w:t>AI</w:t>
      </w:r>
      <w:r>
        <w:rPr>
          <w:rFonts w:ascii="宋体" w:hAnsi="宋体" w:cs="宋体" w:eastAsia="宋体" w:hint="default"/>
          <w:spacing w:val="-55"/>
        </w:rPr>
        <w:t> </w:t>
      </w:r>
      <w:r>
        <w:rPr/>
        <w:t>技术结合，加大游戏海外市场拓展</w:t>
      </w:r>
    </w:p>
    <w:p>
      <w:pPr>
        <w:spacing w:line="240" w:lineRule="auto" w:before="9"/>
        <w:rPr>
          <w:rFonts w:ascii="宋体" w:hAnsi="宋体" w:cs="宋体" w:eastAsia="宋体" w:hint="default"/>
          <w:sz w:val="17"/>
          <w:szCs w:val="17"/>
        </w:rPr>
      </w:pPr>
    </w:p>
    <w:p>
      <w:pPr>
        <w:pStyle w:val="Heading5"/>
        <w:spacing w:line="408" w:lineRule="auto"/>
        <w:ind w:left="1134" w:right="1271" w:firstLine="420"/>
        <w:jc w:val="both"/>
      </w:pPr>
      <w:r>
        <w:rPr/>
        <w:t>公司已筹备成立大数据研究项目和</w:t>
      </w:r>
      <w:r>
        <w:rPr>
          <w:spacing w:val="-44"/>
        </w:rPr>
        <w:t> </w:t>
      </w:r>
      <w:r>
        <w:rPr>
          <w:rFonts w:ascii="宋体" w:hAnsi="宋体" w:cs="宋体" w:eastAsia="宋体" w:hint="default"/>
        </w:rPr>
        <w:t>AI</w:t>
      </w:r>
      <w:r>
        <w:rPr>
          <w:rFonts w:ascii="宋体" w:hAnsi="宋体" w:cs="宋体" w:eastAsia="宋体" w:hint="default"/>
          <w:spacing w:val="-44"/>
        </w:rPr>
        <w:t> </w:t>
      </w:r>
      <w:r>
        <w:rPr>
          <w:spacing w:val="-3"/>
        </w:rPr>
        <w:t>研究项目，一方面组建大数据团队，搭建大数据平台，研究大</w:t>
      </w:r>
      <w:r>
        <w:rPr/>
        <w:t> 数据应用，对游戏研发、发行进行精准定位，对游戏运营进行分析指导；另一方面，组织团队研究</w:t>
      </w:r>
      <w:r>
        <w:rPr>
          <w:spacing w:val="-80"/>
        </w:rPr>
        <w:t> </w:t>
      </w:r>
      <w:r>
        <w:rPr>
          <w:rFonts w:ascii="宋体" w:hAnsi="宋体" w:cs="宋体" w:eastAsia="宋体" w:hint="default"/>
        </w:rPr>
        <w:t>AI</w:t>
      </w:r>
      <w:r>
        <w:rPr>
          <w:rFonts w:ascii="宋体" w:hAnsi="宋体" w:cs="宋体" w:eastAsia="宋体" w:hint="default"/>
          <w:spacing w:val="-80"/>
        </w:rPr>
        <w:t> </w:t>
      </w:r>
      <w:r>
        <w:rPr/>
        <w:t>在 游戏关卡设计、人机对战、智能客服、智能 </w:t>
      </w:r>
      <w:r>
        <w:rPr>
          <w:rFonts w:ascii="宋体" w:hAnsi="宋体" w:cs="宋体" w:eastAsia="宋体" w:hint="default"/>
        </w:rPr>
        <w:t>NPC</w:t>
      </w:r>
      <w:r>
        <w:rPr>
          <w:rFonts w:ascii="宋体" w:hAnsi="宋体" w:cs="宋体" w:eastAsia="宋体" w:hint="default"/>
          <w:spacing w:val="-58"/>
        </w:rPr>
        <w:t> </w:t>
      </w:r>
      <w:r>
        <w:rPr/>
        <w:t>等游戏方面的应用。通过以上举措，增强公司研发、发 行、运营乃至决策的效率和精确度。</w:t>
      </w:r>
    </w:p>
    <w:p>
      <w:pPr>
        <w:pStyle w:val="Heading5"/>
        <w:spacing w:line="410" w:lineRule="auto" w:before="84"/>
        <w:ind w:left="1134" w:right="1271" w:firstLine="420"/>
        <w:jc w:val="both"/>
      </w:pPr>
      <w:r>
        <w:rPr>
          <w:rFonts w:ascii="宋体" w:hAnsi="宋体" w:cs="宋体" w:eastAsia="宋体" w:hint="default"/>
        </w:rPr>
        <w:t>2017</w:t>
      </w:r>
      <w:r>
        <w:rPr>
          <w:rFonts w:ascii="宋体" w:hAnsi="宋体" w:cs="宋体" w:eastAsia="宋体" w:hint="default"/>
          <w:spacing w:val="-61"/>
        </w:rPr>
        <w:t> </w:t>
      </w:r>
      <w:r>
        <w:rPr/>
        <w:t>年，公司多款游戏受到海外，特别是韩国，东南亚等地玩家的欢迎和喜爱。未来，公司将更加 重视海外市场，做好海外市场文化元素及玩家偏好分析，以此为指导展开立项或实施针对运营手段，改</w:t>
      </w:r>
      <w:r>
        <w:rPr>
          <w:spacing w:val="-68"/>
        </w:rPr>
        <w:t> </w:t>
      </w:r>
      <w:r>
        <w:rPr>
          <w:spacing w:val="-68"/>
        </w:rPr>
      </w:r>
      <w:r>
        <w:rPr>
          <w:spacing w:val="-4"/>
        </w:rPr>
        <w:t>善海外玩家的用户需求和体验，进一步扩大海外发行版图，深入挖掘海外市场，加速全球化产业链布局。</w:t>
      </w:r>
    </w:p>
    <w:p>
      <w:pPr>
        <w:pStyle w:val="Heading5"/>
        <w:spacing w:line="441" w:lineRule="auto" w:before="85"/>
        <w:ind w:left="1554" w:right="1117"/>
        <w:jc w:val="left"/>
      </w:pPr>
      <w:r>
        <w:rPr>
          <w:rFonts w:ascii="宋体" w:hAnsi="宋体" w:cs="宋体" w:eastAsia="宋体" w:hint="default"/>
        </w:rPr>
        <w:t>4</w:t>
      </w:r>
      <w:r>
        <w:rPr/>
        <w:t>、推进教育板块业务发展，加速文化产业国际化布局 公司将持续推进教育特别是在线教育业务发展。进一步推进线下内容资源的互联网产品化，在“互</w:t>
      </w:r>
    </w:p>
    <w:p>
      <w:pPr>
        <w:pStyle w:val="Heading5"/>
        <w:spacing w:line="410" w:lineRule="auto" w:before="16"/>
        <w:ind w:left="1133" w:right="1271"/>
        <w:jc w:val="both"/>
      </w:pPr>
      <w:r>
        <w:rPr>
          <w:spacing w:val="-2"/>
        </w:rPr>
        <w:t>联网</w:t>
      </w:r>
      <w:r>
        <w:rPr>
          <w:rFonts w:ascii="宋体" w:hAnsi="宋体" w:cs="宋体" w:eastAsia="宋体" w:hint="default"/>
          <w:spacing w:val="-2"/>
        </w:rPr>
        <w:t>+</w:t>
      </w:r>
      <w:r>
        <w:rPr>
          <w:spacing w:val="-2"/>
        </w:rPr>
        <w:t>”上找到突破口。发挥内容研发的集中优势，提升公司教育和文化内容的竞争力。进一步延伸产业</w:t>
      </w:r>
      <w:r>
        <w:rPr>
          <w:spacing w:val="-72"/>
        </w:rPr>
        <w:t> </w:t>
      </w:r>
      <w:r>
        <w:rPr>
          <w:spacing w:val="-72"/>
        </w:rPr>
      </w:r>
      <w:r>
        <w:rPr>
          <w:spacing w:val="-2"/>
        </w:rPr>
        <w:t>链，开拓新的业务板块，加大布局教育培训业务，形成新的利润增长点。此外，推进园林式总部基地</w:t>
      </w:r>
      <w:r>
        <w:rPr>
          <w:rFonts w:ascii="宋体" w:hAnsi="宋体" w:cs="宋体" w:eastAsia="宋体" w:hint="default"/>
          <w:spacing w:val="-2"/>
        </w:rPr>
        <w:t>---</w:t>
      </w:r>
      <w:r>
        <w:rPr>
          <w:rFonts w:ascii="宋体" w:hAnsi="宋体" w:cs="宋体" w:eastAsia="宋体" w:hint="default"/>
          <w:spacing w:val="-70"/>
        </w:rPr>
        <w:t> </w:t>
      </w:r>
      <w:r>
        <w:rPr/>
        <w:t>天舟书院建设，目前天舟书院已列入湖南省“十三五”规划重要项目。</w:t>
      </w:r>
    </w:p>
    <w:p>
      <w:pPr>
        <w:pStyle w:val="Heading5"/>
        <w:spacing w:line="410" w:lineRule="auto" w:before="82"/>
        <w:ind w:left="1133" w:right="1270" w:firstLine="420"/>
        <w:jc w:val="both"/>
      </w:pPr>
      <w:r>
        <w:rPr/>
        <w:t>以人民天舟为载体，以深耕一带一路沿线国家为重点，讲好中国故事，做好优秀文化传承与传播， 加大资本“走出去”的步伐，全面落地灯塔出版社、摩洛哥分公司、摩洛哥天舟书院，带动相关产业的</w:t>
      </w:r>
      <w:r>
        <w:rPr>
          <w:spacing w:val="-68"/>
        </w:rPr>
        <w:t> </w:t>
      </w:r>
      <w:r>
        <w:rPr>
          <w:spacing w:val="-68"/>
        </w:rPr>
      </w:r>
      <w:r>
        <w:rPr/>
        <w:t>联动开发，发挥协同效应，实现可持续增长。</w:t>
      </w:r>
    </w:p>
    <w:p>
      <w:pPr>
        <w:pStyle w:val="Heading4"/>
        <w:spacing w:line="240" w:lineRule="auto" w:before="85"/>
        <w:ind w:left="1556" w:right="1117"/>
        <w:jc w:val="left"/>
        <w:rPr>
          <w:b w:val="0"/>
          <w:bCs w:val="0"/>
        </w:rPr>
      </w:pPr>
      <w:r>
        <w:rPr/>
        <w:t>（三）公司未来面临的风险和应对措施</w:t>
      </w:r>
      <w:r>
        <w:rPr>
          <w:b w:val="0"/>
          <w:bCs w:val="0"/>
        </w:rPr>
      </w:r>
    </w:p>
    <w:p>
      <w:pPr>
        <w:spacing w:line="240" w:lineRule="auto" w:before="10"/>
        <w:rPr>
          <w:rFonts w:ascii="宋体" w:hAnsi="宋体" w:cs="宋体" w:eastAsia="宋体" w:hint="default"/>
          <w:b/>
          <w:bCs/>
          <w:sz w:val="17"/>
          <w:szCs w:val="17"/>
        </w:rPr>
      </w:pPr>
    </w:p>
    <w:p>
      <w:pPr>
        <w:pStyle w:val="Heading5"/>
        <w:spacing w:line="240" w:lineRule="auto"/>
        <w:ind w:left="1553" w:right="1117"/>
        <w:jc w:val="left"/>
      </w:pPr>
      <w:r>
        <w:rPr>
          <w:rFonts w:ascii="Times New Roman" w:hAnsi="Times New Roman" w:cs="Times New Roman" w:eastAsia="Times New Roman" w:hint="default"/>
        </w:rPr>
        <w:t>1</w:t>
      </w:r>
      <w:r>
        <w:rPr/>
        <w:t>、投资并购整合风险</w:t>
      </w:r>
    </w:p>
    <w:p>
      <w:pPr>
        <w:spacing w:line="240" w:lineRule="auto" w:before="6"/>
        <w:rPr>
          <w:rFonts w:ascii="宋体" w:hAnsi="宋体" w:cs="宋体" w:eastAsia="宋体" w:hint="default"/>
          <w:sz w:val="16"/>
          <w:szCs w:val="16"/>
        </w:rPr>
      </w:pPr>
    </w:p>
    <w:p>
      <w:pPr>
        <w:pStyle w:val="Heading5"/>
        <w:spacing w:line="400" w:lineRule="auto"/>
        <w:ind w:left="1133" w:right="1270" w:firstLine="420"/>
        <w:jc w:val="both"/>
      </w:pPr>
      <w:r>
        <w:rPr>
          <w:spacing w:val="-2"/>
        </w:rPr>
        <w:t>（</w:t>
      </w:r>
      <w:r>
        <w:rPr>
          <w:rFonts w:ascii="Times New Roman" w:hAnsi="Times New Roman" w:cs="Times New Roman" w:eastAsia="Times New Roman" w:hint="default"/>
          <w:spacing w:val="-2"/>
        </w:rPr>
        <w:t>1</w:t>
      </w:r>
      <w:r>
        <w:rPr>
          <w:spacing w:val="-2"/>
        </w:rPr>
        <w:t>）公司积极通过投资、并购、参股等方式推进公司的战略部署，延伸业务领域。在投资并购的过</w:t>
      </w:r>
      <w:r>
        <w:rPr/>
        <w:t> 程中可能会出现决策失误风险、管理风险、经营风险或无法实现协同效应等。公司在并购目标选择和团</w:t>
      </w:r>
      <w:r>
        <w:rPr>
          <w:spacing w:val="-68"/>
        </w:rPr>
        <w:t> </w:t>
      </w:r>
      <w:r>
        <w:rPr>
          <w:spacing w:val="-68"/>
        </w:rPr>
      </w:r>
      <w:r>
        <w:rPr/>
        <w:t>队融合这块积累了宝贵的经验，将进一步提升经营管理水平，持续改进或优化运营机制，尽力降低投资</w:t>
      </w:r>
      <w:r>
        <w:rPr>
          <w:spacing w:val="-68"/>
        </w:rPr>
        <w:t> </w:t>
      </w:r>
      <w:r>
        <w:rPr>
          <w:spacing w:val="-68"/>
        </w:rPr>
      </w:r>
      <w:r>
        <w:rPr>
          <w:spacing w:val="-2"/>
        </w:rPr>
        <w:t>并购风险。（</w:t>
      </w:r>
      <w:r>
        <w:rPr>
          <w:rFonts w:ascii="Times New Roman" w:hAnsi="Times New Roman" w:cs="Times New Roman" w:eastAsia="Times New Roman" w:hint="default"/>
          <w:spacing w:val="-2"/>
        </w:rPr>
        <w:t>2</w:t>
      </w:r>
      <w:r>
        <w:rPr>
          <w:spacing w:val="-2"/>
        </w:rPr>
        <w:t>）公司并购重组完成后仍存在盈利预测风险、业绩承诺无法实现的风险、整合风险及商誉</w:t>
      </w:r>
    </w:p>
    <w:p>
      <w:pPr>
        <w:spacing w:after="0" w:line="400"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410" w:lineRule="auto" w:before="174"/>
        <w:ind w:left="1133" w:right="1271"/>
        <w:jc w:val="both"/>
      </w:pPr>
      <w:r>
        <w:rPr/>
        <w:t>减值风险。公司将更好地实现与重组公司有效整合，发挥协同效应；同时紧密关注重组公司发展中所遇</w:t>
      </w:r>
      <w:r>
        <w:rPr>
          <w:spacing w:val="-68"/>
        </w:rPr>
        <w:t> </w:t>
      </w:r>
      <w:r>
        <w:rPr>
          <w:spacing w:val="-68"/>
        </w:rPr>
      </w:r>
      <w:r>
        <w:rPr/>
        <w:t>到的风险，加强业务协同、财务管控的力度，维护上市公司股东权益。</w:t>
      </w:r>
    </w:p>
    <w:p>
      <w:pPr>
        <w:pStyle w:val="Heading5"/>
        <w:spacing w:line="420" w:lineRule="auto" w:before="83"/>
        <w:ind w:left="1553" w:right="1117"/>
        <w:jc w:val="left"/>
      </w:pPr>
      <w:r>
        <w:rPr>
          <w:rFonts w:ascii="Times New Roman" w:hAnsi="Times New Roman" w:cs="Times New Roman" w:eastAsia="Times New Roman" w:hint="default"/>
        </w:rPr>
        <w:t>2</w:t>
      </w:r>
      <w:r>
        <w:rPr/>
        <w:t>、人才引进和流失风险 引进和留住人才是公司发展的核心力量，也是公司长久持续发展的保障，如果公司的人才资源不能</w:t>
      </w:r>
    </w:p>
    <w:p>
      <w:pPr>
        <w:pStyle w:val="Heading5"/>
        <w:spacing w:line="408" w:lineRule="auto" w:before="35"/>
        <w:ind w:left="1133" w:right="1271"/>
        <w:jc w:val="both"/>
      </w:pPr>
      <w:r>
        <w:rPr/>
        <w:t>跟随业务的增长而同步扩张，或者公司的核心人才队伍不稳定，都将可能对公司的正常经营产生不利影</w:t>
      </w:r>
      <w:r>
        <w:rPr>
          <w:spacing w:val="-68"/>
        </w:rPr>
        <w:t> </w:t>
      </w:r>
      <w:r>
        <w:rPr>
          <w:spacing w:val="-68"/>
        </w:rPr>
      </w:r>
      <w:r>
        <w:rPr/>
        <w:t>响。因此，公司将积极拓展人才引进和招聘渠道，通过收购兼并吸收优秀的人才团队，同时，不断完善</w:t>
      </w:r>
      <w:r>
        <w:rPr>
          <w:spacing w:val="-68"/>
        </w:rPr>
        <w:t> </w:t>
      </w:r>
      <w:r>
        <w:rPr>
          <w:spacing w:val="-68"/>
        </w:rPr>
      </w:r>
      <w:r>
        <w:rPr/>
        <w:t>公司激励机制、积极探讨制定股权激励制度，构建适合公司发展的人力资源建设规划，为员工创建良好</w:t>
      </w:r>
      <w:r>
        <w:rPr>
          <w:spacing w:val="-68"/>
        </w:rPr>
        <w:t> </w:t>
      </w:r>
      <w:r>
        <w:rPr>
          <w:spacing w:val="-68"/>
        </w:rPr>
      </w:r>
      <w:r>
        <w:rPr/>
        <w:t>的职业环境和事业发展舞台。</w:t>
      </w:r>
    </w:p>
    <w:p>
      <w:pPr>
        <w:pStyle w:val="Heading5"/>
        <w:spacing w:line="417" w:lineRule="auto" w:before="85"/>
        <w:ind w:left="1554" w:right="1117"/>
        <w:jc w:val="left"/>
      </w:pPr>
      <w:r>
        <w:rPr>
          <w:rFonts w:ascii="Times New Roman" w:hAnsi="Times New Roman" w:cs="Times New Roman" w:eastAsia="Times New Roman" w:hint="default"/>
        </w:rPr>
        <w:t>3</w:t>
      </w:r>
      <w:r>
        <w:rPr/>
        <w:t>、知识产权侵权或被侵权风险 随着公司业务的不断发展，产品的不断丰富，以及市场对文化产品版权保护意识的不断加强，如果</w:t>
      </w:r>
    </w:p>
    <w:p>
      <w:pPr>
        <w:pStyle w:val="Heading5"/>
        <w:spacing w:line="408" w:lineRule="auto" w:before="37"/>
        <w:ind w:left="1133" w:right="1270"/>
        <w:jc w:val="both"/>
      </w:pPr>
      <w:r>
        <w:rPr/>
        <w:t>公司未来知识产权的相关制度不能适应市场，将面临一定的知识产权侵权或被侵权风险，从而给公司的</w:t>
      </w:r>
      <w:r>
        <w:rPr>
          <w:spacing w:val="-64"/>
        </w:rPr>
        <w:t> </w:t>
      </w:r>
      <w:r>
        <w:rPr>
          <w:spacing w:val="-64"/>
        </w:rPr>
      </w:r>
      <w:r>
        <w:rPr/>
        <w:t>正常经营造成一定的负面影响。教育板块，公司通过设置专业岗位、健全内部管理制度、强化各部门责</w:t>
      </w:r>
      <w:r>
        <w:rPr>
          <w:spacing w:val="-68"/>
        </w:rPr>
        <w:t> </w:t>
      </w:r>
      <w:r>
        <w:rPr>
          <w:spacing w:val="-68"/>
        </w:rPr>
      </w:r>
      <w:r>
        <w:rPr/>
        <w:t>任、加强维权等措施，有效的提升知识产权管理水平；游戏板块，公司一方面对自主开发的游戏产品采</w:t>
      </w:r>
      <w:r>
        <w:rPr>
          <w:spacing w:val="-68"/>
        </w:rPr>
        <w:t> </w:t>
      </w:r>
      <w:r>
        <w:rPr>
          <w:spacing w:val="-68"/>
        </w:rPr>
      </w:r>
      <w:r>
        <w:rPr/>
        <w:t>取了相应的版权保护措施，包括专门制定知识产权保护相关制度、对版权统一进行登记备案等；另一方</w:t>
      </w:r>
      <w:r>
        <w:rPr>
          <w:spacing w:val="-68"/>
        </w:rPr>
        <w:t> </w:t>
      </w:r>
      <w:r>
        <w:rPr>
          <w:spacing w:val="-68"/>
        </w:rPr>
      </w:r>
      <w:r>
        <w:rPr/>
        <w:t>面，公司在游戏产品开发流程中，制定了严格的质量控制制度，以杜绝知识产权侵权的发生。</w:t>
      </w:r>
    </w:p>
    <w:p>
      <w:pPr>
        <w:pStyle w:val="Heading5"/>
        <w:spacing w:line="417" w:lineRule="auto" w:before="87"/>
        <w:ind w:left="1553" w:right="1117"/>
        <w:jc w:val="left"/>
      </w:pPr>
      <w:r>
        <w:rPr>
          <w:rFonts w:ascii="Times New Roman" w:hAnsi="Times New Roman" w:cs="Times New Roman" w:eastAsia="Times New Roman" w:hint="default"/>
        </w:rPr>
        <w:t>4</w:t>
      </w:r>
      <w:r>
        <w:rPr/>
        <w:t>、教育政策风险 根据国家教育体制改革方向，近年来教育主管部门加强了对减轻中小学生学习负担的相关管理，规</w:t>
      </w:r>
    </w:p>
    <w:p>
      <w:pPr>
        <w:pStyle w:val="Heading5"/>
        <w:spacing w:line="405" w:lineRule="auto" w:before="37"/>
        <w:ind w:left="1133" w:right="1270"/>
        <w:jc w:val="both"/>
      </w:pPr>
      <w:r>
        <w:rPr>
          <w:spacing w:val="-4"/>
        </w:rPr>
        <w:t>范教辅图书市场，要求学校对学生家庭作业等方面作出科学合理安排，切实减轻课内外过重的课业负担，</w:t>
      </w:r>
      <w:r>
        <w:rPr>
          <w:spacing w:val="-87"/>
        </w:rPr>
        <w:t> </w:t>
      </w:r>
      <w:r>
        <w:rPr>
          <w:spacing w:val="-87"/>
        </w:rPr>
      </w:r>
      <w:r>
        <w:rPr/>
        <w:t>依法保障学生的休息权利。中小学生课业负担的减轻将可能对中小学教辅类图书销售造成一定影响。教</w:t>
      </w:r>
      <w:r>
        <w:rPr>
          <w:spacing w:val="-68"/>
        </w:rPr>
        <w:t> </w:t>
      </w:r>
      <w:r>
        <w:rPr>
          <w:spacing w:val="-68"/>
        </w:rPr>
      </w:r>
      <w:r>
        <w:rPr/>
        <w:t>辅新政推出，政府对教辅价格的控制力度加大，教辅行业利润进一步减低，且</w:t>
      </w:r>
      <w:r>
        <w:rPr>
          <w:rFonts w:ascii="Times New Roman" w:hAnsi="Times New Roman" w:cs="Times New Roman" w:eastAsia="Times New Roman" w:hint="default"/>
        </w:rPr>
        <w:t>“</w:t>
      </w:r>
      <w:r>
        <w:rPr/>
        <w:t>一课一辅</w:t>
      </w:r>
      <w:r>
        <w:rPr>
          <w:rFonts w:ascii="Times New Roman" w:hAnsi="Times New Roman" w:cs="Times New Roman" w:eastAsia="Times New Roman" w:hint="default"/>
        </w:rPr>
        <w:t>”</w:t>
      </w:r>
      <w:r>
        <w:rPr/>
        <w:t>限制了整个市</w:t>
      </w:r>
      <w:r>
        <w:rPr>
          <w:spacing w:val="-39"/>
        </w:rPr>
        <w:t> </w:t>
      </w:r>
      <w:r>
        <w:rPr>
          <w:spacing w:val="-39"/>
        </w:rPr>
      </w:r>
      <w:r>
        <w:rPr/>
        <w:t>场的容量，将导致教辅征订类市场萎缩。针对政策走势，公司教育板块教辅图书从素质教育入手，不断</w:t>
      </w:r>
      <w:r>
        <w:rPr>
          <w:spacing w:val="-68"/>
        </w:rPr>
        <w:t> </w:t>
      </w:r>
      <w:r>
        <w:rPr>
          <w:spacing w:val="-68"/>
        </w:rPr>
      </w:r>
      <w:r>
        <w:rPr/>
        <w:t>开发优质、高效的学习辅导读物和课外读物，并积极切入教材的开发和发行，全方面服务于青少年的学</w:t>
      </w:r>
      <w:r>
        <w:rPr>
          <w:spacing w:val="-67"/>
        </w:rPr>
        <w:t> </w:t>
      </w:r>
      <w:r>
        <w:rPr>
          <w:spacing w:val="-67"/>
        </w:rPr>
      </w:r>
      <w:r>
        <w:rPr/>
        <w:t>习、生活、娱乐和心理健康，避免产品结构过分依赖教辅。</w:t>
      </w:r>
    </w:p>
    <w:p>
      <w:pPr>
        <w:pStyle w:val="Heading5"/>
        <w:spacing w:line="420" w:lineRule="auto" w:before="88"/>
        <w:ind w:left="1554" w:right="1117"/>
        <w:jc w:val="left"/>
      </w:pPr>
      <w:r>
        <w:rPr>
          <w:rFonts w:ascii="Times New Roman" w:hAnsi="Times New Roman" w:cs="Times New Roman" w:eastAsia="Times New Roman" w:hint="default"/>
        </w:rPr>
        <w:t>5</w:t>
      </w:r>
      <w:r>
        <w:rPr/>
        <w:t>、游戏内容同质化的风险 移动网游戏行业具有产品更新换代快、可模仿性强、用户偏好转换快的行业特点。公司部分游戏或</w:t>
      </w:r>
    </w:p>
    <w:p>
      <w:pPr>
        <w:pStyle w:val="Heading5"/>
        <w:spacing w:line="408" w:lineRule="auto" w:before="35"/>
        <w:ind w:left="1134" w:right="1271"/>
        <w:jc w:val="both"/>
      </w:pPr>
      <w:r>
        <w:rPr/>
        <w:t>部分内容与其它游戏开发商提供的游戏存在一定程度的同质化现象，可能导致公司游戏用户偏好转换和</w:t>
      </w:r>
      <w:r>
        <w:rPr>
          <w:spacing w:val="-68"/>
        </w:rPr>
        <w:t> </w:t>
      </w:r>
      <w:r>
        <w:rPr>
          <w:spacing w:val="-68"/>
        </w:rPr>
      </w:r>
      <w:r>
        <w:rPr/>
        <w:t>流失的风险，进而影响公司的经营业绩。为此，公司在游戏产品的开发过程中将不断通过丰富游戏内容</w:t>
      </w:r>
      <w:r>
        <w:rPr>
          <w:spacing w:val="-68"/>
        </w:rPr>
        <w:t> </w:t>
      </w:r>
      <w:r>
        <w:rPr>
          <w:spacing w:val="-68"/>
        </w:rPr>
      </w:r>
      <w:r>
        <w:rPr/>
        <w:t>和故事情节、增加游戏特效、落实游戏玩家的感受反馈信息等方式来增加移动网游戏差异化特征，提升</w:t>
      </w:r>
      <w:r>
        <w:rPr>
          <w:spacing w:val="-68"/>
        </w:rPr>
        <w:t> </w:t>
      </w:r>
      <w:r>
        <w:rPr>
          <w:spacing w:val="-68"/>
        </w:rPr>
      </w:r>
      <w:r>
        <w:rPr/>
        <w:t>游戏玩家粘性和吸引力，降低因部分同质化现象带来的经营风险。</w:t>
      </w:r>
    </w:p>
    <w:p>
      <w:pPr>
        <w:spacing w:after="0" w:line="408"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417" w:lineRule="auto" w:before="175"/>
        <w:ind w:left="1553" w:right="1117"/>
        <w:jc w:val="left"/>
      </w:pPr>
      <w:r>
        <w:rPr>
          <w:rFonts w:ascii="Times New Roman" w:hAnsi="Times New Roman" w:cs="Times New Roman" w:eastAsia="Times New Roman" w:hint="default"/>
        </w:rPr>
        <w:t>6</w:t>
      </w:r>
      <w:r>
        <w:rPr/>
        <w:t>、技术风险 移动网游戏业务运行主要依赖于网络进行开展。移动网游戏的运营容易受网络故障、服务器硬件故</w:t>
      </w:r>
    </w:p>
    <w:p>
      <w:pPr>
        <w:pStyle w:val="Heading5"/>
        <w:spacing w:line="410" w:lineRule="auto" w:before="37"/>
        <w:ind w:left="1133" w:right="1271"/>
        <w:jc w:val="both"/>
      </w:pPr>
      <w:r>
        <w:rPr/>
        <w:t>障、计算机病毒、黑客攻击等因素影响，若公司及游戏推广服务商不能及时发现及应对各种运营中出现</w:t>
      </w:r>
      <w:r>
        <w:rPr>
          <w:spacing w:val="-68"/>
        </w:rPr>
        <w:t> </w:t>
      </w:r>
      <w:r>
        <w:rPr>
          <w:spacing w:val="-68"/>
        </w:rPr>
      </w:r>
      <w:r>
        <w:rPr/>
        <w:t>的风险，可能会造成玩家无法登录或用户数据丢失，从而降低玩家的体验效果，造成玩家流失的后果。</w:t>
      </w:r>
      <w:r>
        <w:rPr>
          <w:spacing w:val="-68"/>
        </w:rPr>
        <w:t> </w:t>
      </w:r>
      <w:r>
        <w:rPr>
          <w:spacing w:val="-68"/>
        </w:rPr>
      </w:r>
      <w:r>
        <w:rPr/>
        <w:t>公司将积极应对、有效排除上述干扰因素，减少因技术因素造成的负面影响。</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bookmarkStart w:name="十、接待调研、沟通、采访等活动登记表" w:id="57"/>
      <w:bookmarkEnd w:id="57"/>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0" w:right="0"/>
        <w:jc w:val="center"/>
        <w:rPr>
          <w:b w:val="0"/>
          <w:bCs w:val="0"/>
        </w:rPr>
      </w:pPr>
      <w:bookmarkStart w:name="第五节 重要事项" w:id="58"/>
      <w:bookmarkEnd w:id="58"/>
      <w:r>
        <w:rPr>
          <w:b w:val="0"/>
          <w:bCs w:val="0"/>
        </w:rPr>
      </w:r>
      <w:bookmarkStart w:name="_bookmark4"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7"/>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117"/>
        <w:jc w:val="left"/>
      </w:pPr>
      <w:r>
        <w:rPr/>
        <w:t>报告期内普通股利润分配政策，特别是现金分红政策的制定、执行或调整情况</w:t>
      </w:r>
    </w:p>
    <w:p>
      <w:pPr>
        <w:spacing w:line="240" w:lineRule="auto" w:before="12"/>
        <w:rPr>
          <w:rFonts w:ascii="宋体" w:hAnsi="宋体" w:cs="宋体" w:eastAsia="宋体" w:hint="default"/>
          <w:sz w:val="12"/>
          <w:szCs w:val="12"/>
        </w:rPr>
      </w:pPr>
    </w:p>
    <w:p>
      <w:pPr>
        <w:pStyle w:val="Heading5"/>
        <w:spacing w:line="398" w:lineRule="auto"/>
        <w:ind w:left="1133" w:right="1117" w:firstLine="420"/>
        <w:jc w:val="left"/>
      </w:pPr>
      <w:r>
        <w:rPr>
          <w:spacing w:val="-1"/>
        </w:rPr>
        <w:t>报告期内，公司落实中国证监会《关于进一步明确与细化上市公司利润分配政策的指导性意见》以及</w:t>
      </w:r>
      <w:r>
        <w:rPr/>
        <w:t> 湖南证监局、深圳证券交易所的相关要求，结合公司实际经营状况，于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月实施了</w:t>
      </w:r>
      <w:r>
        <w:rPr>
          <w:rFonts w:ascii="Times New Roman" w:hAnsi="Times New Roman" w:cs="Times New Roman" w:eastAsia="Times New Roman" w:hint="default"/>
        </w:rPr>
        <w:t>2016</w:t>
      </w:r>
      <w:r>
        <w:rPr/>
        <w:t>年度利润分 </w:t>
      </w:r>
      <w:r>
        <w:rPr>
          <w:spacing w:val="-2"/>
        </w:rPr>
        <w:t>配方案：每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0.45</w:t>
      </w:r>
      <w:r>
        <w:rPr>
          <w:spacing w:val="-2"/>
        </w:rPr>
        <w:t>元（含税），以资本公积金每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股。公司现金分红政策的</w:t>
      </w:r>
      <w:r>
        <w:rPr>
          <w:spacing w:val="-87"/>
        </w:rPr>
        <w:t> </w:t>
      </w:r>
      <w:r>
        <w:rPr>
          <w:spacing w:val="-87"/>
        </w:rPr>
      </w:r>
      <w:r>
        <w:rPr>
          <w:spacing w:val="-1"/>
        </w:rPr>
        <w:t>制定及执行情况，符合《公司章程》的规定，分红标准和比例明确清晰，相关决策程序完备，独立董事尽</w:t>
      </w:r>
      <w:r>
        <w:rPr>
          <w:spacing w:val="-83"/>
        </w:rPr>
        <w:t> </w:t>
      </w:r>
      <w:r>
        <w:rPr>
          <w:spacing w:val="-83"/>
        </w:rPr>
      </w:r>
      <w:r>
        <w:rPr/>
        <w:t>职履行，充分维护了中小股东的合法权益。</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3"/>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3"/>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现金分红政策未经调整或变更。</w:t>
            </w:r>
          </w:p>
        </w:tc>
      </w:tr>
    </w:tbl>
    <w:p>
      <w:pPr>
        <w:spacing w:line="240" w:lineRule="auto" w:before="11"/>
        <w:rPr>
          <w:rFonts w:ascii="宋体" w:hAnsi="宋体" w:cs="宋体" w:eastAsia="宋体" w:hint="default"/>
          <w:sz w:val="26"/>
          <w:szCs w:val="26"/>
        </w:rPr>
      </w:pPr>
    </w:p>
    <w:p>
      <w:pPr>
        <w:pStyle w:val="BodyText"/>
        <w:spacing w:line="240" w:lineRule="auto" w:before="44"/>
        <w:ind w:left="1134" w:right="1117"/>
        <w:jc w:val="left"/>
      </w:pPr>
      <w:r>
        <w:rPr/>
        <w:t>公司报告期利润分配预案及资本公积金转增股本预案与公司章程和分红管理办法等的相关规定一致</w:t>
      </w:r>
    </w:p>
    <w:p>
      <w:pPr>
        <w:pStyle w:val="BodyText"/>
        <w:spacing w:line="338" w:lineRule="auto" w:before="116"/>
        <w:ind w:left="1133"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w:t>
      </w:r>
    </w:p>
    <w:p>
      <w:pPr>
        <w:spacing w:line="240" w:lineRule="auto" w:before="0"/>
        <w:rPr>
          <w:rFonts w:ascii="宋体" w:hAnsi="宋体" w:cs="宋体" w:eastAsia="宋体" w:hint="default"/>
          <w:sz w:val="18"/>
          <w:szCs w:val="18"/>
        </w:rPr>
      </w:pPr>
    </w:p>
    <w:p>
      <w:pPr>
        <w:pStyle w:val="BodyText"/>
        <w:spacing w:line="240" w:lineRule="auto" w:before="159"/>
        <w:ind w:left="1133" w:right="1117"/>
        <w:jc w:val="left"/>
      </w:pPr>
      <w:r>
        <w:rPr/>
        <w:t>本年度利润分配及资本公积金转增股本预案</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820,645,743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13,130,331.89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507,302,920.10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898"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4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年度的利润分配预案为：以公司未来实施分配方案时股权登记日的总股本为基数，向全体</w:t>
            </w:r>
          </w:p>
          <w:p>
            <w:pPr>
              <w:pStyle w:val="TableParagraph"/>
              <w:spacing w:line="240" w:lineRule="auto" w:before="177"/>
              <w:ind w:left="22" w:right="0"/>
              <w:jc w:val="both"/>
              <w:rPr>
                <w:rFonts w:ascii="宋体" w:hAnsi="宋体" w:cs="宋体" w:eastAsia="宋体" w:hint="default"/>
                <w:sz w:val="21"/>
                <w:szCs w:val="21"/>
              </w:rPr>
            </w:pPr>
            <w:r>
              <w:rPr>
                <w:rFonts w:ascii="宋体" w:hAnsi="宋体" w:cs="宋体" w:eastAsia="宋体" w:hint="default"/>
                <w:sz w:val="21"/>
                <w:szCs w:val="21"/>
              </w:rPr>
              <w:t>股东每</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股派发现金股利人民币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0.16</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元（含税），不送红股，不以资本公积金转增股本。公司通过回购</w:t>
            </w:r>
          </w:p>
          <w:p>
            <w:pPr>
              <w:pStyle w:val="TableParagraph"/>
              <w:spacing w:line="240" w:lineRule="auto" w:before="177"/>
              <w:ind w:left="22" w:right="0"/>
              <w:jc w:val="both"/>
              <w:rPr>
                <w:rFonts w:ascii="宋体" w:hAnsi="宋体" w:cs="宋体" w:eastAsia="宋体" w:hint="default"/>
                <w:sz w:val="21"/>
                <w:szCs w:val="21"/>
              </w:rPr>
            </w:pPr>
            <w:r>
              <w:rPr>
                <w:rFonts w:ascii="宋体" w:hAnsi="宋体" w:cs="宋体" w:eastAsia="宋体" w:hint="default"/>
                <w:sz w:val="21"/>
                <w:szCs w:val="21"/>
              </w:rPr>
              <w:t>专户持有本公司 </w:t>
            </w:r>
            <w:r>
              <w:rPr>
                <w:rFonts w:ascii="Times New Roman" w:hAnsi="Times New Roman" w:cs="Times New Roman" w:eastAsia="Times New Roman" w:hint="default"/>
                <w:sz w:val="21"/>
                <w:szCs w:val="21"/>
              </w:rPr>
              <w:t>24,288,703 </w:t>
            </w:r>
            <w:r>
              <w:rPr>
                <w:rFonts w:ascii="宋体" w:hAnsi="宋体" w:cs="宋体" w:eastAsia="宋体" w:hint="default"/>
                <w:sz w:val="21"/>
                <w:szCs w:val="21"/>
              </w:rPr>
              <w:t>股，不享有参与利润分配的权利。截止披露日，公司总股本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844,934,446 </w:t>
            </w:r>
            <w:r>
              <w:rPr>
                <w:rFonts w:ascii="宋体" w:hAnsi="宋体" w:cs="宋体" w:eastAsia="宋体" w:hint="default"/>
                <w:sz w:val="21"/>
                <w:szCs w:val="21"/>
              </w:rPr>
              <w:t>股，</w:t>
            </w:r>
          </w:p>
          <w:p>
            <w:pPr>
              <w:pStyle w:val="TableParagraph"/>
              <w:spacing w:line="410" w:lineRule="auto" w:before="177"/>
              <w:ind w:left="22" w:right="83"/>
              <w:jc w:val="both"/>
              <w:rPr>
                <w:rFonts w:ascii="宋体" w:hAnsi="宋体" w:cs="宋体" w:eastAsia="宋体" w:hint="default"/>
                <w:sz w:val="21"/>
                <w:szCs w:val="21"/>
              </w:rPr>
            </w:pPr>
            <w:r>
              <w:rPr>
                <w:rFonts w:ascii="宋体" w:hAnsi="宋体" w:cs="宋体" w:eastAsia="宋体" w:hint="default"/>
                <w:sz w:val="21"/>
                <w:szCs w:val="21"/>
              </w:rPr>
              <w:t>扣除回购专户持有股份，预计派发现金</w:t>
            </w:r>
            <w:r>
              <w:rPr>
                <w:rFonts w:ascii="宋体" w:hAnsi="宋体" w:cs="宋体" w:eastAsia="宋体" w:hint="default"/>
                <w:spacing w:val="-53"/>
                <w:sz w:val="21"/>
                <w:szCs w:val="21"/>
              </w:rPr>
              <w:t> </w:t>
            </w:r>
            <w:r>
              <w:rPr>
                <w:rFonts w:ascii="宋体" w:hAnsi="宋体" w:cs="宋体" w:eastAsia="宋体" w:hint="default"/>
                <w:sz w:val="21"/>
                <w:szCs w:val="21"/>
              </w:rPr>
              <w:t>13,130,331.89</w:t>
            </w:r>
            <w:r>
              <w:rPr>
                <w:rFonts w:ascii="宋体" w:hAnsi="宋体" w:cs="宋体" w:eastAsia="宋体" w:hint="default"/>
                <w:spacing w:val="-53"/>
                <w:sz w:val="21"/>
                <w:szCs w:val="21"/>
              </w:rPr>
              <w:t> </w:t>
            </w:r>
            <w:r>
              <w:rPr>
                <w:rFonts w:ascii="宋体" w:hAnsi="宋体" w:cs="宋体" w:eastAsia="宋体" w:hint="default"/>
                <w:sz w:val="21"/>
                <w:szCs w:val="21"/>
              </w:rPr>
              <w:t>元。公司不排除今后仍将进行股份回购操作，股 东大会审议上述利润分配预案后至权益分派实施公告确定的股权登记日前公司股本发生变动的，将按照 分配总额不变的原则对各分配比例进行调整。</w:t>
            </w:r>
          </w:p>
        </w:tc>
      </w:tr>
    </w:tbl>
    <w:p>
      <w:pPr>
        <w:spacing w:line="240" w:lineRule="auto" w:before="3"/>
        <w:rPr>
          <w:rFonts w:ascii="宋体" w:hAnsi="宋体" w:cs="宋体" w:eastAsia="宋体" w:hint="default"/>
          <w:sz w:val="26"/>
          <w:szCs w:val="26"/>
        </w:rPr>
      </w:pPr>
    </w:p>
    <w:p>
      <w:pPr>
        <w:pStyle w:val="Heading5"/>
        <w:spacing w:line="240" w:lineRule="auto" w:before="35"/>
        <w:ind w:left="1134" w:right="1117"/>
        <w:jc w:val="left"/>
      </w:pPr>
      <w:r>
        <w:rPr/>
        <w:t>公司近</w:t>
      </w:r>
      <w:r>
        <w:rPr>
          <w:spacing w:val="-52"/>
        </w:rPr>
        <w:t> </w:t>
      </w:r>
      <w:r>
        <w:rPr>
          <w:rFonts w:ascii="Times New Roman" w:hAnsi="Times New Roman" w:cs="Times New Roman" w:eastAsia="Times New Roman" w:hint="default"/>
        </w:rPr>
        <w:t>3 </w:t>
      </w:r>
      <w:r>
        <w:rPr>
          <w:spacing w:val="-2"/>
        </w:rPr>
        <w:t>年</w:t>
      </w:r>
      <w:r>
        <w:rPr/>
        <w:t>（包括本报告期）的普通股股利分配方案（预案</w:t>
      </w:r>
      <w:r>
        <w:rPr>
          <w:spacing w:val="-105"/>
        </w:rPr>
        <w:t>）</w:t>
      </w:r>
      <w:r>
        <w:rPr/>
        <w:t>、资本</w:t>
      </w:r>
      <w:r>
        <w:rPr>
          <w:spacing w:val="-2"/>
        </w:rPr>
        <w:t>公</w:t>
      </w:r>
      <w:r>
        <w:rPr/>
        <w:t>积金转增股本方案（预案）情况</w:t>
      </w:r>
    </w:p>
    <w:p>
      <w:pPr>
        <w:pStyle w:val="Heading5"/>
        <w:spacing w:line="386" w:lineRule="auto" w:before="137"/>
        <w:ind w:left="1133" w:right="1132" w:firstLine="420"/>
        <w:jc w:val="both"/>
      </w:pPr>
      <w:r>
        <w:rPr>
          <w:spacing w:val="-1"/>
        </w:rPr>
        <w:t>（</w:t>
      </w:r>
      <w:r>
        <w:rPr>
          <w:rFonts w:ascii="Times New Roman" w:hAnsi="Times New Roman" w:cs="Times New Roman" w:eastAsia="Times New Roman" w:hint="default"/>
          <w:spacing w:val="-1"/>
        </w:rPr>
        <w:t>1</w:t>
      </w:r>
      <w:r>
        <w:rPr>
          <w:spacing w:val="-1"/>
        </w:rPr>
        <w:t>）根据公司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日召开的</w:t>
      </w:r>
      <w:r>
        <w:rPr>
          <w:rFonts w:ascii="Times New Roman" w:hAnsi="Times New Roman" w:cs="Times New Roman" w:eastAsia="Times New Roman" w:hint="default"/>
          <w:spacing w:val="-1"/>
        </w:rPr>
        <w:t>2015</w:t>
      </w:r>
      <w:r>
        <w:rPr>
          <w:spacing w:val="-1"/>
        </w:rPr>
        <w:t>年度股东大会决议，以公司</w:t>
      </w:r>
      <w:r>
        <w:rPr>
          <w:rFonts w:ascii="Times New Roman" w:hAnsi="Times New Roman" w:cs="Times New Roman" w:eastAsia="Times New Roman" w:hint="default"/>
          <w:spacing w:val="-1"/>
        </w:rPr>
        <w:t>2015</w:t>
      </w:r>
      <w:r>
        <w:rPr>
          <w:spacing w:val="-1"/>
        </w:rPr>
        <w:t>年末总股本</w:t>
      </w:r>
      <w:r>
        <w:rPr>
          <w:rFonts w:ascii="Times New Roman" w:hAnsi="Times New Roman" w:cs="Times New Roman" w:eastAsia="Times New Roman" w:hint="default"/>
          <w:spacing w:val="-1"/>
        </w:rPr>
        <w:t>422,351,509</w:t>
      </w:r>
      <w:r>
        <w:rPr>
          <w:spacing w:val="-1"/>
        </w:rPr>
        <w:t>股为</w:t>
      </w:r>
      <w:r>
        <w:rPr/>
        <w:t> 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0.40</w:t>
      </w:r>
      <w:r>
        <w:rPr/>
        <w:t>元（含税），同时以</w:t>
      </w:r>
      <w:r>
        <w:rPr>
          <w:rFonts w:ascii="Times New Roman" w:hAnsi="Times New Roman" w:cs="Times New Roman" w:eastAsia="Times New Roman" w:hint="default"/>
        </w:rPr>
        <w:t>2015</w:t>
      </w:r>
      <w:r>
        <w:rPr/>
        <w:t>年末总股本</w:t>
      </w:r>
      <w:r>
        <w:rPr>
          <w:rFonts w:ascii="Times New Roman" w:hAnsi="Times New Roman" w:cs="Times New Roman" w:eastAsia="Times New Roman" w:hint="default"/>
        </w:rPr>
        <w:t>422,351,509</w:t>
      </w:r>
      <w:r>
        <w:rPr/>
        <w:t>股为基 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股，方案实施后，公司总股本由</w:t>
      </w:r>
      <w:r>
        <w:rPr>
          <w:rFonts w:ascii="Times New Roman" w:hAnsi="Times New Roman" w:cs="Times New Roman" w:eastAsia="Times New Roman" w:hint="default"/>
        </w:rPr>
        <w:t>422,351,509</w:t>
      </w:r>
      <w:r>
        <w:rPr/>
        <w:t>股增至</w:t>
      </w:r>
      <w:r>
        <w:rPr>
          <w:rFonts w:ascii="Times New Roman" w:hAnsi="Times New Roman" w:cs="Times New Roman" w:eastAsia="Times New Roman" w:hint="default"/>
        </w:rPr>
        <w:t>506,821,811</w:t>
      </w:r>
      <w:r>
        <w:rPr/>
        <w:t>股。</w:t>
      </w:r>
    </w:p>
    <w:p>
      <w:pPr>
        <w:pStyle w:val="Heading5"/>
        <w:spacing w:line="386" w:lineRule="auto" w:before="76"/>
        <w:ind w:left="1133" w:right="1130" w:firstLine="420"/>
        <w:jc w:val="both"/>
      </w:pPr>
      <w:r>
        <w:rPr>
          <w:spacing w:val="-1"/>
        </w:rPr>
        <w:t>（</w:t>
      </w:r>
      <w:r>
        <w:rPr>
          <w:rFonts w:ascii="Times New Roman" w:hAnsi="Times New Roman" w:cs="Times New Roman" w:eastAsia="Times New Roman" w:hint="default"/>
          <w:spacing w:val="-1"/>
        </w:rPr>
        <w:t>2</w:t>
      </w:r>
      <w:r>
        <w:rPr>
          <w:spacing w:val="-1"/>
        </w:rPr>
        <w:t>）根据公司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日召开的</w:t>
      </w:r>
      <w:r>
        <w:rPr>
          <w:rFonts w:ascii="Times New Roman" w:hAnsi="Times New Roman" w:cs="Times New Roman" w:eastAsia="Times New Roman" w:hint="default"/>
          <w:spacing w:val="-1"/>
        </w:rPr>
        <w:t>2016</w:t>
      </w:r>
      <w:r>
        <w:rPr>
          <w:spacing w:val="-1"/>
        </w:rPr>
        <w:t>年度股东大会决议，以公司</w:t>
      </w:r>
      <w:r>
        <w:rPr>
          <w:rFonts w:ascii="Times New Roman" w:hAnsi="Times New Roman" w:cs="Times New Roman" w:eastAsia="Times New Roman" w:hint="default"/>
          <w:spacing w:val="-1"/>
        </w:rPr>
        <w:t>2016</w:t>
      </w:r>
      <w:r>
        <w:rPr>
          <w:spacing w:val="-1"/>
        </w:rPr>
        <w:t>年末总股本</w:t>
      </w:r>
      <w:r>
        <w:rPr>
          <w:rFonts w:ascii="Times New Roman" w:hAnsi="Times New Roman" w:cs="Times New Roman" w:eastAsia="Times New Roman" w:hint="default"/>
          <w:spacing w:val="-1"/>
        </w:rPr>
        <w:t>649,949,574</w:t>
      </w:r>
      <w:r>
        <w:rPr>
          <w:spacing w:val="-1"/>
        </w:rPr>
        <w:t>股为</w:t>
      </w:r>
      <w:r>
        <w:rPr/>
        <w:t> </w:t>
      </w:r>
      <w:r>
        <w:rPr>
          <w:spacing w:val="-4"/>
        </w:rPr>
        <w:t>基数，向全体股东每</w:t>
      </w:r>
      <w:r>
        <w:rPr>
          <w:rFonts w:ascii="Times New Roman" w:hAnsi="Times New Roman" w:cs="Times New Roman" w:eastAsia="Times New Roman" w:hint="default"/>
          <w:spacing w:val="-4"/>
        </w:rPr>
        <w:t>10</w:t>
      </w:r>
      <w:r>
        <w:rPr>
          <w:spacing w:val="-4"/>
        </w:rPr>
        <w:t>股派发现金股利人民币</w:t>
      </w:r>
      <w:r>
        <w:rPr>
          <w:rFonts w:ascii="Times New Roman" w:hAnsi="Times New Roman" w:cs="Times New Roman" w:eastAsia="Times New Roman" w:hint="default"/>
          <w:spacing w:val="-4"/>
        </w:rPr>
        <w:t>0.45</w:t>
      </w:r>
      <w:r>
        <w:rPr>
          <w:spacing w:val="-4"/>
        </w:rPr>
        <w:t>（含税），同时以</w:t>
      </w:r>
      <w:r>
        <w:rPr>
          <w:rFonts w:ascii="Times New Roman" w:hAnsi="Times New Roman" w:cs="Times New Roman" w:eastAsia="Times New Roman" w:hint="default"/>
          <w:spacing w:val="-4"/>
        </w:rPr>
        <w:t>2016</w:t>
      </w:r>
      <w:r>
        <w:rPr>
          <w:spacing w:val="-4"/>
        </w:rPr>
        <w:t>年末总股本</w:t>
      </w:r>
      <w:r>
        <w:rPr>
          <w:rFonts w:ascii="Times New Roman" w:hAnsi="Times New Roman" w:cs="Times New Roman" w:eastAsia="Times New Roman" w:hint="default"/>
          <w:spacing w:val="-4"/>
        </w:rPr>
        <w:t>649,949,574</w:t>
      </w:r>
      <w:r>
        <w:rPr>
          <w:spacing w:val="-4"/>
        </w:rPr>
        <w:t>股为基数，</w:t>
      </w:r>
      <w:r>
        <w:rPr>
          <w:spacing w:val="-61"/>
        </w:rPr>
        <w:t> </w:t>
      </w:r>
      <w:r>
        <w:rPr>
          <w:spacing w:val="-61"/>
        </w:rPr>
      </w:r>
      <w:r>
        <w:rPr/>
        <w:t>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股，方案实施后，公司总股本由</w:t>
      </w:r>
      <w:r>
        <w:rPr>
          <w:rFonts w:ascii="Times New Roman" w:hAnsi="Times New Roman" w:cs="Times New Roman" w:eastAsia="Times New Roman" w:hint="default"/>
        </w:rPr>
        <w:t>649,949,574</w:t>
      </w:r>
      <w:r>
        <w:rPr/>
        <w:t>股增至</w:t>
      </w:r>
      <w:r>
        <w:rPr>
          <w:rFonts w:ascii="Times New Roman" w:hAnsi="Times New Roman" w:cs="Times New Roman" w:eastAsia="Times New Roman" w:hint="default"/>
        </w:rPr>
        <w:t>844,934,446</w:t>
      </w:r>
      <w:r>
        <w:rPr/>
        <w:t>股。</w:t>
      </w:r>
    </w:p>
    <w:p>
      <w:pPr>
        <w:pStyle w:val="Heading5"/>
        <w:spacing w:line="240" w:lineRule="auto" w:before="74"/>
        <w:ind w:left="1553" w:right="0"/>
        <w:jc w:val="left"/>
      </w:pPr>
      <w:r>
        <w:rPr/>
        <w:t>（</w:t>
      </w:r>
      <w:r>
        <w:rPr>
          <w:rFonts w:ascii="Times New Roman" w:hAnsi="Times New Roman" w:cs="Times New Roman" w:eastAsia="Times New Roman" w:hint="default"/>
        </w:rPr>
        <w:t>3</w:t>
      </w:r>
      <w:r>
        <w:rPr/>
        <w:t>）公司</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年度的利润分配预案为：以公司未来实施分配方案时股权登记日的总股本为基数，向</w:t>
      </w:r>
    </w:p>
    <w:p>
      <w:pPr>
        <w:pStyle w:val="Heading5"/>
        <w:spacing w:line="240" w:lineRule="auto" w:before="177"/>
        <w:ind w:left="1133" w:right="0"/>
        <w:jc w:val="left"/>
      </w:pPr>
      <w:r>
        <w:rPr/>
        <w:t>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股派发现金股利人民币</w:t>
      </w:r>
      <w:r>
        <w:rPr>
          <w:spacing w:val="-60"/>
        </w:rPr>
        <w:t> </w:t>
      </w:r>
      <w:r>
        <w:rPr>
          <w:rFonts w:ascii="宋体" w:hAnsi="宋体" w:cs="宋体" w:eastAsia="宋体" w:hint="default"/>
        </w:rPr>
        <w:t>0.16</w:t>
      </w:r>
      <w:r>
        <w:rPr>
          <w:rFonts w:ascii="宋体" w:hAnsi="宋体" w:cs="宋体" w:eastAsia="宋体" w:hint="default"/>
          <w:spacing w:val="-59"/>
        </w:rPr>
        <w:t> </w:t>
      </w:r>
      <w:r>
        <w:rPr/>
        <w:t>元（含税），不送红股，不以资本公积金转增股本。公司通过</w:t>
      </w:r>
    </w:p>
    <w:p>
      <w:pPr>
        <w:pStyle w:val="Heading5"/>
        <w:spacing w:line="240" w:lineRule="auto" w:before="177"/>
        <w:ind w:left="1133" w:right="0"/>
        <w:jc w:val="left"/>
        <w:rPr>
          <w:rFonts w:ascii="宋体" w:hAnsi="宋体" w:cs="宋体" w:eastAsia="宋体" w:hint="default"/>
        </w:rPr>
      </w:pPr>
      <w:r>
        <w:rPr/>
        <w:t>回购专户持有本公司</w:t>
      </w:r>
      <w:r>
        <w:rPr>
          <w:spacing w:val="-52"/>
        </w:rPr>
        <w:t> </w:t>
      </w:r>
      <w:r>
        <w:rPr>
          <w:rFonts w:ascii="宋体" w:hAnsi="宋体" w:cs="宋体" w:eastAsia="宋体" w:hint="default"/>
        </w:rPr>
        <w:t>24,288,703</w:t>
      </w:r>
      <w:r>
        <w:rPr>
          <w:rFonts w:ascii="宋体" w:hAnsi="宋体" w:cs="宋体" w:eastAsia="宋体" w:hint="default"/>
          <w:spacing w:val="-53"/>
        </w:rPr>
        <w:t> </w:t>
      </w:r>
      <w:r>
        <w:rPr>
          <w:spacing w:val="-3"/>
        </w:rPr>
        <w:t>股，不享有参与利润分配的权利。截止披露日，公司总股本</w:t>
      </w:r>
      <w:r>
        <w:rPr>
          <w:spacing w:val="-52"/>
        </w:rPr>
        <w:t> </w:t>
      </w:r>
      <w:r>
        <w:rPr>
          <w:rFonts w:ascii="宋体" w:hAnsi="宋体" w:cs="宋体" w:eastAsia="宋体" w:hint="default"/>
        </w:rPr>
        <w:t>844,934,446</w:t>
      </w:r>
    </w:p>
    <w:p>
      <w:pPr>
        <w:spacing w:line="240" w:lineRule="auto" w:before="10"/>
        <w:rPr>
          <w:rFonts w:ascii="宋体" w:hAnsi="宋体" w:cs="宋体" w:eastAsia="宋体" w:hint="default"/>
          <w:sz w:val="14"/>
          <w:szCs w:val="14"/>
        </w:rPr>
      </w:pPr>
    </w:p>
    <w:p>
      <w:pPr>
        <w:pStyle w:val="Heading5"/>
        <w:spacing w:line="408" w:lineRule="auto"/>
        <w:ind w:left="1133" w:right="1010"/>
        <w:jc w:val="left"/>
      </w:pPr>
      <w:r>
        <w:rPr/>
        <w:t>股，扣除回购专户持有股份，预计派发现金 </w:t>
      </w:r>
      <w:r>
        <w:rPr>
          <w:rFonts w:ascii="宋体" w:hAnsi="宋体" w:cs="宋体" w:eastAsia="宋体" w:hint="default"/>
        </w:rPr>
        <w:t>13,130,331.89</w:t>
      </w:r>
      <w:r>
        <w:rPr>
          <w:rFonts w:ascii="宋体" w:hAnsi="宋体" w:cs="宋体" w:eastAsia="宋体" w:hint="default"/>
          <w:spacing w:val="-22"/>
        </w:rPr>
        <w:t> </w:t>
      </w:r>
      <w:r>
        <w:rPr/>
        <w:t>元。公司不排除今后仍将进行股份回购操作， 股东大会审议上述利润分配预案后至权益分派实施公告确定的股权登记日前公司股本发生变动的，将按照 分配总额不变的原则对各分配比例进行调整。</w:t>
      </w:r>
    </w:p>
    <w:p>
      <w:pPr>
        <w:spacing w:line="240" w:lineRule="auto" w:before="3"/>
        <w:rPr>
          <w:rFonts w:ascii="宋体" w:hAnsi="宋体" w:cs="宋体" w:eastAsia="宋体" w:hint="default"/>
          <w:sz w:val="26"/>
          <w:szCs w:val="26"/>
        </w:rPr>
      </w:pPr>
    </w:p>
    <w:p>
      <w:pPr>
        <w:pStyle w:val="BodyText"/>
        <w:spacing w:line="240" w:lineRule="auto" w:before="44"/>
        <w:ind w:left="1133" w:right="1117"/>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13,130,331.89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134,016,677.55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29,247,730.83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243,568,965.82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16,891,506.45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176,217,902.06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left="1133" w:right="1117"/>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44"/>
        <w:ind w:left="0" w:right="676"/>
        <w:jc w:val="right"/>
      </w:pPr>
      <w:r>
        <w:rPr/>
        <w:pict>
          <v:shape style="position:absolute;margin-left:40.619999pt;margin-top:-482.308289pt;width:518.25pt;height:598.2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276"/>
                    <w:gridCol w:w="1277"/>
                    <w:gridCol w:w="2268"/>
                    <w:gridCol w:w="1134"/>
                    <w:gridCol w:w="850"/>
                    <w:gridCol w:w="1560"/>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10"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李桂华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本次交易获得的天舟文化</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21,082,742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股的股份自股份</w:t>
                        </w:r>
                      </w:p>
                      <w:p>
                        <w:pPr>
                          <w:pStyle w:val="TableParagraph"/>
                          <w:spacing w:line="309" w:lineRule="auto" w:before="63"/>
                          <w:ind w:left="22" w:right="73"/>
                          <w:jc w:val="left"/>
                          <w:rPr>
                            <w:rFonts w:ascii="宋体" w:hAnsi="宋体" w:cs="宋体" w:eastAsia="宋体" w:hint="default"/>
                            <w:sz w:val="18"/>
                            <w:szCs w:val="18"/>
                          </w:rPr>
                        </w:pPr>
                        <w:r>
                          <w:rPr>
                            <w:rFonts w:ascii="宋体" w:hAnsi="宋体" w:cs="宋体" w:eastAsia="宋体" w:hint="default"/>
                            <w:sz w:val="18"/>
                            <w:szCs w:val="18"/>
                          </w:rPr>
                          <w:t>登记日起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 让；于本次交易获得的天舟 文化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20,447,991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股的股份自</w:t>
                        </w:r>
                      </w:p>
                      <w:p>
                        <w:pPr>
                          <w:pStyle w:val="TableParagraph"/>
                          <w:spacing w:line="309"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个月内不得 转让；于本次交易获得的天 舟文化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17,436,171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股的股份</w:t>
                        </w:r>
                      </w:p>
                      <w:p>
                        <w:pPr>
                          <w:pStyle w:val="TableParagraph"/>
                          <w:spacing w:line="302"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自股份登记日起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个月内不 得转让。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截至本报告期末， 承诺人严格履行了 承诺事项。</w:t>
                        </w:r>
                      </w:p>
                    </w:tc>
                  </w:tr>
                  <w:tr>
                    <w:trPr>
                      <w:trHeight w:val="1962" w:hRule="exact"/>
                    </w:trPr>
                    <w:tc>
                      <w:tcPr>
                        <w:tcW w:w="1985"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李广欣、王玉 </w:t>
                        </w:r>
                        <w:r>
                          <w:rPr>
                            <w:rFonts w:ascii="宋体" w:hAnsi="宋体" w:cs="宋体" w:eastAsia="宋体" w:hint="default"/>
                            <w:spacing w:val="-6"/>
                            <w:sz w:val="18"/>
                            <w:szCs w:val="18"/>
                          </w:rPr>
                          <w:t>刚、杨锦、储达</w:t>
                        </w:r>
                        <w:r>
                          <w:rPr>
                            <w:rFonts w:ascii="宋体" w:hAnsi="宋体" w:cs="宋体" w:eastAsia="宋体" w:hint="default"/>
                            <w:sz w:val="18"/>
                            <w:szCs w:val="18"/>
                          </w:rPr>
                          <w:t> </w:t>
                        </w:r>
                        <w:r>
                          <w:rPr>
                            <w:rFonts w:ascii="宋体" w:hAnsi="宋体" w:cs="宋体" w:eastAsia="宋体" w:hint="default"/>
                            <w:spacing w:val="-6"/>
                            <w:sz w:val="18"/>
                            <w:szCs w:val="18"/>
                          </w:rPr>
                          <w:t>平、张环宇、北</w:t>
                        </w:r>
                        <w:r>
                          <w:rPr>
                            <w:rFonts w:ascii="宋体" w:hAnsi="宋体" w:cs="宋体" w:eastAsia="宋体" w:hint="default"/>
                            <w:sz w:val="18"/>
                            <w:szCs w:val="18"/>
                          </w:rPr>
                          <w:t> 京神奇博信投 </w:t>
                        </w:r>
                        <w:r>
                          <w:rPr>
                            <w:rFonts w:ascii="宋体" w:hAnsi="宋体" w:cs="宋体" w:eastAsia="宋体" w:hint="default"/>
                            <w:spacing w:val="-6"/>
                            <w:sz w:val="18"/>
                            <w:szCs w:val="18"/>
                          </w:rPr>
                          <w:t>资管理中心（有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9" w:lineRule="auto"/>
                          <w:ind w:left="22" w:right="20"/>
                          <w:jc w:val="both"/>
                          <w:rPr>
                            <w:rFonts w:ascii="宋体" w:hAnsi="宋体" w:cs="宋体" w:eastAsia="宋体" w:hint="default"/>
                            <w:sz w:val="18"/>
                            <w:szCs w:val="18"/>
                          </w:rPr>
                        </w:pPr>
                        <w:r>
                          <w:rPr>
                            <w:rFonts w:ascii="宋体" w:hAnsi="宋体" w:cs="宋体" w:eastAsia="宋体" w:hint="default"/>
                            <w:sz w:val="18"/>
                            <w:szCs w:val="18"/>
                          </w:rPr>
                          <w:t>本次交易获得的天舟文化股 份自股份登记日起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 不得转让；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截至本报告期末， 各承诺方严格履行 了承诺事项。</w:t>
                        </w:r>
                      </w:p>
                    </w:tc>
                  </w:tr>
                  <w:tr>
                    <w:trPr>
                      <w:trHeight w:val="408"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6" w:right="20"/>
                          <w:jc w:val="left"/>
                          <w:rPr>
                            <w:rFonts w:ascii="宋体" w:hAnsi="宋体" w:cs="宋体" w:eastAsia="宋体" w:hint="default"/>
                            <w:sz w:val="18"/>
                            <w:szCs w:val="18"/>
                          </w:rPr>
                        </w:pPr>
                        <w:r>
                          <w:rPr>
                            <w:rFonts w:ascii="宋体" w:hAnsi="宋体" w:cs="宋体" w:eastAsia="宋体" w:hint="default"/>
                            <w:sz w:val="18"/>
                            <w:szCs w:val="18"/>
                          </w:rPr>
                          <w:t>李桂华、王玉 </w:t>
                        </w:r>
                        <w:r>
                          <w:rPr>
                            <w:rFonts w:ascii="宋体" w:hAnsi="宋体" w:cs="宋体" w:eastAsia="宋体" w:hint="default"/>
                            <w:spacing w:val="-6"/>
                            <w:sz w:val="18"/>
                            <w:szCs w:val="18"/>
                          </w:rPr>
                          <w:t>刚、李广欣、杨</w:t>
                        </w:r>
                        <w:r>
                          <w:rPr>
                            <w:rFonts w:ascii="宋体" w:hAnsi="宋体" w:cs="宋体" w:eastAsia="宋体" w:hint="default"/>
                            <w:sz w:val="18"/>
                            <w:szCs w:val="18"/>
                          </w:rPr>
                          <w:t> </w:t>
                        </w:r>
                        <w:r>
                          <w:rPr>
                            <w:rFonts w:ascii="宋体" w:hAnsi="宋体" w:cs="宋体" w:eastAsia="宋体" w:hint="default"/>
                            <w:spacing w:val="-6"/>
                            <w:sz w:val="18"/>
                            <w:szCs w:val="18"/>
                          </w:rPr>
                          <w:t>锦、储达平、张</w:t>
                        </w:r>
                        <w:r>
                          <w:rPr>
                            <w:rFonts w:ascii="宋体" w:hAnsi="宋体" w:cs="宋体" w:eastAsia="宋体" w:hint="default"/>
                            <w:sz w:val="18"/>
                            <w:szCs w:val="18"/>
                          </w:rPr>
                          <w:t> </w:t>
                        </w:r>
                        <w:r>
                          <w:rPr>
                            <w:rFonts w:ascii="宋体" w:hAnsi="宋体" w:cs="宋体" w:eastAsia="宋体" w:hint="default"/>
                            <w:spacing w:val="-6"/>
                            <w:sz w:val="18"/>
                            <w:szCs w:val="18"/>
                          </w:rPr>
                          <w:t>环宇、北京神奇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博信投资管理 中心（有限合 伙）</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盈利补偿承诺：神奇时代在 承诺期实现的净利润不低于 标的资产《评估报告》中的 各年净利润预测数：标的资 产经审计机构专项审计的 </w:t>
                        </w:r>
                        <w:r>
                          <w:rPr>
                            <w:rFonts w:ascii="Times New Roman" w:hAnsi="Times New Roman" w:cs="Times New Roman" w:eastAsia="Times New Roman" w:hint="default"/>
                            <w:sz w:val="18"/>
                            <w:szCs w:val="18"/>
                          </w:rPr>
                          <w:t>2014 </w:t>
                        </w:r>
                        <w:r>
                          <w:rPr>
                            <w:rFonts w:ascii="宋体" w:hAnsi="宋体" w:cs="宋体" w:eastAsia="宋体" w:hint="default"/>
                            <w:spacing w:val="-12"/>
                            <w:sz w:val="18"/>
                            <w:szCs w:val="18"/>
                          </w:rPr>
                          <w:t>年度、</w:t>
                        </w:r>
                        <w:r>
                          <w:rPr>
                            <w:rFonts w:ascii="Times New Roman" w:hAnsi="Times New Roman" w:cs="Times New Roman" w:eastAsia="Times New Roman" w:hint="default"/>
                            <w:spacing w:val="-12"/>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年度净利润分别不低于 </w:t>
                        </w:r>
                        <w:r>
                          <w:rPr>
                            <w:rFonts w:ascii="Times New Roman" w:hAnsi="Times New Roman" w:cs="Times New Roman" w:eastAsia="Times New Roman" w:hint="default"/>
                            <w:sz w:val="18"/>
                            <w:szCs w:val="18"/>
                          </w:rPr>
                          <w:t>12,010.11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15,014.92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312" w:lineRule="auto" w:before="1"/>
                          <w:ind w:left="22" w:right="21"/>
                          <w:jc w:val="both"/>
                          <w:rPr>
                            <w:rFonts w:ascii="宋体" w:hAnsi="宋体" w:cs="宋体" w:eastAsia="宋体" w:hint="default"/>
                            <w:sz w:val="18"/>
                            <w:szCs w:val="18"/>
                          </w:rPr>
                        </w:pPr>
                        <w:r>
                          <w:rPr>
                            <w:rFonts w:ascii="宋体" w:hAnsi="宋体" w:cs="宋体" w:eastAsia="宋体" w:hint="default"/>
                            <w:sz w:val="18"/>
                            <w:szCs w:val="18"/>
                          </w:rPr>
                          <w:t>元和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16,572.34 </w:t>
                        </w:r>
                        <w:r>
                          <w:rPr>
                            <w:rFonts w:ascii="宋体" w:hAnsi="宋体" w:cs="宋体" w:eastAsia="宋体" w:hint="default"/>
                            <w:spacing w:val="-7"/>
                            <w:sz w:val="18"/>
                            <w:szCs w:val="18"/>
                          </w:rPr>
                          <w:t>万元。如神奇</w:t>
                        </w:r>
                        <w:r>
                          <w:rPr>
                            <w:rFonts w:ascii="宋体" w:hAnsi="宋体" w:cs="宋体" w:eastAsia="宋体" w:hint="default"/>
                            <w:sz w:val="18"/>
                            <w:szCs w:val="18"/>
                          </w:rPr>
                          <w:t> 时代在承诺期内未能实现承 诺净利润，则发股对象需向 天舟文化进行补偿。</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神奇时代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309" w:lineRule="auto" w:before="6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年累 计承诺扣非后净利 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43,597.37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 累计实现扣非后净 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43,161.97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312" w:lineRule="auto" w:before="5"/>
                          <w:ind w:left="22" w:right="85"/>
                          <w:jc w:val="left"/>
                          <w:rPr>
                            <w:rFonts w:ascii="宋体" w:hAnsi="宋体" w:cs="宋体" w:eastAsia="宋体" w:hint="default"/>
                            <w:sz w:val="18"/>
                            <w:szCs w:val="18"/>
                          </w:rPr>
                        </w:pPr>
                        <w:r>
                          <w:rPr>
                            <w:rFonts w:ascii="宋体" w:hAnsi="宋体" w:cs="宋体" w:eastAsia="宋体" w:hint="default"/>
                            <w:sz w:val="18"/>
                            <w:szCs w:val="18"/>
                          </w:rPr>
                          <w:t>元，累计未完成承 诺业绩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 元，根据利润补偿 方案计算，业绩承 诺人需向天舟文化 赔偿股份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148.0319 </w:t>
                        </w:r>
                        <w:r>
                          <w:rPr>
                            <w:rFonts w:ascii="宋体" w:hAnsi="宋体" w:cs="宋体" w:eastAsia="宋体" w:hint="default"/>
                            <w:sz w:val="18"/>
                            <w:szCs w:val="18"/>
                          </w:rPr>
                          <w:t>万股，折算现金金 额为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1,252.35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该款项已于</w:t>
                        </w:r>
                        <w:r>
                          <w:rPr>
                            <w:rFonts w:ascii="宋体" w:hAnsi="宋体" w:cs="宋体" w:eastAsia="宋体" w:hint="default"/>
                            <w:spacing w:val="-58"/>
                            <w:sz w:val="18"/>
                            <w:szCs w:val="18"/>
                          </w:rPr>
                          <w:t> </w:t>
                        </w:r>
                        <w:r>
                          <w:rPr>
                            <w:rFonts w:ascii="宋体" w:hAnsi="宋体" w:cs="宋体" w:eastAsia="宋体" w:hint="default"/>
                            <w:sz w:val="18"/>
                            <w:szCs w:val="18"/>
                          </w:rPr>
                          <w:t>2017</w:t>
                        </w:r>
                        <w:r>
                          <w:rPr>
                            <w:rFonts w:ascii="宋体" w:hAnsi="宋体" w:cs="宋体" w:eastAsia="宋体" w:hint="default"/>
                            <w:spacing w:val="-58"/>
                            <w:sz w:val="18"/>
                            <w:szCs w:val="18"/>
                          </w:rPr>
                          <w:t> </w:t>
                        </w:r>
                        <w:r>
                          <w:rPr>
                            <w:rFonts w:ascii="宋体" w:hAnsi="宋体" w:cs="宋体" w:eastAsia="宋体" w:hint="default"/>
                            <w:sz w:val="18"/>
                            <w:szCs w:val="18"/>
                          </w:rPr>
                          <w:t>年</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月全部收回。</w:t>
                        </w:r>
                      </w:p>
                    </w:tc>
                  </w:tr>
                  <w:tr>
                    <w:trPr>
                      <w:trHeight w:val="391" w:hRule="exact"/>
                    </w:trPr>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4282"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1299"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3"/>
                          <w:ind w:left="22" w:right="-29"/>
                          <w:jc w:val="left"/>
                          <w:rPr>
                            <w:rFonts w:ascii="宋体" w:hAnsi="宋体" w:cs="宋体" w:eastAsia="宋体" w:hint="default"/>
                            <w:sz w:val="18"/>
                            <w:szCs w:val="18"/>
                          </w:rPr>
                        </w:pPr>
                        <w:r>
                          <w:rPr>
                            <w:rFonts w:ascii="宋体" w:hAnsi="宋体" w:cs="宋体" w:eastAsia="宋体" w:hint="default"/>
                            <w:sz w:val="18"/>
                            <w:szCs w:val="18"/>
                          </w:rPr>
                          <w:t>王玉刚、杨锦、 储达平、张环 </w:t>
                        </w:r>
                        <w:r>
                          <w:rPr>
                            <w:rFonts w:ascii="宋体" w:hAnsi="宋体" w:cs="宋体" w:eastAsia="宋体" w:hint="default"/>
                            <w:spacing w:val="-6"/>
                            <w:sz w:val="18"/>
                            <w:szCs w:val="18"/>
                          </w:rPr>
                          <w:t>宇、北京神奇博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信投资管理中</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任职承诺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、自股份登记日起在神奇时</w:t>
                        </w:r>
                        <w:r>
                          <w:rPr>
                            <w:rFonts w:ascii="宋体" w:hAnsi="宋体" w:cs="宋体" w:eastAsia="宋体" w:hint="default"/>
                            <w:sz w:val="18"/>
                            <w:szCs w:val="18"/>
                          </w:rPr>
                          <w:t> 代工作不少于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个月。在该</w:t>
                        </w:r>
                        <w:r>
                          <w:rPr>
                            <w:rFonts w:ascii="宋体" w:hAnsi="宋体" w:cs="宋体" w:eastAsia="宋体" w:hint="default"/>
                            <w:sz w:val="18"/>
                            <w:szCs w:val="18"/>
                          </w:rPr>
                          <w:t> 承诺任职期内，不得在神奇 时代同业或类似业务的企业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5"/>
                          <w:jc w:val="both"/>
                          <w:rPr>
                            <w:rFonts w:ascii="宋体" w:hAnsi="宋体" w:cs="宋体" w:eastAsia="宋体" w:hint="default"/>
                            <w:sz w:val="18"/>
                            <w:szCs w:val="18"/>
                          </w:rPr>
                        </w:pPr>
                        <w:r>
                          <w:rPr>
                            <w:rFonts w:ascii="宋体" w:hAnsi="宋体" w:cs="宋体" w:eastAsia="宋体" w:hint="default"/>
                            <w:sz w:val="18"/>
                            <w:szCs w:val="18"/>
                          </w:rPr>
                          <w:t>截至本报告期末， 各承诺方严格履行 了承诺事项。</w:t>
                        </w:r>
                      </w:p>
                    </w:tc>
                  </w:tr>
                </w:tbl>
                <w:p>
                  <w:pPr/>
                </w:p>
              </w:txbxContent>
            </v:textbox>
            <w10:wrap type="none"/>
          </v:shape>
        </w:pict>
      </w:r>
      <w:r>
        <w:rPr/>
        <w:t>，</w:t>
      </w:r>
    </w:p>
    <w:p>
      <w:pPr>
        <w:spacing w:after="0" w:line="240" w:lineRule="auto"/>
        <w:jc w:val="right"/>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0.213989pt;margin-top:618.459961pt;width:107.4pt;height:138.4pt;mso-position-horizontal-relative:page;mso-position-vertical-relative:page;z-index:-947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6"/>
                      <w:szCs w:val="16"/>
                    </w:rPr>
                  </w:pPr>
                </w:p>
                <w:p>
                  <w:pPr>
                    <w:pStyle w:val="BodyText"/>
                    <w:spacing w:line="240" w:lineRule="auto"/>
                    <w:ind w:left="0" w:right="0"/>
                    <w:jc w:val="left"/>
                  </w:pPr>
                  <w:r>
                    <w:rPr/>
                    <w:t>（合伙企业）</w:t>
                  </w:r>
                </w:p>
              </w:txbxContent>
            </v:textbox>
            <w10:wrap type="none"/>
          </v:shape>
        </w:pict>
      </w:r>
      <w:r>
        <w:rPr/>
        <w:pict>
          <v:group style="position:absolute;margin-left:381.399994pt;margin-top:618.459961pt;width:56.2pt;height:138.4pt;mso-position-horizontal-relative:page;mso-position-vertical-relative:page;z-index:-947704" coordorigin="7628,12369" coordsize="1124,2768">
            <v:shape style="position:absolute;left:7628;top:12369;width:1124;height:2768" coordorigin="7628,12369" coordsize="1124,2768" path="m7628,15137l8752,15137,8752,12369,7628,12369,7628,151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812" w:type="dxa"/>
        <w:tblLayout w:type="fixed"/>
        <w:tblCellMar>
          <w:top w:w="0" w:type="dxa"/>
          <w:left w:w="0" w:type="dxa"/>
          <w:bottom w:w="0" w:type="dxa"/>
          <w:right w:w="0" w:type="dxa"/>
        </w:tblCellMar>
        <w:tblLook w:val="01E0"/>
      </w:tblPr>
      <w:tblGrid>
        <w:gridCol w:w="1985"/>
        <w:gridCol w:w="1276"/>
        <w:gridCol w:w="1277"/>
        <w:gridCol w:w="2268"/>
        <w:gridCol w:w="1134"/>
        <w:gridCol w:w="850"/>
        <w:gridCol w:w="1560"/>
      </w:tblGrid>
      <w:tr>
        <w:trPr>
          <w:trHeight w:val="318"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17"/>
              <w:jc w:val="left"/>
              <w:rPr>
                <w:rFonts w:ascii="宋体" w:hAnsi="宋体" w:cs="宋体" w:eastAsia="宋体" w:hint="default"/>
                <w:sz w:val="18"/>
                <w:szCs w:val="18"/>
              </w:rPr>
            </w:pPr>
            <w:r>
              <w:rPr>
                <w:rFonts w:ascii="宋体" w:hAnsi="宋体" w:cs="宋体" w:eastAsia="宋体" w:hint="default"/>
                <w:sz w:val="18"/>
                <w:szCs w:val="18"/>
              </w:rPr>
              <w:t>心（有限合伙）</w:t>
            </w:r>
          </w:p>
        </w:tc>
        <w:tc>
          <w:tcPr>
            <w:tcW w:w="1277"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任职、兼职，不得直接或间</w:t>
            </w:r>
          </w:p>
        </w:tc>
        <w:tc>
          <w:tcPr>
            <w:tcW w:w="113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接投资与神奇时代相同或类</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似产业，否则，违反承诺的</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所得归属于神奇时代所有；</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、在承诺的任职期限届满后</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离职的，离职后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年内应承</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担竞业禁止义务（即不得在</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神奇时代同业或类似业务的</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企业任职、兼职，不得直接</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或间接投资与神奇时代相同</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或类似产业</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任职承诺</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、自股份登记日起在神奇时</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截至本报告期末，</w:t>
            </w: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代工作不少于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个月。在该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承诺人严格履行了</w:t>
            </w: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承诺任职期内，不得在神奇</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承诺事项。</w:t>
            </w:r>
          </w:p>
        </w:tc>
      </w:tr>
      <w:tr>
        <w:trPr>
          <w:trHeight w:val="311"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时代同业或类似业务的企业</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任职、兼职，不得直接或间</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接投资与神奇时代相竞争的</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公司，否则，违反承诺的所</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5"/>
              <w:jc w:val="left"/>
              <w:rPr>
                <w:rFonts w:ascii="宋体" w:hAnsi="宋体" w:cs="宋体" w:eastAsia="宋体" w:hint="default"/>
                <w:sz w:val="18"/>
                <w:szCs w:val="18"/>
              </w:rPr>
            </w:pPr>
            <w:r>
              <w:rPr>
                <w:rFonts w:ascii="宋体" w:hAnsi="宋体" w:cs="宋体" w:eastAsia="宋体" w:hint="default"/>
                <w:sz w:val="18"/>
                <w:szCs w:val="18"/>
              </w:rPr>
              <w:t>得归属于神奇时代所有；</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在协议承诺的任职期限届满</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后离职的，离职后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年内应</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承担竞业禁止义务（即不得</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在神奇时代同业或类似业务</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的企业任职、兼职，不得直</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接或间接投资与神奇时代相</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同或类似产业</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本次交易获得的天舟文化股</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截至本报告期末，</w:t>
            </w: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份自股份登记日起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承诺人严格履行了</w:t>
            </w: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不得转让，转让限制期满后</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承诺事项。</w:t>
            </w:r>
          </w:p>
        </w:tc>
      </w:tr>
      <w:tr>
        <w:trPr>
          <w:trHeight w:val="311"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在上市公司及其控股子公司</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任职期间每年转让的股份数</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量不超过剩余股份的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李桂华、李广</w:t>
            </w:r>
          </w:p>
        </w:tc>
        <w:tc>
          <w:tcPr>
            <w:tcW w:w="1277"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51"/>
              <w:ind w:left="24" w:right="-28"/>
              <w:jc w:val="left"/>
              <w:rPr>
                <w:rFonts w:ascii="宋体" w:hAnsi="宋体" w:cs="宋体" w:eastAsia="宋体" w:hint="default"/>
                <w:sz w:val="18"/>
                <w:szCs w:val="18"/>
              </w:rPr>
            </w:pPr>
            <w:r>
              <w:rPr>
                <w:rFonts w:ascii="宋体" w:hAnsi="宋体" w:cs="宋体" w:eastAsia="宋体" w:hint="default"/>
                <w:sz w:val="18"/>
                <w:szCs w:val="18"/>
              </w:rPr>
              <w:t>关于同业竞争、</w:t>
            </w:r>
          </w:p>
        </w:tc>
        <w:tc>
          <w:tcPr>
            <w:tcW w:w="2268"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、避免同业竞争承诺：本次</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截至本报告期末，</w:t>
            </w: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欣、王玉刚、林</w:t>
            </w: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6"/>
                <w:sz w:val="18"/>
                <w:szCs w:val="18"/>
              </w:rPr>
              <w:t>关联交易、资金</w:t>
            </w:r>
          </w:p>
        </w:tc>
        <w:tc>
          <w:tcPr>
            <w:tcW w:w="2268"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交易完成后，本人（合伙企</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各承诺方严格履行</w:t>
            </w: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丹、杨锦、储达</w:t>
            </w: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占用方面的承</w:t>
            </w:r>
          </w:p>
        </w:tc>
        <w:tc>
          <w:tcPr>
            <w:tcW w:w="2268"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业）及本人（合伙企业）控</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了承诺事项。</w:t>
            </w: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平、张环宇、北</w:t>
            </w: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2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制的其他企业不会直接或间</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京神奇博信投</w:t>
            </w:r>
          </w:p>
        </w:tc>
        <w:tc>
          <w:tcPr>
            <w:tcW w:w="1277" w:type="dxa"/>
            <w:tcBorders>
              <w:top w:val="nil" w:sz="6" w:space="0" w:color="auto"/>
              <w:left w:val="single" w:sz="4" w:space="0" w:color="000000"/>
              <w:bottom w:val="nil" w:sz="6" w:space="0" w:color="auto"/>
              <w:right w:val="single" w:sz="13" w:space="0" w:color="FFFFFF"/>
            </w:tcBorders>
          </w:tcPr>
          <w:p>
            <w:pPr/>
          </w:p>
        </w:tc>
        <w:tc>
          <w:tcPr>
            <w:tcW w:w="22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接经营任何与天舟文化及其</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资管理中心（有</w:t>
            </w:r>
          </w:p>
        </w:tc>
        <w:tc>
          <w:tcPr>
            <w:tcW w:w="1277" w:type="dxa"/>
            <w:tcBorders>
              <w:top w:val="nil" w:sz="6" w:space="0" w:color="auto"/>
              <w:left w:val="single" w:sz="4" w:space="0" w:color="000000"/>
              <w:bottom w:val="nil" w:sz="6" w:space="0" w:color="auto"/>
              <w:right w:val="single" w:sz="13" w:space="0" w:color="FFFFFF"/>
            </w:tcBorders>
          </w:tcPr>
          <w:p>
            <w:pPr/>
          </w:p>
        </w:tc>
        <w:tc>
          <w:tcPr>
            <w:tcW w:w="22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下属公司经营的业务构成竞</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277" w:type="dxa"/>
            <w:tcBorders>
              <w:top w:val="nil" w:sz="6" w:space="0" w:color="auto"/>
              <w:left w:val="single" w:sz="4" w:space="0" w:color="000000"/>
              <w:bottom w:val="nil" w:sz="6" w:space="0" w:color="auto"/>
              <w:right w:val="single" w:sz="13" w:space="0" w:color="FFFFFF"/>
            </w:tcBorders>
          </w:tcPr>
          <w:p>
            <w:pPr/>
          </w:p>
        </w:tc>
        <w:tc>
          <w:tcPr>
            <w:tcW w:w="22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争或可能构成竞争的业务，</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22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亦不会投资任何与天舟文化</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22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及其下属公司经营的业务构</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
        </w:tc>
        <w:tc>
          <w:tcPr>
            <w:tcW w:w="2268"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成竞争或可能构成竞争的其</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13" w:space="0" w:color="FFFFFF"/>
            </w:tcBorders>
          </w:tcPr>
          <w:p>
            <w:pPr/>
          </w:p>
        </w:tc>
        <w:tc>
          <w:tcPr>
            <w:tcW w:w="2268"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他企业；如本人</w:t>
            </w: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30.213989pt;margin-top:72.47998pt;width:107.4pt;height:236.1pt;mso-position-horizontal-relative:page;mso-position-vertical-relative:page;z-index:-947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t>（合伙企业）</w:t>
                  </w:r>
                </w:p>
              </w:txbxContent>
            </v:textbox>
            <w10:wrap type="none"/>
          </v:shape>
        </w:pict>
      </w:r>
      <w:r>
        <w:rPr/>
        <w:pict>
          <v:group style="position:absolute;margin-left:382.540009pt;margin-top:705.539978pt;width:53.9pt;height:17.650pt;mso-position-horizontal-relative:page;mso-position-vertical-relative:page;z-index:-947632" coordorigin="7651,14111" coordsize="1078,353">
            <v:shape style="position:absolute;left:7651;top:14111;width:1078;height:353" coordorigin="7651,14111" coordsize="1078,353" path="m7651,14464l8729,14464,8729,14111,7651,14111,7651,1446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812" w:type="dxa"/>
        <w:tblLayout w:type="fixed"/>
        <w:tblCellMar>
          <w:top w:w="0" w:type="dxa"/>
          <w:left w:w="0" w:type="dxa"/>
          <w:bottom w:w="0" w:type="dxa"/>
          <w:right w:w="0" w:type="dxa"/>
        </w:tblCellMar>
        <w:tblLook w:val="01E0"/>
      </w:tblPr>
      <w:tblGrid>
        <w:gridCol w:w="1985"/>
        <w:gridCol w:w="1276"/>
        <w:gridCol w:w="1277"/>
        <w:gridCol w:w="2268"/>
        <w:gridCol w:w="1134"/>
        <w:gridCol w:w="850"/>
        <w:gridCol w:w="1560"/>
      </w:tblGrid>
      <w:tr>
        <w:trPr>
          <w:trHeight w:val="317"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及本人（合伙企业）控制的</w:t>
            </w:r>
          </w:p>
        </w:tc>
        <w:tc>
          <w:tcPr>
            <w:tcW w:w="1134" w:type="dxa"/>
            <w:vMerge w:val="restart"/>
            <w:tcBorders>
              <w:top w:val="single" w:sz="4" w:space="0" w:color="000000"/>
              <w:left w:val="single" w:sz="4" w:space="0" w:color="000000"/>
              <w:right w:val="single" w:sz="4" w:space="0" w:color="000000"/>
            </w:tcBorders>
          </w:tcPr>
          <w:p>
            <w:pPr>
              <w:pStyle w:val="TableParagraph"/>
              <w:spacing w:line="4721"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56.2pt;height:236.1pt;mso-position-horizontal-relative:char;mso-position-vertical-relative:line" coordorigin="0,0" coordsize="1124,4722">
                  <v:group style="position:absolute;left:0;top:0;width:1124;height:4722" coordorigin="0,0" coordsize="1124,4722">
                    <v:shape style="position:absolute;left:0;top:0;width:1124;height:4722" coordorigin="0,0" coordsize="1124,4722" path="m0,4721l1124,4721,1124,0,0,0,0,4721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850"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企业的现有业务或该等企业</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为进一步拓展业务范围，与</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天舟文化及其下属公司经营</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的业务产生竞争，则本人（合</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伙企业）及本人</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控制的企业将采取停止经营</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产生竞争的业务的方式，或</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者采取将产生竞争的业务纳</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入天舟文化的方式，或者采</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取将产生竞争的业务转让给</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无关联关系第三方等合法方</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式，使本人及本人控制的企</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业不再从事与天舟文化主营</w:t>
            </w:r>
          </w:p>
        </w:tc>
        <w:tc>
          <w:tcPr>
            <w:tcW w:w="113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业务相同或类似的业务。</w:t>
            </w:r>
          </w:p>
        </w:tc>
        <w:tc>
          <w:tcPr>
            <w:tcW w:w="113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袁雄贵、李道</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、截至本次交易的股份发行</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截至本报告期末，</w:t>
            </w: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龙、成仁风、申</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日，如持有游爱网络股权的</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各承诺方严格履行</w:t>
            </w:r>
          </w:p>
        </w:tc>
      </w:tr>
      <w:tr>
        <w:trPr>
          <w:trHeight w:val="311"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徐洲、李冰、樟</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时间未满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个月的，则该等</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了承诺事项。</w:t>
            </w: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树市悦玩投资</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标的股权对价所对应的股份</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管理中心（有限</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自股份上市之日起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个月内</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0"/>
                <w:sz w:val="18"/>
                <w:szCs w:val="18"/>
              </w:rPr>
              <w:t>）</w:t>
            </w:r>
            <w:r>
              <w:rPr>
                <w:rFonts w:ascii="宋体" w:hAnsi="宋体" w:cs="宋体" w:eastAsia="宋体" w:hint="default"/>
                <w:sz w:val="18"/>
                <w:szCs w:val="18"/>
              </w:rPr>
              <w:t>、新余高</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不得转让；若其持有游爱网</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新区互兴拾号</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络股权的时间超过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投资管理中心</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的，则该等标的股权对价所</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对应的股份自股份上市之日</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若业绩承诺人因本次交易所</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取得的天舟文化的股份的限</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5"/>
                <w:sz w:val="18"/>
                <w:szCs w:val="18"/>
              </w:rPr>
              <w:t>个月，则业绩承诺</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人持有的该等股份应在利润</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承诺期届满且确认业绩承诺</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人已履行完毕全部利润补偿</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义务后方可解除限售；若业</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绩承诺人因本次交易所取得</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的天舟文化的股份的限售期</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4"/>
                <w:sz w:val="18"/>
                <w:szCs w:val="18"/>
              </w:rPr>
              <w:t>个月，则在前述限售期</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满后，业绩承诺人因本次交</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易所获得的天舟文化股份分</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三期解锁，未解锁的股份不</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得转让。</w:t>
            </w: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985"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袁雄贵、李道</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业绩承诺及补</w:t>
            </w:r>
          </w:p>
        </w:tc>
        <w:tc>
          <w:tcPr>
            <w:tcW w:w="2268" w:type="dxa"/>
            <w:tcBorders>
              <w:top w:val="single" w:sz="4" w:space="0" w:color="000000"/>
              <w:left w:val="single" w:sz="4" w:space="0" w:color="000000"/>
              <w:bottom w:val="nil" w:sz="6" w:space="0" w:color="auto"/>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、业绩承诺：袁雄贵、李道</w:t>
            </w:r>
          </w:p>
        </w:tc>
        <w:tc>
          <w:tcPr>
            <w:tcW w:w="1134"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截至本报告期末，</w:t>
            </w:r>
          </w:p>
        </w:tc>
      </w:tr>
      <w:tr>
        <w:trPr>
          <w:trHeight w:val="312"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龙、成仁风、申</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偿安排</w:t>
            </w:r>
          </w:p>
        </w:tc>
        <w:tc>
          <w:tcPr>
            <w:tcW w:w="2268"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2" w:right="-39"/>
              <w:jc w:val="left"/>
              <w:rPr>
                <w:rFonts w:ascii="宋体" w:hAnsi="宋体" w:cs="宋体" w:eastAsia="宋体" w:hint="default"/>
                <w:sz w:val="18"/>
                <w:szCs w:val="18"/>
              </w:rPr>
            </w:pPr>
            <w:r>
              <w:rPr>
                <w:rFonts w:ascii="宋体" w:hAnsi="宋体" w:cs="宋体" w:eastAsia="宋体" w:hint="default"/>
                <w:spacing w:val="-6"/>
                <w:sz w:val="18"/>
                <w:szCs w:val="18"/>
              </w:rPr>
              <w:t>龙、成仁风、申徐洲、李冰、</w:t>
            </w:r>
            <w:r>
              <w:rPr>
                <w:rFonts w:ascii="宋体" w:hAnsi="宋体" w:cs="宋体" w:eastAsia="宋体" w:hint="default"/>
                <w:sz w:val="18"/>
                <w:szCs w:val="18"/>
              </w:rPr>
            </w:r>
          </w:p>
        </w:tc>
        <w:tc>
          <w:tcPr>
            <w:tcW w:w="1134" w:type="dxa"/>
            <w:tcBorders>
              <w:top w:val="nil" w:sz="6" w:space="0" w:color="auto"/>
              <w:left w:val="single" w:sz="9" w:space="0" w:color="FFFFFF"/>
              <w:bottom w:val="nil" w:sz="6" w:space="0" w:color="auto"/>
              <w:right w:val="single" w:sz="4" w:space="0" w:color="000000"/>
            </w:tcBorders>
          </w:tcPr>
          <w:p>
            <w:pPr>
              <w:pStyle w:val="TableParagraph"/>
              <w:spacing w:line="240" w:lineRule="auto" w:before="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各承诺方严格履行</w:t>
            </w:r>
          </w:p>
        </w:tc>
      </w:tr>
      <w:tr>
        <w:trPr>
          <w:trHeight w:val="307"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徐洲、李冰、樟</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互兴拾号、悦玩投资承诺：</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了承诺事项。</w:t>
            </w:r>
          </w:p>
        </w:tc>
      </w:tr>
      <w:tr>
        <w:trPr>
          <w:trHeight w:val="316" w:hRule="exact"/>
        </w:trPr>
        <w:tc>
          <w:tcPr>
            <w:tcW w:w="1985"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树市悦玩投资</w:t>
            </w: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游爱网络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p>
        </w:tc>
        <w:tc>
          <w:tcPr>
            <w:tcW w:w="113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管理中心（有限</w:t>
            </w:r>
          </w:p>
        </w:tc>
        <w:tc>
          <w:tcPr>
            <w:tcW w:w="1277"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年度实现扣除非</w:t>
            </w:r>
          </w:p>
        </w:tc>
        <w:tc>
          <w:tcPr>
            <w:tcW w:w="113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12" w:type="dxa"/>
        <w:tblLayout w:type="fixed"/>
        <w:tblCellMar>
          <w:top w:w="0" w:type="dxa"/>
          <w:left w:w="0" w:type="dxa"/>
          <w:bottom w:w="0" w:type="dxa"/>
          <w:right w:w="0" w:type="dxa"/>
        </w:tblCellMar>
        <w:tblLook w:val="01E0"/>
      </w:tblPr>
      <w:tblGrid>
        <w:gridCol w:w="1985"/>
        <w:gridCol w:w="1276"/>
        <w:gridCol w:w="1277"/>
        <w:gridCol w:w="2268"/>
        <w:gridCol w:w="1134"/>
        <w:gridCol w:w="850"/>
        <w:gridCol w:w="1560"/>
      </w:tblGrid>
      <w:tr>
        <w:trPr>
          <w:trHeight w:val="473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6"/>
                <w:sz w:val="18"/>
                <w:szCs w:val="18"/>
              </w:rPr>
              <w:t>合伙、新余高新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区互兴拾号投 </w:t>
            </w:r>
            <w:r>
              <w:rPr>
                <w:rFonts w:ascii="宋体" w:hAnsi="宋体" w:cs="宋体" w:eastAsia="宋体" w:hint="default"/>
                <w:spacing w:val="-6"/>
                <w:sz w:val="18"/>
                <w:szCs w:val="18"/>
              </w:rPr>
              <w:t>资管理中心（有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限合伙）</w:t>
            </w:r>
          </w:p>
        </w:tc>
        <w:tc>
          <w:tcPr>
            <w:tcW w:w="127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经常性损益后归属于母公司 所有者的净利润分别不低于 </w:t>
            </w:r>
            <w:r>
              <w:rPr>
                <w:rFonts w:ascii="Times New Roman" w:hAnsi="Times New Roman" w:cs="Times New Roman" w:eastAsia="Times New Roman" w:hint="default"/>
                <w:sz w:val="18"/>
                <w:szCs w:val="18"/>
              </w:rPr>
              <w:t>12,000.00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15,000.00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18,750.00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、业绩</w:t>
            </w:r>
            <w:r>
              <w:rPr>
                <w:rFonts w:ascii="宋体" w:hAnsi="宋体" w:cs="宋体" w:eastAsia="宋体" w:hint="default"/>
                <w:sz w:val="18"/>
                <w:szCs w:val="18"/>
              </w:rPr>
              <w:t> 补偿：根据《发行股份及支 </w:t>
            </w:r>
            <w:r>
              <w:rPr>
                <w:rFonts w:ascii="宋体" w:hAnsi="宋体" w:cs="宋体" w:eastAsia="宋体" w:hint="default"/>
                <w:spacing w:val="-10"/>
                <w:sz w:val="18"/>
                <w:szCs w:val="18"/>
              </w:rPr>
              <w:t>付现金购买资产协议》和《盈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利预测补偿协议》，如果在承</w:t>
            </w:r>
            <w:r>
              <w:rPr>
                <w:rFonts w:ascii="宋体" w:hAnsi="宋体" w:cs="宋体" w:eastAsia="宋体" w:hint="default"/>
                <w:sz w:val="18"/>
                <w:szCs w:val="18"/>
              </w:rPr>
              <w:t> 诺期内，游爱网络实际实现 的净利润低于业绩承诺，业 绩补偿义务人应优先以通过 本次交易获得的天舟文化股 票进行补偿，超出其通过本 次交易获得的股票数量的应 补偿股份由业绩补偿义务人 以现金方式进行补偿。</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985"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首次公开发行时所作承 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肖志鸿、肖欢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自发行人股票上市三十六个 月后，本人（或肖志鸿）在 公司任职期间，每年转让的 股份不超过本人持有公司股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；在本人（或 肖志鸿）离职后半年内，不 转让发行前本人持有（或间 接持有）的公司股份。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截至本报告期末， 各承诺方严格履行 了承诺事项。</w:t>
            </w:r>
          </w:p>
        </w:tc>
      </w:tr>
      <w:tr>
        <w:trPr>
          <w:trHeight w:val="2274" w:hRule="exact"/>
        </w:trPr>
        <w:tc>
          <w:tcPr>
            <w:tcW w:w="1985" w:type="dxa"/>
            <w:vMerge/>
            <w:tcBorders>
              <w:left w:val="single" w:sz="4" w:space="0" w:color="000000"/>
              <w:right w:val="single" w:sz="4" w:space="0" w:color="000000"/>
            </w:tcBorders>
            <w:shd w:val="clear" w:color="auto" w:fill="BEBEBE"/>
          </w:tcPr>
          <w:p>
            <w:pPr/>
          </w:p>
        </w:tc>
        <w:tc>
          <w:tcPr>
            <w:tcW w:w="1276"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陈四清、周艳、 李强</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自发行人股票上市十二个月 后，本人在公司任职期间， 每年转让的股份不超过本人 持有公司股份总数的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在本人离职后半年内，不转 让发行前本人持有的公司股 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截至本报告期末， 各承诺方严格履行 了承诺事项。</w:t>
            </w:r>
          </w:p>
        </w:tc>
      </w:tr>
      <w:tr>
        <w:trPr>
          <w:trHeight w:val="1338" w:hRule="exact"/>
        </w:trPr>
        <w:tc>
          <w:tcPr>
            <w:tcW w:w="1985" w:type="dxa"/>
            <w:vMerge/>
            <w:tcBorders>
              <w:left w:val="single" w:sz="4" w:space="0" w:color="000000"/>
              <w:bottom w:val="single" w:sz="4" w:space="0" w:color="000000"/>
              <w:right w:val="single" w:sz="4" w:space="0" w:color="000000"/>
            </w:tcBorders>
            <w:shd w:val="clear" w:color="auto" w:fill="BEBEBE"/>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湖南天鸿投资 集团有限公司、 肖志鸿</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left="12" w:right="-17"/>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占用方面的承</w:t>
            </w:r>
          </w:p>
          <w:p>
            <w:pPr>
              <w:pStyle w:val="TableParagraph"/>
              <w:spacing w:line="240" w:lineRule="auto" w:before="20"/>
              <w:ind w:left="12"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3"/>
              <w:jc w:val="left"/>
              <w:rPr>
                <w:rFonts w:ascii="宋体" w:hAnsi="宋体" w:cs="宋体" w:eastAsia="宋体" w:hint="default"/>
                <w:sz w:val="18"/>
                <w:szCs w:val="18"/>
              </w:rPr>
            </w:pPr>
            <w:r>
              <w:rPr>
                <w:rFonts w:ascii="宋体" w:hAnsi="宋体" w:cs="宋体" w:eastAsia="宋体" w:hint="default"/>
                <w:sz w:val="18"/>
                <w:szCs w:val="18"/>
              </w:rPr>
              <w:t>避免与本公司发生同业竞争 作出承诺。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截至本报告期末， 各承诺方严格履行 了承诺事项。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3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如承诺超期未履行完毕 </w:t>
            </w:r>
            <w:r>
              <w:rPr>
                <w:rFonts w:ascii="宋体" w:hAnsi="宋体" w:cs="宋体" w:eastAsia="宋体" w:hint="default"/>
                <w:spacing w:val="-5"/>
                <w:sz w:val="18"/>
                <w:szCs w:val="18"/>
              </w:rPr>
              <w:t>的，应当详细说明未完成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履行的具体原因及下一 步的工作计划</w:t>
            </w:r>
          </w:p>
        </w:tc>
        <w:tc>
          <w:tcPr>
            <w:tcW w:w="836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5"/>
        <w:ind w:left="1133" w:right="1117"/>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8"/>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8"/>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8"/>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广州游爱网络 技术有限公司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15,000.00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16,227.82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8"/>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bl>
    <w:p>
      <w:pPr>
        <w:pStyle w:val="BodyText"/>
        <w:spacing w:line="240" w:lineRule="auto" w:before="74"/>
        <w:ind w:left="1134" w:right="1117"/>
        <w:jc w:val="left"/>
      </w:pPr>
      <w:r>
        <w:rPr/>
        <w:t>公司股东、交易对方对公司或相关资产年度经营业绩作出的承诺情况</w:t>
      </w:r>
    </w:p>
    <w:p>
      <w:pPr>
        <w:spacing w:line="240" w:lineRule="auto" w:before="6"/>
        <w:rPr>
          <w:rFonts w:ascii="宋体" w:hAnsi="宋体" w:cs="宋体" w:eastAsia="宋体" w:hint="default"/>
          <w:sz w:val="12"/>
          <w:szCs w:val="12"/>
        </w:rPr>
      </w:pPr>
    </w:p>
    <w:p>
      <w:pPr>
        <w:pStyle w:val="BodyText"/>
        <w:spacing w:line="345" w:lineRule="auto"/>
        <w:ind w:left="1134" w:right="1131" w:firstLine="360"/>
        <w:jc w:val="both"/>
      </w:pPr>
      <w:r>
        <w:rPr/>
        <w:t>发行股份及支付现金购买游爱网络</w:t>
      </w:r>
      <w:r>
        <w:rPr>
          <w:spacing w:val="-54"/>
        </w:rPr>
        <w:t> </w:t>
      </w:r>
      <w:r>
        <w:rPr>
          <w:rFonts w:ascii="Times New Roman" w:hAnsi="Times New Roman" w:cs="Times New Roman" w:eastAsia="Times New Roman" w:hint="default"/>
        </w:rPr>
        <w:t>100%</w:t>
      </w:r>
      <w:r>
        <w:rPr/>
        <w:t>股权的交易对方袁雄贵、李道龙、成仁风、申徐洲、李冰、樟树市悦玩投资管 理中心（有限合伙、新余高新区互兴拾号投资管理中心（有限合伙）承诺：</w:t>
      </w:r>
    </w:p>
    <w:p>
      <w:pPr>
        <w:pStyle w:val="BodyText"/>
        <w:spacing w:line="345" w:lineRule="auto" w:before="82"/>
        <w:ind w:left="1133" w:right="1140" w:firstLine="360"/>
        <w:jc w:val="both"/>
      </w:pPr>
      <w:r>
        <w:rPr/>
        <w:t>（</w:t>
      </w:r>
      <w:r>
        <w:rPr>
          <w:rFonts w:ascii="Times New Roman" w:hAnsi="Times New Roman" w:cs="Times New Roman" w:eastAsia="Times New Roman" w:hint="default"/>
        </w:rPr>
        <w:t>1</w:t>
      </w:r>
      <w:r>
        <w:rPr/>
        <w:t>）业绩承诺：游爱网络</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年度实现扣除非经常性损益后归属于母公司所有者的净利润分 别不低于</w:t>
      </w:r>
      <w:r>
        <w:rPr>
          <w:spacing w:val="-47"/>
        </w:rPr>
        <w:t> </w:t>
      </w:r>
      <w:r>
        <w:rPr>
          <w:rFonts w:ascii="Times New Roman" w:hAnsi="Times New Roman" w:cs="Times New Roman" w:eastAsia="Times New Roman" w:hint="default"/>
        </w:rPr>
        <w:t>12,000.00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15,000.00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18,750.00</w:t>
      </w:r>
      <w:r>
        <w:rPr>
          <w:rFonts w:ascii="Times New Roman" w:hAnsi="Times New Roman" w:cs="Times New Roman" w:eastAsia="Times New Roman" w:hint="default"/>
          <w:spacing w:val="-2"/>
        </w:rPr>
        <w:t> </w:t>
      </w:r>
      <w:r>
        <w:rPr/>
        <w:t>万元。</w:t>
      </w:r>
    </w:p>
    <w:p>
      <w:pPr>
        <w:pStyle w:val="BodyText"/>
        <w:spacing w:line="355" w:lineRule="auto" w:before="61"/>
        <w:ind w:left="1133" w:right="1131" w:firstLine="360"/>
        <w:jc w:val="both"/>
      </w:pPr>
      <w:r>
        <w:rPr>
          <w:spacing w:val="-4"/>
        </w:rPr>
        <w:t>（</w:t>
      </w:r>
      <w:r>
        <w:rPr>
          <w:rFonts w:ascii="Times New Roman" w:hAnsi="Times New Roman" w:cs="Times New Roman" w:eastAsia="Times New Roman" w:hint="default"/>
          <w:spacing w:val="-4"/>
        </w:rPr>
        <w:t>2</w:t>
      </w:r>
      <w:r>
        <w:rPr>
          <w:spacing w:val="-4"/>
        </w:rPr>
        <w:t>）业绩补偿：根据《发行股份及支付现金购买资产协议》和《盈利预测补偿协议》，如果在承诺期内，游爱网络实际</w:t>
      </w:r>
      <w:r>
        <w:rPr/>
        <w:t> </w:t>
      </w:r>
      <w:r>
        <w:rPr>
          <w:spacing w:val="-2"/>
        </w:rPr>
        <w:t>实现的净利润低于业绩承诺，业绩补偿义务人应优先以通过本次交易获得的天舟文化股票进行补偿，超出其通过本次交易获</w:t>
      </w:r>
      <w:r>
        <w:rPr>
          <w:spacing w:val="-64"/>
        </w:rPr>
        <w:t> </w:t>
      </w:r>
      <w:r>
        <w:rPr>
          <w:spacing w:val="-64"/>
        </w:rPr>
      </w:r>
      <w:r>
        <w:rPr/>
        <w:t>得的股票数量的应补偿股份由业绩补偿义务人以现金方式进行补偿。</w:t>
      </w:r>
    </w:p>
    <w:p>
      <w:pPr>
        <w:pStyle w:val="BodyText"/>
        <w:spacing w:line="240" w:lineRule="auto" w:before="76"/>
        <w:ind w:left="1494" w:right="1117"/>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年度，游爱网络扣除非经常性损益后的当期实际业绩为</w:t>
      </w:r>
      <w:r>
        <w:rPr>
          <w:spacing w:val="-46"/>
        </w:rPr>
        <w:t> </w:t>
      </w:r>
      <w:r>
        <w:rPr>
          <w:rFonts w:ascii="Times New Roman" w:hAnsi="Times New Roman" w:cs="Times New Roman" w:eastAsia="Times New Roman" w:hint="default"/>
        </w:rPr>
        <w:t>16,227.82</w:t>
      </w:r>
      <w:r>
        <w:rPr>
          <w:rFonts w:ascii="Times New Roman" w:hAnsi="Times New Roman" w:cs="Times New Roman" w:eastAsia="Times New Roman" w:hint="default"/>
          <w:spacing w:val="-1"/>
        </w:rPr>
        <w:t> </w:t>
      </w:r>
      <w:r>
        <w:rPr/>
        <w:t>万元。</w:t>
      </w:r>
    </w:p>
    <w:p>
      <w:pPr>
        <w:spacing w:line="240" w:lineRule="auto" w:before="10"/>
        <w:rPr>
          <w:rFonts w:ascii="宋体" w:hAnsi="宋体" w:cs="宋体" w:eastAsia="宋体" w:hint="default"/>
          <w:sz w:val="25"/>
          <w:szCs w:val="25"/>
        </w:rPr>
      </w:pPr>
    </w:p>
    <w:p>
      <w:pPr>
        <w:pStyle w:val="Heading2"/>
        <w:spacing w:line="240" w:lineRule="auto"/>
        <w:ind w:right="1117"/>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17"/>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30"/>
          <w:szCs w:val="30"/>
        </w:rPr>
      </w:pPr>
    </w:p>
    <w:p>
      <w:pPr>
        <w:pStyle w:val="Heading5"/>
        <w:spacing w:line="240" w:lineRule="auto"/>
        <w:ind w:left="1553" w:right="1117"/>
        <w:jc w:val="left"/>
      </w:pPr>
      <w:r>
        <w:rPr>
          <w:rFonts w:ascii="宋体" w:hAnsi="宋体" w:cs="宋体" w:eastAsia="宋体" w:hint="default"/>
        </w:rPr>
        <w:t>1.</w:t>
      </w:r>
      <w:r>
        <w:rPr/>
        <w:t>会计政策的变更</w:t>
      </w:r>
    </w:p>
    <w:p>
      <w:pPr>
        <w:spacing w:line="240" w:lineRule="auto" w:before="9"/>
        <w:rPr>
          <w:rFonts w:ascii="宋体" w:hAnsi="宋体" w:cs="宋体" w:eastAsia="宋体" w:hint="default"/>
          <w:sz w:val="26"/>
          <w:szCs w:val="26"/>
        </w:rPr>
      </w:pPr>
    </w:p>
    <w:p>
      <w:pPr>
        <w:pStyle w:val="Heading5"/>
        <w:spacing w:line="240" w:lineRule="auto"/>
        <w:ind w:left="1553" w:right="0"/>
        <w:jc w:val="left"/>
      </w:pPr>
      <w:r>
        <w:rPr/>
        <w:t>（</w:t>
      </w:r>
      <w:r>
        <w:rPr>
          <w:rFonts w:ascii="Times New Roman" w:hAnsi="Times New Roman" w:cs="Times New Roman" w:eastAsia="Times New Roman" w:hint="default"/>
        </w:rPr>
        <w:t>1</w:t>
      </w:r>
      <w:r>
        <w:rPr/>
        <w:t>）经公司于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日召开的第三届董事会第十次会议审议通过，自</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日采用</w:t>
      </w:r>
    </w:p>
    <w:p>
      <w:pPr>
        <w:pStyle w:val="Heading5"/>
        <w:spacing w:line="386" w:lineRule="auto" w:before="177"/>
        <w:ind w:left="1133" w:right="1121"/>
        <w:jc w:val="left"/>
      </w:pPr>
      <w:r>
        <w:rPr/>
        <w:t>《企业会计准则第 </w:t>
      </w:r>
      <w:r>
        <w:rPr>
          <w:rFonts w:ascii="Times New Roman" w:hAnsi="Times New Roman" w:cs="Times New Roman" w:eastAsia="Times New Roman" w:hint="default"/>
          <w:spacing w:val="-1"/>
        </w:rPr>
        <w:t>16</w:t>
      </w:r>
      <w:r>
        <w:rPr>
          <w:rFonts w:ascii="Times New Roman" w:hAnsi="Times New Roman" w:cs="Times New Roman" w:eastAsia="Times New Roman" w:hint="default"/>
        </w:rPr>
        <w:t> </w:t>
      </w:r>
      <w:r>
        <w:rPr>
          <w:spacing w:val="-9"/>
        </w:rPr>
        <w:t>号</w:t>
      </w:r>
      <w:r>
        <w:rPr>
          <w:rFonts w:ascii="Times New Roman" w:hAnsi="Times New Roman" w:cs="Times New Roman" w:eastAsia="Times New Roman" w:hint="default"/>
          <w:spacing w:val="-9"/>
        </w:rPr>
        <w:t>—</w:t>
      </w:r>
      <w:r>
        <w:rPr>
          <w:spacing w:val="-9"/>
        </w:rPr>
        <w:t>政府补助》（财会〔</w:t>
      </w:r>
      <w:r>
        <w:rPr>
          <w:rFonts w:ascii="Times New Roman" w:hAnsi="Times New Roman" w:cs="Times New Roman" w:eastAsia="Times New Roman" w:hint="default"/>
          <w:spacing w:val="-9"/>
        </w:rPr>
        <w:t>2017</w:t>
      </w:r>
      <w:r>
        <w:rPr>
          <w:spacing w:val="-9"/>
        </w:rPr>
        <w:t>〕</w:t>
      </w:r>
      <w:r>
        <w:rPr>
          <w:rFonts w:ascii="Times New Roman" w:hAnsi="Times New Roman" w:cs="Times New Roman" w:eastAsia="Times New Roman" w:hint="default"/>
          <w:spacing w:val="-9"/>
        </w:rPr>
        <w:t>15</w:t>
      </w:r>
      <w:r>
        <w:rPr>
          <w:rFonts w:ascii="Times New Roman" w:hAnsi="Times New Roman" w:cs="Times New Roman" w:eastAsia="Times New Roman" w:hint="default"/>
          <w:spacing w:val="-30"/>
        </w:rPr>
        <w:t> </w:t>
      </w:r>
      <w:r>
        <w:rPr>
          <w:spacing w:val="-2"/>
        </w:rPr>
        <w:t>号）相关规定，采用未来适用法处理。会计政策变</w:t>
      </w:r>
      <w:r>
        <w:rPr/>
        <w:t> 更导致影响如下：</w:t>
      </w:r>
    </w:p>
    <w:p>
      <w:pPr>
        <w:spacing w:line="240" w:lineRule="auto" w:before="2"/>
        <w:rPr>
          <w:rFonts w:ascii="宋体" w:hAnsi="宋体" w:cs="宋体" w:eastAsia="宋体" w:hint="default"/>
          <w:sz w:val="12"/>
          <w:szCs w:val="12"/>
        </w:rPr>
      </w:pPr>
    </w:p>
    <w:tbl>
      <w:tblPr>
        <w:tblW w:w="0" w:type="auto"/>
        <w:jc w:val="left"/>
        <w:tblInd w:w="1113" w:type="dxa"/>
        <w:tblLayout w:type="fixed"/>
        <w:tblCellMar>
          <w:top w:w="0" w:type="dxa"/>
          <w:left w:w="0" w:type="dxa"/>
          <w:bottom w:w="0" w:type="dxa"/>
          <w:right w:w="0" w:type="dxa"/>
        </w:tblCellMar>
        <w:tblLook w:val="01E0"/>
      </w:tblPr>
      <w:tblGrid>
        <w:gridCol w:w="4978"/>
        <w:gridCol w:w="4139"/>
      </w:tblGrid>
      <w:tr>
        <w:trPr>
          <w:trHeight w:val="402" w:hRule="exact"/>
        </w:trPr>
        <w:tc>
          <w:tcPr>
            <w:tcW w:w="4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40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890"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715"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将与日常活动相关的政府补助计入“其他收益”科目核算</w:t>
            </w:r>
          </w:p>
        </w:tc>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合并利润表：增加其他收益本期金额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8,433,333.33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2"/>
        <w:rPr>
          <w:rFonts w:ascii="宋体" w:hAnsi="宋体" w:cs="宋体" w:eastAsia="宋体" w:hint="default"/>
          <w:sz w:val="28"/>
          <w:szCs w:val="28"/>
        </w:rPr>
      </w:pPr>
    </w:p>
    <w:p>
      <w:pPr>
        <w:spacing w:line="693" w:lineRule="exact"/>
        <w:ind w:left="1113"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56.4pt;height:34.7pt;mso-position-horizontal-relative:char;mso-position-vertical-relative:line" coordorigin="0,0" coordsize="9128,694">
            <v:group style="position:absolute;left:10;top:10;width:4969;height:2" coordorigin="10,10" coordsize="4969,2">
              <v:shape style="position:absolute;left:10;top:10;width:4969;height:2" coordorigin="10,10" coordsize="4969,0" path="m10,10l4978,10e" filled="false" stroked="true" strokeweight=".48pt" strokecolor="#000000">
                <v:path arrowok="t"/>
              </v:shape>
            </v:group>
            <v:group style="position:absolute;left:4988;top:10;width:4130;height:2" coordorigin="4988,10" coordsize="4130,2">
              <v:shape style="position:absolute;left:4988;top:10;width:4130;height:2" coordorigin="4988,10" coordsize="4130,0" path="m4988,10l9118,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4969;height:2" coordorigin="10,684" coordsize="4969,2">
              <v:shape style="position:absolute;left:10;top:684;width:4969;height:2" coordorigin="10,684" coordsize="4969,0" path="m10,684l4978,684e" filled="false" stroked="true" strokeweight=".48pt" strokecolor="#000000">
                <v:path arrowok="t"/>
              </v:shape>
            </v:group>
            <v:group style="position:absolute;left:4983;top:5;width:2;height:684" coordorigin="4983,5" coordsize="2,684">
              <v:shape style="position:absolute;left:4983;top:5;width:2;height:684" coordorigin="4983,5" coordsize="0,684" path="m4983,5l4983,689e" filled="false" stroked="true" strokeweight=".48pt" strokecolor="#000000">
                <v:path arrowok="t"/>
              </v:shape>
            </v:group>
            <v:group style="position:absolute;left:4988;top:684;width:4130;height:2" coordorigin="4988,684" coordsize="4130,2">
              <v:shape style="position:absolute;left:4988;top:684;width:4130;height:2" coordorigin="4988,684" coordsize="4130,0" path="m4988,684l9118,684e" filled="false" stroked="true" strokeweight=".48pt" strokecolor="#000000">
                <v:path arrowok="t"/>
              </v:shape>
            </v:group>
            <v:group style="position:absolute;left:9122;top:5;width:2;height:684" coordorigin="9122,5" coordsize="2,684">
              <v:shape style="position:absolute;left:9122;top:5;width:2;height:684" coordorigin="9122,5" coordsize="0,684" path="m9122,5l9122,689e" filled="false" stroked="true" strokeweight=".48pt" strokecolor="#000000">
                <v:path arrowok="t"/>
              </v:shape>
              <v:shape style="position:absolute;left:4983;top:10;width:4140;height:675" type="#_x0000_t202" filled="false" stroked="false">
                <v:textbox inset="0,0,0,0">
                  <w:txbxContent>
                    <w:p>
                      <w:pPr>
                        <w:spacing w:before="15"/>
                        <w:ind w:left="107" w:right="0" w:firstLine="0"/>
                        <w:jc w:val="left"/>
                        <w:rPr>
                          <w:rFonts w:ascii="宋体" w:hAnsi="宋体" w:cs="宋体" w:eastAsia="宋体" w:hint="default"/>
                          <w:sz w:val="18"/>
                          <w:szCs w:val="18"/>
                        </w:rPr>
                      </w:pPr>
                      <w:r>
                        <w:rPr>
                          <w:rFonts w:ascii="宋体" w:hAnsi="宋体" w:cs="宋体" w:eastAsia="宋体" w:hint="default"/>
                          <w:sz w:val="18"/>
                          <w:szCs w:val="18"/>
                        </w:rPr>
                        <w:t>母公司利润表：增加其他收益本期金额</w:t>
                      </w:r>
                    </w:p>
                    <w:p>
                      <w:pPr>
                        <w:spacing w:before="77"/>
                        <w:ind w:left="10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1,003,333.33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xbxContent>
                </v:textbox>
                <w10:wrap type="none"/>
              </v:shape>
            </v:group>
          </v:group>
        </w:pict>
      </w:r>
      <w:r>
        <w:rPr>
          <w:rFonts w:ascii="宋体" w:hAnsi="宋体" w:cs="宋体" w:eastAsia="宋体" w:hint="default"/>
          <w:position w:val="-13"/>
          <w:sz w:val="20"/>
          <w:szCs w:val="20"/>
        </w:rPr>
      </w:r>
    </w:p>
    <w:p>
      <w:pPr>
        <w:pStyle w:val="Heading5"/>
        <w:spacing w:line="314" w:lineRule="auto" w:before="54"/>
        <w:ind w:left="1133" w:right="1132" w:firstLine="420"/>
        <w:jc w:val="both"/>
      </w:pPr>
      <w:r>
        <w:rPr/>
        <w:t>（</w:t>
      </w:r>
      <w:r>
        <w:rPr>
          <w:rFonts w:ascii="Times New Roman" w:hAnsi="Times New Roman" w:cs="Times New Roman" w:eastAsia="Times New Roman" w:hint="default"/>
        </w:rPr>
        <w:t>2</w:t>
      </w:r>
      <w:r>
        <w:rPr/>
        <w:t>）本公司自</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日采用《企业会计准则第</w:t>
      </w:r>
      <w:r>
        <w:rPr>
          <w:spacing w:val="-57"/>
        </w:rPr>
        <w:t> </w:t>
      </w:r>
      <w:r>
        <w:rPr>
          <w:rFonts w:ascii="Times New Roman" w:hAnsi="Times New Roman" w:cs="Times New Roman" w:eastAsia="Times New Roman" w:hint="default"/>
        </w:rPr>
        <w:t>42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持有待售的非流动资产、处置组及 </w:t>
      </w:r>
      <w:r>
        <w:rPr>
          <w:spacing w:val="-7"/>
        </w:rPr>
        <w:t>终止经营》（财会〔</w:t>
      </w:r>
      <w:r>
        <w:rPr>
          <w:rFonts w:ascii="Times New Roman" w:hAnsi="Times New Roman" w:cs="Times New Roman" w:eastAsia="Times New Roman" w:hint="default"/>
          <w:spacing w:val="-7"/>
        </w:rPr>
        <w:t>2017</w:t>
      </w:r>
      <w:r>
        <w:rPr>
          <w:spacing w:val="-7"/>
        </w:rPr>
        <w:t>〕</w:t>
      </w:r>
      <w:r>
        <w:rPr>
          <w:rFonts w:ascii="Times New Roman" w:hAnsi="Times New Roman" w:cs="Times New Roman" w:eastAsia="Times New Roman" w:hint="default"/>
          <w:spacing w:val="-7"/>
        </w:rPr>
        <w:t>13</w:t>
      </w:r>
      <w:r>
        <w:rPr>
          <w:rFonts w:ascii="Times New Roman" w:hAnsi="Times New Roman" w:cs="Times New Roman" w:eastAsia="Times New Roman" w:hint="default"/>
          <w:spacing w:val="11"/>
        </w:rPr>
        <w:t> </w:t>
      </w:r>
      <w:r>
        <w:rPr>
          <w:spacing w:val="-1"/>
        </w:rPr>
        <w:t>号）相关规定，采用未来适用法处理。该项会计政策变更对本期财务报表无</w:t>
      </w:r>
      <w:r>
        <w:rPr>
          <w:spacing w:val="-102"/>
        </w:rPr>
        <w:t> </w:t>
      </w:r>
      <w:r>
        <w:rPr>
          <w:spacing w:val="-102"/>
        </w:rPr>
      </w:r>
      <w:r>
        <w:rPr/>
        <w:t>影响。</w:t>
      </w:r>
    </w:p>
    <w:p>
      <w:pPr>
        <w:pStyle w:val="Heading5"/>
        <w:spacing w:line="240" w:lineRule="auto" w:before="40"/>
        <w:ind w:left="1553" w:right="0"/>
        <w:jc w:val="left"/>
      </w:pPr>
      <w:r>
        <w:rPr/>
        <w:t>（</w:t>
      </w:r>
      <w:r>
        <w:rPr>
          <w:rFonts w:ascii="Times New Roman" w:hAnsi="Times New Roman" w:cs="Times New Roman" w:eastAsia="Times New Roman" w:hint="default"/>
        </w:rPr>
        <w:t>3</w:t>
      </w:r>
      <w:r>
        <w:rPr>
          <w:spacing w:val="-105"/>
        </w:rPr>
        <w:t>）</w:t>
      </w:r>
      <w:r>
        <w:rPr/>
        <w:t>本公</w:t>
      </w:r>
      <w:r>
        <w:rPr>
          <w:spacing w:val="-2"/>
        </w:rPr>
        <w:t>司</w:t>
      </w:r>
      <w:r>
        <w:rPr/>
        <w:t>自</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17</w:t>
      </w:r>
      <w:r>
        <w:rPr>
          <w:rFonts w:ascii="Times New Roman" w:hAnsi="Times New Roman" w:cs="Times New Roman" w:eastAsia="Times New Roman" w:hint="default"/>
          <w:spacing w:val="-22"/>
        </w:rPr>
        <w:t> </w:t>
      </w:r>
      <w:r>
        <w:rPr/>
        <w:t>年</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月</w:t>
      </w:r>
      <w:r>
        <w:rPr>
          <w:spacing w:val="-74"/>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日采用财政</w:t>
      </w:r>
      <w:r>
        <w:rPr>
          <w:spacing w:val="-105"/>
        </w:rPr>
        <w:t>部</w:t>
      </w:r>
      <w:r>
        <w:rPr/>
        <w:t>《关于</w:t>
      </w:r>
      <w:r>
        <w:rPr>
          <w:spacing w:val="-2"/>
        </w:rPr>
        <w:t>修</w:t>
      </w:r>
      <w:r>
        <w:rPr/>
        <w:t>订印发一般企业财务报表格式的通知</w:t>
      </w:r>
      <w:r>
        <w:rPr>
          <w:spacing w:val="-209"/>
        </w:rPr>
        <w:t>》</w:t>
      </w:r>
      <w:r>
        <w:rPr/>
        <w:t>（财</w:t>
      </w:r>
      <w:r>
        <w:rPr>
          <w:spacing w:val="-106"/>
        </w:rPr>
        <w:t>会</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w:t>
      </w:r>
      <w:r>
        <w:rPr>
          <w:rFonts w:ascii="Times New Roman" w:hAnsi="Times New Roman" w:cs="Times New Roman" w:eastAsia="Times New Roman" w:hint="default"/>
          <w:spacing w:val="1"/>
        </w:rPr>
        <w:t>7</w:t>
      </w:r>
      <w:r>
        <w:rPr/>
        <w:t>〕</w:t>
      </w:r>
    </w:p>
    <w:p>
      <w:pPr>
        <w:pStyle w:val="Heading5"/>
        <w:spacing w:line="240" w:lineRule="auto" w:before="89"/>
        <w:ind w:left="1133" w:right="1117"/>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号）相关规定。该项会计政策变更对本期财务报表无影响。</w:t>
      </w:r>
    </w:p>
    <w:p>
      <w:pPr>
        <w:pStyle w:val="Heading5"/>
        <w:spacing w:line="544" w:lineRule="auto" w:before="134"/>
        <w:ind w:left="1553" w:right="6973"/>
        <w:jc w:val="left"/>
      </w:pPr>
      <w:r>
        <w:rPr>
          <w:rFonts w:ascii="宋体" w:hAnsi="宋体" w:cs="宋体" w:eastAsia="宋体" w:hint="default"/>
        </w:rPr>
        <w:t>2.</w:t>
      </w:r>
      <w:r>
        <w:rPr/>
        <w:t>会计估计的变更 报告期内公司无重要会计估计变更。 </w:t>
      </w:r>
      <w:r>
        <w:rPr>
          <w:rFonts w:ascii="宋体" w:hAnsi="宋体" w:cs="宋体" w:eastAsia="宋体" w:hint="default"/>
        </w:rPr>
        <w:t>3.</w:t>
      </w:r>
      <w:r>
        <w:rPr/>
        <w:t>前期会计差错更正 报告期内公司无重要会计差错更正。</w:t>
      </w:r>
    </w:p>
    <w:p>
      <w:pPr>
        <w:pStyle w:val="Heading2"/>
        <w:spacing w:line="240" w:lineRule="auto" w:before="126"/>
        <w:ind w:right="1117"/>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30"/>
          <w:szCs w:val="30"/>
        </w:rPr>
      </w:pPr>
    </w:p>
    <w:p>
      <w:pPr>
        <w:pStyle w:val="Heading5"/>
        <w:spacing w:line="386" w:lineRule="auto"/>
        <w:ind w:left="1133" w:right="1132" w:firstLine="420"/>
        <w:jc w:val="both"/>
      </w:pPr>
      <w:r>
        <w:rPr/>
        <w:t>报告期内合并范围的变动情况请详见第四节“经营情况讨论与分析”之“二、主营业务分析</w:t>
      </w:r>
      <w:r>
        <w:rPr>
          <w:spacing w:val="-23"/>
        </w:rPr>
        <w:t> </w:t>
      </w:r>
      <w:r>
        <w:rPr>
          <w:rFonts w:ascii="Times New Roman" w:hAnsi="Times New Roman" w:cs="Times New Roman" w:eastAsia="Times New Roman" w:hint="default"/>
        </w:rPr>
        <w:t>2</w:t>
      </w:r>
      <w:r>
        <w:rPr/>
        <w:t>、收入 与成本”。</w:t>
      </w:r>
    </w:p>
    <w:p>
      <w:pPr>
        <w:spacing w:line="240" w:lineRule="auto" w:before="2"/>
        <w:rPr>
          <w:rFonts w:ascii="宋体" w:hAnsi="宋体" w:cs="宋体" w:eastAsia="宋体" w:hint="default"/>
          <w:sz w:val="20"/>
          <w:szCs w:val="20"/>
        </w:rPr>
      </w:pPr>
    </w:p>
    <w:p>
      <w:pPr>
        <w:pStyle w:val="Heading2"/>
        <w:spacing w:line="240" w:lineRule="auto"/>
        <w:ind w:right="1117"/>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刘智清、伍舫</w:t>
            </w:r>
          </w:p>
        </w:tc>
      </w:tr>
      <w:tr>
        <w:trPr>
          <w:trHeight w:val="71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 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left="1134" w:right="1117"/>
        <w:jc w:val="left"/>
      </w:pPr>
      <w:r>
        <w:rPr/>
        <w:t>是否改聘会计师事务所</w:t>
      </w:r>
    </w:p>
    <w:p>
      <w:pPr>
        <w:pStyle w:val="BodyText"/>
        <w:spacing w:line="240" w:lineRule="auto" w:before="117"/>
        <w:ind w:left="1134"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1133" w:right="1117"/>
        <w:jc w:val="left"/>
      </w:pPr>
      <w:r>
        <w:rPr/>
        <w:t>聘请内部控制审计会计师事务所、财务顾问或保荐人情况</w:t>
      </w:r>
    </w:p>
    <w:p>
      <w:pPr>
        <w:pStyle w:val="BodyText"/>
        <w:spacing w:line="240" w:lineRule="auto" w:before="116"/>
        <w:ind w:left="1134"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17"/>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破产重整相关事项" w:id="71"/>
      <w:bookmarkEnd w:id="71"/>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二、处罚及整改情况" w:id="73"/>
      <w:bookmarkEnd w:id="73"/>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30"/>
          <w:szCs w:val="30"/>
        </w:rPr>
      </w:pPr>
    </w:p>
    <w:p>
      <w:pPr>
        <w:pStyle w:val="Heading5"/>
        <w:spacing w:line="240" w:lineRule="auto"/>
        <w:ind w:left="1554" w:right="0"/>
        <w:jc w:val="left"/>
      </w:pPr>
      <w:r>
        <w:rPr/>
        <w:t>公司于</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8 </w:t>
      </w:r>
      <w:r>
        <w:rPr/>
        <w:t>日召开</w:t>
      </w:r>
      <w:r>
        <w:rPr>
          <w:spacing w:val="-53"/>
        </w:rPr>
        <w:t> </w:t>
      </w:r>
      <w:r>
        <w:rPr>
          <w:rFonts w:ascii="Times New Roman" w:hAnsi="Times New Roman" w:cs="Times New Roman" w:eastAsia="Times New Roman" w:hint="default"/>
        </w:rPr>
        <w:t>2016 </w:t>
      </w:r>
      <w:r>
        <w:rPr>
          <w:spacing w:val="-8"/>
        </w:rPr>
        <w:t>年第一次临时股东大会审议通过了《第一期员工持股计划（草案）》</w:t>
      </w:r>
    </w:p>
    <w:p>
      <w:pPr>
        <w:pStyle w:val="Heading5"/>
        <w:spacing w:line="393" w:lineRule="auto" w:before="177"/>
        <w:ind w:left="1134" w:right="1131"/>
        <w:jc w:val="both"/>
      </w:pPr>
      <w:r>
        <w:rPr/>
        <w:t>及相关议案，本员工持股计划设立后委托国金证券成立国金天舟文化</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号集合资产管理计划进行管理，参 </w:t>
      </w:r>
      <w:r>
        <w:rPr>
          <w:spacing w:val="-1"/>
        </w:rPr>
        <w:t>加本员工持股计划的人员范围为公司部分董事、监事及高级管理人员，以及公司（含控股子公司）符合认</w:t>
      </w:r>
      <w:r>
        <w:rPr>
          <w:spacing w:val="-86"/>
        </w:rPr>
        <w:t> </w:t>
      </w:r>
      <w:r>
        <w:rPr>
          <w:spacing w:val="-86"/>
        </w:rPr>
      </w:r>
      <w:r>
        <w:rPr/>
        <w:t>购条件的核心及骨干员工，总人数不超过</w:t>
      </w:r>
      <w:r>
        <w:rPr>
          <w:spacing w:val="-53"/>
        </w:rPr>
        <w:t> </w:t>
      </w:r>
      <w:r>
        <w:rPr>
          <w:rFonts w:ascii="Times New Roman" w:hAnsi="Times New Roman" w:cs="Times New Roman" w:eastAsia="Times New Roman" w:hint="default"/>
        </w:rPr>
        <w:t>150</w:t>
      </w:r>
      <w:r>
        <w:rPr>
          <w:rFonts w:ascii="Times New Roman" w:hAnsi="Times New Roman" w:cs="Times New Roman" w:eastAsia="Times New Roman" w:hint="default"/>
          <w:spacing w:val="-2"/>
        </w:rPr>
        <w:t> </w:t>
      </w:r>
      <w:r>
        <w:rPr/>
        <w:t>人，筹集资金总额为不低于人民币</w:t>
      </w:r>
      <w:r>
        <w:rPr>
          <w:spacing w:val="-53"/>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万元。公司参与本 员工持股计划的资金来源为员工合法薪酬、自筹资金以及法律、法规允许的其他方式。</w:t>
      </w:r>
    </w:p>
    <w:p>
      <w:pPr>
        <w:pStyle w:val="Heading5"/>
        <w:spacing w:line="240" w:lineRule="auto" w:before="58"/>
        <w:ind w:left="146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3"/>
        </w:rPr>
        <w:t>日，公司第一期员工持股计划认购的</w:t>
      </w:r>
      <w:r>
        <w:rPr>
          <w:rFonts w:ascii="Times New Roman" w:hAnsi="Times New Roman" w:cs="Times New Roman" w:eastAsia="Times New Roman" w:hint="default"/>
          <w:spacing w:val="-3"/>
        </w:rPr>
        <w:t>“</w:t>
      </w:r>
      <w:r>
        <w:rPr>
          <w:spacing w:val="-3"/>
        </w:rPr>
        <w:t>国金天舟文化</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号集合资产管理计划</w:t>
      </w:r>
      <w:r>
        <w:rPr>
          <w:rFonts w:ascii="Times New Roman" w:hAnsi="Times New Roman" w:cs="Times New Roman" w:eastAsia="Times New Roman" w:hint="default"/>
        </w:rPr>
        <w:t>”</w:t>
      </w:r>
      <w:r>
        <w:rPr/>
        <w:t>通过二级市</w:t>
      </w:r>
    </w:p>
    <w:p>
      <w:pPr>
        <w:pStyle w:val="Heading5"/>
        <w:spacing w:line="240" w:lineRule="auto" w:before="177"/>
        <w:ind w:left="1134" w:right="0"/>
        <w:jc w:val="both"/>
        <w:rPr>
          <w:rFonts w:ascii="Times New Roman" w:hAnsi="Times New Roman" w:cs="Times New Roman" w:eastAsia="Times New Roman" w:hint="default"/>
        </w:rPr>
      </w:pPr>
      <w:r>
        <w:rPr/>
        <w:t>场购买的方式累计买入公司股票</w:t>
      </w:r>
      <w:r>
        <w:rPr>
          <w:spacing w:val="-52"/>
        </w:rPr>
        <w:t> </w:t>
      </w:r>
      <w:r>
        <w:rPr>
          <w:rFonts w:ascii="Times New Roman" w:hAnsi="Times New Roman" w:cs="Times New Roman" w:eastAsia="Times New Roman" w:hint="default"/>
        </w:rPr>
        <w:t>5,536,001</w:t>
      </w:r>
      <w:r>
        <w:rPr>
          <w:rFonts w:ascii="Times New Roman" w:hAnsi="Times New Roman" w:cs="Times New Roman" w:eastAsia="Times New Roman" w:hint="default"/>
          <w:spacing w:val="1"/>
        </w:rPr>
        <w:t> </w:t>
      </w:r>
      <w:r>
        <w:rPr>
          <w:spacing w:val="-10"/>
        </w:rPr>
        <w:t>股，占公司总股本</w:t>
      </w:r>
      <w:r>
        <w:rPr>
          <w:spacing w:val="-53"/>
        </w:rPr>
        <w:t> </w:t>
      </w:r>
      <w:r>
        <w:rPr>
          <w:rFonts w:ascii="Times New Roman" w:hAnsi="Times New Roman" w:cs="Times New Roman" w:eastAsia="Times New Roman" w:hint="default"/>
          <w:spacing w:val="-9"/>
        </w:rPr>
        <w:t>1.31%</w:t>
      </w:r>
      <w:r>
        <w:rPr>
          <w:spacing w:val="-9"/>
        </w:rPr>
        <w:t>，公司于</w:t>
      </w:r>
      <w:r>
        <w:rPr>
          <w:spacing w:val="-53"/>
        </w:rPr>
        <w:t> </w:t>
      </w:r>
      <w:r>
        <w:rPr>
          <w:rFonts w:ascii="Times New Roman" w:hAnsi="Times New Roman" w:cs="Times New Roman" w:eastAsia="Times New Roman" w:hint="default"/>
        </w:rPr>
        <w:t>2016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27 </w:t>
      </w:r>
      <w:r>
        <w:rPr/>
        <w:t>日实施了</w:t>
      </w:r>
      <w:r>
        <w:rPr>
          <w:spacing w:val="-53"/>
        </w:rPr>
        <w:t> </w:t>
      </w:r>
      <w:r>
        <w:rPr>
          <w:rFonts w:ascii="Times New Roman" w:hAnsi="Times New Roman" w:cs="Times New Roman" w:eastAsia="Times New Roman" w:hint="default"/>
        </w:rPr>
        <w:t>2015</w:t>
      </w:r>
    </w:p>
    <w:p>
      <w:pPr>
        <w:pStyle w:val="Heading5"/>
        <w:spacing w:line="240" w:lineRule="auto" w:before="177"/>
        <w:ind w:left="1134" w:right="0"/>
        <w:jc w:val="both"/>
        <w:rPr>
          <w:rFonts w:ascii="Times New Roman" w:hAnsi="Times New Roman" w:cs="Times New Roman" w:eastAsia="Times New Roman" w:hint="default"/>
        </w:rPr>
      </w:pPr>
      <w:r>
        <w:rPr/>
        <w:t>年度权益分配方案，以资本公积每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股，该笔股份变更为</w:t>
      </w:r>
      <w:r>
        <w:rPr>
          <w:spacing w:val="-54"/>
        </w:rPr>
        <w:t> </w:t>
      </w:r>
      <w:r>
        <w:rPr>
          <w:rFonts w:ascii="Times New Roman" w:hAnsi="Times New Roman" w:cs="Times New Roman" w:eastAsia="Times New Roman" w:hint="default"/>
        </w:rPr>
        <w:t>6,643,201</w:t>
      </w:r>
      <w:r>
        <w:rPr>
          <w:rFonts w:ascii="Times New Roman" w:hAnsi="Times New Roman" w:cs="Times New Roman" w:eastAsia="Times New Roman" w:hint="default"/>
          <w:spacing w:val="-1"/>
        </w:rPr>
        <w:t> </w:t>
      </w:r>
      <w:r>
        <w:rPr/>
        <w:t>股；公司于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20</w:t>
      </w:r>
    </w:p>
    <w:p>
      <w:pPr>
        <w:pStyle w:val="Heading5"/>
        <w:spacing w:line="240" w:lineRule="auto" w:before="177"/>
        <w:ind w:left="1134" w:right="0"/>
        <w:jc w:val="both"/>
      </w:pPr>
      <w:r>
        <w:rPr/>
        <w:t>日实施了</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年度权益分配方案，以资本公积每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股，该笔股份变更为</w:t>
      </w:r>
      <w:r>
        <w:rPr>
          <w:spacing w:val="-53"/>
        </w:rPr>
        <w:t> </w:t>
      </w:r>
      <w:r>
        <w:rPr>
          <w:rFonts w:ascii="Times New Roman" w:hAnsi="Times New Roman" w:cs="Times New Roman" w:eastAsia="Times New Roman" w:hint="default"/>
        </w:rPr>
        <w:t>8,636,161</w:t>
      </w:r>
      <w:r>
        <w:rPr>
          <w:rFonts w:ascii="Times New Roman" w:hAnsi="Times New Roman" w:cs="Times New Roman" w:eastAsia="Times New Roman" w:hint="default"/>
          <w:spacing w:val="-1"/>
        </w:rPr>
        <w:t> </w:t>
      </w:r>
      <w:r>
        <w:rPr/>
        <w:t>股，占公司</w:t>
      </w:r>
    </w:p>
    <w:p>
      <w:pPr>
        <w:pStyle w:val="Heading5"/>
        <w:spacing w:line="386" w:lineRule="auto" w:before="177"/>
        <w:ind w:left="1464" w:right="1182" w:hanging="330"/>
        <w:jc w:val="left"/>
      </w:pPr>
      <w:r>
        <w:rPr/>
        <w:t>总股本的</w:t>
      </w:r>
      <w:r>
        <w:rPr>
          <w:spacing w:val="-53"/>
        </w:rPr>
        <w:t> </w:t>
      </w:r>
      <w:r>
        <w:rPr>
          <w:rFonts w:ascii="Times New Roman" w:hAnsi="Times New Roman" w:cs="Times New Roman" w:eastAsia="Times New Roman" w:hint="default"/>
        </w:rPr>
        <w:t>1.02%</w:t>
      </w:r>
      <w:r>
        <w:rPr/>
        <w:t>。本次员工持股计划所购买的公司股票已于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日锁定期满。 依据公司《第一期员工持股计划管理办法》规定，若持有人发生如下情形之一的，公司有权取消该持</w:t>
      </w:r>
    </w:p>
    <w:p>
      <w:pPr>
        <w:pStyle w:val="Heading5"/>
        <w:spacing w:line="408" w:lineRule="auto" w:before="65"/>
        <w:ind w:left="1134" w:right="1117"/>
        <w:jc w:val="left"/>
      </w:pPr>
      <w:r>
        <w:rPr>
          <w:spacing w:val="-1"/>
        </w:rPr>
        <w:t>有人参与本员工持股计划的资格，其持有的员工持股计划份额按照其退出时点的公允价格以及个人实际出</w:t>
      </w:r>
      <w:r>
        <w:rPr>
          <w:spacing w:val="-81"/>
        </w:rPr>
        <w:t> </w:t>
      </w:r>
      <w:r>
        <w:rPr>
          <w:spacing w:val="-81"/>
        </w:rPr>
      </w:r>
      <w:r>
        <w:rPr/>
        <w:t>资额孰低原则必须被强制转让给管理委员会指定的受让人：</w:t>
      </w:r>
    </w:p>
    <w:p>
      <w:pPr>
        <w:pStyle w:val="Heading5"/>
        <w:spacing w:line="240" w:lineRule="auto" w:before="46"/>
        <w:ind w:left="1464" w:right="1117"/>
        <w:jc w:val="left"/>
      </w:pPr>
      <w:r>
        <w:rPr/>
        <w:t>（</w:t>
      </w:r>
      <w:r>
        <w:rPr>
          <w:rFonts w:ascii="Times New Roman" w:hAnsi="Times New Roman" w:cs="Times New Roman" w:eastAsia="Times New Roman" w:hint="default"/>
        </w:rPr>
        <w:t>1</w:t>
      </w:r>
      <w:r>
        <w:rPr/>
        <w:t>）持有人出现被追究刑事责任被公司解除劳动关系；</w:t>
      </w:r>
    </w:p>
    <w:p>
      <w:pPr>
        <w:pStyle w:val="Heading5"/>
        <w:spacing w:line="240" w:lineRule="auto" w:before="177"/>
        <w:ind w:left="1464" w:right="1117"/>
        <w:jc w:val="left"/>
      </w:pPr>
      <w:r>
        <w:rPr/>
        <w:t>（</w:t>
      </w:r>
      <w:r>
        <w:rPr>
          <w:rFonts w:ascii="Times New Roman" w:hAnsi="Times New Roman" w:cs="Times New Roman" w:eastAsia="Times New Roman" w:hint="default"/>
        </w:rPr>
        <w:t>2</w:t>
      </w:r>
      <w:r>
        <w:rPr/>
        <w:t>）持有人因违反公司管理制度被公司解除劳动关系；</w:t>
      </w:r>
    </w:p>
    <w:p>
      <w:pPr>
        <w:pStyle w:val="Heading5"/>
        <w:spacing w:line="240" w:lineRule="auto" w:before="177"/>
        <w:ind w:left="1464" w:right="1117"/>
        <w:jc w:val="left"/>
      </w:pPr>
      <w:r>
        <w:rPr/>
        <w:t>（</w:t>
      </w:r>
      <w:r>
        <w:rPr>
          <w:rFonts w:ascii="Times New Roman" w:hAnsi="Times New Roman" w:cs="Times New Roman" w:eastAsia="Times New Roman" w:hint="default"/>
        </w:rPr>
        <w:t>3</w:t>
      </w:r>
      <w:r>
        <w:rPr/>
        <w:t>）持有人因辞职等原因与公司解除劳动关系；</w:t>
      </w:r>
    </w:p>
    <w:p>
      <w:pPr>
        <w:pStyle w:val="Heading5"/>
        <w:spacing w:line="240" w:lineRule="auto" w:before="177"/>
        <w:ind w:left="1464" w:right="1117"/>
        <w:jc w:val="left"/>
      </w:pPr>
      <w:r>
        <w:rPr/>
        <w:t>（</w:t>
      </w:r>
      <w:r>
        <w:rPr>
          <w:rFonts w:ascii="Times New Roman" w:hAnsi="Times New Roman" w:cs="Times New Roman" w:eastAsia="Times New Roman" w:hint="default"/>
        </w:rPr>
        <w:t>4</w:t>
      </w:r>
      <w:r>
        <w:rPr/>
        <w:t>）持有人因劳动合同期限届满，个人决定不再续签而解除劳动关系。</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117"/>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3" w:right="1117"/>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133" w:right="1117"/>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33" w:right="1117"/>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133" w:right="1117"/>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33"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240" w:lineRule="auto" w:before="40"/>
        <w:ind w:left="1133"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133" w:right="1117"/>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30"/>
          <w:szCs w:val="30"/>
        </w:rPr>
      </w:pPr>
    </w:p>
    <w:p>
      <w:pPr>
        <w:pStyle w:val="Heading5"/>
        <w:spacing w:line="405" w:lineRule="auto"/>
        <w:ind w:left="1133" w:right="1010" w:firstLine="420"/>
        <w:jc w:val="left"/>
      </w:pPr>
      <w:r>
        <w:rPr>
          <w:rFonts w:ascii="宋体" w:hAnsi="宋体" w:cs="宋体" w:eastAsia="宋体" w:hint="default"/>
        </w:rPr>
        <w:t>2017</w:t>
      </w:r>
      <w:r>
        <w:rPr>
          <w:rFonts w:ascii="宋体" w:hAnsi="宋体" w:cs="宋体" w:eastAsia="宋体" w:hint="default"/>
          <w:spacing w:val="-41"/>
        </w:rPr>
        <w:t> </w:t>
      </w:r>
      <w:r>
        <w:rPr/>
        <w:t>年</w:t>
      </w:r>
      <w:r>
        <w:rPr>
          <w:spacing w:val="-44"/>
        </w:rPr>
        <w:t> </w:t>
      </w:r>
      <w:r>
        <w:rPr>
          <w:rFonts w:ascii="宋体" w:hAnsi="宋体" w:cs="宋体" w:eastAsia="宋体" w:hint="default"/>
        </w:rPr>
        <w:t>8</w:t>
      </w:r>
      <w:r>
        <w:rPr>
          <w:rFonts w:ascii="宋体" w:hAnsi="宋体" w:cs="宋体" w:eastAsia="宋体" w:hint="default"/>
          <w:spacing w:val="-42"/>
        </w:rPr>
        <w:t> </w:t>
      </w:r>
      <w:r>
        <w:rPr>
          <w:spacing w:val="-4"/>
        </w:rPr>
        <w:t>月，上海游爱之星信息科技有限公司（以下简称“游爱之星”）以现金方式出资</w:t>
      </w:r>
      <w:r>
        <w:rPr>
          <w:spacing w:val="-42"/>
        </w:rPr>
        <w:t> </w:t>
      </w:r>
      <w:r>
        <w:rPr>
          <w:rFonts w:ascii="宋体" w:hAnsi="宋体" w:cs="宋体" w:eastAsia="宋体" w:hint="default"/>
        </w:rPr>
        <w:t>500</w:t>
      </w:r>
      <w:r>
        <w:rPr>
          <w:rFonts w:ascii="宋体" w:hAnsi="宋体" w:cs="宋体" w:eastAsia="宋体" w:hint="default"/>
          <w:spacing w:val="-43"/>
        </w:rPr>
        <w:t> </w:t>
      </w:r>
      <w:r>
        <w:rPr/>
        <w:t>万元人 民币，受让海南元游原股东合计持有的海南元游</w:t>
      </w:r>
      <w:r>
        <w:rPr>
          <w:spacing w:val="-23"/>
        </w:rPr>
        <w:t> </w:t>
      </w:r>
      <w:r>
        <w:rPr>
          <w:rFonts w:ascii="宋体" w:hAnsi="宋体" w:cs="宋体" w:eastAsia="宋体" w:hint="default"/>
        </w:rPr>
        <w:t>20%</w:t>
      </w:r>
      <w:r>
        <w:rPr/>
        <w:t>的股权，本次股权转让完成后，游爱之星将合计持有 海南元游</w:t>
      </w:r>
      <w:r>
        <w:rPr>
          <w:spacing w:val="-23"/>
        </w:rPr>
        <w:t> </w:t>
      </w:r>
      <w:r>
        <w:rPr>
          <w:rFonts w:ascii="宋体" w:hAnsi="宋体" w:cs="宋体" w:eastAsia="宋体" w:hint="default"/>
        </w:rPr>
        <w:t>20%</w:t>
      </w:r>
      <w:r>
        <w:rPr/>
        <w:t>的股权，游爱之星成为海南元游第二大股东，在海南元游董事会成员中派有一名董事，对海 南元游财务和经营政策具有重大影响。公司委派董事为持有公司 </w:t>
      </w:r>
      <w:r>
        <w:rPr>
          <w:rFonts w:ascii="Times New Roman" w:hAnsi="Times New Roman" w:cs="Times New Roman" w:eastAsia="Times New Roman" w:hint="default"/>
        </w:rPr>
        <w:t>5%</w:t>
      </w:r>
      <w:r>
        <w:rPr/>
        <w:t>以上股份的股东、公司副董事长、执</w:t>
      </w:r>
      <w:r>
        <w:rPr>
          <w:spacing w:val="-96"/>
        </w:rPr>
        <w:t> </w:t>
      </w:r>
      <w:r>
        <w:rPr>
          <w:spacing w:val="-96"/>
        </w:rPr>
      </w:r>
      <w:r>
        <w:rPr/>
        <w:t>行总裁袁雄贵先生，根据《深圳证券交易所创业板股票上市规则》的要求，海南元游为公司的关联法人，</w:t>
      </w:r>
      <w:r>
        <w:rPr>
          <w:spacing w:val="-35"/>
        </w:rPr>
        <w:t> </w:t>
      </w:r>
      <w:r>
        <w:rPr>
          <w:spacing w:val="-35"/>
        </w:rPr>
      </w:r>
      <w:r>
        <w:rPr/>
        <w:t>公司与海南元游发生的交易构成关联交易。</w:t>
      </w:r>
    </w:p>
    <w:p>
      <w:pPr>
        <w:pStyle w:val="Heading5"/>
        <w:spacing w:line="398" w:lineRule="auto" w:before="86"/>
        <w:ind w:left="1134" w:right="1214" w:firstLine="420"/>
        <w:jc w:val="both"/>
      </w:pPr>
      <w:r>
        <w:rPr/>
        <w:t>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年度与关联方海南元游发生日常关联交易金额合计为</w:t>
      </w:r>
      <w:r>
        <w:rPr>
          <w:spacing w:val="-53"/>
        </w:rPr>
        <w:t> </w:t>
      </w:r>
      <w:r>
        <w:rPr>
          <w:rFonts w:ascii="Times New Roman" w:hAnsi="Times New Roman" w:cs="Times New Roman" w:eastAsia="Times New Roman" w:hint="default"/>
        </w:rPr>
        <w:t>8,394.78 </w:t>
      </w:r>
      <w:r>
        <w:rPr/>
        <w:t>万元。主要为游爱之星代理 </w:t>
      </w:r>
      <w:r>
        <w:rPr>
          <w:spacing w:val="-3"/>
        </w:rPr>
        <w:t>运营海南元游自研游戏《青云诀》，合作方式为游爱之星与渠道商按合同约定的比例进行联运分成，再按</w:t>
      </w:r>
      <w:r>
        <w:rPr>
          <w:spacing w:val="-74"/>
        </w:rPr>
        <w:t> </w:t>
      </w:r>
      <w:r>
        <w:rPr>
          <w:spacing w:val="-74"/>
        </w:rPr>
      </w:r>
      <w:r>
        <w:rPr/>
        <w:t>合同约定比例支付海南元游联运分成，属于行业正常分成比例，符合市场公允价格定价。</w:t>
      </w:r>
    </w:p>
    <w:p>
      <w:pPr>
        <w:spacing w:after="0" w:line="398" w:lineRule="auto"/>
        <w:jc w:val="both"/>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1381" w:right="0" w:firstLine="0"/>
        <w:rPr>
          <w:rFonts w:ascii="宋体" w:hAnsi="宋体" w:cs="宋体" w:eastAsia="宋体" w:hint="default"/>
          <w:sz w:val="2"/>
          <w:szCs w:val="2"/>
        </w:rPr>
      </w:pPr>
      <w:r>
        <w:rPr>
          <w:rFonts w:ascii="宋体" w:hAnsi="宋体" w:cs="宋体" w:eastAsia="宋体" w:hint="default"/>
          <w:sz w:val="2"/>
          <w:szCs w:val="2"/>
        </w:rPr>
        <w:pict>
          <v:group style="width:464.5pt;height:.75pt;mso-position-horizontal-relative:char;mso-position-vertical-relative:line" coordorigin="0,0" coordsize="9290,15">
            <v:group style="position:absolute;left:7;top:7;width:9275;height:2" coordorigin="7,7" coordsize="9275,2">
              <v:shape style="position:absolute;left:7;top:7;width:9275;height:2" coordorigin="7,7" coordsize="9275,0" path="m7,7l928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before="26"/>
        <w:ind w:left="1418" w:right="1117"/>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7"/>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2、重大担保" w:id="84"/>
      <w:bookmarkEnd w:id="8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3、委托他人进行现金资产管理情况" w:id="85"/>
      <w:bookmarkEnd w:id="8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1418" w:right="1117"/>
        <w:jc w:val="left"/>
        <w:rPr>
          <w:b w:val="0"/>
          <w:bCs w:val="0"/>
        </w:rPr>
      </w:pPr>
      <w:bookmarkStart w:name="十七、社会责任情况" w:id="86"/>
      <w:bookmarkEnd w:id="86"/>
      <w:r>
        <w:rPr>
          <w:b w:val="0"/>
          <w:bCs w:val="0"/>
        </w:rPr>
      </w:r>
      <w:r>
        <w:rPr/>
        <w:t>十七、社会责任情况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1418" w:right="1117"/>
        <w:jc w:val="left"/>
        <w:rPr>
          <w:b w:val="0"/>
          <w:bCs w:val="0"/>
        </w:rPr>
      </w:pPr>
      <w:bookmarkStart w:name="十八、其他重大事项的说明" w:id="87"/>
      <w:bookmarkEnd w:id="87"/>
      <w:r>
        <w:rPr>
          <w:b w:val="0"/>
          <w:bCs w:val="0"/>
        </w:rPr>
      </w:r>
      <w:r>
        <w:rPr/>
        <w:t>十八、其他重大事项的说明</w:t>
      </w:r>
      <w:r>
        <w:rPr>
          <w:b w:val="0"/>
          <w:bCs w:val="0"/>
        </w:rPr>
      </w:r>
    </w:p>
    <w:p>
      <w:pPr>
        <w:spacing w:line="240" w:lineRule="auto" w:before="7"/>
        <w:rPr>
          <w:rFonts w:ascii="宋体" w:hAnsi="宋体" w:cs="宋体" w:eastAsia="宋体" w:hint="default"/>
          <w:b/>
          <w:bCs/>
          <w:sz w:val="30"/>
          <w:szCs w:val="30"/>
        </w:rPr>
      </w:pPr>
    </w:p>
    <w:p>
      <w:pPr>
        <w:pStyle w:val="Heading5"/>
        <w:spacing w:line="408" w:lineRule="auto"/>
        <w:ind w:left="1838" w:right="1333"/>
        <w:jc w:val="left"/>
      </w:pPr>
      <w:r>
        <w:rPr/>
        <w:t>一、发行股份及支付现金购买资产并募集配套资金事项 详情请参见公司在创业板信息披露指定网站巨潮资讯网（</w:t>
      </w:r>
      <w:hyperlink r:id="rId11">
        <w:r>
          <w:rPr>
            <w:rFonts w:ascii="宋体" w:hAnsi="宋体" w:cs="宋体" w:eastAsia="宋体" w:hint="default"/>
          </w:rPr>
          <w:t>www.cninfo.com.cn</w:t>
        </w:r>
      </w:hyperlink>
      <w:r>
        <w:rPr/>
        <w:t>）上发布的相关公</w:t>
      </w:r>
    </w:p>
    <w:p>
      <w:pPr>
        <w:pStyle w:val="Heading5"/>
        <w:spacing w:line="386" w:lineRule="auto" w:before="46"/>
        <w:ind w:right="1267"/>
        <w:jc w:val="left"/>
      </w:pPr>
      <w:r>
        <w:rPr/>
        <w:t>告，公司于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日发布了《关于重大资产重组停牌公告》；于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 </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日分别发布了《关于重大资产重组进展暨延期复牌的公告》等；于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日发 </w:t>
      </w:r>
      <w:r>
        <w:rPr>
          <w:spacing w:val="-3"/>
        </w:rPr>
        <w:t>布了《发行股份及支付现金购买资产并募集配套资金预案》等相关公告；于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w:t>
      </w:r>
      <w:r>
        <w:rPr>
          <w:spacing w:val="-3"/>
        </w:rPr>
        <w:t>日发布了《关</w:t>
      </w:r>
      <w:r>
        <w:rPr>
          <w:spacing w:val="-97"/>
        </w:rPr>
        <w:t> </w:t>
      </w:r>
      <w:r>
        <w:rPr>
          <w:spacing w:val="-97"/>
        </w:rPr>
      </w:r>
      <w:r>
        <w:rPr/>
        <w:t>于终止重组事项的公告》。</w:t>
      </w:r>
    </w:p>
    <w:p>
      <w:pPr>
        <w:pStyle w:val="Heading5"/>
        <w:spacing w:line="408" w:lineRule="auto" w:before="65"/>
        <w:ind w:left="1838" w:right="1333"/>
        <w:jc w:val="left"/>
      </w:pPr>
      <w:r>
        <w:rPr/>
        <w:t>二、关于使用部分募集资金对全资子公司增资暨新增募投项目实施主体的事项 详情请参见公司于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日在创业板信息披露指定网站巨潮资讯网（</w:t>
      </w:r>
      <w:hyperlink r:id="rId11">
        <w:r>
          <w:rPr>
            <w:rFonts w:ascii="宋体" w:hAnsi="宋体" w:cs="宋体" w:eastAsia="宋体" w:hint="default"/>
          </w:rPr>
          <w:t>www.cninfo.com.cn</w:t>
        </w:r>
      </w:hyperlink>
      <w:r>
        <w:rPr/>
        <w:t>）</w:t>
      </w:r>
    </w:p>
    <w:p>
      <w:pPr>
        <w:pStyle w:val="Heading5"/>
        <w:spacing w:line="408" w:lineRule="auto" w:before="14"/>
        <w:ind w:left="1838" w:right="1117" w:hanging="421"/>
        <w:jc w:val="left"/>
      </w:pPr>
      <w:r>
        <w:rPr/>
        <w:t>上发布的《关于使用部分募集资金对全资子公司增资暨新增募投项目实施主体的公告》等相关公告。</w:t>
      </w:r>
      <w:r>
        <w:rPr>
          <w:spacing w:val="-42"/>
        </w:rPr>
        <w:t> </w:t>
      </w:r>
      <w:r>
        <w:rPr>
          <w:spacing w:val="-42"/>
        </w:rPr>
      </w:r>
      <w:r>
        <w:rPr/>
        <w:t>三、关于变更保荐机构及保荐代表人的事项 详情请参见公司于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日在创业板信息披露指定网站巨潮资讯网（</w:t>
      </w:r>
      <w:hyperlink r:id="rId11">
        <w:r>
          <w:rPr>
            <w:rFonts w:ascii="宋体" w:hAnsi="宋体" w:cs="宋体" w:eastAsia="宋体" w:hint="default"/>
          </w:rPr>
          <w:t>www.cninfo.com.cn</w:t>
        </w:r>
      </w:hyperlink>
      <w:r>
        <w:rPr/>
        <w:t>）</w:t>
      </w:r>
    </w:p>
    <w:p>
      <w:pPr>
        <w:pStyle w:val="Heading5"/>
        <w:spacing w:line="408" w:lineRule="auto" w:before="14"/>
        <w:ind w:left="1838" w:right="5429" w:hanging="421"/>
        <w:jc w:val="left"/>
      </w:pPr>
      <w:r>
        <w:rPr/>
        <w:t>上发布的《关于变更保荐机构及保荐代表人的公告》。 四、收购初见科技</w:t>
      </w:r>
      <w:r>
        <w:rPr>
          <w:rFonts w:ascii="Times New Roman" w:hAnsi="Times New Roman" w:cs="Times New Roman" w:eastAsia="Times New Roman" w:hint="default"/>
        </w:rPr>
        <w:t>12%</w:t>
      </w:r>
      <w:r>
        <w:rPr/>
        <w:t>股权的事项</w:t>
      </w:r>
    </w:p>
    <w:p>
      <w:pPr>
        <w:pStyle w:val="Heading5"/>
        <w:spacing w:line="386" w:lineRule="auto" w:before="14"/>
        <w:ind w:right="1117" w:firstLine="420"/>
        <w:jc w:val="left"/>
      </w:pPr>
      <w:r>
        <w:rPr/>
        <w:t>详情请参见公司于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日在创业板信息披露指定网站巨潮资讯网（</w:t>
      </w:r>
      <w:hyperlink r:id="rId11">
        <w:r>
          <w:rPr>
            <w:rFonts w:ascii="宋体" w:hAnsi="宋体" w:cs="宋体" w:eastAsia="宋体" w:hint="default"/>
          </w:rPr>
          <w:t>www.cninfo.com.cn</w:t>
        </w:r>
      </w:hyperlink>
      <w:r>
        <w:rPr/>
        <w:t>） 上发布的《对外投资的公告》。</w:t>
      </w:r>
    </w:p>
    <w:p>
      <w:pPr>
        <w:spacing w:after="0" w:line="386"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408" w:lineRule="auto" w:before="174"/>
        <w:ind w:left="1838" w:right="1117"/>
        <w:jc w:val="left"/>
      </w:pPr>
      <w:bookmarkStart w:name="_bookmark5" w:id="88"/>
      <w:bookmarkEnd w:id="88"/>
      <w:r>
        <w:rPr/>
      </w:r>
      <w:r>
        <w:rPr/>
        <w:t>五、关于回购公司股份的事项 详情请参见公司在创业板信息披露指定网站巨潮资讯网（</w:t>
      </w:r>
      <w:hyperlink r:id="rId11">
        <w:r>
          <w:rPr>
            <w:rFonts w:ascii="宋体" w:hAnsi="宋体" w:cs="宋体" w:eastAsia="宋体" w:hint="default"/>
          </w:rPr>
          <w:t>www.cninfo.com.cn</w:t>
        </w:r>
      </w:hyperlink>
      <w:r>
        <w:rPr/>
        <w:t>）上发布的相关公</w:t>
      </w:r>
    </w:p>
    <w:p>
      <w:pPr>
        <w:pStyle w:val="Heading5"/>
        <w:spacing w:line="386" w:lineRule="auto" w:before="46"/>
        <w:ind w:right="1270"/>
        <w:jc w:val="both"/>
      </w:pPr>
      <w:r>
        <w:rPr>
          <w:spacing w:val="-5"/>
        </w:rPr>
        <w:t>告，公司于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1</w:t>
      </w:r>
      <w:r>
        <w:rPr>
          <w:spacing w:val="-5"/>
        </w:rPr>
        <w:t>日发布的《关于回购公司股份的预案》等相关公告；于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w:t>
      </w:r>
      <w:r>
        <w:rPr>
          <w:spacing w:val="-5"/>
        </w:rPr>
        <w:t>日发布了《回</w:t>
      </w:r>
      <w:r>
        <w:rPr>
          <w:spacing w:val="-94"/>
        </w:rPr>
        <w:t> </w:t>
      </w:r>
      <w:r>
        <w:rPr>
          <w:spacing w:val="-94"/>
        </w:rPr>
      </w:r>
      <w:r>
        <w:rPr/>
        <w:t>购股份报告书》等相关公告；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日发布的《关于首次实施回购公司股份的公告》；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22"/>
        </w:rPr>
        <w:t> </w:t>
      </w:r>
      <w:r>
        <w:rPr/>
        <w:t>月</w:t>
      </w:r>
      <w:r>
        <w:rPr>
          <w:rFonts w:ascii="Times New Roman" w:hAnsi="Times New Roman" w:cs="Times New Roman" w:eastAsia="Times New Roman" w:hint="default"/>
        </w:rPr>
        <w:t>7</w:t>
      </w:r>
      <w:r>
        <w:rPr/>
        <w:t>日、</w:t>
      </w:r>
      <w:r>
        <w:rPr>
          <w:rFonts w:ascii="宋体" w:hAnsi="宋体" w:cs="宋体" w:eastAsia="宋体" w:hint="default"/>
        </w:rPr>
        <w:t>10</w:t>
      </w:r>
      <w:r>
        <w:rPr/>
        <w:t>月</w:t>
      </w:r>
      <w:r>
        <w:rPr>
          <w:rFonts w:ascii="宋体" w:hAnsi="宋体" w:cs="宋体" w:eastAsia="宋体" w:hint="default"/>
        </w:rPr>
        <w:t>9</w:t>
      </w:r>
      <w:r>
        <w:rPr/>
        <w:t>日、</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日发布的《关于实施回购公司股份的进展公告》。</w:t>
      </w:r>
    </w:p>
    <w:p>
      <w:pPr>
        <w:pStyle w:val="Heading5"/>
        <w:spacing w:line="240" w:lineRule="auto" w:before="35"/>
        <w:ind w:left="1838" w:right="1117"/>
        <w:jc w:val="left"/>
      </w:pPr>
      <w:r>
        <w:rPr/>
        <w:t>六、关于部分限售股解除限售的事项</w:t>
      </w:r>
    </w:p>
    <w:p>
      <w:pPr>
        <w:spacing w:line="240" w:lineRule="auto" w:before="10"/>
        <w:rPr>
          <w:rFonts w:ascii="宋体" w:hAnsi="宋体" w:cs="宋体" w:eastAsia="宋体" w:hint="default"/>
          <w:sz w:val="14"/>
          <w:szCs w:val="14"/>
        </w:rPr>
      </w:pPr>
    </w:p>
    <w:p>
      <w:pPr>
        <w:pStyle w:val="Heading5"/>
        <w:spacing w:line="240" w:lineRule="auto"/>
        <w:ind w:left="1838" w:right="1117"/>
        <w:jc w:val="left"/>
      </w:pPr>
      <w:r>
        <w:rPr>
          <w:spacing w:val="12"/>
        </w:rPr>
        <w:t>详情请参见公司于</w:t>
      </w:r>
      <w:r>
        <w:rPr>
          <w:rFonts w:ascii="Times New Roman" w:hAnsi="Times New Roman" w:cs="Times New Roman" w:eastAsia="Times New Roman" w:hint="default"/>
          <w:spacing w:val="12"/>
        </w:rPr>
        <w:t>2017</w:t>
      </w:r>
      <w:r>
        <w:rPr>
          <w:spacing w:val="12"/>
        </w:rPr>
        <w:t>年</w:t>
      </w:r>
      <w:r>
        <w:rPr>
          <w:rFonts w:ascii="Times New Roman" w:hAnsi="Times New Roman" w:cs="Times New Roman" w:eastAsia="Times New Roman" w:hint="default"/>
          <w:spacing w:val="12"/>
        </w:rPr>
        <w:t>8</w:t>
      </w:r>
      <w:r>
        <w:rPr>
          <w:spacing w:val="12"/>
        </w:rPr>
        <w:t>月</w:t>
      </w:r>
      <w:r>
        <w:rPr>
          <w:rFonts w:ascii="Times New Roman" w:hAnsi="Times New Roman" w:cs="Times New Roman" w:eastAsia="Times New Roman" w:hint="default"/>
          <w:spacing w:val="12"/>
        </w:rPr>
        <w:t>10</w:t>
      </w:r>
      <w:r>
        <w:rPr>
          <w:spacing w:val="12"/>
        </w:rPr>
        <w:t>月、</w:t>
      </w:r>
      <w:r>
        <w:rPr>
          <w:rFonts w:ascii="Times New Roman" w:hAnsi="Times New Roman" w:cs="Times New Roman" w:eastAsia="Times New Roman" w:hint="default"/>
          <w:spacing w:val="12"/>
        </w:rPr>
        <w:t>2017</w:t>
      </w:r>
      <w:r>
        <w:rPr>
          <w:spacing w:val="12"/>
        </w:rPr>
        <w:t>年</w:t>
      </w:r>
      <w:r>
        <w:rPr>
          <w:rFonts w:ascii="Times New Roman" w:hAnsi="Times New Roman" w:cs="Times New Roman" w:eastAsia="Times New Roman" w:hint="default"/>
          <w:spacing w:val="12"/>
        </w:rPr>
        <w:t>9</w:t>
      </w:r>
      <w:r>
        <w:rPr>
          <w:spacing w:val="12"/>
        </w:rPr>
        <w:t>月</w:t>
      </w:r>
      <w:r>
        <w:rPr>
          <w:rFonts w:ascii="Times New Roman" w:hAnsi="Times New Roman" w:cs="Times New Roman" w:eastAsia="Times New Roman" w:hint="default"/>
          <w:spacing w:val="12"/>
        </w:rPr>
        <w:t>22</w:t>
      </w:r>
      <w:r>
        <w:rPr>
          <w:spacing w:val="12"/>
        </w:rPr>
        <w:t>日在创业板信息披露指定网站</w:t>
      </w:r>
      <w:r>
        <w:rPr>
          <w:spacing w:val="-75"/>
        </w:rPr>
        <w:t> </w:t>
      </w:r>
      <w:r>
        <w:rPr>
          <w:spacing w:val="12"/>
        </w:rPr>
        <w:t>巨潮资讯网</w:t>
      </w:r>
    </w:p>
    <w:p>
      <w:pPr>
        <w:pStyle w:val="Heading5"/>
        <w:spacing w:line="408" w:lineRule="auto" w:before="177"/>
        <w:ind w:left="1838" w:right="1117" w:hanging="421"/>
        <w:jc w:val="left"/>
      </w:pPr>
      <w:r>
        <w:rPr/>
        <w:t>（</w:t>
      </w:r>
      <w:hyperlink r:id="rId11">
        <w:r>
          <w:rPr>
            <w:rFonts w:ascii="宋体" w:hAnsi="宋体" w:cs="宋体" w:eastAsia="宋体" w:hint="default"/>
          </w:rPr>
          <w:t>www.cninfo.com.cn</w:t>
        </w:r>
      </w:hyperlink>
      <w:r>
        <w:rPr/>
        <w:t>）上发布的《关于部分限售股份上市流通的提示性公告》。 七、关于股东股份减持的事项 详情请参见公司于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日在创业板信息披露指定网站巨潮资讯网（</w:t>
      </w:r>
      <w:hyperlink r:id="rId11">
        <w:r>
          <w:rPr>
            <w:rFonts w:ascii="宋体" w:hAnsi="宋体" w:cs="宋体" w:eastAsia="宋体" w:hint="default"/>
          </w:rPr>
          <w:t>www.cninfo.com.cn</w:t>
        </w:r>
      </w:hyperlink>
      <w:r>
        <w:rPr/>
        <w:t>）</w:t>
      </w:r>
    </w:p>
    <w:p>
      <w:pPr>
        <w:pStyle w:val="Heading5"/>
        <w:spacing w:line="386" w:lineRule="auto" w:before="14"/>
        <w:ind w:right="1271"/>
        <w:jc w:val="both"/>
      </w:pPr>
      <w:r>
        <w:rPr>
          <w:spacing w:val="-1"/>
        </w:rPr>
        <w:t>上发布的《关于控股股东及其一致行动人股份减持计划的预披露公告》及</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日发布的《关</w:t>
      </w:r>
      <w:r>
        <w:rPr>
          <w:spacing w:val="-88"/>
        </w:rPr>
        <w:t> </w:t>
      </w:r>
      <w:r>
        <w:rPr>
          <w:spacing w:val="-88"/>
        </w:rPr>
      </w:r>
      <w:r>
        <w:rPr/>
        <w:t>于股东减持股份进展的公告》。</w:t>
      </w:r>
    </w:p>
    <w:p>
      <w:pPr>
        <w:spacing w:line="240" w:lineRule="auto" w:before="4"/>
        <w:rPr>
          <w:rFonts w:ascii="宋体" w:hAnsi="宋体" w:cs="宋体" w:eastAsia="宋体" w:hint="default"/>
          <w:sz w:val="20"/>
          <w:szCs w:val="20"/>
        </w:rPr>
      </w:pPr>
    </w:p>
    <w:p>
      <w:pPr>
        <w:pStyle w:val="Heading2"/>
        <w:spacing w:line="240" w:lineRule="auto"/>
        <w:ind w:left="1418" w:right="1117"/>
        <w:jc w:val="left"/>
        <w:rPr>
          <w:b w:val="0"/>
          <w:bCs w:val="0"/>
        </w:rPr>
      </w:pPr>
      <w:bookmarkStart w:name="十九、公司子公司重大事项" w:id="89"/>
      <w:bookmarkEnd w:id="89"/>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4017" w:right="1117"/>
        <w:jc w:val="left"/>
        <w:rPr>
          <w:b w:val="0"/>
          <w:bCs w:val="0"/>
        </w:rPr>
      </w:pPr>
      <w:bookmarkStart w:name="第六节 股份变动及股东情况" w:id="90"/>
      <w:bookmarkEnd w:id="9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418" w:right="1117"/>
        <w:jc w:val="left"/>
        <w:rPr>
          <w:b w:val="0"/>
          <w:bCs w:val="0"/>
        </w:rPr>
      </w:pPr>
      <w:bookmarkStart w:name="一、股份变动情况" w:id="91"/>
      <w:bookmarkEnd w:id="91"/>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股份变动情况" w:id="92"/>
      <w:bookmarkEnd w:id="9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71"/>
        <w:jc w:val="right"/>
      </w:pPr>
      <w:r>
        <w:rPr/>
        <w:t>单位：股</w:t>
      </w:r>
    </w:p>
    <w:p>
      <w:pPr>
        <w:spacing w:line="240" w:lineRule="auto" w:before="1"/>
        <w:rPr>
          <w:rFonts w:ascii="宋体" w:hAnsi="宋体" w:cs="宋体" w:eastAsia="宋体" w:hint="default"/>
          <w:sz w:val="8"/>
          <w:szCs w:val="8"/>
        </w:rPr>
      </w:pPr>
    </w:p>
    <w:tbl>
      <w:tblPr>
        <w:tblW w:w="0" w:type="auto"/>
        <w:jc w:val="left"/>
        <w:tblInd w:w="1425"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5" w:right="4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144,123,1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22.17%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45,606,94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-108,514,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-62,907,3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81,215,80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9.61%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144,123,1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22.17%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45,606,94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-108,514,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-62,907,3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81,215,80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9.61%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18,059,84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2.78%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5,417,954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-17,987,0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-12,569,0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5,490,792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0.65%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126,063,2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19.39%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40,188,98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-90,527,2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-50,338,2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75,725,01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8.96%</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505,826,4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77.83%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149,377,9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108,514,2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257,892,2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763,718,6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90.39%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505,826,4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77.83%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149,377,9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108,514,2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257,892,2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763,718,6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90.39%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649,949,5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194,984,8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194,984,8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844,934,4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9"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9"/>
          <w:szCs w:val="29"/>
        </w:rPr>
      </w:pPr>
    </w:p>
    <w:p>
      <w:pPr>
        <w:pStyle w:val="BodyText"/>
        <w:spacing w:line="240" w:lineRule="auto" w:before="44"/>
        <w:ind w:left="1418" w:right="1117"/>
        <w:jc w:val="left"/>
      </w:pPr>
      <w:r>
        <w:rPr/>
        <w:t>股份变动的原因</w:t>
      </w:r>
    </w:p>
    <w:p>
      <w:pPr>
        <w:pStyle w:val="BodyText"/>
        <w:spacing w:line="240" w:lineRule="auto" w:before="161"/>
        <w:ind w:left="1838" w:right="111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日部分高管锁定股解除限售。</w:t>
      </w:r>
    </w:p>
    <w:p>
      <w:pPr>
        <w:pStyle w:val="BodyText"/>
        <w:spacing w:line="345" w:lineRule="auto" w:before="109"/>
        <w:ind w:left="1418" w:right="1318"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日起袁雄贵任公司董事，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日起担任公司执行总裁，任职前通过二级市场买入公司股 份予以高管身份锁定。</w:t>
      </w:r>
    </w:p>
    <w:p>
      <w:pPr>
        <w:spacing w:after="0" w:line="345" w:lineRule="auto"/>
        <w:jc w:val="left"/>
        <w:sectPr>
          <w:pgSz w:w="11910" w:h="16840"/>
          <w:pgMar w:header="877" w:footer="979" w:top="1060" w:bottom="1160" w:left="0" w:right="0"/>
        </w:sectPr>
      </w:pPr>
    </w:p>
    <w:p>
      <w:pPr>
        <w:spacing w:line="240" w:lineRule="auto" w:before="10"/>
        <w:rPr>
          <w:rFonts w:ascii="宋体" w:hAnsi="宋体" w:cs="宋体" w:eastAsia="宋体" w:hint="default"/>
          <w:sz w:val="27"/>
          <w:szCs w:val="27"/>
        </w:rPr>
      </w:pPr>
    </w:p>
    <w:p>
      <w:pPr>
        <w:pStyle w:val="BodyText"/>
        <w:spacing w:line="345" w:lineRule="auto" w:before="44"/>
        <w:ind w:left="1418" w:right="1270" w:firstLine="420"/>
        <w:jc w:val="both"/>
      </w:pPr>
      <w:r>
        <w:rPr>
          <w:rFonts w:ascii="Times New Roman" w:hAnsi="Times New Roman" w:cs="Times New Roman" w:eastAsia="Times New Roman" w:hint="default"/>
          <w:spacing w:val="-1"/>
        </w:rPr>
        <w:t>3</w:t>
      </w:r>
      <w:r>
        <w:rPr>
          <w:spacing w:val="-1"/>
        </w:rPr>
        <w:t>、根据公司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日召开的</w:t>
      </w:r>
      <w:r>
        <w:rPr>
          <w:rFonts w:ascii="Times New Roman" w:hAnsi="Times New Roman" w:cs="Times New Roman" w:eastAsia="Times New Roman" w:hint="default"/>
          <w:spacing w:val="-1"/>
        </w:rPr>
        <w:t>2016</w:t>
      </w:r>
      <w:r>
        <w:rPr>
          <w:spacing w:val="-1"/>
        </w:rPr>
        <w:t>年度股东大会决议，以公司</w:t>
      </w:r>
      <w:r>
        <w:rPr>
          <w:rFonts w:ascii="Times New Roman" w:hAnsi="Times New Roman" w:cs="Times New Roman" w:eastAsia="Times New Roman" w:hint="default"/>
          <w:spacing w:val="-1"/>
        </w:rPr>
        <w:t>2016</w:t>
      </w:r>
      <w:r>
        <w:rPr>
          <w:spacing w:val="-1"/>
        </w:rPr>
        <w:t>年末的总股本</w:t>
      </w:r>
      <w:r>
        <w:rPr>
          <w:rFonts w:ascii="Times New Roman" w:hAnsi="Times New Roman" w:cs="Times New Roman" w:eastAsia="Times New Roman" w:hint="default"/>
          <w:spacing w:val="-1"/>
        </w:rPr>
        <w:t>649,949,574</w:t>
      </w:r>
      <w:r>
        <w:rPr>
          <w:spacing w:val="-1"/>
        </w:rPr>
        <w:t>股为基数，以资</w:t>
      </w:r>
      <w:r>
        <w:rPr/>
        <w:t> 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股，上述方案于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日实施完毕，实施完毕后公司总股本由</w:t>
      </w:r>
      <w:r>
        <w:rPr>
          <w:rFonts w:ascii="Times New Roman" w:hAnsi="Times New Roman" w:cs="Times New Roman" w:eastAsia="Times New Roman" w:hint="default"/>
        </w:rPr>
        <w:t>649,949,574</w:t>
      </w:r>
      <w:r>
        <w:rPr/>
        <w:t>股增 至</w:t>
      </w:r>
      <w:r>
        <w:rPr>
          <w:rFonts w:ascii="Times New Roman" w:hAnsi="Times New Roman" w:cs="Times New Roman" w:eastAsia="Times New Roman" w:hint="default"/>
        </w:rPr>
        <w:t>844,934,446</w:t>
      </w:r>
      <w:r>
        <w:rPr/>
        <w:t>股。</w:t>
      </w:r>
    </w:p>
    <w:p>
      <w:pPr>
        <w:pStyle w:val="BodyText"/>
        <w:spacing w:line="348" w:lineRule="auto" w:before="60"/>
        <w:ind w:left="1418" w:right="1256" w:firstLine="180"/>
        <w:jc w:val="left"/>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14</w:t>
      </w:r>
      <w:r>
        <w:rPr>
          <w:spacing w:val="-1"/>
        </w:rPr>
        <w:t>日公司办理了李桂华等股东所持有的非公开发行股份解除限售；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日公司办理了袁雄贵等</w:t>
      </w:r>
      <w:r>
        <w:rPr/>
        <w:t> 股东所持有的非公开发行部分股份解除限售。</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BodyText"/>
        <w:spacing w:line="405" w:lineRule="auto"/>
        <w:ind w:right="1261" w:hanging="361"/>
        <w:jc w:val="left"/>
      </w:pPr>
      <w:r>
        <w:rPr/>
        <w:t>股份变动的批准情况 </w:t>
      </w:r>
      <w:r>
        <w:rPr>
          <w:spacing w:val="-1"/>
        </w:rPr>
        <w:t>根据公司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日召开的</w:t>
      </w:r>
      <w:r>
        <w:rPr>
          <w:rFonts w:ascii="Times New Roman" w:hAnsi="Times New Roman" w:cs="Times New Roman" w:eastAsia="Times New Roman" w:hint="default"/>
          <w:spacing w:val="-1"/>
        </w:rPr>
        <w:t>2016</w:t>
      </w:r>
      <w:r>
        <w:rPr>
          <w:spacing w:val="-1"/>
        </w:rPr>
        <w:t>年度股东大会决议，以公司</w:t>
      </w:r>
      <w:r>
        <w:rPr>
          <w:rFonts w:ascii="Times New Roman" w:hAnsi="Times New Roman" w:cs="Times New Roman" w:eastAsia="Times New Roman" w:hint="default"/>
          <w:spacing w:val="-1"/>
        </w:rPr>
        <w:t>2016</w:t>
      </w:r>
      <w:r>
        <w:rPr>
          <w:spacing w:val="-1"/>
        </w:rPr>
        <w:t>年末的总股本</w:t>
      </w:r>
      <w:r>
        <w:rPr>
          <w:rFonts w:ascii="Times New Roman" w:hAnsi="Times New Roman" w:cs="Times New Roman" w:eastAsia="Times New Roman" w:hint="default"/>
          <w:spacing w:val="-1"/>
        </w:rPr>
        <w:t>649,949,574</w:t>
      </w:r>
      <w:r>
        <w:rPr>
          <w:spacing w:val="-1"/>
        </w:rPr>
        <w:t>股为基数，以资本公</w:t>
      </w:r>
    </w:p>
    <w:p>
      <w:pPr>
        <w:pStyle w:val="BodyText"/>
        <w:spacing w:line="221" w:lineRule="exact"/>
        <w:ind w:left="1418" w:right="1117"/>
        <w:jc w:val="left"/>
      </w:pPr>
      <w:r>
        <w:rPr/>
        <w:t>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股，上述方案于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日实施完毕，公司于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日在中国证监会创业板指定</w:t>
      </w:r>
    </w:p>
    <w:p>
      <w:pPr>
        <w:pStyle w:val="BodyText"/>
        <w:spacing w:line="345" w:lineRule="auto" w:before="109"/>
        <w:ind w:left="1418" w:right="1257"/>
        <w:jc w:val="left"/>
      </w:pPr>
      <w:r>
        <w:rPr>
          <w:spacing w:val="-1"/>
        </w:rPr>
        <w:t>信息披露网站公告了《</w:t>
      </w:r>
      <w:r>
        <w:rPr>
          <w:rFonts w:ascii="Times New Roman" w:hAnsi="Times New Roman" w:cs="Times New Roman" w:eastAsia="Times New Roman" w:hint="default"/>
          <w:spacing w:val="-1"/>
        </w:rPr>
        <w:t>2016</w:t>
      </w:r>
      <w:r>
        <w:rPr>
          <w:spacing w:val="-1"/>
        </w:rPr>
        <w:t>年度权益分派实施公告》，本次权益分派股权登记日为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日，除权除息日为</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日，实施完毕后公司总股本由</w:t>
      </w:r>
      <w:r>
        <w:rPr>
          <w:rFonts w:ascii="Times New Roman" w:hAnsi="Times New Roman" w:cs="Times New Roman" w:eastAsia="Times New Roman" w:hint="default"/>
        </w:rPr>
        <w:t>649,949,574</w:t>
      </w:r>
      <w:r>
        <w:rPr/>
        <w:t>股增至</w:t>
      </w:r>
      <w:r>
        <w:rPr>
          <w:rFonts w:ascii="Times New Roman" w:hAnsi="Times New Roman" w:cs="Times New Roman" w:eastAsia="Times New Roman" w:hint="default"/>
        </w:rPr>
        <w:t>844,934,446</w:t>
      </w:r>
      <w:r>
        <w:rPr/>
        <w:t>股。</w:t>
      </w:r>
    </w:p>
    <w:p>
      <w:pPr>
        <w:spacing w:line="240" w:lineRule="auto" w:before="0"/>
        <w:rPr>
          <w:rFonts w:ascii="宋体" w:hAnsi="宋体" w:cs="宋体" w:eastAsia="宋体" w:hint="default"/>
          <w:sz w:val="18"/>
          <w:szCs w:val="18"/>
        </w:rPr>
      </w:pPr>
    </w:p>
    <w:p>
      <w:pPr>
        <w:pStyle w:val="BodyText"/>
        <w:spacing w:line="240" w:lineRule="auto" w:before="157"/>
        <w:ind w:left="1418" w:right="1117"/>
        <w:jc w:val="left"/>
      </w:pPr>
      <w:r>
        <w:rPr/>
        <w:t>股份变动的过户情况</w:t>
      </w:r>
    </w:p>
    <w:p>
      <w:pPr>
        <w:pStyle w:val="BodyText"/>
        <w:spacing w:line="240" w:lineRule="auto" w:before="116"/>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19" w:lineRule="auto"/>
        <w:ind w:left="1418" w:right="1288"/>
        <w:jc w:val="left"/>
      </w:pPr>
      <w:r>
        <w:rPr/>
        <w:t>股份变动对最近一年和最近一期基本每股收益和稀释每股收益、归属于公司普通股股东的每股净资产等财务指标的影 响</w:t>
      </w:r>
    </w:p>
    <w:p>
      <w:pPr>
        <w:pStyle w:val="BodyText"/>
        <w:spacing w:line="360" w:lineRule="auto" w:before="56"/>
        <w:ind w:right="1261"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根据公司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日召开的</w:t>
      </w:r>
      <w:r>
        <w:rPr>
          <w:rFonts w:ascii="Times New Roman" w:hAnsi="Times New Roman" w:cs="Times New Roman" w:eastAsia="Times New Roman" w:hint="default"/>
          <w:spacing w:val="-1"/>
        </w:rPr>
        <w:t>2016</w:t>
      </w:r>
      <w:r>
        <w:rPr>
          <w:spacing w:val="-1"/>
        </w:rPr>
        <w:t>年度股东大会决议，以公司</w:t>
      </w:r>
      <w:r>
        <w:rPr>
          <w:rFonts w:ascii="Times New Roman" w:hAnsi="Times New Roman" w:cs="Times New Roman" w:eastAsia="Times New Roman" w:hint="default"/>
          <w:spacing w:val="-1"/>
        </w:rPr>
        <w:t>2016</w:t>
      </w:r>
      <w:r>
        <w:rPr>
          <w:spacing w:val="-1"/>
        </w:rPr>
        <w:t>年末的总股本</w:t>
      </w:r>
      <w:r>
        <w:rPr>
          <w:rFonts w:ascii="Times New Roman" w:hAnsi="Times New Roman" w:cs="Times New Roman" w:eastAsia="Times New Roman" w:hint="default"/>
          <w:spacing w:val="-1"/>
        </w:rPr>
        <w:t>649,949,574</w:t>
      </w:r>
      <w:r>
        <w:rPr>
          <w:spacing w:val="-1"/>
        </w:rPr>
        <w:t>股为基数，以资本公</w:t>
      </w:r>
    </w:p>
    <w:p>
      <w:pPr>
        <w:pStyle w:val="BodyText"/>
        <w:spacing w:line="345" w:lineRule="auto" w:before="10"/>
        <w:ind w:left="1418" w:right="1270"/>
        <w:jc w:val="both"/>
      </w:pPr>
      <w:r>
        <w:rPr>
          <w:spacing w:val="-1"/>
        </w:rPr>
        <w:t>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3</w:t>
      </w:r>
      <w:r>
        <w:rPr>
          <w:spacing w:val="-1"/>
        </w:rPr>
        <w:t>股，上述方案于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20</w:t>
      </w:r>
      <w:r>
        <w:rPr>
          <w:spacing w:val="-1"/>
        </w:rPr>
        <w:t>日实施完毕，公司于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日在中国证监会创业板指定</w:t>
      </w:r>
      <w:r>
        <w:rPr>
          <w:spacing w:val="-87"/>
        </w:rPr>
        <w:t> </w:t>
      </w:r>
      <w:r>
        <w:rPr>
          <w:spacing w:val="-1"/>
        </w:rPr>
        <w:t>信息披露网站公告了《</w:t>
      </w:r>
      <w:r>
        <w:rPr>
          <w:rFonts w:ascii="Times New Roman" w:hAnsi="Times New Roman" w:cs="Times New Roman" w:eastAsia="Times New Roman" w:hint="default"/>
          <w:spacing w:val="-1"/>
        </w:rPr>
        <w:t>2016</w:t>
      </w:r>
      <w:r>
        <w:rPr>
          <w:spacing w:val="-1"/>
        </w:rPr>
        <w:t>年度权益分派实施公告》，本次权益分派股权登记日为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日，除权除息日为</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日，实施完毕后公司总股本由</w:t>
      </w:r>
      <w:r>
        <w:rPr>
          <w:rFonts w:ascii="Times New Roman" w:hAnsi="Times New Roman" w:cs="Times New Roman" w:eastAsia="Times New Roman" w:hint="default"/>
        </w:rPr>
        <w:t>649,949,574</w:t>
      </w:r>
      <w:r>
        <w:rPr/>
        <w:t>股增至</w:t>
      </w:r>
      <w:r>
        <w:rPr>
          <w:rFonts w:ascii="Times New Roman" w:hAnsi="Times New Roman" w:cs="Times New Roman" w:eastAsia="Times New Roman" w:hint="default"/>
        </w:rPr>
        <w:t>844,934,446</w:t>
      </w:r>
      <w:r>
        <w:rPr/>
        <w:t>股。</w:t>
      </w:r>
    </w:p>
    <w:p>
      <w:pPr>
        <w:pStyle w:val="BodyText"/>
        <w:spacing w:line="364" w:lineRule="auto" w:before="62"/>
        <w:ind w:left="1418" w:right="1305" w:firstLine="360"/>
        <w:jc w:val="both"/>
      </w:pPr>
      <w:r>
        <w:rPr/>
        <w:t>受上述股份变化影响，报告期相应的基本每股收益和稀释每股收益、归属于上市公司普通股股东的每股净资产等 财务指标均发生了变化。</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418" w:right="1117"/>
        <w:jc w:val="left"/>
      </w:pPr>
      <w:r>
        <w:rPr/>
        <w:t>公司认为必要或证券监管机构要求披露的其他内容</w:t>
      </w:r>
    </w:p>
    <w:p>
      <w:pPr>
        <w:pStyle w:val="BodyText"/>
        <w:spacing w:line="240" w:lineRule="auto" w:before="116"/>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2、限售股份变动情况" w:id="93"/>
      <w:bookmarkEnd w:id="9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271"/>
        <w:jc w:val="right"/>
      </w:pPr>
      <w:r>
        <w:rPr/>
        <w:t>单位：股</w:t>
      </w:r>
    </w:p>
    <w:p>
      <w:pPr>
        <w:spacing w:line="240" w:lineRule="auto" w:before="0"/>
        <w:rPr>
          <w:rFonts w:ascii="宋体" w:hAnsi="宋体" w:cs="宋体" w:eastAsia="宋体" w:hint="default"/>
          <w:sz w:val="8"/>
          <w:szCs w:val="8"/>
        </w:rPr>
      </w:pPr>
    </w:p>
    <w:tbl>
      <w:tblPr>
        <w:tblW w:w="0" w:type="auto"/>
        <w:jc w:val="left"/>
        <w:tblInd w:w="1413" w:type="dxa"/>
        <w:tblLayout w:type="fixed"/>
        <w:tblCellMar>
          <w:top w:w="0" w:type="dxa"/>
          <w:left w:w="0" w:type="dxa"/>
          <w:bottom w:w="0" w:type="dxa"/>
          <w:right w:w="0" w:type="dxa"/>
        </w:tblCellMar>
        <w:tblLook w:val="01E0"/>
      </w:tblPr>
      <w:tblGrid>
        <w:gridCol w:w="1362"/>
        <w:gridCol w:w="1369"/>
        <w:gridCol w:w="1370"/>
        <w:gridCol w:w="1369"/>
        <w:gridCol w:w="1368"/>
        <w:gridCol w:w="1369"/>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7,589,788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9,866,724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2,276,936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3,035,915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3,946,690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910,775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储达平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3,035,915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3,946,690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910,775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18,428,004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23,956,405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5,528,401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张环宇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2,428,731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3,157,350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413" w:type="dxa"/>
        <w:tblLayout w:type="fixed"/>
        <w:tblCellMar>
          <w:top w:w="0" w:type="dxa"/>
          <w:left w:w="0" w:type="dxa"/>
          <w:bottom w:w="0" w:type="dxa"/>
          <w:right w:w="0" w:type="dxa"/>
        </w:tblCellMar>
        <w:tblLook w:val="01E0"/>
      </w:tblPr>
      <w:tblGrid>
        <w:gridCol w:w="1362"/>
        <w:gridCol w:w="1369"/>
        <w:gridCol w:w="1370"/>
        <w:gridCol w:w="1369"/>
        <w:gridCol w:w="1368"/>
        <w:gridCol w:w="1369"/>
        <w:gridCol w:w="1362"/>
      </w:tblGrid>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李桂华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25,108,087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32,640,513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7,532,426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北京神奇博信投 资管理中心（有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11,020,370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14,326,481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3,306,111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138,601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180,181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714" w:hRule="exact"/>
        </w:trPr>
        <w:tc>
          <w:tcPr>
            <w:tcW w:w="13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38,389,374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19,962,474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11,516,812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29,943,712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vMerge/>
            <w:tcBorders>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23,732,474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23,732,474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4,719,516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2,454,148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3,681,223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9,203,928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4,786,043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2,761,178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7,179,063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5,959,256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3,098,813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1,787,777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4,648,220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7,834,399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4,073,887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2,350,320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6,110,832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樟树市悦玩投资 管理中心（有限 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5,377,733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2,796,421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1,613,320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4,194,632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新余高新区互兴 拾号投资管理中 心（有限合伙）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1,661,744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864,107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1,296,160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144,123,136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129,876,746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66,969,414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81,215,804</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418" w:right="1117"/>
        <w:jc w:val="left"/>
        <w:rPr>
          <w:b w:val="0"/>
          <w:bCs w:val="0"/>
        </w:rPr>
      </w:pPr>
      <w:bookmarkStart w:name="二、证券发行与上市情况" w:id="94"/>
      <w:bookmarkEnd w:id="94"/>
      <w:r>
        <w:rPr>
          <w:b w:val="0"/>
          <w:bCs w:val="0"/>
        </w:rPr>
      </w:r>
      <w:r>
        <w:rPr/>
        <w:t>二、证券发行与上市情况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1、报告期内证券发行（不含优先股）情况" w:id="95"/>
      <w:bookmarkEnd w:id="9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2、公司股份总数及股东结构的变动、公司资产和负债结构的变动情况说明" w:id="96"/>
      <w:bookmarkEnd w:id="9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125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报告期内公司股东结构的变动情况详见本章节“一、股份变动情况”及“三、股东和实际控制人情况”。公司资产</w:t>
      </w:r>
    </w:p>
    <w:p>
      <w:pPr>
        <w:pStyle w:val="BodyText"/>
        <w:spacing w:line="345" w:lineRule="auto" w:before="33"/>
        <w:ind w:left="1418" w:right="1256"/>
        <w:jc w:val="left"/>
      </w:pPr>
      <w:r>
        <w:rPr/>
        <w:t>和负债变动情况详见第四节“经营情况讨论与分析” 之“四、资产及负债状况</w:t>
      </w:r>
      <w:r>
        <w:rPr>
          <w:spacing w:val="-58"/>
        </w:rPr>
        <w:t> </w:t>
      </w:r>
      <w:r>
        <w:rPr>
          <w:rFonts w:ascii="Times New Roman" w:hAnsi="Times New Roman" w:cs="Times New Roman" w:eastAsia="Times New Roman" w:hint="default"/>
        </w:rPr>
        <w:t>1</w:t>
      </w:r>
      <w:r>
        <w:rPr/>
        <w:t>、资产构成重大变动情况”和本报告 </w:t>
      </w:r>
      <w:r>
        <w:rPr>
          <w:spacing w:val="-8"/>
        </w:rPr>
        <w:t>“第十一节、财务报告”。</w:t>
      </w:r>
    </w:p>
    <w:p>
      <w:pPr>
        <w:spacing w:line="240" w:lineRule="auto" w:before="8"/>
        <w:rPr>
          <w:rFonts w:ascii="宋体" w:hAnsi="宋体" w:cs="宋体" w:eastAsia="宋体" w:hint="default"/>
          <w:sz w:val="22"/>
          <w:szCs w:val="22"/>
        </w:rPr>
      </w:pPr>
    </w:p>
    <w:p>
      <w:pPr>
        <w:pStyle w:val="Heading4"/>
        <w:spacing w:line="240" w:lineRule="auto"/>
        <w:ind w:right="1117"/>
        <w:jc w:val="left"/>
        <w:rPr>
          <w:b w:val="0"/>
          <w:bCs w:val="0"/>
        </w:rPr>
      </w:pPr>
      <w:bookmarkStart w:name="3、现存的内部职工股情况" w:id="97"/>
      <w:bookmarkEnd w:id="9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1418" w:right="1117"/>
        <w:jc w:val="left"/>
        <w:rPr>
          <w:b w:val="0"/>
          <w:bCs w:val="0"/>
        </w:rPr>
      </w:pPr>
      <w:bookmarkStart w:name="三、股东和实际控制人情况" w:id="98"/>
      <w:bookmarkEnd w:id="9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公司股东数量及持股情况" w:id="99"/>
      <w:bookmarkEnd w:id="9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271"/>
        <w:jc w:val="right"/>
      </w:pPr>
      <w:r>
        <w:rPr/>
        <w:pict>
          <v:shape style="position:absolute;margin-left:463.437012pt;margin-top:68.291695pt;width:85.65pt;height:31.2pt;mso-position-horizontal-relative:page;mso-position-vertical-relative:paragraph;z-index:-947536"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96.619995pt;margin-top:68.291695pt;width:52.45pt;height:31.2pt;mso-position-horizontal-relative:page;mso-position-vertical-relative:paragraph;z-index:-947512" coordorigin="9932,1366" coordsize="1049,624">
            <v:shape style="position:absolute;left:9932;top:1366;width:1049;height:624" coordorigin="9932,1366" coordsize="1049,624" path="m9932,1990l10981,1990,10981,1366,9932,1366,9932,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13" w:type="dxa"/>
        <w:tblLayout w:type="fixed"/>
        <w:tblCellMar>
          <w:top w:w="0" w:type="dxa"/>
          <w:left w:w="0" w:type="dxa"/>
          <w:bottom w:w="0" w:type="dxa"/>
          <w:right w:w="0" w:type="dxa"/>
        </w:tblCellMar>
        <w:tblLook w:val="01E0"/>
      </w:tblPr>
      <w:tblGrid>
        <w:gridCol w:w="1335"/>
        <w:gridCol w:w="134"/>
        <w:gridCol w:w="673"/>
        <w:gridCol w:w="739"/>
        <w:gridCol w:w="745"/>
        <w:gridCol w:w="830"/>
        <w:gridCol w:w="344"/>
        <w:gridCol w:w="445"/>
        <w:gridCol w:w="824"/>
        <w:gridCol w:w="803"/>
        <w:gridCol w:w="322"/>
        <w:gridCol w:w="1027"/>
        <w:gridCol w:w="278"/>
        <w:gridCol w:w="513"/>
        <w:gridCol w:w="559"/>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26,297</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7" w:right="0"/>
              <w:jc w:val="left"/>
              <w:rPr>
                <w:rFonts w:ascii="Times New Roman" w:hAnsi="Times New Roman" w:cs="Times New Roman" w:eastAsia="Times New Roman" w:hint="default"/>
                <w:sz w:val="18"/>
                <w:szCs w:val="18"/>
              </w:rPr>
            </w:pPr>
            <w:r>
              <w:rPr>
                <w:rFonts w:ascii="Times New Roman"/>
                <w:sz w:val="18"/>
              </w:rPr>
              <w:t>34,963</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0"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200"/>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9" w:space="0" w:color="D2D2D2"/>
              <w:bottom w:val="single" w:sz="4" w:space="0" w:color="000000"/>
              <w:right w:val="single" w:sz="9"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single" w:sz="4" w:space="0" w:color="000000"/>
            </w:tcBorders>
          </w:tcPr>
          <w:p>
            <w:pPr/>
          </w:p>
        </w:tc>
      </w:tr>
      <w:tr>
        <w:trPr>
          <w:trHeight w:val="393"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5"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4"/>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5"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5"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湖南天鸿投资集 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166,642,2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24,038,95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166,642,2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02</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157,304,000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60,176,18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53,676,18</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6,500,000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59,650,900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肖乐</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27,010,000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李容平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24,714,65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24,714,65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18,120,000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天舟文化股份有 限公司回购专用 证券账户</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23,396,14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23,396,14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23,396,14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林丹</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18,417,70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-5,956,40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贺智华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16,898,68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16,898,68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16,898,68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44"/>
        <w:ind w:left="0" w:right="856"/>
        <w:jc w:val="right"/>
      </w:pPr>
      <w:r>
        <w:rPr/>
        <w:pict>
          <v:shape style="position:absolute;margin-left:70.680pt;margin-top:-571.308289pt;width:479.2pt;height:634.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9"/>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7</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10,045,05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-2,024,86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7,179,063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2,865,994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9,572,084</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云南国际信托有 限公司－云南信 托</w:t>
                        </w:r>
                        <w:r>
                          <w:rPr>
                            <w:rFonts w:ascii="Times New Roman" w:hAnsi="Times New Roman" w:cs="Times New Roman" w:eastAsia="Times New Roman" w:hint="default"/>
                            <w:sz w:val="18"/>
                            <w:szCs w:val="18"/>
                          </w:rPr>
                          <w:t>·</w:t>
                        </w:r>
                        <w:r>
                          <w:rPr>
                            <w:rFonts w:ascii="宋体" w:hAnsi="宋体" w:cs="宋体" w:eastAsia="宋体" w:hint="default"/>
                            <w:sz w:val="18"/>
                            <w:szCs w:val="18"/>
                          </w:rPr>
                          <w:t>聚鑫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9,932,690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3,562,690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9,932,690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1"/>
                            <w:sz w:val="18"/>
                            <w:szCs w:val="18"/>
                          </w:rPr>
                          <w:t>上述股东中，天鸿投资与肖乐存在一致行动人关系，天舟文化股份有限公司回购专用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证券账户为公司回购专用证券账户，除此之外，公司未知其余前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东之间、以及和前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名股东之间是否存在关联关系或一致行动关系。</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166,642,202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166,642,202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肖乐</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36,400,000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李容平</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24,714,654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24,714,654</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天舟文化股份有限公司回购专用证 券账户</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23,396,143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23,396,143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林丹</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18,417,700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18,417,700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18,000,005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贺智华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16,898,687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16,898,687</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27"/>
                          <w:jc w:val="left"/>
                          <w:rPr>
                            <w:rFonts w:ascii="宋体" w:hAnsi="宋体" w:cs="宋体" w:eastAsia="宋体" w:hint="default"/>
                            <w:sz w:val="18"/>
                            <w:szCs w:val="18"/>
                          </w:rPr>
                        </w:pPr>
                        <w:r>
                          <w:rPr>
                            <w:rFonts w:ascii="宋体" w:hAnsi="宋体" w:cs="宋体" w:eastAsia="宋体" w:hint="default"/>
                            <w:sz w:val="18"/>
                            <w:szCs w:val="18"/>
                          </w:rPr>
                          <w:t>云南国际信托有限公司－云南信 托</w:t>
                        </w:r>
                        <w:r>
                          <w:rPr>
                            <w:rFonts w:ascii="Times New Roman" w:hAnsi="Times New Roman" w:cs="Times New Roman" w:eastAsia="Times New Roman" w:hint="default"/>
                            <w:sz w:val="18"/>
                            <w:szCs w:val="18"/>
                          </w:rPr>
                          <w:t>·</w:t>
                        </w:r>
                        <w:r>
                          <w:rPr>
                            <w:rFonts w:ascii="宋体" w:hAnsi="宋体" w:cs="宋体" w:eastAsia="宋体" w:hint="default"/>
                            <w:sz w:val="18"/>
                            <w:szCs w:val="18"/>
                          </w:rPr>
                          <w:t>聚鑫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9,932,690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9,932,690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邹德芬</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9,477,416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9,477,416</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国金证券－浦发银行－国金天舟文 化 </w:t>
                        </w:r>
                        <w:r>
                          <w:rPr>
                            <w:rFonts w:ascii="Times New Roman" w:hAnsi="Times New Roman" w:cs="Times New Roman" w:eastAsia="Times New Roman" w:hint="default"/>
                            <w:sz w:val="18"/>
                            <w:szCs w:val="18"/>
                          </w:rPr>
                          <w:t>1 </w:t>
                        </w:r>
                        <w:r>
                          <w:rPr>
                            <w:rFonts w:ascii="宋体" w:hAnsi="宋体" w:cs="宋体" w:eastAsia="宋体" w:hint="default"/>
                            <w:sz w:val="18"/>
                            <w:szCs w:val="18"/>
                          </w:rPr>
                          <w:t>号集合资产管</w:t>
                        </w:r>
                        <w:r>
                          <w:rPr>
                            <w:rFonts w:ascii="宋体" w:hAnsi="宋体" w:cs="宋体" w:eastAsia="宋体" w:hint="default"/>
                            <w:spacing w:val="-46"/>
                            <w:sz w:val="18"/>
                            <w:szCs w:val="18"/>
                          </w:rPr>
                          <w:t> </w:t>
                        </w:r>
                        <w:r>
                          <w:rPr>
                            <w:rFonts w:ascii="宋体" w:hAnsi="宋体" w:cs="宋体" w:eastAsia="宋体" w:hint="default"/>
                            <w:sz w:val="18"/>
                            <w:szCs w:val="18"/>
                          </w:rPr>
                          <w:t>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8,636,161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8,636,161</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
                            <w:sz w:val="18"/>
                            <w:szCs w:val="18"/>
                          </w:rPr>
                          <w:t>上述股东天鸿投资与肖乐存在一致行动人关系，国金证券－浦发银行－国金天舟文化</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号集合资产管理计划为公司第一期员工持股计划，除此之外，公司未知其余前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名无限售流通股东之间，以及和前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名股东之间是否存在关联关系或一致行动关系</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1418" w:right="111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left="1418"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2、公司控股股东情况" w:id="100"/>
      <w:bookmarkEnd w:id="10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18" w:right="8128"/>
        <w:jc w:val="left"/>
      </w:pPr>
      <w:r>
        <w:rPr/>
        <w:t>控股股东性质：社团集体控股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856"/>
        <w:jc w:val="right"/>
      </w:pPr>
      <w:r>
        <w:rPr/>
        <w:pict>
          <v:shape style="position:absolute;margin-left:70.680pt;margin-top:-52.108311pt;width:479.2pt;height:138.8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0"/>
                    <w:gridCol w:w="1454"/>
                    <w:gridCol w:w="1559"/>
                    <w:gridCol w:w="1560"/>
                    <w:gridCol w:w="2796"/>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49" w:right="66"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湖南天鸿投资集团有限公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73477424-0</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62"/>
                          <w:jc w:val="both"/>
                          <w:rPr>
                            <w:rFonts w:ascii="宋体" w:hAnsi="宋体" w:cs="宋体" w:eastAsia="宋体" w:hint="default"/>
                            <w:sz w:val="18"/>
                            <w:szCs w:val="18"/>
                          </w:rPr>
                        </w:pPr>
                        <w:r>
                          <w:rPr>
                            <w:rFonts w:ascii="宋体" w:hAnsi="宋体" w:cs="宋体" w:eastAsia="宋体" w:hint="default"/>
                            <w:sz w:val="18"/>
                            <w:szCs w:val="18"/>
                          </w:rPr>
                          <w:t>投资高新技术产业、农业、文化与 </w:t>
                        </w:r>
                        <w:r>
                          <w:rPr>
                            <w:rFonts w:ascii="宋体" w:hAnsi="宋体" w:cs="宋体" w:eastAsia="宋体" w:hint="default"/>
                            <w:spacing w:val="-4"/>
                            <w:sz w:val="18"/>
                            <w:szCs w:val="18"/>
                          </w:rPr>
                          <w:t>教育产业，提供企业管理咨询服务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纸印品销售和纸张批发。</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1418" w:right="1117"/>
        <w:jc w:val="left"/>
      </w:pPr>
      <w:r>
        <w:rPr/>
        <w:t>控股股东报告期内变更</w:t>
      </w:r>
    </w:p>
    <w:p>
      <w:pPr>
        <w:pStyle w:val="BodyText"/>
        <w:spacing w:line="240" w:lineRule="auto" w:before="117"/>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3、公司实际控制人情况" w:id="101"/>
      <w:bookmarkEnd w:id="10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18" w:right="8128"/>
        <w:jc w:val="left"/>
      </w:pPr>
      <w:r>
        <w:rPr/>
        <w:t>实际控制人性质：境内自然人 实际控制人类型：自然人</w:t>
      </w:r>
    </w:p>
    <w:p>
      <w:pPr>
        <w:spacing w:line="240" w:lineRule="auto" w:before="2"/>
        <w:rPr>
          <w:rFonts w:ascii="宋体" w:hAnsi="宋体" w:cs="宋体" w:eastAsia="宋体" w:hint="default"/>
          <w:sz w:val="28"/>
          <w:szCs w:val="28"/>
        </w:rPr>
      </w:pPr>
    </w:p>
    <w:tbl>
      <w:tblPr>
        <w:tblW w:w="0" w:type="auto"/>
        <w:jc w:val="left"/>
        <w:tblInd w:w="1413"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现任天鸿投资董事长、天舟文化董事长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27"/>
          <w:szCs w:val="27"/>
        </w:rPr>
      </w:pPr>
    </w:p>
    <w:p>
      <w:pPr>
        <w:pStyle w:val="BodyText"/>
        <w:spacing w:line="240" w:lineRule="auto" w:before="44"/>
        <w:ind w:left="1418" w:right="1117"/>
        <w:jc w:val="left"/>
      </w:pPr>
      <w:r>
        <w:rPr/>
        <w:t>实际控制人报告期内变更</w:t>
      </w:r>
    </w:p>
    <w:p>
      <w:pPr>
        <w:pStyle w:val="BodyText"/>
        <w:spacing w:line="240" w:lineRule="auto" w:before="116"/>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BodyText"/>
        <w:spacing w:line="240" w:lineRule="auto"/>
        <w:ind w:left="1418" w:right="1117"/>
        <w:jc w:val="left"/>
      </w:pPr>
      <w:r>
        <w:rPr/>
        <w:t>公司与实际控制人之间的产权及控制关系的方框图</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8"/>
          <w:szCs w:val="28"/>
        </w:rPr>
      </w:pPr>
    </w:p>
    <w:p>
      <w:pPr>
        <w:spacing w:line="3420" w:lineRule="exact"/>
        <w:ind w:left="3340" w:right="0" w:firstLine="0"/>
        <w:rPr>
          <w:rFonts w:ascii="宋体" w:hAnsi="宋体" w:cs="宋体" w:eastAsia="宋体" w:hint="default"/>
          <w:sz w:val="20"/>
          <w:szCs w:val="20"/>
        </w:rPr>
      </w:pPr>
      <w:bookmarkStart w:name="_bookmark6" w:id="102"/>
      <w:bookmarkEnd w:id="102"/>
      <w:r>
        <w:rPr/>
      </w:r>
      <w:r>
        <w:rPr>
          <w:rFonts w:ascii="宋体" w:hAnsi="宋体" w:cs="宋体" w:eastAsia="宋体" w:hint="default"/>
          <w:position w:val="-67"/>
          <w:sz w:val="20"/>
          <w:szCs w:val="20"/>
        </w:rPr>
        <w:drawing>
          <wp:inline distT="0" distB="0" distL="0" distR="0">
            <wp:extent cx="3400356" cy="2172271"/>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3400356" cy="2172271"/>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6"/>
        <w:rPr>
          <w:rFonts w:ascii="宋体" w:hAnsi="宋体" w:cs="宋体" w:eastAsia="宋体" w:hint="default"/>
          <w:sz w:val="13"/>
          <w:szCs w:val="13"/>
        </w:rPr>
      </w:pPr>
    </w:p>
    <w:p>
      <w:pPr>
        <w:pStyle w:val="BodyText"/>
        <w:spacing w:line="240" w:lineRule="auto" w:before="44"/>
        <w:ind w:left="1418" w:right="1117"/>
        <w:jc w:val="left"/>
      </w:pPr>
      <w:r>
        <w:rPr/>
        <w:t>实际控制人通过信托或其他资产管理方式控制公司</w:t>
      </w:r>
    </w:p>
    <w:p>
      <w:pPr>
        <w:pStyle w:val="BodyText"/>
        <w:spacing w:line="240" w:lineRule="auto" w:before="116"/>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4、其他持股在10%以上的法人股东" w:id="103"/>
      <w:bookmarkEnd w:id="10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117"/>
        <w:jc w:val="left"/>
        <w:rPr>
          <w:b w:val="0"/>
          <w:bCs w:val="0"/>
        </w:rPr>
      </w:pPr>
      <w:bookmarkStart w:name="5、控股股东、实际控制人、重组方及其他承诺主体股份限制减持情况" w:id="104"/>
      <w:bookmarkEnd w:id="10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41" w:right="0"/>
        <w:jc w:val="center"/>
        <w:rPr>
          <w:b w:val="0"/>
          <w:bCs w:val="0"/>
        </w:rPr>
      </w:pPr>
      <w:bookmarkStart w:name="第七节 优先股相关情况" w:id="105"/>
      <w:bookmarkEnd w:id="10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240" w:lineRule="auto" w:before="44"/>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left="2732" w:right="1117"/>
        <w:jc w:val="left"/>
        <w:rPr>
          <w:b w:val="0"/>
          <w:bCs w:val="0"/>
        </w:rPr>
      </w:pPr>
      <w:bookmarkStart w:name="第八节 董事、监事、高级管理人员和员工情况" w:id="106"/>
      <w:bookmarkEnd w:id="106"/>
      <w:r>
        <w:rPr>
          <w:b w:val="0"/>
          <w:bCs w:val="0"/>
        </w:rPr>
      </w:r>
      <w:bookmarkStart w:name="_bookmark7" w:id="107"/>
      <w:bookmarkEnd w:id="10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418" w:right="1117"/>
        <w:jc w:val="left"/>
        <w:rPr>
          <w:b w:val="0"/>
          <w:bCs w:val="0"/>
        </w:rPr>
      </w:pPr>
      <w:bookmarkStart w:name="一、董事、监事和高级管理人员持股变动" w:id="108"/>
      <w:bookmarkEnd w:id="108"/>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413"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2" w:right="32"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副董事 长、执行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46,289,37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13,886,81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60,176,18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监事会召 集人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148,201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张建武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138,599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180,179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413"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46,545,07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13,963,52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60,508,59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2"/>
        <w:rPr>
          <w:rFonts w:ascii="宋体" w:hAnsi="宋体" w:cs="宋体" w:eastAsia="宋体" w:hint="default"/>
          <w:b/>
          <w:bCs/>
          <w:sz w:val="18"/>
          <w:szCs w:val="18"/>
        </w:rPr>
      </w:pPr>
    </w:p>
    <w:p>
      <w:pPr>
        <w:pStyle w:val="Heading2"/>
        <w:spacing w:line="240" w:lineRule="auto" w:before="26"/>
        <w:ind w:left="1418" w:right="1117"/>
        <w:jc w:val="left"/>
        <w:rPr>
          <w:b w:val="0"/>
          <w:bCs w:val="0"/>
        </w:rPr>
      </w:pPr>
      <w:bookmarkStart w:name="二、公司董事、监事、高级管理人员变动情况" w:id="109"/>
      <w:bookmarkEnd w:id="10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1418" w:right="1117"/>
        <w:jc w:val="left"/>
        <w:rPr>
          <w:b w:val="0"/>
          <w:bCs w:val="0"/>
        </w:rPr>
      </w:pPr>
      <w:bookmarkStart w:name="三、任职情况" w:id="110"/>
      <w:bookmarkEnd w:id="110"/>
      <w:r>
        <w:rPr>
          <w:b w:val="0"/>
          <w:bCs w:val="0"/>
        </w:rPr>
      </w:r>
      <w:r>
        <w:rPr/>
        <w:t>三、任职情况</w:t>
      </w:r>
      <w:r>
        <w:rPr>
          <w:b w:val="0"/>
          <w:bCs w:val="0"/>
        </w:rPr>
      </w:r>
    </w:p>
    <w:p>
      <w:pPr>
        <w:spacing w:line="240" w:lineRule="auto" w:before="8"/>
        <w:rPr>
          <w:rFonts w:ascii="宋体" w:hAnsi="宋体" w:cs="宋体" w:eastAsia="宋体" w:hint="default"/>
          <w:b/>
          <w:bCs/>
          <w:sz w:val="30"/>
          <w:szCs w:val="30"/>
        </w:rPr>
      </w:pPr>
    </w:p>
    <w:p>
      <w:pPr>
        <w:pStyle w:val="Heading5"/>
        <w:spacing w:line="444" w:lineRule="auto"/>
        <w:ind w:left="1838" w:right="1117" w:hanging="421"/>
        <w:jc w:val="left"/>
      </w:pPr>
      <w:r>
        <w:rPr/>
        <w:t>公司现任董事、监事、高级管理人员专业背景、主要工作经历以及目前在公司的主要职责 </w:t>
      </w:r>
      <w:r>
        <w:rPr>
          <w:rFonts w:ascii="宋体" w:hAnsi="宋体" w:cs="宋体" w:eastAsia="宋体" w:hint="default"/>
          <w:b/>
          <w:bCs/>
        </w:rPr>
        <w:t>一、董事会成员</w:t>
      </w:r>
      <w:r>
        <w:rPr>
          <w:rFonts w:ascii="宋体" w:hAnsi="宋体" w:cs="宋体" w:eastAsia="宋体" w:hint="default"/>
          <w:b/>
          <w:bCs/>
          <w:w w:val="99"/>
        </w:rPr>
        <w:t> </w:t>
      </w:r>
      <w:r>
        <w:rPr/>
        <w:t>肖志鸿，</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5</w:t>
      </w:r>
      <w:r>
        <w:rPr/>
        <w:t>月生，中国国籍，无境外永久居留权。中华全国工商业联合会第十一届执行委</w:t>
      </w:r>
    </w:p>
    <w:p>
      <w:pPr>
        <w:pStyle w:val="Heading5"/>
        <w:spacing w:line="254" w:lineRule="exact"/>
        <w:ind w:right="1117"/>
        <w:jc w:val="left"/>
      </w:pPr>
      <w:r>
        <w:rPr/>
        <w:t>员会常委，湖南省第十一届政协常委，湖南省第九、十、十一届人大代表；兼任中国出版工作者协会</w:t>
      </w:r>
    </w:p>
    <w:p>
      <w:pPr>
        <w:spacing w:line="240" w:lineRule="auto" w:before="12"/>
        <w:rPr>
          <w:rFonts w:ascii="宋体" w:hAnsi="宋体" w:cs="宋体" w:eastAsia="宋体" w:hint="default"/>
          <w:sz w:val="14"/>
          <w:szCs w:val="14"/>
        </w:rPr>
      </w:pPr>
    </w:p>
    <w:p>
      <w:pPr>
        <w:pStyle w:val="Heading5"/>
        <w:spacing w:line="240" w:lineRule="auto"/>
        <w:ind w:left="0" w:right="1270"/>
        <w:jc w:val="right"/>
      </w:pPr>
      <w:r>
        <w:rPr>
          <w:spacing w:val="-6"/>
        </w:rPr>
        <w:t>常务理事、中国书刊发行业协会副理事长、湖南省工商联合会副主席、湖南省出版工作者协会副会长。</w:t>
      </w:r>
    </w:p>
    <w:p>
      <w:pPr>
        <w:spacing w:line="240" w:lineRule="auto" w:before="9"/>
        <w:rPr>
          <w:rFonts w:ascii="宋体" w:hAnsi="宋体" w:cs="宋体" w:eastAsia="宋体" w:hint="default"/>
          <w:sz w:val="17"/>
          <w:szCs w:val="17"/>
        </w:rPr>
      </w:pPr>
    </w:p>
    <w:p>
      <w:pPr>
        <w:pStyle w:val="Heading5"/>
        <w:spacing w:line="386" w:lineRule="auto"/>
        <w:ind w:right="1270" w:firstLine="420"/>
        <w:jc w:val="both"/>
      </w:pPr>
      <w:r>
        <w:rPr>
          <w:rFonts w:ascii="Times New Roman" w:hAnsi="Times New Roman" w:cs="Times New Roman" w:eastAsia="Times New Roman" w:hint="default"/>
          <w:spacing w:val="-1"/>
        </w:rPr>
        <w:t>1983</w:t>
      </w:r>
      <w:r>
        <w:rPr>
          <w:spacing w:val="-1"/>
        </w:rPr>
        <w:t>年投身图书发行事业，</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4</w:t>
      </w:r>
      <w:r>
        <w:rPr>
          <w:spacing w:val="-1"/>
        </w:rPr>
        <w:t>月投资成立长沙鸿发印务实业有限公司；</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w:t>
      </w:r>
      <w:r>
        <w:rPr>
          <w:spacing w:val="-1"/>
        </w:rPr>
        <w:t>月投资成立</w:t>
      </w:r>
      <w:r>
        <w:rPr/>
        <w:t> </w:t>
      </w:r>
      <w:r>
        <w:rPr>
          <w:spacing w:val="-1"/>
        </w:rPr>
        <w:t>湖南天能电机制造有限公司；</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w:t>
      </w:r>
      <w:r>
        <w:rPr>
          <w:spacing w:val="-1"/>
        </w:rPr>
        <w:t>月投资组建湖南天鸿投资集团有限公司任董事长至今；</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31"/>
        </w:rPr>
        <w:t> </w:t>
      </w:r>
      <w:r>
        <w:rPr>
          <w:spacing w:val="-1"/>
        </w:rPr>
        <w:t>月投资成立湖南天舟科教文化股份有限公司，后更名为天舟文化股份有限公司，任董事长至今；</w:t>
      </w:r>
      <w:r>
        <w:rPr>
          <w:rFonts w:ascii="Times New Roman" w:hAnsi="Times New Roman" w:cs="Times New Roman" w:eastAsia="Times New Roman" w:hint="default"/>
          <w:spacing w:val="-1"/>
        </w:rPr>
        <w:t>2004</w:t>
      </w:r>
      <w:r>
        <w:rPr>
          <w:rFonts w:ascii="Times New Roman" w:hAnsi="Times New Roman" w:cs="Times New Roman" w:eastAsia="Times New Roman" w:hint="default"/>
          <w:spacing w:val="-33"/>
        </w:rPr>
        <w:t> </w:t>
      </w:r>
      <w:r>
        <w:rPr>
          <w:spacing w:val="-1"/>
        </w:rPr>
        <w:t>年</w:t>
      </w:r>
      <w:r>
        <w:rPr>
          <w:rFonts w:ascii="Times New Roman" w:hAnsi="Times New Roman" w:cs="Times New Roman" w:eastAsia="Times New Roman" w:hint="default"/>
          <w:spacing w:val="-1"/>
        </w:rPr>
        <w:t>3</w:t>
      </w:r>
      <w:r>
        <w:rPr>
          <w:spacing w:val="-1"/>
        </w:rPr>
        <w:t>月投资成立湖南磐鸿置业有限公司，</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3</w:t>
      </w:r>
      <w:r>
        <w:rPr>
          <w:spacing w:val="-1"/>
        </w:rPr>
        <w:t>月投资成立湖南天舟华文俪制传媒有限公司；</w:t>
      </w:r>
      <w:r>
        <w:rPr>
          <w:rFonts w:ascii="Times New Roman" w:hAnsi="Times New Roman" w:cs="Times New Roman" w:eastAsia="Times New Roman" w:hint="default"/>
          <w:spacing w:val="-1"/>
        </w:rPr>
        <w:t>2009</w:t>
      </w:r>
      <w:r>
        <w:rPr>
          <w:spacing w:val="-1"/>
        </w:rPr>
        <w:t>年</w:t>
      </w:r>
      <w:r>
        <w:rPr>
          <w:spacing w:val="-83"/>
        </w:rPr>
        <w:t> </w:t>
      </w:r>
      <w:r>
        <w:rPr>
          <w:rFonts w:ascii="Times New Roman" w:hAnsi="Times New Roman" w:cs="Times New Roman" w:eastAsia="Times New Roman" w:hint="default"/>
        </w:rPr>
        <w:t>6</w:t>
      </w:r>
      <w:r>
        <w:rPr/>
        <w:t>月投资成立湖南天舟教育科技研究院。</w:t>
      </w:r>
    </w:p>
    <w:p>
      <w:pPr>
        <w:pStyle w:val="Heading5"/>
        <w:spacing w:line="391" w:lineRule="auto" w:before="75"/>
        <w:ind w:right="0" w:firstLine="420"/>
        <w:jc w:val="left"/>
      </w:pPr>
      <w:r>
        <w:rPr/>
        <w:t>肖志鸿先生及肖欢女士通过湖南天鸿投资集团有限公司间接持有本公司</w:t>
      </w:r>
      <w:r>
        <w:rPr>
          <w:rFonts w:ascii="Times New Roman" w:hAnsi="Times New Roman" w:cs="Times New Roman" w:eastAsia="Times New Roman" w:hint="default"/>
        </w:rPr>
        <w:t>165,333,202</w:t>
      </w:r>
      <w:r>
        <w:rPr/>
        <w:t>股股份，肖志 </w:t>
      </w:r>
      <w:r>
        <w:rPr>
          <w:spacing w:val="-5"/>
        </w:rPr>
        <w:t>鸿先生与肖欢女士、肖乐女士均为父女关系，合计持有公司</w:t>
      </w:r>
      <w:r>
        <w:rPr>
          <w:rFonts w:ascii="Times New Roman" w:hAnsi="Times New Roman" w:cs="Times New Roman" w:eastAsia="Times New Roman" w:hint="default"/>
          <w:spacing w:val="-5"/>
        </w:rPr>
        <w:t>201,733,202</w:t>
      </w:r>
      <w:r>
        <w:rPr>
          <w:spacing w:val="-5"/>
        </w:rPr>
        <w:t>股股份，占公司总股本的</w:t>
      </w:r>
      <w:r>
        <w:rPr>
          <w:rFonts w:ascii="Times New Roman" w:hAnsi="Times New Roman" w:cs="Times New Roman" w:eastAsia="Times New Roman" w:hint="default"/>
          <w:spacing w:val="-5"/>
        </w:rPr>
        <w:t>23.88%</w:t>
      </w:r>
      <w:r>
        <w:rPr>
          <w:spacing w:val="-5"/>
        </w:rPr>
        <w:t>；</w:t>
      </w:r>
      <w:r>
        <w:rPr>
          <w:spacing w:val="-85"/>
        </w:rPr>
        <w:t> </w:t>
      </w:r>
      <w:r>
        <w:rPr>
          <w:spacing w:val="-3"/>
        </w:rPr>
        <w:t>与其他持有</w:t>
      </w:r>
      <w:r>
        <w:rPr>
          <w:rFonts w:ascii="Times New Roman" w:hAnsi="Times New Roman" w:cs="Times New Roman" w:eastAsia="Times New Roman" w:hint="default"/>
          <w:spacing w:val="-3"/>
        </w:rPr>
        <w:t>5%</w:t>
      </w:r>
      <w:r>
        <w:rPr>
          <w:spacing w:val="-3"/>
        </w:rPr>
        <w:t>以上股份的股东、公司其他董事、监事、高级管理人员不存在关联关系，未受过中国证</w:t>
      </w:r>
      <w:r>
        <w:rPr>
          <w:spacing w:val="-67"/>
        </w:rPr>
        <w:t> </w:t>
      </w:r>
      <w:r>
        <w:rPr>
          <w:spacing w:val="-67"/>
        </w:rPr>
      </w:r>
      <w:r>
        <w:rPr/>
        <w:t>监会及其他有关部门的处罚和证券交易所惩戒，不存在《公司法》、《公司章程》以及中国证监会、</w:t>
      </w:r>
      <w:r>
        <w:rPr>
          <w:spacing w:val="-39"/>
        </w:rPr>
        <w:t> </w:t>
      </w:r>
      <w:r>
        <w:rPr>
          <w:spacing w:val="-39"/>
        </w:rPr>
      </w:r>
      <w:r>
        <w:rPr/>
        <w:t>深圳证券交易所有关规定中不得担任公司董事的情形。</w:t>
      </w:r>
    </w:p>
    <w:p>
      <w:pPr>
        <w:pStyle w:val="Heading5"/>
        <w:spacing w:line="386" w:lineRule="auto" w:before="99"/>
        <w:ind w:right="1061" w:firstLine="420"/>
        <w:jc w:val="left"/>
      </w:pPr>
      <w:r>
        <w:rPr/>
        <w:t>袁雄贵，</w:t>
      </w:r>
      <w:r>
        <w:rPr>
          <w:rFonts w:ascii="Times New Roman" w:hAnsi="Times New Roman" w:cs="Times New Roman" w:eastAsia="Times New Roman" w:hint="default"/>
        </w:rPr>
        <w:t>1980</w:t>
      </w:r>
      <w:r>
        <w:rPr/>
        <w:t>年生，中国国籍，无境外永久居留权。</w:t>
      </w:r>
      <w:r>
        <w:rPr>
          <w:rFonts w:ascii="Times New Roman" w:hAnsi="Times New Roman" w:cs="Times New Roman" w:eastAsia="Times New Roman" w:hint="default"/>
        </w:rPr>
        <w:t>2003</w:t>
      </w:r>
      <w:r>
        <w:rPr/>
        <w:t>年任北京掌尚星空科技有限公司部门经 理；</w:t>
      </w:r>
      <w:r>
        <w:rPr>
          <w:rFonts w:ascii="Times New Roman" w:hAnsi="Times New Roman" w:cs="Times New Roman" w:eastAsia="Times New Roman" w:hint="default"/>
        </w:rPr>
        <w:t>2004</w:t>
      </w:r>
      <w:r>
        <w:rPr/>
        <w:t>年任华友世纪通讯有限公司部门经理；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-2009</w:t>
      </w:r>
      <w:r>
        <w:rPr/>
        <w:t>年任北京飞度无限科技有限公司总经理；</w:t>
      </w:r>
      <w:r>
        <w:rPr>
          <w:spacing w:val="-101"/>
        </w:rPr>
        <w:t> </w:t>
      </w:r>
      <w:r>
        <w:rPr>
          <w:spacing w:val="-101"/>
        </w:rPr>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-2011</w:t>
      </w:r>
      <w:r>
        <w:rPr>
          <w:spacing w:val="-2"/>
        </w:rPr>
        <w:t>年任北京顽童天下网络技术有限公司总经理；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月创立广州游爱网络技术有限公司，</w:t>
      </w:r>
      <w:r>
        <w:rPr>
          <w:spacing w:val="-100"/>
        </w:rPr>
        <w:t> </w:t>
      </w:r>
      <w:r>
        <w:rPr>
          <w:spacing w:val="-100"/>
        </w:rPr>
      </w:r>
      <w:r>
        <w:rPr/>
        <w:t>任总经理；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月至今，任游爱网络董事长兼总经理；现任公司副董事长、执行总裁。</w:t>
      </w:r>
    </w:p>
    <w:p>
      <w:pPr>
        <w:spacing w:after="0" w:line="386"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400" w:lineRule="auto" w:before="174"/>
        <w:ind w:right="1272" w:firstLine="420"/>
        <w:jc w:val="both"/>
      </w:pPr>
      <w:r>
        <w:rPr>
          <w:spacing w:val="-3"/>
        </w:rPr>
        <w:t>袁雄贵先生持有公司</w:t>
      </w:r>
      <w:r>
        <w:rPr>
          <w:rFonts w:ascii="Times New Roman" w:hAnsi="Times New Roman" w:cs="Times New Roman" w:eastAsia="Times New Roman" w:hint="default"/>
          <w:spacing w:val="-3"/>
        </w:rPr>
        <w:t>60,176,186</w:t>
      </w:r>
      <w:r>
        <w:rPr>
          <w:spacing w:val="-3"/>
        </w:rPr>
        <w:t>股股份，占公司总股本的</w:t>
      </w:r>
      <w:r>
        <w:rPr>
          <w:rFonts w:ascii="Times New Roman" w:hAnsi="Times New Roman" w:cs="Times New Roman" w:eastAsia="Times New Roman" w:hint="default"/>
          <w:spacing w:val="-3"/>
        </w:rPr>
        <w:t>7.12%</w:t>
      </w:r>
      <w:r>
        <w:rPr>
          <w:spacing w:val="-3"/>
        </w:rPr>
        <w:t>；与其他持有</w:t>
      </w:r>
      <w:r>
        <w:rPr>
          <w:rFonts w:ascii="Times New Roman" w:hAnsi="Times New Roman" w:cs="Times New Roman" w:eastAsia="Times New Roman" w:hint="default"/>
          <w:spacing w:val="-3"/>
        </w:rPr>
        <w:t>5%</w:t>
      </w:r>
      <w:r>
        <w:rPr>
          <w:spacing w:val="-3"/>
        </w:rPr>
        <w:t>以上股份的股东、</w:t>
      </w:r>
      <w:r>
        <w:rPr/>
        <w:t> </w:t>
      </w:r>
      <w:r>
        <w:rPr>
          <w:spacing w:val="-1"/>
        </w:rPr>
        <w:t>公司实际控制人、其他董事、监事、高级管理人员不存在关联关系，未受过中国证监会及其他有关部</w:t>
      </w:r>
      <w:r>
        <w:rPr>
          <w:spacing w:val="-91"/>
        </w:rPr>
        <w:t> </w:t>
      </w:r>
      <w:r>
        <w:rPr>
          <w:spacing w:val="-91"/>
        </w:rPr>
      </w:r>
      <w:r>
        <w:rPr>
          <w:spacing w:val="-1"/>
        </w:rPr>
        <w:t>门的处罚和证券交易所惩戒，不存在《公司法》、《公司章程》以及中国证监会、深圳证券交易所有</w:t>
      </w:r>
      <w:r>
        <w:rPr>
          <w:spacing w:val="-89"/>
        </w:rPr>
        <w:t> </w:t>
      </w:r>
      <w:r>
        <w:rPr>
          <w:spacing w:val="-89"/>
        </w:rPr>
      </w:r>
      <w:r>
        <w:rPr/>
        <w:t>关规定中不得担任公司高级管理人员的情形。</w:t>
      </w:r>
    </w:p>
    <w:p>
      <w:pPr>
        <w:pStyle w:val="Heading5"/>
        <w:spacing w:line="386" w:lineRule="auto" w:before="91"/>
        <w:ind w:right="1267" w:firstLine="420"/>
        <w:jc w:val="both"/>
      </w:pPr>
      <w:r>
        <w:rPr/>
        <w:t>罗争玉，</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8</w:t>
      </w:r>
      <w:r>
        <w:rPr/>
        <w:t>月生，中国国籍，无境外永久居留权。法学博士，哲学博士后，湘潭大学特聘 教授、博士生导师，北京大学文化产业研究院研究员。</w:t>
      </w:r>
      <w:r>
        <w:rPr>
          <w:rFonts w:ascii="Times New Roman" w:hAnsi="Times New Roman" w:cs="Times New Roman" w:eastAsia="Times New Roman" w:hint="default"/>
        </w:rPr>
        <w:t>“</w:t>
      </w:r>
      <w:r>
        <w:rPr/>
        <w:t>新世纪百千万人才工程</w:t>
      </w:r>
      <w:r>
        <w:rPr>
          <w:rFonts w:ascii="Times New Roman" w:hAnsi="Times New Roman" w:cs="Times New Roman" w:eastAsia="Times New Roman" w:hint="default"/>
        </w:rPr>
        <w:t>”</w:t>
      </w:r>
      <w:r>
        <w:rPr/>
        <w:t>国家级人选，享受国 务院特殊津贴的专家，全国新闻出版行业领军人才。</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月参加工作，先后任职湖南师范大学、</w:t>
      </w:r>
      <w:r>
        <w:rPr>
          <w:spacing w:val="-33"/>
        </w:rPr>
        <w:t> </w:t>
      </w:r>
      <w:r>
        <w:rPr>
          <w:spacing w:val="-33"/>
        </w:rPr>
      </w:r>
      <w:r>
        <w:rPr/>
        <w:t>湖南省新闻出版局、湖南出版集团；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月起任中国出版集团公司教材中心主任；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月起</w:t>
      </w:r>
      <w:r>
        <w:rPr>
          <w:spacing w:val="-30"/>
        </w:rPr>
        <w:t> </w:t>
      </w:r>
      <w:r>
        <w:rPr/>
        <w:t>任中版教材公司总经理；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月兼任华文出版社社长；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月至今任公司董事、 总裁。</w:t>
      </w:r>
    </w:p>
    <w:p>
      <w:pPr>
        <w:pStyle w:val="Heading5"/>
        <w:spacing w:line="400" w:lineRule="auto" w:before="104"/>
        <w:ind w:right="1272" w:firstLine="420"/>
        <w:jc w:val="both"/>
      </w:pPr>
      <w:r>
        <w:rPr>
          <w:spacing w:val="-3"/>
        </w:rPr>
        <w:t>罗争玉先生除参与公司第一期员工持股计划外，未直接持有公司股份；与其他持有</w:t>
      </w:r>
      <w:r>
        <w:rPr>
          <w:rFonts w:ascii="Times New Roman" w:hAnsi="Times New Roman" w:cs="Times New Roman" w:eastAsia="Times New Roman" w:hint="default"/>
          <w:spacing w:val="-3"/>
        </w:rPr>
        <w:t>5%</w:t>
      </w:r>
      <w:r>
        <w:rPr>
          <w:spacing w:val="-3"/>
        </w:rPr>
        <w:t>以上股份的</w:t>
      </w:r>
      <w:r>
        <w:rPr/>
        <w:t> </w:t>
      </w:r>
      <w:r>
        <w:rPr>
          <w:spacing w:val="-1"/>
        </w:rPr>
        <w:t>股东、公司实际控制人、其他董事、监事、高级管理人员不存在关联关系，未受过中国证监会及其他</w:t>
      </w:r>
      <w:r>
        <w:rPr>
          <w:spacing w:val="-88"/>
        </w:rPr>
        <w:t> </w:t>
      </w:r>
      <w:r>
        <w:rPr>
          <w:spacing w:val="-88"/>
        </w:rPr>
      </w:r>
      <w:r>
        <w:rPr>
          <w:spacing w:val="-1"/>
        </w:rPr>
        <w:t>有关部门的处罚和证券交易所惩戒，不存在《公司法》、《公司章程》以及中国证监会、深圳证券交</w:t>
      </w:r>
      <w:r>
        <w:rPr>
          <w:spacing w:val="-89"/>
        </w:rPr>
        <w:t> </w:t>
      </w:r>
      <w:r>
        <w:rPr>
          <w:spacing w:val="-89"/>
        </w:rPr>
      </w:r>
      <w:r>
        <w:rPr/>
        <w:t>易所有关规定中不得担任公司高级管理人员的情形。</w:t>
      </w:r>
    </w:p>
    <w:p>
      <w:pPr>
        <w:pStyle w:val="Heading5"/>
        <w:spacing w:line="386" w:lineRule="auto" w:before="91"/>
        <w:ind w:right="1270" w:firstLine="420"/>
        <w:jc w:val="both"/>
      </w:pPr>
      <w:r>
        <w:rPr>
          <w:spacing w:val="-1"/>
        </w:rPr>
        <w:t>刘爱明，男，</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12</w:t>
      </w:r>
      <w:r>
        <w:rPr>
          <w:spacing w:val="-1"/>
        </w:rPr>
        <w:t>月生，中国国籍，无境外永久居留权。中南大学商学院会计学副教授，会</w:t>
      </w:r>
      <w:r>
        <w:rPr/>
        <w:t> 计学博士，注册会计师，注册税务师。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月获得上市公司高级管理人员培训结业证，资格证书</w:t>
      </w:r>
      <w:r>
        <w:rPr>
          <w:spacing w:val="-34"/>
        </w:rPr>
        <w:t> </w:t>
      </w:r>
      <w:r>
        <w:rPr>
          <w:spacing w:val="-34"/>
        </w:rPr>
      </w:r>
      <w:r>
        <w:rPr>
          <w:spacing w:val="-1"/>
        </w:rPr>
        <w:t>号码为深交所公司高管（独立董事）培训字（</w:t>
      </w:r>
      <w:r>
        <w:rPr>
          <w:rFonts w:ascii="Times New Roman" w:hAnsi="Times New Roman" w:cs="Times New Roman" w:eastAsia="Times New Roman" w:hint="default"/>
          <w:spacing w:val="-1"/>
        </w:rPr>
        <w:t>1405812943</w:t>
      </w:r>
      <w:r>
        <w:rPr>
          <w:spacing w:val="-1"/>
        </w:rPr>
        <w:t>）。</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2</w:t>
      </w:r>
      <w:r>
        <w:rPr>
          <w:spacing w:val="-1"/>
        </w:rPr>
        <w:t>月在湖南省皮革集</w:t>
      </w:r>
      <w:r>
        <w:rPr>
          <w:spacing w:val="-83"/>
        </w:rPr>
        <w:t> </w:t>
      </w:r>
      <w:r>
        <w:rPr>
          <w:spacing w:val="-83"/>
        </w:rPr>
      </w:r>
      <w:r>
        <w:rPr/>
        <w:t>团公司财务部担任助理会计师，</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3</w:t>
      </w:r>
      <w:r>
        <w:rPr/>
        <w:t>月至今在长沙铁道学院、中南大学先后担任助教、讲师和副</w:t>
      </w:r>
      <w:r>
        <w:rPr>
          <w:spacing w:val="-36"/>
        </w:rPr>
        <w:t> </w:t>
      </w:r>
      <w:r>
        <w:rPr>
          <w:spacing w:val="-36"/>
        </w:rPr>
      </w:r>
      <w:r>
        <w:rPr>
          <w:spacing w:val="-1"/>
        </w:rPr>
        <w:t>教授。</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8</w:t>
      </w:r>
      <w:r>
        <w:rPr>
          <w:spacing w:val="-1"/>
        </w:rPr>
        <w:t>月至今在哈密市商业银行股份有限公司任独立董事，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月至今任公司董事会独立</w:t>
      </w:r>
      <w:r>
        <w:rPr>
          <w:spacing w:val="-86"/>
        </w:rPr>
        <w:t> </w:t>
      </w:r>
      <w:r>
        <w:rPr>
          <w:spacing w:val="-86"/>
        </w:rPr>
      </w:r>
      <w:r>
        <w:rPr>
          <w:spacing w:val="-1"/>
        </w:rPr>
        <w:t>董事，</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月起任湖南国科微电子股份公司独立董事。</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月起任力合科技（湖南）股份有</w:t>
      </w:r>
      <w:r>
        <w:rPr>
          <w:spacing w:val="-87"/>
        </w:rPr>
        <w:t> </w:t>
      </w:r>
      <w:r>
        <w:rPr>
          <w:spacing w:val="-87"/>
        </w:rPr>
      </w:r>
      <w:r>
        <w:rPr/>
        <w:t>限公司独立董事。</w:t>
      </w:r>
    </w:p>
    <w:p>
      <w:pPr>
        <w:pStyle w:val="Heading5"/>
        <w:spacing w:line="386" w:lineRule="auto" w:before="103"/>
        <w:ind w:right="1272" w:firstLine="420"/>
        <w:jc w:val="both"/>
      </w:pPr>
      <w:r>
        <w:rPr>
          <w:spacing w:val="-8"/>
        </w:rPr>
        <w:t>刘爱明先生未持有公司股份；与其他持有</w:t>
      </w:r>
      <w:r>
        <w:rPr>
          <w:rFonts w:ascii="Times New Roman" w:hAnsi="Times New Roman" w:cs="Times New Roman" w:eastAsia="Times New Roman" w:hint="default"/>
          <w:spacing w:val="-8"/>
        </w:rPr>
        <w:t>5%</w:t>
      </w:r>
      <w:r>
        <w:rPr>
          <w:spacing w:val="-8"/>
        </w:rPr>
        <w:t>以上股份的股东、公司实际控制人、其他董事、监事、</w:t>
      </w:r>
      <w:r>
        <w:rPr/>
        <w:t> </w:t>
      </w:r>
      <w:r>
        <w:rPr>
          <w:spacing w:val="-1"/>
        </w:rPr>
        <w:t>高级管理人员不存在关联关系，未受过中国证监会及其他有关部门的处罚和证券交易所惩戒，不存在</w:t>
      </w:r>
    </w:p>
    <w:p>
      <w:pPr>
        <w:pStyle w:val="Heading5"/>
        <w:spacing w:line="410" w:lineRule="auto" w:before="65"/>
        <w:ind w:right="1117"/>
        <w:jc w:val="left"/>
      </w:pPr>
      <w:r>
        <w:rPr>
          <w:spacing w:val="-1"/>
        </w:rPr>
        <w:t>《公司法》、《公司章程》以及中国证监会、深圳证券交易所有关规定中不得担任公司独立董事的情</w:t>
      </w:r>
      <w:r>
        <w:rPr>
          <w:spacing w:val="-88"/>
        </w:rPr>
        <w:t> </w:t>
      </w:r>
      <w:r>
        <w:rPr>
          <w:spacing w:val="-88"/>
        </w:rPr>
      </w:r>
      <w:r>
        <w:rPr/>
        <w:t>形。</w:t>
      </w:r>
    </w:p>
    <w:p>
      <w:pPr>
        <w:pStyle w:val="Heading5"/>
        <w:spacing w:line="386" w:lineRule="auto" w:before="83"/>
        <w:ind w:right="1271" w:firstLine="420"/>
        <w:jc w:val="both"/>
      </w:pPr>
      <w:r>
        <w:rPr/>
        <w:t>许中缘，男，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3</w:t>
      </w:r>
      <w:r>
        <w:rPr/>
        <w:t>月生，中国国籍，无境外永久居留权。中国人民大学法学博士，吉林大学 法学硕士、学士。</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月获得上市公司高级管理人员培训结业证，资格证书号码为深交所公司高</w:t>
      </w:r>
      <w:r>
        <w:rPr>
          <w:spacing w:val="-37"/>
        </w:rPr>
        <w:t> </w:t>
      </w:r>
      <w:r>
        <w:rPr>
          <w:spacing w:val="-37"/>
        </w:rPr>
      </w:r>
      <w:r>
        <w:rPr>
          <w:spacing w:val="-1"/>
        </w:rPr>
        <w:t>管（独立董事）培训字（</w:t>
      </w:r>
      <w:r>
        <w:rPr>
          <w:rFonts w:ascii="Times New Roman" w:hAnsi="Times New Roman" w:cs="Times New Roman" w:eastAsia="Times New Roman" w:hint="default"/>
          <w:spacing w:val="-1"/>
        </w:rPr>
        <w:t>1305010774</w:t>
      </w:r>
      <w:r>
        <w:rPr>
          <w:spacing w:val="-1"/>
        </w:rPr>
        <w:t>）。</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月在湖南大学法学院任副教授，</w:t>
      </w:r>
      <w:r>
        <w:rPr>
          <w:rFonts w:ascii="Times New Roman" w:hAnsi="Times New Roman" w:cs="Times New Roman" w:eastAsia="Times New Roman" w:hint="default"/>
          <w:spacing w:val="-1"/>
        </w:rPr>
        <w:t>2013</w:t>
      </w:r>
      <w:r>
        <w:rPr>
          <w:spacing w:val="-1"/>
        </w:rPr>
        <w:t>年</w:t>
      </w:r>
      <w:r>
        <w:rPr>
          <w:spacing w:val="-81"/>
        </w:rPr>
        <w:t> </w:t>
      </w:r>
      <w:r>
        <w:rPr>
          <w:rFonts w:ascii="Times New Roman" w:hAnsi="Times New Roman" w:cs="Times New Roman" w:eastAsia="Times New Roman" w:hint="default"/>
        </w:rPr>
        <w:t>8</w:t>
      </w:r>
      <w:r>
        <w:rPr/>
        <w:t>月至今在中南大学法学院任教授、博士生导师，中南大学升华学者，中南大学法学院院长助理。兼</w:t>
      </w:r>
    </w:p>
    <w:p>
      <w:pPr>
        <w:spacing w:after="0" w:line="386"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393" w:lineRule="auto" w:before="174"/>
        <w:ind w:right="1270"/>
        <w:jc w:val="both"/>
      </w:pPr>
      <w:r>
        <w:rPr>
          <w:spacing w:val="-1"/>
        </w:rPr>
        <w:t>任湖南省法学会民商法研究会副会长，湖南省人民检察院专家咨询委员会委员，江西理工大学文法学</w:t>
      </w:r>
      <w:r>
        <w:rPr>
          <w:spacing w:val="-88"/>
        </w:rPr>
        <w:t> </w:t>
      </w:r>
      <w:r>
        <w:rPr>
          <w:spacing w:val="-88"/>
        </w:rPr>
      </w:r>
      <w:r>
        <w:rPr/>
        <w:t>院名誉院长，入选湖南省青年社会科学研究</w:t>
      </w:r>
      <w:r>
        <w:rPr>
          <w:rFonts w:ascii="Times New Roman" w:hAnsi="Times New Roman" w:cs="Times New Roman" w:eastAsia="Times New Roman" w:hint="default"/>
        </w:rPr>
        <w:t>“</w:t>
      </w:r>
      <w:r>
        <w:rPr/>
        <w:t>百人工程</w:t>
      </w:r>
      <w:r>
        <w:rPr>
          <w:rFonts w:ascii="Times New Roman" w:hAnsi="Times New Roman" w:cs="Times New Roman" w:eastAsia="Times New Roman" w:hint="default"/>
        </w:rPr>
        <w:t>”</w:t>
      </w:r>
      <w:r>
        <w:rPr/>
        <w:t>项目。曾受教育部留学基金委委派，在巴黎第 十大学留学访问一年，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月至今任公司董事会独立董事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月起任湖南尔康制药股份有限</w:t>
      </w:r>
      <w:r>
        <w:rPr>
          <w:spacing w:val="-82"/>
        </w:rPr>
        <w:t> </w:t>
      </w:r>
      <w:r>
        <w:rPr>
          <w:spacing w:val="-82"/>
        </w:rPr>
      </w:r>
      <w:r>
        <w:rPr/>
        <w:t>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月起任江西理工大学文法学院名誉院长。</w:t>
      </w:r>
    </w:p>
    <w:p>
      <w:pPr>
        <w:pStyle w:val="Heading5"/>
        <w:spacing w:line="386" w:lineRule="auto" w:before="67"/>
        <w:ind w:right="1272" w:firstLine="420"/>
        <w:jc w:val="both"/>
      </w:pPr>
      <w:r>
        <w:rPr>
          <w:spacing w:val="-8"/>
        </w:rPr>
        <w:t>许中缘先生未持有公司股份；与其他持有</w:t>
      </w:r>
      <w:r>
        <w:rPr>
          <w:rFonts w:ascii="Times New Roman" w:hAnsi="Times New Roman" w:cs="Times New Roman" w:eastAsia="Times New Roman" w:hint="default"/>
          <w:spacing w:val="-8"/>
        </w:rPr>
        <w:t>5%</w:t>
      </w:r>
      <w:r>
        <w:rPr>
          <w:spacing w:val="-8"/>
        </w:rPr>
        <w:t>以上股份的股东、公司实际控制人、其他董事、监事、</w:t>
      </w:r>
      <w:r>
        <w:rPr/>
        <w:t> </w:t>
      </w:r>
      <w:r>
        <w:rPr>
          <w:spacing w:val="-1"/>
        </w:rPr>
        <w:t>高级管理人员不存在关联关系，未受过中国证监会及其他有关部门的处罚和证券交易所惩戒，不存在</w:t>
      </w:r>
    </w:p>
    <w:p>
      <w:pPr>
        <w:pStyle w:val="Heading5"/>
        <w:spacing w:line="410" w:lineRule="auto" w:before="65"/>
        <w:ind w:right="1271"/>
        <w:jc w:val="both"/>
      </w:pPr>
      <w:r>
        <w:rPr>
          <w:spacing w:val="-1"/>
        </w:rPr>
        <w:t>《公司法》、《公司章程》以及中国证监会、深圳证券交易所有关规定中不得担任公司独立董事的情</w:t>
      </w:r>
      <w:r>
        <w:rPr>
          <w:spacing w:val="-88"/>
        </w:rPr>
        <w:t> </w:t>
      </w:r>
      <w:r>
        <w:rPr>
          <w:spacing w:val="-88"/>
        </w:rPr>
      </w:r>
      <w:r>
        <w:rPr/>
        <w:t>形。</w:t>
      </w:r>
    </w:p>
    <w:p>
      <w:pPr>
        <w:pStyle w:val="Heading5"/>
        <w:spacing w:line="441" w:lineRule="auto" w:before="85"/>
        <w:ind w:left="1838" w:right="1279" w:firstLine="2"/>
        <w:jc w:val="left"/>
      </w:pPr>
      <w:r>
        <w:rPr>
          <w:rFonts w:ascii="宋体" w:hAnsi="宋体" w:cs="宋体" w:eastAsia="宋体" w:hint="default"/>
          <w:b/>
          <w:bCs/>
        </w:rPr>
        <w:t>二、监事会成员</w:t>
      </w:r>
      <w:r>
        <w:rPr>
          <w:rFonts w:ascii="宋体" w:hAnsi="宋体" w:cs="宋体" w:eastAsia="宋体" w:hint="default"/>
          <w:b/>
          <w:bCs/>
          <w:w w:val="99"/>
        </w:rPr>
        <w:t> </w:t>
      </w:r>
      <w:r>
        <w:rPr/>
        <w:t>周艳，女，</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5</w:t>
      </w:r>
      <w:r>
        <w:rPr/>
        <w:t>月生，中国国籍，无境外永久居留权。大专学历。</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月先后</w:t>
      </w:r>
    </w:p>
    <w:p>
      <w:pPr>
        <w:pStyle w:val="Heading5"/>
        <w:spacing w:line="273" w:lineRule="exact"/>
        <w:ind w:right="0"/>
        <w:jc w:val="both"/>
      </w:pPr>
      <w:r>
        <w:rPr/>
        <w:t>任职于望城县矿产品公司、望城县印刷厂会计、财务部经理，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月任职于湖南天鸿投资集团有</w:t>
      </w:r>
    </w:p>
    <w:p>
      <w:pPr>
        <w:pStyle w:val="Heading5"/>
        <w:spacing w:line="386" w:lineRule="auto" w:before="177"/>
        <w:ind w:right="1271"/>
        <w:jc w:val="both"/>
      </w:pPr>
      <w:r>
        <w:rPr>
          <w:spacing w:val="-1"/>
        </w:rPr>
        <w:t>限公司财务部，</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8</w:t>
      </w:r>
      <w:r>
        <w:rPr>
          <w:spacing w:val="-1"/>
        </w:rPr>
        <w:t>月起任天舟文化股份有限公司会计、财务部经理，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月起至今任天舟文</w:t>
      </w:r>
      <w:r>
        <w:rPr>
          <w:spacing w:val="-87"/>
        </w:rPr>
        <w:t> </w:t>
      </w:r>
      <w:r>
        <w:rPr/>
        <w:t>化股份有限公司监事会召集人。</w:t>
      </w:r>
    </w:p>
    <w:p>
      <w:pPr>
        <w:pStyle w:val="Heading5"/>
        <w:spacing w:line="393" w:lineRule="auto" w:before="103"/>
        <w:ind w:right="1270" w:firstLine="420"/>
        <w:jc w:val="both"/>
      </w:pPr>
      <w:r>
        <w:rPr>
          <w:spacing w:val="-2"/>
        </w:rPr>
        <w:t>周艳女士除参与公司第一期员工持股计划外，还直接持有本公司股票</w:t>
      </w:r>
      <w:r>
        <w:rPr>
          <w:rFonts w:ascii="Times New Roman" w:hAnsi="Times New Roman" w:cs="Times New Roman" w:eastAsia="Times New Roman" w:hint="default"/>
          <w:spacing w:val="-2"/>
        </w:rPr>
        <w:t>148,201</w:t>
      </w:r>
      <w:r>
        <w:rPr>
          <w:spacing w:val="-2"/>
        </w:rPr>
        <w:t>股，占公司总股本的</w:t>
      </w:r>
      <w:r>
        <w:rPr/>
        <w:t> </w:t>
      </w:r>
      <w:r>
        <w:rPr>
          <w:rFonts w:ascii="Times New Roman" w:hAnsi="Times New Roman" w:cs="Times New Roman" w:eastAsia="Times New Roman" w:hint="default"/>
          <w:spacing w:val="-1"/>
        </w:rPr>
        <w:t>0.02%</w:t>
      </w:r>
      <w:r>
        <w:rPr>
          <w:spacing w:val="-1"/>
        </w:rPr>
        <w:t>；与其他持有</w:t>
      </w:r>
      <w:r>
        <w:rPr>
          <w:rFonts w:ascii="Times New Roman" w:hAnsi="Times New Roman" w:cs="Times New Roman" w:eastAsia="Times New Roman" w:hint="default"/>
          <w:spacing w:val="-1"/>
        </w:rPr>
        <w:t>5%</w:t>
      </w:r>
      <w:r>
        <w:rPr>
          <w:spacing w:val="-1"/>
        </w:rPr>
        <w:t>以上股份的股东、公司实际控制人、公司其他董事、监事、高级管理人员不存</w:t>
      </w:r>
      <w:r>
        <w:rPr>
          <w:spacing w:val="-73"/>
        </w:rPr>
        <w:t> </w:t>
      </w:r>
      <w:r>
        <w:rPr>
          <w:spacing w:val="-73"/>
        </w:rPr>
      </w:r>
      <w:r>
        <w:rPr>
          <w:spacing w:val="-1"/>
        </w:rPr>
        <w:t>在关联关系，未受过中国证监会及其他有关部门的处罚和证券交易所惩戒，不存在《公司法》、《公</w:t>
      </w:r>
      <w:r>
        <w:rPr>
          <w:spacing w:val="-91"/>
        </w:rPr>
        <w:t> </w:t>
      </w:r>
      <w:r>
        <w:rPr>
          <w:spacing w:val="-91"/>
        </w:rPr>
      </w:r>
      <w:r>
        <w:rPr/>
        <w:t>司章程》以及中国证监会、深圳证券交易所有关规定中不得担任公司监事的情形。</w:t>
      </w:r>
    </w:p>
    <w:p>
      <w:pPr>
        <w:pStyle w:val="Heading5"/>
        <w:spacing w:line="391" w:lineRule="auto" w:before="98"/>
        <w:ind w:right="1270" w:firstLine="420"/>
        <w:jc w:val="both"/>
      </w:pPr>
      <w:r>
        <w:rPr/>
        <w:t>李剑，男，</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5</w:t>
      </w:r>
      <w:r>
        <w:rPr/>
        <w:t>月生，中国国籍，无境外永久居留权。北京航空航天大学经济管理专业双学 </w:t>
      </w:r>
      <w:r>
        <w:rPr>
          <w:spacing w:val="-1"/>
        </w:rPr>
        <w:t>士学历。</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10</w:t>
      </w:r>
      <w:r>
        <w:rPr>
          <w:spacing w:val="-1"/>
        </w:rPr>
        <w:t>月至</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10</w:t>
      </w:r>
      <w:r>
        <w:rPr>
          <w:spacing w:val="-1"/>
        </w:rPr>
        <w:t>月先后任烟台卓越机械有限公司会计、财务部经理，山东三鑫科技集</w:t>
      </w:r>
      <w:r>
        <w:rPr>
          <w:spacing w:val="-87"/>
        </w:rPr>
        <w:t> </w:t>
      </w:r>
      <w:r>
        <w:rPr>
          <w:spacing w:val="-87"/>
        </w:rPr>
      </w:r>
      <w:r>
        <w:rPr>
          <w:spacing w:val="-1"/>
        </w:rPr>
        <w:t>团股份有限公司财务部副经理，深圳中衡会计师事务所三部副经理，湖南新五丰股份有限公司主管会</w:t>
      </w:r>
      <w:r>
        <w:rPr>
          <w:spacing w:val="-89"/>
        </w:rPr>
        <w:t> </w:t>
      </w:r>
      <w:r>
        <w:rPr>
          <w:spacing w:val="-89"/>
        </w:rPr>
      </w:r>
      <w:r>
        <w:rPr>
          <w:spacing w:val="-1"/>
        </w:rPr>
        <w:t>计、审计主管，长沙鸿发印务有限公司总经理助理、财务部经理，</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10</w:t>
      </w:r>
      <w:r>
        <w:rPr>
          <w:spacing w:val="-1"/>
        </w:rPr>
        <w:t>月至今先后任职湖南天鸿</w:t>
      </w:r>
      <w:r>
        <w:rPr>
          <w:spacing w:val="-86"/>
        </w:rPr>
        <w:t> </w:t>
      </w:r>
      <w:r>
        <w:rPr>
          <w:spacing w:val="-86"/>
        </w:rPr>
      </w:r>
      <w:r>
        <w:rPr/>
        <w:t>投资有限公司财务部副经理、经理，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月起至今任天舟文化股份有限公司监事会监事。</w:t>
      </w:r>
    </w:p>
    <w:p>
      <w:pPr>
        <w:pStyle w:val="Heading5"/>
        <w:spacing w:line="386" w:lineRule="auto" w:before="30"/>
        <w:ind w:right="1175" w:firstLine="420"/>
        <w:jc w:val="both"/>
      </w:pPr>
      <w:r>
        <w:rPr>
          <w:spacing w:val="-2"/>
        </w:rPr>
        <w:t>李剑先生及其配偶合计持有本公司</w:t>
      </w:r>
      <w:r>
        <w:rPr>
          <w:rFonts w:ascii="Times New Roman" w:hAnsi="Times New Roman" w:cs="Times New Roman" w:eastAsia="Times New Roman" w:hint="default"/>
          <w:spacing w:val="-2"/>
        </w:rPr>
        <w:t>4,030</w:t>
      </w:r>
      <w:r>
        <w:rPr>
          <w:spacing w:val="-2"/>
        </w:rPr>
        <w:t>股股份，在控股股东湖南天鸿投资集团有限公司担任财务</w:t>
      </w:r>
      <w:r>
        <w:rPr/>
        <w:t> </w:t>
      </w:r>
      <w:r>
        <w:rPr>
          <w:spacing w:val="-3"/>
        </w:rPr>
        <w:t>部经理职务；与其他持有</w:t>
      </w:r>
      <w:r>
        <w:rPr>
          <w:rFonts w:ascii="Times New Roman" w:hAnsi="Times New Roman" w:cs="Times New Roman" w:eastAsia="Times New Roman" w:hint="default"/>
          <w:spacing w:val="-3"/>
        </w:rPr>
        <w:t>5%</w:t>
      </w:r>
      <w:r>
        <w:rPr>
          <w:spacing w:val="-3"/>
        </w:rPr>
        <w:t>以上股份的股东、公司实际控制人、公司其他董事、监事、高级管理人员</w:t>
      </w:r>
      <w:r>
        <w:rPr>
          <w:spacing w:val="-72"/>
        </w:rPr>
        <w:t> </w:t>
      </w:r>
      <w:r>
        <w:rPr>
          <w:spacing w:val="-72"/>
        </w:rPr>
      </w:r>
      <w:r>
        <w:rPr/>
        <w:t>不存在关联关系，未受过中国证监会及其他有关部门的处罚和证券交易所惩戒，不存在《公司法》、</w:t>
      </w:r>
    </w:p>
    <w:p>
      <w:pPr>
        <w:pStyle w:val="Heading5"/>
        <w:spacing w:line="408" w:lineRule="auto" w:before="65"/>
        <w:ind w:left="1838" w:right="1335" w:hanging="421"/>
        <w:jc w:val="left"/>
      </w:pPr>
      <w:r>
        <w:rPr/>
        <w:t>《公司章程》以及中国证监会、深圳证券交易所有关规定中不得担任公司监事的情形。 张桂叶，女，</w:t>
      </w:r>
      <w:r>
        <w:rPr>
          <w:spacing w:val="-2"/>
        </w:rPr>
        <w:t> </w:t>
      </w:r>
      <w:r>
        <w:rPr>
          <w:rFonts w:ascii="Times New Roman" w:hAnsi="Times New Roman" w:cs="Times New Roman" w:eastAsia="Times New Roman" w:hint="default"/>
        </w:rPr>
        <w:t>1982</w:t>
      </w:r>
      <w:r>
        <w:rPr/>
        <w:t>年生，湖南大学工商行政管理研究生、会计师、高级发行员。</w:t>
      </w:r>
      <w:r>
        <w:rPr>
          <w:rFonts w:ascii="Times New Roman" w:hAnsi="Times New Roman" w:cs="Times New Roman" w:eastAsia="Times New Roman" w:hint="default"/>
        </w:rPr>
        <w:t>2004</w:t>
      </w:r>
      <w:r>
        <w:rPr/>
        <w:t>年任长沙</w:t>
      </w:r>
    </w:p>
    <w:p>
      <w:pPr>
        <w:pStyle w:val="Heading5"/>
        <w:spacing w:line="386" w:lineRule="auto" w:before="14"/>
        <w:ind w:right="1159"/>
        <w:jc w:val="left"/>
      </w:pPr>
      <w:r>
        <w:rPr>
          <w:spacing w:val="-3"/>
        </w:rPr>
        <w:t>晚报报业集团东方新报社会计，</w:t>
      </w:r>
      <w:r>
        <w:rPr>
          <w:rFonts w:ascii="Times New Roman" w:hAnsi="Times New Roman" w:cs="Times New Roman" w:eastAsia="Times New Roman" w:hint="default"/>
          <w:spacing w:val="-3"/>
        </w:rPr>
        <w:t>2005</w:t>
      </w:r>
      <w:r>
        <w:rPr>
          <w:spacing w:val="-3"/>
        </w:rPr>
        <w:t>年起历任天舟文化股份有限公司总经理助理、公司业务部副经理、</w:t>
      </w:r>
      <w:r>
        <w:rPr>
          <w:spacing w:val="-97"/>
        </w:rPr>
        <w:t> </w:t>
      </w:r>
      <w:r>
        <w:rPr>
          <w:spacing w:val="-97"/>
        </w:rPr>
      </w:r>
      <w:r>
        <w:rPr>
          <w:spacing w:val="-6"/>
        </w:rPr>
        <w:t>衡阳分公司总经理、湖南第二分公司总经理。现任天舟文化股份有限公司监事会职工监事、总裁助理、</w:t>
      </w:r>
    </w:p>
    <w:p>
      <w:pPr>
        <w:spacing w:after="0" w:line="386"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408" w:lineRule="auto" w:before="174"/>
        <w:ind w:left="1838" w:right="1117" w:hanging="421"/>
        <w:jc w:val="left"/>
      </w:pPr>
      <w:r>
        <w:rPr/>
        <w:t>湖南分公司常务副总经理。 </w:t>
      </w:r>
      <w:r>
        <w:rPr>
          <w:spacing w:val="-3"/>
        </w:rPr>
        <w:t>张桂叶女士除参与公司第一期员工持股计划外，未直接持有公司股份；与其他持有</w:t>
      </w:r>
      <w:r>
        <w:rPr>
          <w:rFonts w:ascii="Times New Roman" w:hAnsi="Times New Roman" w:cs="Times New Roman" w:eastAsia="Times New Roman" w:hint="default"/>
          <w:spacing w:val="-3"/>
        </w:rPr>
        <w:t>5%</w:t>
      </w:r>
      <w:r>
        <w:rPr>
          <w:spacing w:val="-3"/>
        </w:rPr>
        <w:t>以上股份的</w:t>
      </w:r>
    </w:p>
    <w:p>
      <w:pPr>
        <w:pStyle w:val="Heading5"/>
        <w:spacing w:line="408" w:lineRule="auto" w:before="14"/>
        <w:ind w:right="1272"/>
        <w:jc w:val="both"/>
      </w:pPr>
      <w:r>
        <w:rPr>
          <w:spacing w:val="-1"/>
        </w:rPr>
        <w:t>股东、公司实际控制人、其他董事、监事、高级管理人员不存在关联关系，未受过中国证监会及其他</w:t>
      </w:r>
      <w:r>
        <w:rPr>
          <w:spacing w:val="-88"/>
        </w:rPr>
        <w:t> </w:t>
      </w:r>
      <w:r>
        <w:rPr>
          <w:spacing w:val="-88"/>
        </w:rPr>
      </w:r>
      <w:r>
        <w:rPr>
          <w:spacing w:val="-1"/>
        </w:rPr>
        <w:t>有关部门的处罚和证券交易所惩戒，不存在《公司法》、《公司章程》以及中国证监会、深圳证券交</w:t>
      </w:r>
      <w:r>
        <w:rPr>
          <w:spacing w:val="-89"/>
        </w:rPr>
        <w:t> </w:t>
      </w:r>
      <w:r>
        <w:rPr>
          <w:spacing w:val="-89"/>
        </w:rPr>
      </w:r>
      <w:r>
        <w:rPr/>
        <w:t>易所有关规定中不得担任公司高级管理人员的情形。</w:t>
      </w:r>
    </w:p>
    <w:p>
      <w:pPr>
        <w:spacing w:line="417" w:lineRule="auto" w:before="87"/>
        <w:ind w:left="1838" w:right="6088" w:firstLine="2"/>
        <w:jc w:val="left"/>
        <w:rPr>
          <w:rFonts w:ascii="宋体" w:hAnsi="宋体" w:cs="宋体" w:eastAsia="宋体" w:hint="default"/>
          <w:sz w:val="21"/>
          <w:szCs w:val="21"/>
        </w:rPr>
      </w:pPr>
      <w:r>
        <w:rPr>
          <w:rFonts w:ascii="宋体" w:hAnsi="宋体" w:cs="宋体" w:eastAsia="宋体" w:hint="default"/>
          <w:b/>
          <w:bCs/>
          <w:sz w:val="21"/>
          <w:szCs w:val="21"/>
        </w:rPr>
        <w:t>三、高级管理人员</w:t>
      </w:r>
      <w:r>
        <w:rPr>
          <w:rFonts w:ascii="宋体" w:hAnsi="宋体" w:cs="宋体" w:eastAsia="宋体" w:hint="default"/>
          <w:b/>
          <w:bCs/>
          <w:w w:val="99"/>
          <w:sz w:val="21"/>
          <w:szCs w:val="21"/>
        </w:rPr>
        <w:t> </w:t>
      </w:r>
      <w:r>
        <w:rPr>
          <w:rFonts w:ascii="宋体" w:hAnsi="宋体" w:cs="宋体" w:eastAsia="宋体" w:hint="default"/>
          <w:sz w:val="21"/>
          <w:szCs w:val="21"/>
        </w:rPr>
        <w:t>罗争玉（</w:t>
      </w:r>
      <w:r>
        <w:rPr>
          <w:rFonts w:ascii="宋体" w:hAnsi="宋体" w:cs="宋体" w:eastAsia="宋体" w:hint="default"/>
          <w:sz w:val="23"/>
          <w:szCs w:val="23"/>
        </w:rPr>
        <w:t>与前述董事</w:t>
      </w:r>
      <w:r>
        <w:rPr>
          <w:rFonts w:ascii="宋体" w:hAnsi="宋体" w:cs="宋体" w:eastAsia="宋体" w:hint="default"/>
          <w:sz w:val="21"/>
          <w:szCs w:val="21"/>
        </w:rPr>
        <w:t>罗争玉</w:t>
      </w:r>
      <w:r>
        <w:rPr>
          <w:rFonts w:ascii="宋体" w:hAnsi="宋体" w:cs="宋体" w:eastAsia="宋体" w:hint="default"/>
          <w:sz w:val="23"/>
          <w:szCs w:val="23"/>
        </w:rPr>
        <w:t>简历一致</w:t>
      </w:r>
      <w:r>
        <w:rPr>
          <w:rFonts w:ascii="宋体" w:hAnsi="宋体" w:cs="宋体" w:eastAsia="宋体" w:hint="default"/>
          <w:sz w:val="21"/>
          <w:szCs w:val="21"/>
        </w:rPr>
        <w:t>。）</w:t>
      </w:r>
      <w:r>
        <w:rPr>
          <w:rFonts w:ascii="宋体" w:hAnsi="宋体" w:cs="宋体" w:eastAsia="宋体" w:hint="default"/>
          <w:sz w:val="21"/>
          <w:szCs w:val="21"/>
        </w:rPr>
        <w:t> 袁雄贵（</w:t>
      </w:r>
      <w:r>
        <w:rPr>
          <w:rFonts w:ascii="宋体" w:hAnsi="宋体" w:cs="宋体" w:eastAsia="宋体" w:hint="default"/>
          <w:sz w:val="23"/>
          <w:szCs w:val="23"/>
        </w:rPr>
        <w:t>与前述董事</w:t>
      </w:r>
      <w:r>
        <w:rPr>
          <w:rFonts w:ascii="宋体" w:hAnsi="宋体" w:cs="宋体" w:eastAsia="宋体" w:hint="default"/>
          <w:sz w:val="21"/>
          <w:szCs w:val="21"/>
        </w:rPr>
        <w:t>袁雄贵</w:t>
      </w:r>
      <w:r>
        <w:rPr>
          <w:rFonts w:ascii="宋体" w:hAnsi="宋体" w:cs="宋体" w:eastAsia="宋体" w:hint="default"/>
          <w:sz w:val="23"/>
          <w:szCs w:val="23"/>
        </w:rPr>
        <w:t>简历一致</w:t>
      </w:r>
      <w:r>
        <w:rPr>
          <w:rFonts w:ascii="宋体" w:hAnsi="宋体" w:cs="宋体" w:eastAsia="宋体" w:hint="default"/>
          <w:sz w:val="21"/>
          <w:szCs w:val="21"/>
        </w:rPr>
        <w:t>。）</w:t>
      </w:r>
    </w:p>
    <w:p>
      <w:pPr>
        <w:pStyle w:val="Heading5"/>
        <w:spacing w:line="386" w:lineRule="auto" w:before="50"/>
        <w:ind w:right="1270" w:firstLine="420"/>
        <w:jc w:val="both"/>
      </w:pPr>
      <w:r>
        <w:rPr/>
        <w:t>张建武，</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8</w:t>
      </w:r>
      <w:r>
        <w:rPr/>
        <w:t>月出生，中国国籍，无境外永久居留权。毕业于湖南大学，大学本科学历，高 </w:t>
      </w:r>
      <w:r>
        <w:rPr>
          <w:spacing w:val="-1"/>
        </w:rPr>
        <w:t>级会计师，湖南财政经济学院兼职教授。</w:t>
      </w:r>
      <w:r>
        <w:rPr>
          <w:rFonts w:ascii="Times New Roman" w:hAnsi="Times New Roman" w:cs="Times New Roman" w:eastAsia="Times New Roman" w:hint="default"/>
          <w:spacing w:val="-1"/>
        </w:rPr>
        <w:t>1997</w:t>
      </w:r>
      <w:r>
        <w:rPr>
          <w:spacing w:val="-1"/>
        </w:rPr>
        <w:t>年进入中国汽车工业总公司长沙汽车电汽厂总厂财务处</w:t>
      </w:r>
      <w:r>
        <w:rPr>
          <w:spacing w:val="-87"/>
        </w:rPr>
        <w:t> </w:t>
      </w:r>
      <w:r>
        <w:rPr/>
        <w:t>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月进入北大方正电子有限公司长沙分公司财务部工作；</w:t>
      </w:r>
      <w:r>
        <w:rPr>
          <w:rFonts w:ascii="Times New Roman" w:hAnsi="Times New Roman" w:cs="Times New Roman" w:eastAsia="Times New Roman" w:hint="default"/>
        </w:rPr>
        <w:t>2005</w:t>
      </w:r>
      <w:r>
        <w:rPr/>
        <w:t>年进入学海集团担任财务</w:t>
      </w:r>
      <w:r>
        <w:rPr>
          <w:spacing w:val="-36"/>
        </w:rPr>
        <w:t> </w:t>
      </w:r>
      <w:r>
        <w:rPr>
          <w:spacing w:val="-36"/>
        </w:rPr>
      </w:r>
      <w:r>
        <w:rPr>
          <w:spacing w:val="-3"/>
        </w:rPr>
        <w:t>总监职务工作；</w:t>
      </w:r>
      <w:r>
        <w:rPr>
          <w:rFonts w:ascii="Times New Roman" w:hAnsi="Times New Roman" w:cs="Times New Roman" w:eastAsia="Times New Roman" w:hint="default"/>
          <w:spacing w:val="-3"/>
        </w:rPr>
        <w:t>2011</w:t>
      </w:r>
      <w:r>
        <w:rPr>
          <w:spacing w:val="-3"/>
        </w:rPr>
        <w:t>年至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月进入湖南天鸿投资集团有限公司担任财务总监、副总裁职务；</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34"/>
        </w:rPr>
        <w:t> </w:t>
      </w:r>
      <w:r>
        <w:rPr/>
        <w:t>年</w:t>
      </w:r>
      <w:r>
        <w:rPr>
          <w:rFonts w:ascii="Times New Roman" w:hAnsi="Times New Roman" w:cs="Times New Roman" w:eastAsia="Times New Roman" w:hint="default"/>
        </w:rPr>
        <w:t>1</w:t>
      </w:r>
      <w:r>
        <w:rPr/>
        <w:t>月至今任公司常务副总裁。</w:t>
      </w:r>
    </w:p>
    <w:p>
      <w:pPr>
        <w:pStyle w:val="Heading5"/>
        <w:spacing w:line="400" w:lineRule="auto" w:before="75"/>
        <w:ind w:right="1270" w:firstLine="420"/>
        <w:jc w:val="both"/>
      </w:pPr>
      <w:r>
        <w:rPr>
          <w:spacing w:val="-3"/>
        </w:rPr>
        <w:t>张建武先生除参与公司第一期员工持股计划外，未直接持有公司股份；与其他持有</w:t>
      </w:r>
      <w:r>
        <w:rPr>
          <w:rFonts w:ascii="Times New Roman" w:hAnsi="Times New Roman" w:cs="Times New Roman" w:eastAsia="Times New Roman" w:hint="default"/>
          <w:spacing w:val="-3"/>
        </w:rPr>
        <w:t>5%</w:t>
      </w:r>
      <w:r>
        <w:rPr>
          <w:spacing w:val="-3"/>
        </w:rPr>
        <w:t>以上股份的</w:t>
      </w:r>
      <w:r>
        <w:rPr/>
        <w:t> </w:t>
      </w:r>
      <w:r>
        <w:rPr>
          <w:spacing w:val="-1"/>
        </w:rPr>
        <w:t>股东、公司实际控制人、其他董事、监事、高级管理人员不存在关联关系，未受过中国证监会及其他</w:t>
      </w:r>
      <w:r>
        <w:rPr>
          <w:spacing w:val="-87"/>
        </w:rPr>
        <w:t> </w:t>
      </w:r>
      <w:r>
        <w:rPr>
          <w:spacing w:val="-87"/>
        </w:rPr>
      </w:r>
      <w:r>
        <w:rPr>
          <w:spacing w:val="-1"/>
        </w:rPr>
        <w:t>有关部门的处罚和证券交易所惩戒，不存在《公司法》、《公司章程》以及中国证监会、深圳证券交</w:t>
      </w:r>
      <w:r>
        <w:rPr>
          <w:spacing w:val="-89"/>
        </w:rPr>
        <w:t> </w:t>
      </w:r>
      <w:r>
        <w:rPr>
          <w:spacing w:val="-89"/>
        </w:rPr>
      </w:r>
      <w:r>
        <w:rPr/>
        <w:t>易所有关规定中不得担任公司高级管理人员的情形。</w:t>
      </w:r>
    </w:p>
    <w:p>
      <w:pPr>
        <w:pStyle w:val="Heading5"/>
        <w:spacing w:line="393" w:lineRule="auto" w:before="91"/>
        <w:ind w:right="1272" w:firstLine="420"/>
        <w:jc w:val="both"/>
      </w:pPr>
      <w:r>
        <w:rPr>
          <w:spacing w:val="-1"/>
        </w:rPr>
        <w:t>陈四清，</w:t>
      </w:r>
      <w:r>
        <w:rPr>
          <w:rFonts w:ascii="Times New Roman" w:hAnsi="Times New Roman" w:cs="Times New Roman" w:eastAsia="Times New Roman" w:hint="default"/>
          <w:spacing w:val="-1"/>
        </w:rPr>
        <w:t>1965</w:t>
      </w:r>
      <w:r>
        <w:rPr>
          <w:spacing w:val="-1"/>
        </w:rPr>
        <w:t>年生，本科学历；会计师、国际财务管理师；湖南省出版工作者协会常务理事。曾</w:t>
      </w:r>
      <w:r>
        <w:rPr/>
        <w:t> </w:t>
      </w:r>
      <w:r>
        <w:rPr>
          <w:spacing w:val="-1"/>
        </w:rPr>
        <w:t>任湖南省浦沅集团财务部副部长，中联重科工程起重机公司财务部主任，湖南天鸿投资有限公司财务</w:t>
      </w:r>
      <w:r>
        <w:rPr>
          <w:spacing w:val="-89"/>
        </w:rPr>
        <w:t> </w:t>
      </w:r>
      <w:r>
        <w:rPr>
          <w:spacing w:val="-89"/>
        </w:rPr>
      </w:r>
      <w:r>
        <w:rPr>
          <w:spacing w:val="-1"/>
        </w:rPr>
        <w:t>部经理。</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月任本公司财务总监；</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月兼任公司副总经理；</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月兼任湖</w:t>
      </w:r>
      <w:r>
        <w:rPr>
          <w:spacing w:val="-83"/>
        </w:rPr>
        <w:t> </w:t>
      </w:r>
      <w:r>
        <w:rPr>
          <w:spacing w:val="-83"/>
        </w:rPr>
      </w:r>
      <w:r>
        <w:rPr/>
        <w:t>南分公司总经理。现任公司副总裁、湖南分公司总经理。</w:t>
      </w:r>
    </w:p>
    <w:p>
      <w:pPr>
        <w:pStyle w:val="Heading5"/>
        <w:spacing w:line="393" w:lineRule="auto" w:before="97"/>
        <w:ind w:right="0" w:firstLine="420"/>
        <w:jc w:val="left"/>
      </w:pPr>
      <w:r>
        <w:rPr>
          <w:spacing w:val="-5"/>
        </w:rPr>
        <w:t>陈四清先生出参与公司第一期员工持股计划外，还持有公司</w:t>
      </w:r>
      <w:r>
        <w:rPr>
          <w:rFonts w:ascii="Times New Roman" w:hAnsi="Times New Roman" w:cs="Times New Roman" w:eastAsia="Times New Roman" w:hint="default"/>
          <w:spacing w:val="-5"/>
        </w:rPr>
        <w:t>180,179</w:t>
      </w:r>
      <w:r>
        <w:rPr>
          <w:spacing w:val="-5"/>
        </w:rPr>
        <w:t>股股份，占公司总股本的</w:t>
      </w:r>
      <w:r>
        <w:rPr>
          <w:rFonts w:ascii="Times New Roman" w:hAnsi="Times New Roman" w:cs="Times New Roman" w:eastAsia="Times New Roman" w:hint="default"/>
          <w:spacing w:val="-5"/>
        </w:rPr>
        <w:t>0.02%</w:t>
      </w:r>
      <w:r>
        <w:rPr>
          <w:spacing w:val="-5"/>
        </w:rPr>
        <w:t>；</w:t>
      </w:r>
      <w:r>
        <w:rPr/>
        <w:t> 与其他持有</w:t>
      </w:r>
      <w:r>
        <w:rPr>
          <w:rFonts w:ascii="Times New Roman" w:hAnsi="Times New Roman" w:cs="Times New Roman" w:eastAsia="Times New Roman" w:hint="default"/>
        </w:rPr>
        <w:t>5%</w:t>
      </w:r>
      <w:r>
        <w:rPr/>
        <w:t>以上股份的股东、公司实际控制人、其他董事、监事、高级管理人员不存在关联关系，</w:t>
      </w:r>
      <w:r>
        <w:rPr>
          <w:spacing w:val="-99"/>
        </w:rPr>
        <w:t> </w:t>
      </w:r>
      <w:r>
        <w:rPr>
          <w:spacing w:val="-99"/>
        </w:rPr>
      </w:r>
      <w:r>
        <w:rPr/>
        <w:t>未受过中国证监会及其他有关部门的处罚和证券交易所惩戒，不存在《公司法》、《公司章程》以及</w:t>
      </w:r>
      <w:r>
        <w:rPr/>
        <w:t> 中国证监会、深圳证券交易所有关规定中不得担任公司高级管理人员的情形。</w:t>
      </w:r>
    </w:p>
    <w:p>
      <w:pPr>
        <w:pStyle w:val="Heading5"/>
        <w:spacing w:line="386" w:lineRule="auto" w:before="98"/>
        <w:ind w:right="1270" w:firstLine="420"/>
        <w:jc w:val="both"/>
      </w:pPr>
      <w:r>
        <w:rPr>
          <w:spacing w:val="-1"/>
        </w:rPr>
        <w:t>张葵，</w:t>
      </w:r>
      <w:r>
        <w:rPr>
          <w:rFonts w:ascii="Times New Roman" w:hAnsi="Times New Roman" w:cs="Times New Roman" w:eastAsia="Times New Roman" w:hint="default"/>
          <w:spacing w:val="-1"/>
        </w:rPr>
        <w:t>1960</w:t>
      </w:r>
      <w:r>
        <w:rPr>
          <w:spacing w:val="-1"/>
        </w:rPr>
        <w:t>年生，研究生学历；高级会计师，高级国际财务管理师，国际注册高级会计师，注册</w:t>
      </w:r>
      <w:r>
        <w:rPr/>
        <w:t> 纳税筹划师。历任湖南计算机厂财务部主管会计、财务部副经理、经理。</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月任长城</w:t>
      </w:r>
      <w:r>
        <w:rPr>
          <w:spacing w:val="-33"/>
        </w:rPr>
        <w:t> </w:t>
      </w:r>
      <w:r>
        <w:rPr>
          <w:spacing w:val="-33"/>
        </w:rPr>
      </w:r>
      <w:r>
        <w:rPr/>
        <w:t>信息产业股份有限公司财务部部长，</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月任长城信息财务总监，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2016</w:t>
      </w:r>
      <w:r>
        <w:rPr>
          <w:rFonts w:ascii="Times New Roman" w:hAnsi="Times New Roman" w:cs="Times New Roman" w:eastAsia="Times New Roman" w:hint="default"/>
          <w:spacing w:val="22"/>
        </w:rPr>
        <w:t> </w:t>
      </w:r>
      <w:r>
        <w:rPr>
          <w:spacing w:val="-1"/>
        </w:rPr>
        <w:t>年</w:t>
      </w:r>
      <w:r>
        <w:rPr>
          <w:rFonts w:ascii="Times New Roman" w:hAnsi="Times New Roman" w:cs="Times New Roman" w:eastAsia="Times New Roman" w:hint="default"/>
          <w:spacing w:val="-1"/>
        </w:rPr>
        <w:t>4</w:t>
      </w:r>
      <w:r>
        <w:rPr>
          <w:spacing w:val="-1"/>
        </w:rPr>
        <w:t>月任长城信息监事、工会主席（兼长沙中电软件园有限公司副总经理）。</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月至今任公司财</w:t>
      </w:r>
    </w:p>
    <w:p>
      <w:pPr>
        <w:spacing w:after="0" w:line="386"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240" w:lineRule="auto" w:before="175"/>
        <w:ind w:right="1117"/>
        <w:jc w:val="left"/>
      </w:pPr>
      <w:r>
        <w:rPr/>
        <w:t>务总监。</w:t>
      </w:r>
    </w:p>
    <w:p>
      <w:pPr>
        <w:spacing w:line="240" w:lineRule="auto" w:before="9"/>
        <w:rPr>
          <w:rFonts w:ascii="宋体" w:hAnsi="宋体" w:cs="宋体" w:eastAsia="宋体" w:hint="default"/>
          <w:sz w:val="17"/>
          <w:szCs w:val="17"/>
        </w:rPr>
      </w:pPr>
    </w:p>
    <w:p>
      <w:pPr>
        <w:pStyle w:val="Heading5"/>
        <w:spacing w:line="400" w:lineRule="auto"/>
        <w:ind w:right="1272" w:firstLine="420"/>
        <w:jc w:val="both"/>
      </w:pPr>
      <w:r>
        <w:rPr>
          <w:spacing w:val="-3"/>
        </w:rPr>
        <w:t>张葵女士除参与公司第一期员工持股计划外，未直接持有公司股份；与其他持有</w:t>
      </w:r>
      <w:r>
        <w:rPr>
          <w:rFonts w:ascii="Times New Roman" w:hAnsi="Times New Roman" w:cs="Times New Roman" w:eastAsia="Times New Roman" w:hint="default"/>
          <w:spacing w:val="-3"/>
        </w:rPr>
        <w:t>5%</w:t>
      </w:r>
      <w:r>
        <w:rPr>
          <w:spacing w:val="-3"/>
        </w:rPr>
        <w:t>以上股份的股</w:t>
      </w:r>
      <w:r>
        <w:rPr/>
        <w:t> </w:t>
      </w:r>
      <w:r>
        <w:rPr>
          <w:spacing w:val="-1"/>
        </w:rPr>
        <w:t>东、公司实际控制人、其他董事、监事、高级管理人员不存在关联关系，未受过中国证监会及其他有</w:t>
      </w:r>
      <w:r>
        <w:rPr>
          <w:spacing w:val="-88"/>
        </w:rPr>
        <w:t> </w:t>
      </w:r>
      <w:r>
        <w:rPr>
          <w:spacing w:val="-88"/>
        </w:rPr>
      </w:r>
      <w:r>
        <w:rPr>
          <w:spacing w:val="-1"/>
        </w:rPr>
        <w:t>关部门的处罚和证券交易所惩戒，不存在《公司法》、《公司章程》以及中国证监会、深圳证券交易</w:t>
      </w:r>
      <w:r>
        <w:rPr>
          <w:spacing w:val="-89"/>
        </w:rPr>
        <w:t> </w:t>
      </w:r>
      <w:r>
        <w:rPr>
          <w:spacing w:val="-89"/>
        </w:rPr>
      </w:r>
      <w:r>
        <w:rPr/>
        <w:t>所有关规定中不得担任公司高级管理人员的情形。</w:t>
      </w:r>
    </w:p>
    <w:p>
      <w:pPr>
        <w:pStyle w:val="Heading5"/>
        <w:spacing w:line="386" w:lineRule="auto" w:before="92"/>
        <w:ind w:right="1270" w:firstLine="420"/>
        <w:jc w:val="both"/>
      </w:pPr>
      <w:r>
        <w:rPr/>
        <w:t>杨灏，</w:t>
      </w:r>
      <w:r>
        <w:rPr>
          <w:rFonts w:ascii="Times New Roman" w:hAnsi="Times New Roman" w:cs="Times New Roman" w:eastAsia="Times New Roman" w:hint="default"/>
        </w:rPr>
        <w:t>1975</w:t>
      </w:r>
      <w:r>
        <w:rPr/>
        <w:t>年生，毕业于湖南大学，硕士研究生学历。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月进入乐金飞利浦曙光财务部工 </w:t>
      </w:r>
      <w:r>
        <w:rPr>
          <w:spacing w:val="-1"/>
        </w:rPr>
        <w:t>作；</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6</w:t>
      </w:r>
      <w:r>
        <w:rPr>
          <w:spacing w:val="-1"/>
        </w:rPr>
        <w:t>月进入金果实业股份有限公司证券部工作；</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9</w:t>
      </w:r>
      <w:r>
        <w:rPr>
          <w:spacing w:val="-1"/>
        </w:rPr>
        <w:t>月起任长城信息产业股份有限公司证</w:t>
      </w:r>
      <w:r>
        <w:rPr>
          <w:spacing w:val="-83"/>
        </w:rPr>
        <w:t> </w:t>
      </w:r>
      <w:r>
        <w:rPr>
          <w:spacing w:val="-83"/>
        </w:rPr>
      </w:r>
      <w:r>
        <w:rPr>
          <w:spacing w:val="-1"/>
        </w:rPr>
        <w:t>券事务代表，</w:t>
      </w:r>
      <w:r>
        <w:rPr>
          <w:rFonts w:ascii="Times New Roman" w:hAnsi="Times New Roman" w:cs="Times New Roman" w:eastAsia="Times New Roman" w:hint="default"/>
          <w:spacing w:val="-1"/>
        </w:rPr>
        <w:t>2011</w:t>
      </w:r>
      <w:r>
        <w:rPr>
          <w:spacing w:val="-1"/>
        </w:rPr>
        <w:t>年起任长城信息董事会办公室负责人，</w:t>
      </w:r>
      <w:r>
        <w:rPr>
          <w:rFonts w:ascii="Times New Roman" w:hAnsi="Times New Roman" w:cs="Times New Roman" w:eastAsia="Times New Roman" w:hint="default"/>
          <w:spacing w:val="-1"/>
        </w:rPr>
        <w:t>2014</w:t>
      </w:r>
      <w:r>
        <w:rPr>
          <w:spacing w:val="-1"/>
        </w:rPr>
        <w:t>年起任长城信息综合管理部（董事会办</w:t>
      </w:r>
      <w:r>
        <w:rPr>
          <w:spacing w:val="-85"/>
        </w:rPr>
        <w:t> </w:t>
      </w:r>
      <w:r>
        <w:rPr>
          <w:spacing w:val="-85"/>
        </w:rPr>
      </w:r>
      <w:r>
        <w:rPr>
          <w:spacing w:val="-1"/>
        </w:rPr>
        <w:t>公室）负责人。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月至今任公司董事会秘书。已于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7</w:t>
      </w:r>
      <w:r>
        <w:rPr>
          <w:spacing w:val="-1"/>
        </w:rPr>
        <w:t>月获得深圳证券交易所上市公司董事</w:t>
      </w:r>
      <w:r>
        <w:rPr>
          <w:spacing w:val="-86"/>
        </w:rPr>
        <w:t> </w:t>
      </w:r>
      <w:r>
        <w:rPr>
          <w:spacing w:val="-86"/>
        </w:rPr>
      </w:r>
      <w:r>
        <w:rPr/>
        <w:t>会秘书资格证书。</w:t>
      </w:r>
    </w:p>
    <w:p>
      <w:pPr>
        <w:pStyle w:val="Heading5"/>
        <w:spacing w:line="400" w:lineRule="auto" w:before="103"/>
        <w:ind w:right="1272" w:firstLine="420"/>
        <w:jc w:val="both"/>
      </w:pPr>
      <w:r>
        <w:rPr>
          <w:spacing w:val="-3"/>
        </w:rPr>
        <w:t>杨灏先生除参与公司第一期员工持股计划外，未直接持有公司股份；与其他持有</w:t>
      </w:r>
      <w:r>
        <w:rPr>
          <w:rFonts w:ascii="Times New Roman" w:hAnsi="Times New Roman" w:cs="Times New Roman" w:eastAsia="Times New Roman" w:hint="default"/>
          <w:spacing w:val="-3"/>
        </w:rPr>
        <w:t>5%</w:t>
      </w:r>
      <w:r>
        <w:rPr>
          <w:spacing w:val="-3"/>
        </w:rPr>
        <w:t>以上股份的股</w:t>
      </w:r>
      <w:r>
        <w:rPr/>
        <w:t> </w:t>
      </w:r>
      <w:r>
        <w:rPr>
          <w:spacing w:val="-1"/>
        </w:rPr>
        <w:t>东、公司实际控制人、其他董事、监事、高级管理人员不存在关联关系，未受过中国证监会及其他有</w:t>
      </w:r>
      <w:r>
        <w:rPr>
          <w:spacing w:val="-88"/>
        </w:rPr>
        <w:t> </w:t>
      </w:r>
      <w:r>
        <w:rPr>
          <w:spacing w:val="-88"/>
        </w:rPr>
      </w:r>
      <w:r>
        <w:rPr>
          <w:spacing w:val="-1"/>
        </w:rPr>
        <w:t>关部门的处罚和证券交易所惩戒，不存在《公司法》、《公司章程》以及中国证监会、深圳证券交易</w:t>
      </w:r>
      <w:r>
        <w:rPr>
          <w:spacing w:val="-89"/>
        </w:rPr>
        <w:t> </w:t>
      </w:r>
      <w:r>
        <w:rPr>
          <w:spacing w:val="-89"/>
        </w:rPr>
      </w:r>
      <w:r>
        <w:rPr/>
        <w:t>所有关规定中不得担任公司高级管理人员的情形。</w:t>
      </w:r>
    </w:p>
    <w:p>
      <w:pPr>
        <w:spacing w:line="240" w:lineRule="auto" w:before="0"/>
        <w:rPr>
          <w:rFonts w:ascii="宋体" w:hAnsi="宋体" w:cs="宋体" w:eastAsia="宋体" w:hint="default"/>
          <w:sz w:val="20"/>
          <w:szCs w:val="20"/>
        </w:rPr>
      </w:pPr>
    </w:p>
    <w:p>
      <w:pPr>
        <w:pStyle w:val="BodyText"/>
        <w:spacing w:line="240" w:lineRule="auto" w:before="131"/>
        <w:ind w:left="1418" w:right="1117"/>
        <w:jc w:val="left"/>
      </w:pPr>
      <w:r>
        <w:rPr/>
        <w:t>在股东单位任职情况</w:t>
      </w:r>
    </w:p>
    <w:p>
      <w:pPr>
        <w:pStyle w:val="BodyText"/>
        <w:spacing w:line="240" w:lineRule="auto" w:before="116"/>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13"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27"/>
          <w:szCs w:val="27"/>
        </w:rPr>
      </w:pPr>
    </w:p>
    <w:p>
      <w:pPr>
        <w:pStyle w:val="BodyText"/>
        <w:spacing w:line="240" w:lineRule="auto" w:before="44"/>
        <w:ind w:left="1418" w:right="1117"/>
        <w:jc w:val="left"/>
      </w:pPr>
      <w:r>
        <w:rPr/>
        <w:t>在其他单位任职情况</w:t>
      </w:r>
    </w:p>
    <w:p>
      <w:pPr>
        <w:spacing w:line="240" w:lineRule="auto" w:before="1"/>
        <w:rPr>
          <w:rFonts w:ascii="宋体" w:hAnsi="宋体" w:cs="宋体" w:eastAsia="宋体" w:hint="default"/>
          <w:sz w:val="8"/>
          <w:szCs w:val="8"/>
        </w:rPr>
      </w:pPr>
    </w:p>
    <w:tbl>
      <w:tblPr>
        <w:tblW w:w="0" w:type="auto"/>
        <w:jc w:val="left"/>
        <w:tblInd w:w="1413" w:type="dxa"/>
        <w:tblLayout w:type="fixed"/>
        <w:tblCellMar>
          <w:top w:w="0" w:type="dxa"/>
          <w:left w:w="0" w:type="dxa"/>
          <w:bottom w:w="0" w:type="dxa"/>
          <w:right w:w="0" w:type="dxa"/>
        </w:tblCellMar>
        <w:tblLook w:val="01E0"/>
      </w:tblPr>
      <w:tblGrid>
        <w:gridCol w:w="1202"/>
        <w:gridCol w:w="2735"/>
        <w:gridCol w:w="1276"/>
        <w:gridCol w:w="1702"/>
        <w:gridCol w:w="1276"/>
        <w:gridCol w:w="1379"/>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3"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决胜教育科技集团股份有限公司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哈密市商业银行股份有限公司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bottom w:val="nil" w:sz="6" w:space="0" w:color="auto"/>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湖南国科微电子股份公司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413" w:type="dxa"/>
        <w:tblLayout w:type="fixed"/>
        <w:tblCellMar>
          <w:top w:w="0" w:type="dxa"/>
          <w:left w:w="0" w:type="dxa"/>
          <w:bottom w:w="0" w:type="dxa"/>
          <w:right w:w="0" w:type="dxa"/>
        </w:tblCellMar>
        <w:tblLook w:val="01E0"/>
      </w:tblPr>
      <w:tblGrid>
        <w:gridCol w:w="1202"/>
        <w:gridCol w:w="2735"/>
        <w:gridCol w:w="1276"/>
        <w:gridCol w:w="1702"/>
        <w:gridCol w:w="1276"/>
        <w:gridCol w:w="1379"/>
      </w:tblGrid>
      <w:tr>
        <w:trPr>
          <w:trHeight w:val="402" w:hRule="exact"/>
        </w:trPr>
        <w:tc>
          <w:tcPr>
            <w:tcW w:w="1202" w:type="dxa"/>
            <w:tcBorders>
              <w:top w:val="nil" w:sz="6" w:space="0" w:color="auto"/>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力合科技（湖南）股份有限公司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任教授、博士生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导师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湖南尔康制药股份有限公司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广州光娱信息科技有限公司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vMerge/>
            <w:tcBorders>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海南元游信息技术有限公司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418" w:right="1117"/>
        <w:jc w:val="left"/>
      </w:pPr>
      <w:r>
        <w:rPr/>
        <w:t>公司现任及报告期内离任董事、监事和高级管理人员近三年证券监管机构处罚的情况</w:t>
      </w:r>
    </w:p>
    <w:p>
      <w:pPr>
        <w:pStyle w:val="BodyText"/>
        <w:spacing w:line="240" w:lineRule="auto" w:before="117"/>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418" w:right="1117"/>
        <w:jc w:val="left"/>
        <w:rPr>
          <w:b w:val="0"/>
          <w:bCs w:val="0"/>
        </w:rPr>
      </w:pPr>
      <w:bookmarkStart w:name="四、董事、监事、高级管理人员报酬情况" w:id="111"/>
      <w:bookmarkEnd w:id="11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18" w:right="1117"/>
        <w:jc w:val="left"/>
      </w:pP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4"/>
        <w:ind w:left="0" w:right="1618"/>
        <w:jc w:val="right"/>
      </w:pPr>
      <w:r>
        <w:rPr/>
        <w:pict>
          <v:shape style="position:absolute;margin-left:70.559998pt;margin-top:-84.428291pt;width:440.55pt;height:104.9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9"/>
                    <w:gridCol w:w="4820"/>
                  </w:tblGrid>
                  <w:tr>
                    <w:trPr>
                      <w:trHeight w:val="695" w:hRule="exact"/>
                    </w:trPr>
                    <w:tc>
                      <w:tcPr>
                        <w:tcW w:w="3969"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4820" w:type="dxa"/>
                        <w:tcBorders>
                          <w:top w:val="single" w:sz="4" w:space="0" w:color="000000"/>
                          <w:left w:val="single" w:sz="5" w:space="0" w:color="000000"/>
                          <w:bottom w:val="single" w:sz="4" w:space="0" w:color="000000"/>
                          <w:right w:val="single" w:sz="5" w:space="0" w:color="000000"/>
                        </w:tcBorders>
                      </w:tcPr>
                      <w:p>
                        <w:pPr>
                          <w:pStyle w:val="TableParagraph"/>
                          <w:spacing w:line="319" w:lineRule="auto" w:before="21"/>
                          <w:ind w:left="3" w:right="123"/>
                          <w:jc w:val="left"/>
                          <w:rPr>
                            <w:rFonts w:ascii="宋体" w:hAnsi="宋体" w:cs="宋体" w:eastAsia="宋体" w:hint="default"/>
                            <w:sz w:val="18"/>
                            <w:szCs w:val="18"/>
                          </w:rPr>
                        </w:pPr>
                        <w:r>
                          <w:rPr>
                            <w:rFonts w:ascii="宋体" w:hAnsi="宋体" w:cs="宋体" w:eastAsia="宋体" w:hint="default"/>
                            <w:sz w:val="18"/>
                            <w:szCs w:val="18"/>
                          </w:rPr>
                          <w:t>公司独立董事津贴由董事会提议后交股东大会审议通过后实 施。</w:t>
                        </w:r>
                      </w:p>
                    </w:tc>
                  </w:tr>
                  <w:tr>
                    <w:trPr>
                      <w:trHeight w:val="1006" w:hRule="exact"/>
                    </w:trPr>
                    <w:tc>
                      <w:tcPr>
                        <w:tcW w:w="3969"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4820" w:type="dxa"/>
                        <w:tcBorders>
                          <w:top w:val="single" w:sz="4" w:space="0" w:color="000000"/>
                          <w:left w:val="single" w:sz="5" w:space="0" w:color="000000"/>
                          <w:bottom w:val="single" w:sz="4" w:space="0" w:color="000000"/>
                          <w:right w:val="single" w:sz="5" w:space="0" w:color="000000"/>
                        </w:tcBorders>
                      </w:tcPr>
                      <w:p>
                        <w:pPr>
                          <w:pStyle w:val="TableParagraph"/>
                          <w:spacing w:line="319" w:lineRule="auto" w:before="20"/>
                          <w:ind w:left="3" w:right="2"/>
                          <w:jc w:val="both"/>
                          <w:rPr>
                            <w:rFonts w:ascii="宋体" w:hAnsi="宋体" w:cs="宋体" w:eastAsia="宋体" w:hint="default"/>
                            <w:sz w:val="18"/>
                            <w:szCs w:val="18"/>
                          </w:rPr>
                        </w:pPr>
                        <w:r>
                          <w:rPr>
                            <w:rFonts w:ascii="宋体" w:hAnsi="宋体" w:cs="宋体" w:eastAsia="宋体" w:hint="default"/>
                            <w:spacing w:val="-3"/>
                            <w:sz w:val="18"/>
                            <w:szCs w:val="18"/>
                          </w:rPr>
                          <w:t>董事、监事和高级管理人员的报酬按照公司《提名与薪酬考核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委员议事规则》规定，结合其职位、责任、能力、市场薪资行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等因素确定并发放。</w:t>
                        </w:r>
                      </w:p>
                    </w:tc>
                  </w:tr>
                  <w:tr>
                    <w:trPr>
                      <w:trHeight w:val="386" w:hRule="exact"/>
                    </w:trPr>
                    <w:tc>
                      <w:tcPr>
                        <w:tcW w:w="3969" w:type="dxa"/>
                        <w:tcBorders>
                          <w:top w:val="single" w:sz="4"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482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75"/>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已向董事</w:t>
                        </w:r>
                        <w:r>
                          <w:rPr>
                            <w:rFonts w:ascii="宋体" w:hAnsi="宋体" w:cs="宋体" w:eastAsia="宋体" w:hint="default"/>
                            <w:spacing w:val="-75"/>
                            <w:sz w:val="18"/>
                            <w:szCs w:val="18"/>
                          </w:rPr>
                          <w:t>、</w:t>
                        </w:r>
                        <w:r>
                          <w:rPr>
                            <w:rFonts w:ascii="宋体" w:hAnsi="宋体" w:cs="宋体" w:eastAsia="宋体" w:hint="default"/>
                            <w:sz w:val="18"/>
                            <w:szCs w:val="18"/>
                          </w:rPr>
                          <w:t>监</w:t>
                        </w:r>
                        <w:r>
                          <w:rPr>
                            <w:rFonts w:ascii="宋体" w:hAnsi="宋体" w:cs="宋体" w:eastAsia="宋体" w:hint="default"/>
                            <w:spacing w:val="-2"/>
                            <w:sz w:val="18"/>
                            <w:szCs w:val="18"/>
                          </w:rPr>
                          <w:t>事</w:t>
                        </w:r>
                        <w:r>
                          <w:rPr>
                            <w:rFonts w:ascii="宋体" w:hAnsi="宋体" w:cs="宋体" w:eastAsia="宋体" w:hint="default"/>
                            <w:sz w:val="18"/>
                            <w:szCs w:val="18"/>
                          </w:rPr>
                          <w:t>及高级管理人员全额支付薪酬</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left="1418" w:right="1117"/>
        <w:jc w:val="left"/>
      </w:pPr>
      <w:r>
        <w:rPr/>
        <w:t>公司报告期内董事、监事和高级管理人员报酬情况</w:t>
      </w:r>
    </w:p>
    <w:p>
      <w:pPr>
        <w:pStyle w:val="BodyText"/>
        <w:spacing w:line="240" w:lineRule="auto" w:before="117"/>
        <w:ind w:left="0" w:right="1271"/>
        <w:jc w:val="right"/>
      </w:pPr>
      <w:r>
        <w:rPr/>
        <w:t>单位：万元</w:t>
      </w:r>
    </w:p>
    <w:p>
      <w:pPr>
        <w:spacing w:line="240" w:lineRule="auto" w:before="13"/>
        <w:rPr>
          <w:rFonts w:ascii="宋体" w:hAnsi="宋体" w:cs="宋体" w:eastAsia="宋体" w:hint="default"/>
          <w:sz w:val="7"/>
          <w:szCs w:val="7"/>
        </w:rPr>
      </w:pPr>
    </w:p>
    <w:tbl>
      <w:tblPr>
        <w:tblW w:w="0" w:type="auto"/>
        <w:jc w:val="left"/>
        <w:tblInd w:w="1413"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6"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副董事长、执行 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监事会召集人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413"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7"/>
          <w:szCs w:val="27"/>
        </w:rPr>
      </w:pPr>
    </w:p>
    <w:p>
      <w:pPr>
        <w:pStyle w:val="BodyText"/>
        <w:spacing w:line="240" w:lineRule="auto" w:before="44"/>
        <w:ind w:left="1418" w:right="1117"/>
        <w:jc w:val="left"/>
      </w:pPr>
      <w:r>
        <w:rPr/>
        <w:t>公司董事、高级管理人员报告期内被授予的股权激励情况</w:t>
      </w:r>
    </w:p>
    <w:p>
      <w:pPr>
        <w:pStyle w:val="BodyText"/>
        <w:spacing w:line="240" w:lineRule="auto" w:before="116"/>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1418" w:right="1117"/>
        <w:jc w:val="left"/>
        <w:rPr>
          <w:b w:val="0"/>
          <w:bCs w:val="0"/>
        </w:rPr>
      </w:pPr>
      <w:bookmarkStart w:name="五、公司员工情况" w:id="112"/>
      <w:bookmarkEnd w:id="112"/>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员工数量、专业构成及教育程度" w:id="113"/>
      <w:bookmarkEnd w:id="11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25"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w:t>
            </w:r>
          </w:p>
        </w:tc>
      </w:tr>
    </w:tbl>
    <w:p>
      <w:pPr>
        <w:spacing w:line="240" w:lineRule="auto" w:before="2"/>
        <w:rPr>
          <w:rFonts w:ascii="宋体" w:hAnsi="宋体" w:cs="宋体" w:eastAsia="宋体" w:hint="default"/>
          <w:b/>
          <w:bCs/>
          <w:sz w:val="19"/>
          <w:szCs w:val="19"/>
        </w:rPr>
      </w:pPr>
    </w:p>
    <w:p>
      <w:pPr>
        <w:pStyle w:val="Heading4"/>
        <w:spacing w:line="240" w:lineRule="auto" w:before="35"/>
        <w:ind w:right="1117"/>
        <w:jc w:val="left"/>
        <w:rPr>
          <w:b w:val="0"/>
          <w:bCs w:val="0"/>
        </w:rPr>
      </w:pPr>
      <w:bookmarkStart w:name="2、薪酬政策" w:id="114"/>
      <w:bookmarkEnd w:id="11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Heading5"/>
        <w:spacing w:line="410" w:lineRule="auto"/>
        <w:ind w:right="1271" w:firstLine="420"/>
        <w:jc w:val="both"/>
      </w:pPr>
      <w:r>
        <w:rPr>
          <w:spacing w:val="-1"/>
        </w:rPr>
        <w:t>公司采取动态的薪酬政策，以绩效优先、兼顾公平为原则，在保证员工基本薪酬的基础上，适当</w:t>
      </w:r>
      <w:r>
        <w:rPr/>
        <w:t> </w:t>
      </w:r>
      <w:r>
        <w:rPr>
          <w:spacing w:val="-1"/>
        </w:rPr>
        <w:t>拉开绩效薪酬差距，形成科学合理的薪酬阶梯，最大限度的发挥薪酬的激励作用。薪酬的结构主要由</w:t>
      </w:r>
      <w:r>
        <w:rPr>
          <w:spacing w:val="-88"/>
        </w:rPr>
        <w:t> </w:t>
      </w:r>
      <w:r>
        <w:rPr>
          <w:spacing w:val="-88"/>
        </w:rPr>
      </w:r>
      <w:r>
        <w:rPr/>
        <w:t>岗位薪酬、保险津贴和福利、绩效薪酬三部分组成。</w:t>
      </w:r>
    </w:p>
    <w:p>
      <w:pPr>
        <w:spacing w:after="0" w:line="410" w:lineRule="auto"/>
        <w:jc w:val="both"/>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117"/>
        <w:jc w:val="left"/>
        <w:rPr>
          <w:b w:val="0"/>
          <w:bCs w:val="0"/>
        </w:rPr>
      </w:pPr>
      <w:bookmarkStart w:name="3、培训计划" w:id="115"/>
      <w:bookmarkEnd w:id="11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Heading5"/>
        <w:spacing w:line="408" w:lineRule="auto"/>
        <w:ind w:right="1270" w:firstLine="420"/>
        <w:jc w:val="both"/>
      </w:pPr>
      <w:r>
        <w:rPr>
          <w:spacing w:val="-1"/>
        </w:rPr>
        <w:t>为打造学习型组织，促进公司快速发展。根据公司培训管理制度内容，培训计划主要从三个层面</w:t>
      </w:r>
      <w:r>
        <w:rPr/>
        <w:t> </w:t>
      </w:r>
      <w:r>
        <w:rPr>
          <w:spacing w:val="-1"/>
        </w:rPr>
        <w:t>开展。一是公司层面组织的培训，由人力资源部统筹安排，相关单位配合执行。包括例行的新员工培</w:t>
      </w:r>
      <w:r>
        <w:rPr>
          <w:spacing w:val="-91"/>
        </w:rPr>
        <w:t> </w:t>
      </w:r>
      <w:r>
        <w:rPr>
          <w:spacing w:val="-91"/>
        </w:rPr>
      </w:r>
      <w:r>
        <w:rPr>
          <w:spacing w:val="-1"/>
        </w:rPr>
        <w:t>训、营销业务培训、综合素质培训以及在职研修、出国考察等高端培训。二是各子、分公司，总部各</w:t>
      </w:r>
      <w:r>
        <w:rPr>
          <w:spacing w:val="-90"/>
        </w:rPr>
        <w:t> </w:t>
      </w:r>
      <w:r>
        <w:rPr>
          <w:spacing w:val="-90"/>
        </w:rPr>
      </w:r>
      <w:r>
        <w:rPr/>
        <w:t>部门层面的培训，由各单位</w:t>
      </w:r>
      <w:r>
        <w:rPr>
          <w:rFonts w:ascii="宋体" w:hAnsi="宋体" w:cs="宋体" w:eastAsia="宋体" w:hint="default"/>
        </w:rPr>
        <w:t>/</w:t>
      </w:r>
      <w:r>
        <w:rPr/>
        <w:t>各部门负责人根据年度工作规划、员工培训需求，拟定部门层面的培训</w:t>
      </w:r>
      <w:r>
        <w:rPr>
          <w:spacing w:val="-36"/>
        </w:rPr>
        <w:t> </w:t>
      </w:r>
      <w:r>
        <w:rPr>
          <w:spacing w:val="-36"/>
        </w:rPr>
      </w:r>
      <w:r>
        <w:rPr>
          <w:spacing w:val="-1"/>
        </w:rPr>
        <w:t>计划。三是员工自愿参与的培训，由员工自主安排。公司号召员工多读书、多学习，鼓励员工通过自</w:t>
      </w:r>
      <w:r>
        <w:rPr>
          <w:spacing w:val="-88"/>
        </w:rPr>
        <w:t> </w:t>
      </w:r>
      <w:r>
        <w:rPr>
          <w:spacing w:val="-88"/>
        </w:rPr>
      </w:r>
      <w:r>
        <w:rPr/>
        <w:t>主学习提升专业水平与综合素质。</w:t>
      </w:r>
    </w:p>
    <w:p>
      <w:pPr>
        <w:spacing w:line="240" w:lineRule="auto" w:before="8"/>
        <w:rPr>
          <w:rFonts w:ascii="宋体" w:hAnsi="宋体" w:cs="宋体" w:eastAsia="宋体" w:hint="default"/>
          <w:sz w:val="20"/>
          <w:szCs w:val="20"/>
        </w:rPr>
      </w:pPr>
    </w:p>
    <w:p>
      <w:pPr>
        <w:pStyle w:val="Heading4"/>
        <w:spacing w:line="240" w:lineRule="auto"/>
        <w:ind w:right="1117"/>
        <w:jc w:val="left"/>
        <w:rPr>
          <w:b w:val="0"/>
          <w:bCs w:val="0"/>
        </w:rPr>
      </w:pPr>
      <w:bookmarkStart w:name="4、劳务外包情况" w:id="116"/>
      <w:bookmarkEnd w:id="11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right="0"/>
        <w:jc w:val="center"/>
        <w:rPr>
          <w:b w:val="0"/>
          <w:bCs w:val="0"/>
        </w:rPr>
      </w:pPr>
      <w:bookmarkStart w:name="第九节 公司治理" w:id="117"/>
      <w:bookmarkEnd w:id="117"/>
      <w:r>
        <w:rPr>
          <w:b w:val="0"/>
          <w:bCs w:val="0"/>
        </w:rPr>
      </w:r>
      <w:bookmarkStart w:name="_bookmark8" w:id="118"/>
      <w:bookmarkEnd w:id="11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418" w:right="1117"/>
        <w:jc w:val="left"/>
        <w:rPr>
          <w:b w:val="0"/>
          <w:bCs w:val="0"/>
        </w:rPr>
      </w:pPr>
      <w:bookmarkStart w:name="一、公司治理的基本状况" w:id="119"/>
      <w:bookmarkEnd w:id="119"/>
      <w:r>
        <w:rPr>
          <w:b w:val="0"/>
          <w:bCs w:val="0"/>
        </w:rPr>
      </w:r>
      <w:r>
        <w:rPr/>
        <w:t>一、公司治理的基本状况</w:t>
      </w:r>
      <w:r>
        <w:rPr>
          <w:b w:val="0"/>
          <w:bCs w:val="0"/>
        </w:rPr>
      </w:r>
    </w:p>
    <w:p>
      <w:pPr>
        <w:pStyle w:val="Heading5"/>
        <w:spacing w:line="610" w:lineRule="atLeast" w:before="81"/>
        <w:ind w:left="1838" w:right="1117"/>
        <w:jc w:val="left"/>
      </w:pPr>
      <w:r>
        <w:rPr>
          <w:rFonts w:ascii="Times New Roman" w:hAnsi="Times New Roman" w:cs="Times New Roman" w:eastAsia="Times New Roman" w:hint="default"/>
        </w:rPr>
        <w:t>1</w:t>
      </w:r>
      <w:r>
        <w:rPr/>
        <w:t>．治理结构 </w:t>
      </w:r>
      <w:r>
        <w:rPr>
          <w:spacing w:val="-13"/>
        </w:rPr>
        <w:t>公司按《中华人民共和国公司法》（以下简称《公司法》）、《中华人民共和国证券法》（以下简称</w:t>
      </w:r>
    </w:p>
    <w:p>
      <w:pPr>
        <w:spacing w:line="240" w:lineRule="auto" w:before="10"/>
        <w:rPr>
          <w:rFonts w:ascii="宋体" w:hAnsi="宋体" w:cs="宋体" w:eastAsia="宋体" w:hint="default"/>
          <w:sz w:val="14"/>
          <w:szCs w:val="14"/>
        </w:rPr>
      </w:pPr>
    </w:p>
    <w:p>
      <w:pPr>
        <w:pStyle w:val="Heading5"/>
        <w:spacing w:line="408" w:lineRule="auto"/>
        <w:ind w:right="1117"/>
        <w:jc w:val="left"/>
      </w:pPr>
      <w:r>
        <w:rPr>
          <w:spacing w:val="-8"/>
        </w:rPr>
        <w:t>《证券法》）、《上市公司章程指引》等法律法规的要求，建立起规范的公司治理结构和议事规则，明</w:t>
      </w:r>
      <w:r>
        <w:rPr>
          <w:spacing w:val="-62"/>
        </w:rPr>
        <w:t> </w:t>
      </w:r>
      <w:r>
        <w:rPr>
          <w:spacing w:val="-62"/>
        </w:rPr>
      </w:r>
      <w:r>
        <w:rPr>
          <w:spacing w:val="-1"/>
        </w:rPr>
        <w:t>确了决策、执行、监督等方面的职责权限；公司法人治理结构健全，形成了科学有效的职责分工和制</w:t>
      </w:r>
      <w:r>
        <w:rPr>
          <w:spacing w:val="-91"/>
        </w:rPr>
        <w:t> </w:t>
      </w:r>
      <w:r>
        <w:rPr>
          <w:spacing w:val="-91"/>
        </w:rPr>
      </w:r>
      <w:r>
        <w:rPr>
          <w:spacing w:val="-6"/>
        </w:rPr>
        <w:t>衡机制；股东大会的召集、召开，完全符合《公司章程》、《股东大会议事规则》的要求和规定；对于</w:t>
      </w:r>
      <w:r>
        <w:rPr>
          <w:spacing w:val="-74"/>
        </w:rPr>
        <w:t> </w:t>
      </w:r>
      <w:r>
        <w:rPr>
          <w:spacing w:val="-74"/>
        </w:rPr>
      </w:r>
      <w:r>
        <w:rPr>
          <w:spacing w:val="-1"/>
        </w:rPr>
        <w:t>公司的重大关联交易及其它重大事项，公司的独立董事均发表了专项意见；公司与关联方签订了相关</w:t>
      </w:r>
      <w:r>
        <w:rPr>
          <w:spacing w:val="-89"/>
        </w:rPr>
        <w:t> </w:t>
      </w:r>
      <w:r>
        <w:rPr>
          <w:spacing w:val="-89"/>
        </w:rPr>
      </w:r>
      <w:r>
        <w:rPr/>
        <w:t>的书面协议，并及时进行了信息披露。</w:t>
      </w:r>
    </w:p>
    <w:p>
      <w:pPr>
        <w:spacing w:line="240" w:lineRule="auto" w:before="6"/>
        <w:rPr>
          <w:rFonts w:ascii="宋体" w:hAnsi="宋体" w:cs="宋体" w:eastAsia="宋体" w:hint="default"/>
          <w:sz w:val="15"/>
          <w:szCs w:val="15"/>
        </w:rPr>
      </w:pPr>
    </w:p>
    <w:p>
      <w:pPr>
        <w:pStyle w:val="Heading5"/>
        <w:spacing w:line="408" w:lineRule="auto"/>
        <w:ind w:right="1117" w:firstLine="420"/>
        <w:jc w:val="left"/>
      </w:pPr>
      <w:r>
        <w:rPr/>
        <w:t>关于控股股东和上市公司。公司与控股股东在人员、资产、财务方面完全分开，公司经营业务、 </w:t>
      </w:r>
      <w:r>
        <w:rPr>
          <w:spacing w:val="-6"/>
        </w:rPr>
        <w:t>机构运作、财务核算独立并独立承担经营责任和风险；公司董事会、监事会和内部管理机构独立运作，</w:t>
      </w:r>
      <w:r>
        <w:rPr>
          <w:spacing w:val="-75"/>
        </w:rPr>
        <w:t> </w:t>
      </w:r>
      <w:r>
        <w:rPr>
          <w:spacing w:val="-75"/>
        </w:rPr>
      </w:r>
      <w:r>
        <w:rPr/>
        <w:t>确保公司重大决策能够按照法定程序和规范要求作出。</w:t>
      </w:r>
    </w:p>
    <w:p>
      <w:pPr>
        <w:spacing w:line="240" w:lineRule="auto" w:before="6"/>
        <w:rPr>
          <w:rFonts w:ascii="宋体" w:hAnsi="宋体" w:cs="宋体" w:eastAsia="宋体" w:hint="default"/>
          <w:sz w:val="15"/>
          <w:szCs w:val="15"/>
        </w:rPr>
      </w:pPr>
    </w:p>
    <w:p>
      <w:pPr>
        <w:pStyle w:val="Heading5"/>
        <w:spacing w:line="403" w:lineRule="auto"/>
        <w:ind w:right="1270" w:firstLine="420"/>
        <w:jc w:val="both"/>
      </w:pPr>
      <w:r>
        <w:rPr>
          <w:spacing w:val="-1"/>
        </w:rPr>
        <w:t>关于董事及董事会。公司</w:t>
      </w:r>
      <w:r>
        <w:rPr>
          <w:rFonts w:ascii="Times New Roman" w:hAnsi="Times New Roman" w:cs="Times New Roman" w:eastAsia="Times New Roman" w:hint="default"/>
          <w:spacing w:val="-1"/>
        </w:rPr>
        <w:t>5</w:t>
      </w:r>
      <w:r>
        <w:rPr>
          <w:spacing w:val="-1"/>
        </w:rPr>
        <w:t>名董事，其中包括</w:t>
      </w:r>
      <w:r>
        <w:rPr>
          <w:rFonts w:ascii="Times New Roman" w:hAnsi="Times New Roman" w:cs="Times New Roman" w:eastAsia="Times New Roman" w:hint="default"/>
          <w:spacing w:val="-1"/>
        </w:rPr>
        <w:t>2</w:t>
      </w:r>
      <w:r>
        <w:rPr>
          <w:spacing w:val="-1"/>
        </w:rPr>
        <w:t>名独立董事；董事会成员结构合理，公司董事选聘</w:t>
      </w:r>
      <w:r>
        <w:rPr/>
        <w:t> </w:t>
      </w:r>
      <w:r>
        <w:rPr>
          <w:spacing w:val="-1"/>
        </w:rPr>
        <w:t>程序规范、透明，董事选聘过程公开、公平、公正、独立，董事资料真实、完整，董事人选事前均获</w:t>
      </w:r>
      <w:r>
        <w:rPr>
          <w:spacing w:val="-92"/>
        </w:rPr>
        <w:t> </w:t>
      </w:r>
      <w:r>
        <w:rPr>
          <w:spacing w:val="-92"/>
        </w:rPr>
      </w:r>
      <w:r>
        <w:rPr>
          <w:spacing w:val="-1"/>
        </w:rPr>
        <w:t>得有关组织和本人的同意，并有书面承诺；公司董事会下设战略委员会、审计委员会、提名与薪酬考</w:t>
      </w:r>
      <w:r>
        <w:rPr>
          <w:spacing w:val="-89"/>
        </w:rPr>
        <w:t> </w:t>
      </w:r>
      <w:r>
        <w:rPr>
          <w:spacing w:val="-89"/>
        </w:rPr>
      </w:r>
      <w:r>
        <w:rPr>
          <w:spacing w:val="-6"/>
        </w:rPr>
        <w:t>核委员会等三个专门委员会，制定了公司《战略委员会议事规则》《审计委员会议事规则》《提名与薪</w:t>
      </w:r>
      <w:r>
        <w:rPr>
          <w:spacing w:val="-74"/>
        </w:rPr>
        <w:t> </w:t>
      </w:r>
      <w:r>
        <w:rPr>
          <w:spacing w:val="-74"/>
        </w:rPr>
      </w:r>
      <w:r>
        <w:rPr>
          <w:spacing w:val="-6"/>
        </w:rPr>
        <w:t>酬考核委员会议事规则》，各委员会发挥了各自的工作职能，确保公司董事会公正、科学、高效决策，</w:t>
      </w:r>
      <w:r>
        <w:rPr>
          <w:spacing w:val="-73"/>
        </w:rPr>
        <w:t> </w:t>
      </w:r>
      <w:r>
        <w:rPr>
          <w:spacing w:val="-73"/>
        </w:rPr>
      </w:r>
      <w:r>
        <w:rPr/>
        <w:t>充分履行董事会各项职能。</w:t>
      </w:r>
    </w:p>
    <w:p>
      <w:pPr>
        <w:spacing w:line="240" w:lineRule="auto" w:before="10"/>
        <w:rPr>
          <w:rFonts w:ascii="宋体" w:hAnsi="宋体" w:cs="宋体" w:eastAsia="宋体" w:hint="default"/>
          <w:sz w:val="15"/>
          <w:szCs w:val="15"/>
        </w:rPr>
      </w:pPr>
    </w:p>
    <w:p>
      <w:pPr>
        <w:pStyle w:val="Heading5"/>
        <w:spacing w:line="408" w:lineRule="auto"/>
        <w:ind w:right="1271" w:firstLine="420"/>
        <w:jc w:val="both"/>
      </w:pPr>
      <w:r>
        <w:rPr>
          <w:spacing w:val="-1"/>
        </w:rPr>
        <w:t>关于监事和监事会。公司监事会成员都具有相关专业知识和工作经验；监事会根据公司章程赋予</w:t>
      </w:r>
      <w:r>
        <w:rPr/>
        <w:t> </w:t>
      </w:r>
      <w:r>
        <w:rPr>
          <w:spacing w:val="-1"/>
        </w:rPr>
        <w:t>的职权，独立有效地监督公司董事和高级管理人员的履职行为、公司财务等；列席董事会会议，并对</w:t>
      </w:r>
      <w:r>
        <w:rPr>
          <w:spacing w:val="-91"/>
        </w:rPr>
        <w:t> </w:t>
      </w:r>
      <w:r>
        <w:rPr>
          <w:spacing w:val="-91"/>
        </w:rPr>
      </w:r>
      <w:r>
        <w:rPr/>
        <w:t>董事会提出相关建议和意见。</w:t>
      </w:r>
    </w:p>
    <w:p>
      <w:pPr>
        <w:spacing w:line="240" w:lineRule="auto" w:before="6"/>
        <w:rPr>
          <w:rFonts w:ascii="宋体" w:hAnsi="宋体" w:cs="宋体" w:eastAsia="宋体" w:hint="default"/>
          <w:sz w:val="15"/>
          <w:szCs w:val="15"/>
        </w:rPr>
      </w:pPr>
    </w:p>
    <w:p>
      <w:pPr>
        <w:pStyle w:val="Heading5"/>
        <w:spacing w:line="408" w:lineRule="auto"/>
        <w:ind w:right="1271" w:firstLine="420"/>
        <w:jc w:val="both"/>
      </w:pPr>
      <w:r>
        <w:rPr>
          <w:spacing w:val="-1"/>
        </w:rPr>
        <w:t>关于公司利益相关者。公司充分尊重和维护员工、供应商、销售商、社区等利益相关者的合法权</w:t>
      </w:r>
      <w:r>
        <w:rPr/>
        <w:t> 利，与他们积极合作，共同推进公司持续、健康、稳定地发展。</w:t>
      </w:r>
    </w:p>
    <w:p>
      <w:pPr>
        <w:spacing w:line="240" w:lineRule="auto" w:before="6"/>
        <w:rPr>
          <w:rFonts w:ascii="宋体" w:hAnsi="宋体" w:cs="宋体" w:eastAsia="宋体" w:hint="default"/>
          <w:sz w:val="15"/>
          <w:szCs w:val="15"/>
        </w:rPr>
      </w:pPr>
    </w:p>
    <w:p>
      <w:pPr>
        <w:pStyle w:val="Heading5"/>
        <w:spacing w:line="408" w:lineRule="auto"/>
        <w:ind w:right="1271" w:firstLine="420"/>
        <w:jc w:val="both"/>
      </w:pPr>
      <w:r>
        <w:rPr>
          <w:spacing w:val="-1"/>
        </w:rPr>
        <w:t>关于信息披露与投资者关系管理。公司建立了有专人负责的投资者关系管理制度，能及时为股东</w:t>
      </w:r>
      <w:r>
        <w:rPr/>
        <w:t> </w:t>
      </w:r>
      <w:r>
        <w:rPr>
          <w:spacing w:val="-1"/>
        </w:rPr>
        <w:t>及其他投资者提供服务，接待股东来访和接收投资者的咨询；为了强化公司信息披露工作，增加公司</w:t>
      </w:r>
    </w:p>
    <w:p>
      <w:pPr>
        <w:spacing w:after="0" w:line="408"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240" w:lineRule="auto" w:before="174"/>
        <w:ind w:right="1117"/>
        <w:jc w:val="left"/>
      </w:pPr>
      <w:r>
        <w:rPr/>
        <w:t>透明度，公司指定董事会秘书负责信息披露。</w:t>
      </w:r>
    </w:p>
    <w:p>
      <w:pPr>
        <w:pStyle w:val="Heading5"/>
        <w:spacing w:line="610" w:lineRule="atLeast" w:before="30"/>
        <w:ind w:left="1838" w:right="1270"/>
        <w:jc w:val="left"/>
      </w:pPr>
      <w:bookmarkStart w:name="2．机构设置与职权分配" w:id="120"/>
      <w:bookmarkEnd w:id="120"/>
      <w:r>
        <w:rPr/>
      </w:r>
      <w:r>
        <w:rPr>
          <w:rFonts w:ascii="Times New Roman" w:hAnsi="Times New Roman" w:cs="Times New Roman" w:eastAsia="Times New Roman" w:hint="default"/>
        </w:rPr>
        <w:t>2</w:t>
      </w:r>
      <w:r>
        <w:rPr/>
        <w:t>．机构设置与职权分配 </w:t>
      </w:r>
      <w:r>
        <w:rPr>
          <w:spacing w:val="-1"/>
        </w:rPr>
        <w:t>公司目前设置了董事会秘书处、投资部、人力资源部、办公室、财务部、审计部、运营部等管理</w:t>
      </w:r>
    </w:p>
    <w:p>
      <w:pPr>
        <w:spacing w:line="240" w:lineRule="auto" w:before="10"/>
        <w:rPr>
          <w:rFonts w:ascii="宋体" w:hAnsi="宋体" w:cs="宋体" w:eastAsia="宋体" w:hint="default"/>
          <w:sz w:val="14"/>
          <w:szCs w:val="14"/>
        </w:rPr>
      </w:pPr>
    </w:p>
    <w:p>
      <w:pPr>
        <w:pStyle w:val="Heading5"/>
        <w:spacing w:line="408" w:lineRule="auto"/>
        <w:ind w:right="1117"/>
        <w:jc w:val="left"/>
      </w:pPr>
      <w:r>
        <w:rPr>
          <w:spacing w:val="-1"/>
        </w:rPr>
        <w:t>职能部门。各部门按照独立运行、相互制衡的原则，通过相应的岗位职责，使各部门职能明确、权责</w:t>
      </w:r>
      <w:r>
        <w:rPr>
          <w:spacing w:val="-88"/>
        </w:rPr>
        <w:t> </w:t>
      </w:r>
      <w:r>
        <w:rPr>
          <w:spacing w:val="-88"/>
        </w:rPr>
      </w:r>
      <w:r>
        <w:rPr/>
        <w:t>明晰、能有效执行公司管理层的各项决策。</w:t>
      </w:r>
    </w:p>
    <w:p>
      <w:pPr>
        <w:spacing w:line="240" w:lineRule="auto" w:before="6"/>
        <w:rPr>
          <w:rFonts w:ascii="宋体" w:hAnsi="宋体" w:cs="宋体" w:eastAsia="宋体" w:hint="default"/>
          <w:sz w:val="15"/>
          <w:szCs w:val="15"/>
        </w:rPr>
      </w:pPr>
    </w:p>
    <w:p>
      <w:pPr>
        <w:pStyle w:val="Heading5"/>
        <w:spacing w:line="408" w:lineRule="auto"/>
        <w:ind w:right="1273" w:firstLine="420"/>
        <w:jc w:val="both"/>
      </w:pPr>
      <w:r>
        <w:rPr>
          <w:spacing w:val="-6"/>
        </w:rPr>
        <w:t>公司对子（分）公司的经营、资金、人员、财务等重大方面，按照法律法规及其公司章程的规定，</w:t>
      </w:r>
      <w:r>
        <w:rPr/>
        <w:t> 通过制度规范、考核和审计监管相结合，使公司的经营工作有效的延伸。</w:t>
      </w:r>
    </w:p>
    <w:p>
      <w:pPr>
        <w:spacing w:line="240" w:lineRule="auto" w:before="6"/>
        <w:rPr>
          <w:rFonts w:ascii="宋体" w:hAnsi="宋体" w:cs="宋体" w:eastAsia="宋体" w:hint="default"/>
          <w:sz w:val="15"/>
          <w:szCs w:val="15"/>
        </w:rPr>
      </w:pPr>
    </w:p>
    <w:p>
      <w:pPr>
        <w:pStyle w:val="Heading5"/>
        <w:spacing w:line="240" w:lineRule="auto"/>
        <w:ind w:left="1838" w:right="1117"/>
        <w:jc w:val="left"/>
      </w:pPr>
      <w:bookmarkStart w:name="3．内部审计" w:id="121"/>
      <w:bookmarkEnd w:id="121"/>
      <w:r>
        <w:rPr/>
      </w:r>
      <w:r>
        <w:rPr>
          <w:rFonts w:ascii="Times New Roman" w:hAnsi="Times New Roman" w:cs="Times New Roman" w:eastAsia="Times New Roman" w:hint="default"/>
        </w:rPr>
        <w:t>3</w:t>
      </w:r>
      <w:r>
        <w:rPr/>
        <w:t>．内部审计</w:t>
      </w:r>
    </w:p>
    <w:p>
      <w:pPr>
        <w:spacing w:line="240" w:lineRule="auto" w:before="6"/>
        <w:rPr>
          <w:rFonts w:ascii="宋体" w:hAnsi="宋体" w:cs="宋体" w:eastAsia="宋体" w:hint="default"/>
          <w:sz w:val="25"/>
          <w:szCs w:val="25"/>
        </w:rPr>
      </w:pPr>
    </w:p>
    <w:p>
      <w:pPr>
        <w:pStyle w:val="Heading5"/>
        <w:spacing w:line="408" w:lineRule="auto"/>
        <w:ind w:right="1272" w:firstLine="420"/>
        <w:jc w:val="both"/>
      </w:pPr>
      <w:r>
        <w:rPr>
          <w:spacing w:val="-1"/>
        </w:rPr>
        <w:t>公司董事会下设审计委员会，负责审查公司内部控制，监督内部控制的有效实施和内部控制自我</w:t>
      </w:r>
      <w:r>
        <w:rPr/>
        <w:t> 评价情况，协调内部控制审计及其他相关事宜等。</w:t>
      </w:r>
    </w:p>
    <w:p>
      <w:pPr>
        <w:spacing w:line="240" w:lineRule="auto" w:before="6"/>
        <w:rPr>
          <w:rFonts w:ascii="宋体" w:hAnsi="宋体" w:cs="宋体" w:eastAsia="宋体" w:hint="default"/>
          <w:sz w:val="15"/>
          <w:szCs w:val="15"/>
        </w:rPr>
      </w:pPr>
    </w:p>
    <w:p>
      <w:pPr>
        <w:pStyle w:val="Heading5"/>
        <w:spacing w:line="408" w:lineRule="auto"/>
        <w:ind w:right="1269" w:firstLine="420"/>
        <w:jc w:val="both"/>
      </w:pPr>
      <w:r>
        <w:rPr>
          <w:spacing w:val="-1"/>
        </w:rPr>
        <w:t>公司机构设置了审计部，审计部对董事会及审计委员会负责，独立行使审计职权，不受其他部门</w:t>
      </w:r>
      <w:r>
        <w:rPr/>
        <w:t> </w:t>
      </w:r>
      <w:r>
        <w:rPr>
          <w:spacing w:val="-1"/>
        </w:rPr>
        <w:t>和个人的干涉。根据《内部审计制度》的要求，审计部负责公司的内部审计监督工作，包括监督和检</w:t>
      </w:r>
      <w:r>
        <w:rPr>
          <w:spacing w:val="-88"/>
        </w:rPr>
        <w:t> </w:t>
      </w:r>
      <w:r>
        <w:rPr>
          <w:spacing w:val="-88"/>
        </w:rPr>
      </w:r>
      <w:r>
        <w:rPr>
          <w:spacing w:val="-1"/>
        </w:rPr>
        <w:t>查公司内部控制制度的执行情况，评价内部控制的科学性和有效性，提出完善内部控制建议；定期与</w:t>
      </w:r>
      <w:r>
        <w:rPr>
          <w:spacing w:val="-87"/>
        </w:rPr>
        <w:t> </w:t>
      </w:r>
      <w:r>
        <w:rPr>
          <w:spacing w:val="-87"/>
        </w:rPr>
      </w:r>
      <w:r>
        <w:rPr>
          <w:spacing w:val="-1"/>
        </w:rPr>
        <w:t>不定期地对职能部门及子（分）公司财务、内部控制、重大项目及其他业务进行审计和例行检查，控</w:t>
      </w:r>
      <w:r>
        <w:rPr>
          <w:spacing w:val="-88"/>
        </w:rPr>
        <w:t> </w:t>
      </w:r>
      <w:r>
        <w:rPr>
          <w:spacing w:val="-88"/>
        </w:rPr>
      </w:r>
      <w:r>
        <w:rPr>
          <w:spacing w:val="-1"/>
        </w:rPr>
        <w:t>制和防范经营风险。审计部对监督检查中发现的内部控制重大缺陷，有权直接向董事会及其审计委员</w:t>
      </w:r>
      <w:r>
        <w:rPr>
          <w:spacing w:val="-90"/>
        </w:rPr>
        <w:t> </w:t>
      </w:r>
      <w:r>
        <w:rPr>
          <w:spacing w:val="-90"/>
        </w:rPr>
      </w:r>
      <w:r>
        <w:rPr>
          <w:spacing w:val="-1"/>
        </w:rPr>
        <w:t>会、监事会报告。公司审计部的建立，进一步完善了公司的内部控制和治理结构，促进和保证了内部</w:t>
      </w:r>
      <w:r>
        <w:rPr>
          <w:spacing w:val="-91"/>
        </w:rPr>
        <w:t> </w:t>
      </w:r>
      <w:r>
        <w:rPr>
          <w:spacing w:val="-91"/>
        </w:rPr>
      </w:r>
      <w:r>
        <w:rPr/>
        <w:t>控制的有效运行。</w:t>
      </w:r>
    </w:p>
    <w:p>
      <w:pPr>
        <w:spacing w:line="240" w:lineRule="auto" w:before="6"/>
        <w:rPr>
          <w:rFonts w:ascii="宋体" w:hAnsi="宋体" w:cs="宋体" w:eastAsia="宋体" w:hint="default"/>
          <w:sz w:val="15"/>
          <w:szCs w:val="15"/>
        </w:rPr>
      </w:pPr>
    </w:p>
    <w:p>
      <w:pPr>
        <w:pStyle w:val="Heading5"/>
        <w:spacing w:line="240" w:lineRule="auto"/>
        <w:ind w:left="1838" w:right="1117"/>
        <w:jc w:val="left"/>
      </w:pPr>
      <w:bookmarkStart w:name="4．人力资源政策" w:id="122"/>
      <w:bookmarkEnd w:id="122"/>
      <w:r>
        <w:rPr/>
      </w:r>
      <w:r>
        <w:rPr>
          <w:rFonts w:ascii="Times New Roman" w:hAnsi="Times New Roman" w:cs="Times New Roman" w:eastAsia="Times New Roman" w:hint="default"/>
        </w:rPr>
        <w:t>4</w:t>
      </w:r>
      <w:r>
        <w:rPr/>
        <w:t>．人力资源政策</w:t>
      </w:r>
    </w:p>
    <w:p>
      <w:pPr>
        <w:spacing w:line="240" w:lineRule="auto" w:before="6"/>
        <w:rPr>
          <w:rFonts w:ascii="宋体" w:hAnsi="宋体" w:cs="宋体" w:eastAsia="宋体" w:hint="default"/>
          <w:sz w:val="25"/>
          <w:szCs w:val="25"/>
        </w:rPr>
      </w:pPr>
    </w:p>
    <w:p>
      <w:pPr>
        <w:pStyle w:val="Heading5"/>
        <w:spacing w:line="408" w:lineRule="auto"/>
        <w:ind w:right="1271" w:firstLine="420"/>
        <w:jc w:val="both"/>
      </w:pPr>
      <w:r>
        <w:rPr>
          <w:spacing w:val="-1"/>
        </w:rPr>
        <w:t>公司依据公司自身发展的需要，制定了人才战略和一系列较为完善的人力资源政策，对员工的聘</w:t>
      </w:r>
      <w:r>
        <w:rPr/>
        <w:t> </w:t>
      </w:r>
      <w:r>
        <w:rPr>
          <w:spacing w:val="-1"/>
        </w:rPr>
        <w:t>用、培训、辞退与辞职；员工的薪酬、考核、晋升与奖惩；掌握重要商业秘密和知识产权的员工离岗</w:t>
      </w:r>
      <w:r>
        <w:rPr>
          <w:spacing w:val="-89"/>
        </w:rPr>
        <w:t> </w:t>
      </w:r>
      <w:r>
        <w:rPr>
          <w:spacing w:val="-89"/>
        </w:rPr>
      </w:r>
      <w:r>
        <w:rPr>
          <w:spacing w:val="-1"/>
        </w:rPr>
        <w:t>的限制性规定等均制定相关的制度予以规范和遵循。公司提名与薪酬考核委员会负责提出董事和高级</w:t>
      </w:r>
      <w:r>
        <w:rPr>
          <w:spacing w:val="-88"/>
        </w:rPr>
        <w:t> </w:t>
      </w:r>
      <w:r>
        <w:rPr>
          <w:spacing w:val="-88"/>
        </w:rPr>
      </w:r>
      <w:r>
        <w:rPr>
          <w:spacing w:val="-1"/>
        </w:rPr>
        <w:t>管理人员的薪酬政策、结构和审批程序；评估及批准董事和高级管理人员的薪酬方案；并负责对公司</w:t>
      </w:r>
      <w:r>
        <w:rPr>
          <w:spacing w:val="-88"/>
        </w:rPr>
        <w:t> </w:t>
      </w:r>
      <w:r>
        <w:rPr>
          <w:spacing w:val="-88"/>
        </w:rPr>
      </w:r>
      <w:r>
        <w:rPr/>
        <w:t>薪酬制度执行情况进行监督。</w:t>
      </w:r>
    </w:p>
    <w:p>
      <w:pPr>
        <w:spacing w:line="240" w:lineRule="auto" w:before="6"/>
        <w:rPr>
          <w:rFonts w:ascii="宋体" w:hAnsi="宋体" w:cs="宋体" w:eastAsia="宋体" w:hint="default"/>
          <w:sz w:val="15"/>
          <w:szCs w:val="15"/>
        </w:rPr>
      </w:pPr>
    </w:p>
    <w:p>
      <w:pPr>
        <w:pStyle w:val="Heading5"/>
        <w:spacing w:line="240" w:lineRule="auto"/>
        <w:ind w:left="1838" w:right="1117"/>
        <w:jc w:val="left"/>
      </w:pPr>
      <w:bookmarkStart w:name="5．企业理念" w:id="123"/>
      <w:bookmarkEnd w:id="123"/>
      <w:r>
        <w:rPr/>
      </w:r>
      <w:r>
        <w:rPr>
          <w:rFonts w:ascii="Times New Roman" w:hAnsi="Times New Roman" w:cs="Times New Roman" w:eastAsia="Times New Roman" w:hint="default"/>
        </w:rPr>
        <w:t>5</w:t>
      </w:r>
      <w:r>
        <w:rPr/>
        <w:t>．企业理念</w:t>
      </w:r>
    </w:p>
    <w:p>
      <w:pPr>
        <w:spacing w:line="240" w:lineRule="auto" w:before="7"/>
        <w:rPr>
          <w:rFonts w:ascii="宋体" w:hAnsi="宋体" w:cs="宋体" w:eastAsia="宋体" w:hint="default"/>
          <w:sz w:val="25"/>
          <w:szCs w:val="25"/>
        </w:rPr>
      </w:pPr>
    </w:p>
    <w:p>
      <w:pPr>
        <w:pStyle w:val="Heading5"/>
        <w:spacing w:line="386" w:lineRule="auto"/>
        <w:ind w:right="1117" w:firstLine="420"/>
        <w:jc w:val="left"/>
      </w:pPr>
      <w:r>
        <w:rPr/>
        <w:t>多年来，公司以</w:t>
      </w:r>
      <w:r>
        <w:rPr>
          <w:rFonts w:ascii="Times New Roman" w:hAnsi="Times New Roman" w:cs="Times New Roman" w:eastAsia="Times New Roman" w:hint="default"/>
        </w:rPr>
        <w:t>“</w:t>
      </w:r>
      <w:r>
        <w:rPr/>
        <w:t>诚信共赢</w:t>
      </w:r>
      <w:r>
        <w:rPr>
          <w:spacing w:val="44"/>
        </w:rPr>
        <w:t> </w:t>
      </w:r>
      <w:r>
        <w:rPr/>
        <w:t>回报社会</w:t>
      </w:r>
      <w:r>
        <w:rPr>
          <w:rFonts w:ascii="Times New Roman" w:hAnsi="Times New Roman" w:cs="Times New Roman" w:eastAsia="Times New Roman" w:hint="default"/>
        </w:rPr>
        <w:t>”</w:t>
      </w:r>
      <w:r>
        <w:rPr/>
        <w:t>为经营理念，以“致力于在教育、娱乐、文化领域提供优</w:t>
      </w:r>
      <w:r>
        <w:rPr>
          <w:spacing w:val="2"/>
        </w:rPr>
        <w:t> </w:t>
      </w:r>
      <w:r>
        <w:rPr/>
        <w:t>质的资源与服务”为宗旨，坚持社会责任与经济效益的协调统一，以人为本，规范运作，诚实守信，</w:t>
      </w:r>
    </w:p>
    <w:p>
      <w:pPr>
        <w:spacing w:after="0" w:line="386"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5"/>
        <w:spacing w:line="408" w:lineRule="auto" w:before="174"/>
        <w:ind w:right="1271"/>
        <w:jc w:val="both"/>
      </w:pPr>
      <w:r>
        <w:rPr>
          <w:spacing w:val="-1"/>
        </w:rPr>
        <w:t>开拓进取，迅速发展壮大，现已发展成为规模、效益和影响力位居全国同行前列的标杆性企业。在今</w:t>
      </w:r>
      <w:r>
        <w:rPr>
          <w:spacing w:val="-92"/>
        </w:rPr>
        <w:t> </w:t>
      </w:r>
      <w:r>
        <w:rPr>
          <w:spacing w:val="-92"/>
        </w:rPr>
      </w:r>
      <w:r>
        <w:rPr>
          <w:spacing w:val="-1"/>
        </w:rPr>
        <w:t>后的发展中，公司将抓住国家大力推进文化产业大发展、大繁荣的良好机遇，按照经营多元、业态多</w:t>
      </w:r>
      <w:r>
        <w:rPr>
          <w:spacing w:val="-91"/>
        </w:rPr>
        <w:t> </w:t>
      </w:r>
      <w:r>
        <w:rPr>
          <w:spacing w:val="-91"/>
        </w:rPr>
      </w:r>
      <w:r>
        <w:rPr>
          <w:spacing w:val="-1"/>
        </w:rPr>
        <w:t>元、投资多元的发展思路，积极布局教育资源与服务、移动互联网娱乐、优质文化的传播与传承，发</w:t>
      </w:r>
      <w:r>
        <w:rPr>
          <w:spacing w:val="-88"/>
        </w:rPr>
        <w:t> </w:t>
      </w:r>
      <w:r>
        <w:rPr>
          <w:spacing w:val="-88"/>
        </w:rPr>
      </w:r>
      <w:r>
        <w:rPr/>
        <w:t>展成为国内一流、在国际上有一定知名度的文化产业集团。</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ind w:left="1418" w:right="0"/>
        <w:jc w:val="both"/>
      </w:pPr>
      <w:r>
        <w:rPr/>
        <w:t>公司治理的实际状况与中国证监会发布的有关上市公司治理的规范性文件是否存在重大差异</w:t>
      </w:r>
    </w:p>
    <w:p>
      <w:pPr>
        <w:pStyle w:val="BodyText"/>
        <w:spacing w:line="240" w:lineRule="auto" w:before="117"/>
        <w:ind w:left="1418"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1418" w:right="0"/>
        <w:jc w:val="both"/>
        <w:rPr>
          <w:b w:val="0"/>
          <w:bCs w:val="0"/>
        </w:rPr>
      </w:pPr>
      <w:bookmarkStart w:name="二、公司相对于控股股东在业务、人员、资产、机构、财务等方面的独立情况" w:id="124"/>
      <w:bookmarkEnd w:id="124"/>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Heading5"/>
        <w:spacing w:line="410" w:lineRule="auto"/>
        <w:ind w:right="1117" w:firstLine="420"/>
        <w:jc w:val="left"/>
      </w:pPr>
      <w:r>
        <w:rPr>
          <w:spacing w:val="-6"/>
        </w:rPr>
        <w:t>公司严格按照《公司法》、《证券法》等有关法律法规和《公司章程》的要求规范运作，与控股股</w:t>
      </w:r>
      <w:r>
        <w:rPr/>
        <w:t> 东在业务、人员、资产、机构、财务等方面保持独立，具有独立完整的业务及自主经营能力。</w:t>
      </w:r>
    </w:p>
    <w:p>
      <w:pPr>
        <w:spacing w:line="240" w:lineRule="auto" w:before="6"/>
        <w:rPr>
          <w:rFonts w:ascii="宋体" w:hAnsi="宋体" w:cs="宋体" w:eastAsia="宋体" w:hint="default"/>
          <w:sz w:val="18"/>
          <w:szCs w:val="18"/>
        </w:rPr>
      </w:pPr>
    </w:p>
    <w:p>
      <w:pPr>
        <w:pStyle w:val="Heading2"/>
        <w:spacing w:line="240" w:lineRule="auto"/>
        <w:ind w:left="1418" w:right="0"/>
        <w:jc w:val="both"/>
        <w:rPr>
          <w:b w:val="0"/>
          <w:bCs w:val="0"/>
        </w:rPr>
      </w:pPr>
      <w:bookmarkStart w:name="三、同业竞争情况" w:id="125"/>
      <w:bookmarkEnd w:id="125"/>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18"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418" w:right="0"/>
        <w:jc w:val="both"/>
        <w:rPr>
          <w:b w:val="0"/>
          <w:bCs w:val="0"/>
        </w:rPr>
      </w:pPr>
      <w:bookmarkStart w:name="四、报告期内召开的年度股东大会和临时股东大会的有关情况" w:id="126"/>
      <w:bookmarkEnd w:id="126"/>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27"/>
      <w:bookmarkEnd w:id="12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13"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现场投票和网络投 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5"/>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现场投票和网络投 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5"/>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现场投票和网络投 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85"/>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4"/>
        <w:spacing w:line="240" w:lineRule="auto" w:before="35"/>
        <w:ind w:right="1117"/>
        <w:jc w:val="left"/>
        <w:rPr>
          <w:b w:val="0"/>
          <w:bCs w:val="0"/>
        </w:rPr>
      </w:pPr>
      <w:bookmarkStart w:name="2、表决权恢复的优先股股东请求召开临时股东大会" w:id="128"/>
      <w:bookmarkEnd w:id="12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1418" w:right="1117"/>
        <w:jc w:val="left"/>
        <w:rPr>
          <w:b w:val="0"/>
          <w:bCs w:val="0"/>
        </w:rPr>
      </w:pPr>
      <w:bookmarkStart w:name="五、报告期内独立董事履行职责的情况" w:id="129"/>
      <w:bookmarkEnd w:id="129"/>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17"/>
        <w:jc w:val="left"/>
        <w:rPr>
          <w:b w:val="0"/>
          <w:bCs w:val="0"/>
        </w:rPr>
      </w:pPr>
      <w:bookmarkStart w:name="1、独立董事出席董事会及股东大会的情况" w:id="130"/>
      <w:bookmarkEnd w:id="13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25" w:type="dxa"/>
        <w:tblLayout w:type="fixed"/>
        <w:tblCellMar>
          <w:top w:w="0" w:type="dxa"/>
          <w:left w:w="0" w:type="dxa"/>
          <w:bottom w:w="0" w:type="dxa"/>
          <w:right w:w="0" w:type="dxa"/>
        </w:tblCellMar>
        <w:tblLook w:val="01E0"/>
      </w:tblPr>
      <w:tblGrid>
        <w:gridCol w:w="1416"/>
        <w:gridCol w:w="1164"/>
        <w:gridCol w:w="1164"/>
        <w:gridCol w:w="1163"/>
        <w:gridCol w:w="1164"/>
        <w:gridCol w:w="1163"/>
        <w:gridCol w:w="1163"/>
        <w:gridCol w:w="1162"/>
      </w:tblGrid>
      <w:tr>
        <w:trPr>
          <w:trHeight w:val="401" w:hRule="exact"/>
        </w:trPr>
        <w:tc>
          <w:tcPr>
            <w:tcW w:w="955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本报告期应参</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现场出席董事</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以通讯方式参</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委托出席董事</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缺席董事会次</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是否连续两次</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出席股东大会</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413"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67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6"/>
              <w:jc w:val="right"/>
              <w:rPr>
                <w:rFonts w:ascii="宋体" w:hAnsi="宋体" w:cs="宋体" w:eastAsia="宋体" w:hint="default"/>
                <w:sz w:val="18"/>
                <w:szCs w:val="18"/>
              </w:rPr>
            </w:pP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5"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5"/>
              <w:jc w:val="right"/>
              <w:rPr>
                <w:rFonts w:ascii="宋体" w:hAnsi="宋体" w:cs="宋体" w:eastAsia="宋体" w:hint="default"/>
                <w:sz w:val="18"/>
                <w:szCs w:val="18"/>
              </w:rPr>
            </w:pPr>
            <w:r>
              <w:rPr>
                <w:rFonts w:ascii="宋体" w:hAnsi="宋体" w:cs="宋体" w:eastAsia="宋体" w:hint="default"/>
                <w:sz w:val="18"/>
                <w:szCs w:val="18"/>
              </w:rPr>
              <w:t>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5" w:right="0"/>
              <w:jc w:val="left"/>
              <w:rPr>
                <w:rFonts w:ascii="宋体" w:hAnsi="宋体" w:cs="宋体" w:eastAsia="宋体" w:hint="default"/>
                <w:sz w:val="18"/>
                <w:szCs w:val="18"/>
              </w:rPr>
            </w:pPr>
            <w:r>
              <w:rPr>
                <w:rFonts w:ascii="宋体" w:hAnsi="宋体" w:cs="宋体" w:eastAsia="宋体" w:hint="default"/>
                <w:sz w:val="18"/>
                <w:szCs w:val="18"/>
              </w:rPr>
              <w:t>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16" w:right="35" w:hanging="180"/>
              <w:jc w:val="left"/>
              <w:rPr>
                <w:rFonts w:ascii="宋体" w:hAnsi="宋体" w:cs="宋体" w:eastAsia="宋体" w:hint="default"/>
                <w:sz w:val="18"/>
                <w:szCs w:val="18"/>
              </w:rPr>
            </w:pPr>
            <w:r>
              <w:rPr>
                <w:rFonts w:ascii="宋体" w:hAnsi="宋体" w:cs="宋体" w:eastAsia="宋体" w:hint="default"/>
                <w:sz w:val="18"/>
                <w:szCs w:val="18"/>
              </w:rPr>
              <w:t>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刘爱明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许中缘</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2、独立董事对公司有关事项提出异议的情况" w:id="131"/>
      <w:bookmarkEnd w:id="13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0"/>
        <w:jc w:val="both"/>
      </w:pPr>
      <w:r>
        <w:rPr/>
        <w:t>独立董事对公司有关事项是否提出异议</w:t>
      </w:r>
    </w:p>
    <w:p>
      <w:pPr>
        <w:pStyle w:val="BodyText"/>
        <w:spacing w:line="240" w:lineRule="auto" w:before="116"/>
        <w:ind w:left="1418"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3、独立董事履行职责的其他说明" w:id="132"/>
      <w:bookmarkEnd w:id="13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0"/>
        <w:jc w:val="both"/>
      </w:pPr>
      <w:r>
        <w:rPr/>
        <w:t>独立董事对公司有关建议是否被采纳</w:t>
      </w:r>
    </w:p>
    <w:p>
      <w:pPr>
        <w:pStyle w:val="BodyText"/>
        <w:spacing w:line="360" w:lineRule="auto" w:before="117"/>
        <w:ind w:left="1418" w:right="650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9"/>
        <w:ind w:left="1418" w:right="1305" w:firstLine="360"/>
        <w:jc w:val="both"/>
      </w:pPr>
      <w:r>
        <w:rPr>
          <w:spacing w:val="-4"/>
        </w:rPr>
        <w:t>报告期内，公司独立董事勤勉尽责，严格按照中国证监会、深圳证券交易所的相关规定及《公司章程》、《董事会</w:t>
      </w:r>
      <w:r>
        <w:rPr/>
        <w:t> 议事规则》和《独立董事工作制度》履行独立董事职责，对公司财务及日常经营进行了有效监督，对公司规范运作、 内部控制建设、重大事项决策等方面提出了宝贵的建议，完善公司监督机制，提高了公司决策的科学性，维护了公司 和全体股东的合法权益。</w:t>
      </w:r>
    </w:p>
    <w:p>
      <w:pPr>
        <w:spacing w:line="240" w:lineRule="auto" w:before="7"/>
        <w:rPr>
          <w:rFonts w:ascii="宋体" w:hAnsi="宋体" w:cs="宋体" w:eastAsia="宋体" w:hint="default"/>
          <w:sz w:val="20"/>
          <w:szCs w:val="20"/>
        </w:rPr>
      </w:pPr>
    </w:p>
    <w:p>
      <w:pPr>
        <w:pStyle w:val="Heading2"/>
        <w:spacing w:line="240" w:lineRule="auto"/>
        <w:ind w:left="1418" w:right="0"/>
        <w:jc w:val="both"/>
        <w:rPr>
          <w:b w:val="0"/>
          <w:bCs w:val="0"/>
        </w:rPr>
      </w:pPr>
      <w:bookmarkStart w:name="六、董事会下设专门委员会在报告期内履行职责情况" w:id="133"/>
      <w:bookmarkEnd w:id="133"/>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8"/>
          <w:szCs w:val="28"/>
        </w:rPr>
      </w:pPr>
    </w:p>
    <w:p>
      <w:pPr>
        <w:pStyle w:val="BodyText"/>
        <w:spacing w:line="240" w:lineRule="auto"/>
        <w:ind w:right="1117"/>
        <w:jc w:val="left"/>
      </w:pPr>
      <w:r>
        <w:rPr/>
        <w:t>公司董事会下设战略委员会、审计委员会、提名与薪酬考核委员会三个专门委员会，其中，战略委员会</w:t>
      </w:r>
      <w:r>
        <w:rPr>
          <w:spacing w:val="-7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0"/>
        </w:rPr>
        <w:t> </w:t>
      </w:r>
      <w:r>
        <w:rPr/>
        <w:t>年共</w:t>
      </w:r>
    </w:p>
    <w:p>
      <w:pPr>
        <w:pStyle w:val="BodyText"/>
        <w:spacing w:line="240" w:lineRule="auto" w:before="109"/>
        <w:ind w:left="1418" w:right="0"/>
        <w:jc w:val="both"/>
      </w:pPr>
      <w:r>
        <w:rPr/>
        <w:t>召开</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次会议，对公司</w:t>
      </w:r>
      <w:r>
        <w:rPr>
          <w:spacing w:val="-46"/>
        </w:rPr>
        <w:t> </w:t>
      </w:r>
      <w:r>
        <w:rPr>
          <w:rFonts w:ascii="Times New Roman" w:hAnsi="Times New Roman" w:cs="Times New Roman" w:eastAsia="Times New Roman" w:hint="default"/>
        </w:rPr>
        <w:t>2017 </w:t>
      </w:r>
      <w:r>
        <w:rPr/>
        <w:t>年度主要发展战略进行了讨论；审计委员会</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年共召开</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次会议，审议了定期报告、</w:t>
      </w:r>
    </w:p>
    <w:p>
      <w:pPr>
        <w:pStyle w:val="BodyText"/>
        <w:spacing w:line="360" w:lineRule="auto" w:before="109"/>
        <w:ind w:left="1418" w:right="1272"/>
        <w:jc w:val="both"/>
      </w:pPr>
      <w:r>
        <w:rPr/>
        <w:t>募集资金使用情况、会计师事务所选聘等事项；提名与薪酬考核委员会</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年共召开</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3"/>
        </w:rPr>
        <w:t>次会议，对独立董事、高管换</w:t>
      </w:r>
      <w:r>
        <w:rPr/>
        <w:t> 届选举出具了审核意见以及薪酬等事项。董事会各专业委员会对全体股东高度负责，以务实的作风和严谨的态度，发 挥各自优势，客观公正判断，对公司相关事项发表专业意见，保护了全体股东的利益，对公司科学发展起到了至关重 要的作用。</w:t>
      </w:r>
    </w:p>
    <w:p>
      <w:pPr>
        <w:spacing w:line="240" w:lineRule="auto" w:before="12"/>
        <w:rPr>
          <w:rFonts w:ascii="宋体" w:hAnsi="宋体" w:cs="宋体" w:eastAsia="宋体" w:hint="default"/>
          <w:sz w:val="19"/>
          <w:szCs w:val="19"/>
        </w:rPr>
      </w:pPr>
    </w:p>
    <w:p>
      <w:pPr>
        <w:pStyle w:val="Heading2"/>
        <w:spacing w:line="240" w:lineRule="auto"/>
        <w:ind w:left="1418" w:right="0"/>
        <w:jc w:val="both"/>
        <w:rPr>
          <w:b w:val="0"/>
          <w:bCs w:val="0"/>
        </w:rPr>
      </w:pPr>
      <w:bookmarkStart w:name="七、监事会工作情况" w:id="134"/>
      <w:bookmarkEnd w:id="134"/>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18" w:right="0"/>
        <w:jc w:val="both"/>
      </w:pPr>
      <w:r>
        <w:rPr/>
        <w:t>监事会在报告期内的监督活动中发现公司是否存在风险</w:t>
      </w:r>
    </w:p>
    <w:p>
      <w:pPr>
        <w:pStyle w:val="BodyText"/>
        <w:spacing w:line="240" w:lineRule="auto" w:before="116"/>
        <w:ind w:left="1418"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1418" w:right="0"/>
        <w:jc w:val="both"/>
        <w:rPr>
          <w:b w:val="0"/>
          <w:bCs w:val="0"/>
        </w:rPr>
      </w:pPr>
      <w:bookmarkStart w:name="八、高级管理人员的考评及激励情况" w:id="135"/>
      <w:bookmarkEnd w:id="135"/>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8"/>
          <w:szCs w:val="28"/>
        </w:rPr>
      </w:pPr>
    </w:p>
    <w:p>
      <w:pPr>
        <w:pStyle w:val="BodyText"/>
        <w:spacing w:line="367" w:lineRule="auto"/>
        <w:ind w:left="1418" w:right="1274" w:firstLine="360"/>
        <w:jc w:val="both"/>
      </w:pPr>
      <w:r>
        <w:rPr/>
        <w:t>根据《上市公司治理准则》等管理规定，公司系统的建立现代企业经营者激励机制，持续不断地改进和提高经营 与工作业绩，确保公司战略和经营目标的实现。</w:t>
      </w:r>
    </w:p>
    <w:p>
      <w:pPr>
        <w:pStyle w:val="BodyText"/>
        <w:spacing w:line="364" w:lineRule="auto" w:before="66"/>
        <w:ind w:left="1418" w:right="1305" w:firstLine="360"/>
        <w:jc w:val="both"/>
      </w:pPr>
      <w:r>
        <w:rPr/>
        <w:t>为充分调动员工积极性，采取动态薪酬政策，在保证员工基础薪酬的基础上，坚持绩效优先，兼顾公平，拉开绩 效薪酬差距，最大限度地发挥薪酬的激励作用。公司的绩效考核小组制定高级管理人员年度工作目标并签署经营目标 责任书，落实公司各项经营指标和年度工作目标，提高管理水平、提升工作效率，不断优化公司的治理结构，促进公</w:t>
      </w:r>
    </w:p>
    <w:p>
      <w:pPr>
        <w:spacing w:after="0" w:line="364" w:lineRule="auto"/>
        <w:jc w:val="both"/>
        <w:sectPr>
          <w:pgSz w:w="11910" w:h="16840"/>
          <w:pgMar w:header="877" w:footer="979" w:top="1060" w:bottom="1160" w:left="0" w:right="0"/>
        </w:sectPr>
      </w:pPr>
    </w:p>
    <w:p>
      <w:pPr>
        <w:spacing w:line="240" w:lineRule="auto" w:before="10"/>
        <w:rPr>
          <w:rFonts w:ascii="宋体" w:hAnsi="宋体" w:cs="宋体" w:eastAsia="宋体" w:hint="default"/>
          <w:sz w:val="27"/>
          <w:szCs w:val="27"/>
        </w:rPr>
      </w:pPr>
    </w:p>
    <w:p>
      <w:pPr>
        <w:pStyle w:val="BodyText"/>
        <w:spacing w:line="240" w:lineRule="auto" w:before="44"/>
        <w:ind w:left="1418" w:right="1117"/>
        <w:jc w:val="left"/>
      </w:pPr>
      <w:r>
        <w:rPr/>
        <w:t>司健康稳定的发展。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2"/>
        <w:spacing w:line="240" w:lineRule="auto"/>
        <w:ind w:left="1418" w:right="1117"/>
        <w:jc w:val="left"/>
        <w:rPr>
          <w:b w:val="0"/>
          <w:bCs w:val="0"/>
        </w:rPr>
      </w:pPr>
      <w:bookmarkStart w:name="九、内部控制评价报告" w:id="136"/>
      <w:bookmarkEnd w:id="136"/>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7"/>
        <w:jc w:val="left"/>
        <w:rPr>
          <w:b w:val="0"/>
          <w:bCs w:val="0"/>
        </w:rPr>
      </w:pPr>
      <w:bookmarkStart w:name="1、报告期内发现的内部控制重大缺陷的具体情况" w:id="137"/>
      <w:bookmarkEnd w:id="13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1117"/>
        <w:jc w:val="left"/>
        <w:rPr>
          <w:b w:val="0"/>
          <w:bCs w:val="0"/>
        </w:rPr>
      </w:pPr>
      <w:bookmarkStart w:name="2、内控自我评价报告" w:id="138"/>
      <w:bookmarkEnd w:id="13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25" w:type="dxa"/>
        <w:tblLayout w:type="fixed"/>
        <w:tblCellMar>
          <w:top w:w="0" w:type="dxa"/>
          <w:left w:w="0" w:type="dxa"/>
          <w:bottom w:w="0" w:type="dxa"/>
          <w:right w:w="0" w:type="dxa"/>
        </w:tblCellMar>
        <w:tblLook w:val="01E0"/>
      </w:tblPr>
      <w:tblGrid>
        <w:gridCol w:w="2960"/>
        <w:gridCol w:w="3233"/>
        <w:gridCol w:w="3119"/>
      </w:tblGrid>
      <w:tr>
        <w:trPr>
          <w:trHeight w:val="402"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5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2" w:hRule="exact"/>
        </w:trPr>
        <w:tc>
          <w:tcPr>
            <w:tcW w:w="2960"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52" w:type="dxa"/>
            <w:gridSpan w:val="2"/>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7"/>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5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714"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7"/>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5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97" w:hRule="exact"/>
        </w:trPr>
        <w:tc>
          <w:tcPr>
            <w:tcW w:w="93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078" w:hRule="exact"/>
        </w:trPr>
        <w:tc>
          <w:tcPr>
            <w:tcW w:w="2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33" w:type="dxa"/>
            <w:vMerge w:val="restart"/>
            <w:tcBorders>
              <w:top w:val="single" w:sz="4" w:space="0" w:color="000000"/>
              <w:left w:val="single" w:sz="9" w:space="0" w:color="D2D2D2"/>
              <w:right w:val="single" w:sz="4" w:space="0" w:color="000000"/>
            </w:tcBorders>
            <w:shd w:val="clear" w:color="auto" w:fill="CCE8CF"/>
          </w:tcPr>
          <w:p>
            <w:pPr>
              <w:pStyle w:val="TableParagraph"/>
              <w:spacing w:line="345" w:lineRule="auto" w:before="33"/>
              <w:ind w:left="22" w:right="20"/>
              <w:jc w:val="both"/>
              <w:rPr>
                <w:rFonts w:ascii="宋体" w:hAnsi="宋体" w:cs="宋体" w:eastAsia="宋体" w:hint="default"/>
                <w:sz w:val="18"/>
                <w:szCs w:val="18"/>
              </w:rPr>
            </w:pPr>
            <w:r>
              <w:rPr>
                <w:rFonts w:ascii="宋体" w:hAnsi="宋体" w:cs="宋体" w:eastAsia="宋体" w:hint="default"/>
                <w:spacing w:val="-9"/>
                <w:sz w:val="18"/>
                <w:szCs w:val="18"/>
              </w:rPr>
              <w:t>财务报告重大缺陷的迹象包括：（</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）控制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环境无效；（</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）公司董事、监事和高级管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理人员的舞弊行为；（</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）未被公司内部控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制识别的当期财务报告中的重大错报；</w:t>
            </w:r>
          </w:p>
          <w:p>
            <w:pPr>
              <w:pStyle w:val="TableParagraph"/>
              <w:spacing w:line="355" w:lineRule="auto" w:before="44"/>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）审计委员会和审计部门对公司的对 外财务报告和财务报告内部控制监督无 效。 </w:t>
            </w:r>
            <w:r>
              <w:rPr>
                <w:rFonts w:ascii="宋体" w:hAnsi="宋体" w:cs="宋体" w:eastAsia="宋体" w:hint="default"/>
                <w:spacing w:val="-9"/>
                <w:sz w:val="18"/>
                <w:szCs w:val="18"/>
              </w:rPr>
              <w:t>财务报告重要缺陷的迹象包括：（</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）未依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照公认会计准则选择和应用会计政策；</w:t>
            </w:r>
          </w:p>
          <w:p>
            <w:pPr>
              <w:pStyle w:val="TableParagraph"/>
              <w:spacing w:line="360" w:lineRule="auto" w:before="37"/>
              <w:ind w:left="22" w:right="-46"/>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）未建立反舞弊程序和控制措施；（</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对于非常规或特殊交易的账务处理没有</w:t>
            </w:r>
            <w:r>
              <w:rPr>
                <w:rFonts w:ascii="宋体" w:hAnsi="宋体" w:cs="宋体" w:eastAsia="宋体" w:hint="default"/>
                <w:sz w:val="18"/>
                <w:szCs w:val="18"/>
              </w:rPr>
              <w:t> 建立相应的控制机制或没有实施且没有 相应的补偿性控制；</w:t>
            </w:r>
            <w:r>
              <w:rPr>
                <w:rFonts w:ascii="宋体" w:hAnsi="宋体" w:cs="宋体" w:eastAsia="宋体" w:hint="default"/>
                <w:spacing w:val="-46"/>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）对于期末财务</w:t>
            </w:r>
            <w:r>
              <w:rPr>
                <w:rFonts w:ascii="宋体" w:hAnsi="宋体" w:cs="宋体" w:eastAsia="宋体" w:hint="default"/>
                <w:sz w:val="18"/>
                <w:szCs w:val="18"/>
              </w:rPr>
              <w:t> 报告过程的控制存在一项或多项缺陷且 不能合理保证编制的财务报表达到真实、 完整的目标。 </w:t>
            </w:r>
            <w:r>
              <w:rPr>
                <w:rFonts w:ascii="宋体" w:hAnsi="宋体" w:cs="宋体" w:eastAsia="宋体" w:hint="default"/>
                <w:spacing w:val="-4"/>
                <w:sz w:val="18"/>
                <w:szCs w:val="18"/>
              </w:rPr>
              <w:t>一般缺陷是指除上述重大缺陷、重要缺陷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之外的其他控制缺陷。</w:t>
            </w:r>
          </w:p>
        </w:tc>
        <w:tc>
          <w:tcPr>
            <w:tcW w:w="3119"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67" w:lineRule="auto"/>
              <w:ind w:left="22" w:right="24"/>
              <w:jc w:val="both"/>
              <w:rPr>
                <w:rFonts w:ascii="宋体" w:hAnsi="宋体" w:cs="宋体" w:eastAsia="宋体" w:hint="default"/>
                <w:sz w:val="18"/>
                <w:szCs w:val="18"/>
              </w:rPr>
            </w:pPr>
            <w:r>
              <w:rPr>
                <w:rFonts w:ascii="宋体" w:hAnsi="宋体" w:cs="宋体" w:eastAsia="宋体" w:hint="default"/>
                <w:sz w:val="18"/>
                <w:szCs w:val="18"/>
              </w:rPr>
              <w:t>非财务报告缺陷认定主要以缺陷对业务 流程有效性的影响程度、发生的可能性 作判定。如果缺陷发生的可能性较小， 会降低工作效率或效果、或加大效果的 不确定性、或使之偏离预期目标为一般 缺陷；如果缺陷发生的可能性较高，会 显著降低工作效率或效果、或显著加大 效果的不确定性、或使之显著偏离预期 目标为重要缺陷；如果缺陷发生的可能 性高，会严重降低工作效率或效果、或 严重加大效果的不确定性、或使之严重 偏离预期目标为重大缺陷。</w:t>
            </w:r>
          </w:p>
        </w:tc>
      </w:tr>
      <w:tr>
        <w:trPr>
          <w:trHeight w:val="312" w:hRule="exact"/>
        </w:trPr>
        <w:tc>
          <w:tcPr>
            <w:tcW w:w="2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233" w:type="dxa"/>
            <w:vMerge/>
            <w:tcBorders>
              <w:left w:val="single" w:sz="9" w:space="0" w:color="D2D2D2"/>
              <w:right w:val="single" w:sz="4" w:space="0" w:color="000000"/>
            </w:tcBorders>
            <w:shd w:val="clear" w:color="auto" w:fill="CCE8CF"/>
          </w:tcPr>
          <w:p>
            <w:pPr/>
          </w:p>
        </w:tc>
        <w:tc>
          <w:tcPr>
            <w:tcW w:w="3119" w:type="dxa"/>
            <w:vMerge/>
            <w:tcBorders>
              <w:left w:val="single" w:sz="4" w:space="0" w:color="000000"/>
              <w:right w:val="single" w:sz="4" w:space="0" w:color="000000"/>
            </w:tcBorders>
            <w:shd w:val="clear" w:color="auto" w:fill="CCE8CF"/>
          </w:tcPr>
          <w:p>
            <w:pPr/>
          </w:p>
        </w:tc>
      </w:tr>
      <w:tr>
        <w:trPr>
          <w:trHeight w:val="3078" w:hRule="exact"/>
        </w:trPr>
        <w:tc>
          <w:tcPr>
            <w:tcW w:w="2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33" w:type="dxa"/>
            <w:vMerge/>
            <w:tcBorders>
              <w:left w:val="single" w:sz="9" w:space="0" w:color="D2D2D2"/>
              <w:bottom w:val="single" w:sz="4" w:space="0" w:color="000000"/>
              <w:right w:val="single" w:sz="4" w:space="0" w:color="000000"/>
            </w:tcBorders>
            <w:shd w:val="clear" w:color="auto" w:fill="CCE8CF"/>
          </w:tcPr>
          <w:p>
            <w:pPr/>
          </w:p>
        </w:tc>
        <w:tc>
          <w:tcPr>
            <w:tcW w:w="3119" w:type="dxa"/>
            <w:vMerge/>
            <w:tcBorders>
              <w:left w:val="single" w:sz="4" w:space="0" w:color="000000"/>
              <w:bottom w:val="single" w:sz="4" w:space="0" w:color="000000"/>
              <w:right w:val="single" w:sz="4" w:space="0" w:color="000000"/>
            </w:tcBorders>
            <w:shd w:val="clear" w:color="auto" w:fill="CCE8CF"/>
          </w:tcPr>
          <w:p>
            <w:pPr/>
          </w:p>
        </w:tc>
      </w:tr>
      <w:tr>
        <w:trPr>
          <w:trHeight w:val="317" w:hRule="exact"/>
        </w:trPr>
        <w:tc>
          <w:tcPr>
            <w:tcW w:w="2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33" w:type="dxa"/>
            <w:vMerge w:val="restart"/>
            <w:tcBorders>
              <w:top w:val="single" w:sz="4" w:space="0" w:color="000000"/>
              <w:left w:val="single" w:sz="9" w:space="0" w:color="D2D2D2"/>
              <w:right w:val="single" w:sz="4" w:space="0" w:color="000000"/>
            </w:tcBorders>
            <w:shd w:val="clear" w:color="auto" w:fill="CCE8CF"/>
          </w:tcPr>
          <w:p>
            <w:pPr>
              <w:pStyle w:val="TableParagraph"/>
              <w:spacing w:line="345" w:lineRule="auto" w:before="142"/>
              <w:ind w:left="22" w:right="132"/>
              <w:jc w:val="left"/>
              <w:rPr>
                <w:rFonts w:ascii="宋体" w:hAnsi="宋体" w:cs="宋体" w:eastAsia="宋体" w:hint="default"/>
                <w:sz w:val="18"/>
                <w:szCs w:val="18"/>
              </w:rPr>
            </w:pPr>
            <w:r>
              <w:rPr>
                <w:rFonts w:ascii="宋体" w:hAnsi="宋体" w:cs="宋体" w:eastAsia="宋体" w:hint="default"/>
                <w:sz w:val="18"/>
                <w:szCs w:val="18"/>
              </w:rPr>
              <w:t>本公司以利润总额的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作为利润表整 体重要性水平的衡量指标，以净资产的</w:t>
            </w:r>
          </w:p>
        </w:tc>
        <w:tc>
          <w:tcPr>
            <w:tcW w:w="3119" w:type="dxa"/>
            <w:vMerge w:val="restart"/>
            <w:tcBorders>
              <w:top w:val="single" w:sz="4" w:space="0" w:color="000000"/>
              <w:left w:val="single" w:sz="4" w:space="0" w:color="000000"/>
              <w:right w:val="single" w:sz="4" w:space="0" w:color="000000"/>
            </w:tcBorders>
            <w:shd w:val="clear" w:color="auto" w:fill="CCE8CF"/>
          </w:tcPr>
          <w:p>
            <w:pPr>
              <w:pStyle w:val="TableParagraph"/>
              <w:spacing w:line="30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本公司以直接损失占公司净资产的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作为非财务报告重要性水平的衡量指 标。当直接损失金额大于或等于净资产</w:t>
            </w:r>
          </w:p>
        </w:tc>
      </w:tr>
      <w:tr>
        <w:trPr>
          <w:trHeight w:val="312" w:hRule="exact"/>
        </w:trPr>
        <w:tc>
          <w:tcPr>
            <w:tcW w:w="2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233" w:type="dxa"/>
            <w:vMerge/>
            <w:tcBorders>
              <w:left w:val="single" w:sz="9" w:space="0" w:color="D2D2D2"/>
              <w:right w:val="single" w:sz="4" w:space="0" w:color="000000"/>
            </w:tcBorders>
            <w:shd w:val="clear" w:color="auto" w:fill="CCE8CF"/>
          </w:tcPr>
          <w:p>
            <w:pPr/>
          </w:p>
        </w:tc>
        <w:tc>
          <w:tcPr>
            <w:tcW w:w="3119" w:type="dxa"/>
            <w:vMerge/>
            <w:tcBorders>
              <w:left w:val="single" w:sz="4" w:space="0" w:color="000000"/>
              <w:right w:val="single" w:sz="4" w:space="0" w:color="000000"/>
            </w:tcBorders>
            <w:shd w:val="clear" w:color="auto" w:fill="CCE8CF"/>
          </w:tcPr>
          <w:p>
            <w:pPr/>
          </w:p>
        </w:tc>
      </w:tr>
      <w:tr>
        <w:trPr>
          <w:trHeight w:val="317" w:hRule="exact"/>
        </w:trPr>
        <w:tc>
          <w:tcPr>
            <w:tcW w:w="2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33" w:type="dxa"/>
            <w:vMerge/>
            <w:tcBorders>
              <w:left w:val="single" w:sz="9" w:space="0" w:color="D2D2D2"/>
              <w:bottom w:val="single" w:sz="4" w:space="0" w:color="000000"/>
              <w:right w:val="single" w:sz="4" w:space="0" w:color="000000"/>
            </w:tcBorders>
            <w:shd w:val="clear" w:color="auto" w:fill="CCE8CF"/>
          </w:tcPr>
          <w:p>
            <w:pPr/>
          </w:p>
        </w:tc>
        <w:tc>
          <w:tcPr>
            <w:tcW w:w="3119"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413" w:type="dxa"/>
        <w:tblLayout w:type="fixed"/>
        <w:tblCellMar>
          <w:top w:w="0" w:type="dxa"/>
          <w:left w:w="0" w:type="dxa"/>
          <w:bottom w:w="0" w:type="dxa"/>
          <w:right w:w="0" w:type="dxa"/>
        </w:tblCellMar>
        <w:tblLook w:val="01E0"/>
      </w:tblPr>
      <w:tblGrid>
        <w:gridCol w:w="2988"/>
        <w:gridCol w:w="3216"/>
        <w:gridCol w:w="3119"/>
      </w:tblGrid>
      <w:tr>
        <w:trPr>
          <w:trHeight w:val="4674" w:hRule="exact"/>
        </w:trPr>
        <w:tc>
          <w:tcPr>
            <w:tcW w:w="2988" w:type="dxa"/>
            <w:tcBorders>
              <w:top w:val="single" w:sz="4" w:space="0" w:color="000000"/>
              <w:left w:val="single" w:sz="4" w:space="0" w:color="000000"/>
              <w:bottom w:val="single" w:sz="4" w:space="0" w:color="000000"/>
              <w:right w:val="single" w:sz="9" w:space="0" w:color="CCE8CF"/>
            </w:tcBorders>
            <w:shd w:val="clear" w:color="auto" w:fill="D2D2D2"/>
          </w:tcPr>
          <w:p>
            <w:pPr/>
          </w:p>
        </w:tc>
        <w:tc>
          <w:tcPr>
            <w:tcW w:w="32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50" w:lineRule="auto" w:before="33"/>
              <w:ind w:left="11"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作为资产负债表整体重要性水平的衡</w:t>
            </w:r>
            <w:r>
              <w:rPr>
                <w:rFonts w:ascii="宋体" w:hAnsi="宋体" w:cs="宋体" w:eastAsia="宋体" w:hint="default"/>
                <w:w w:val="99"/>
                <w:sz w:val="18"/>
                <w:szCs w:val="18"/>
              </w:rPr>
              <w:t> </w:t>
            </w:r>
            <w:r>
              <w:rPr>
                <w:rFonts w:ascii="宋体" w:hAnsi="宋体" w:cs="宋体" w:eastAsia="宋体" w:hint="default"/>
                <w:spacing w:val="-4"/>
                <w:sz w:val="18"/>
                <w:szCs w:val="18"/>
              </w:rPr>
              <w:t>量指标。当利润表项目潜在错报金额大于</w:t>
            </w:r>
            <w:r>
              <w:rPr>
                <w:rFonts w:ascii="宋体" w:hAnsi="宋体" w:cs="宋体" w:eastAsia="宋体" w:hint="default"/>
                <w:w w:val="99"/>
                <w:sz w:val="18"/>
                <w:szCs w:val="18"/>
              </w:rPr>
              <w:t> </w:t>
            </w:r>
            <w:r>
              <w:rPr>
                <w:rFonts w:ascii="宋体" w:hAnsi="宋体" w:cs="宋体" w:eastAsia="宋体" w:hint="default"/>
                <w:sz w:val="18"/>
                <w:szCs w:val="18"/>
              </w:rPr>
              <w:t>或等于利润总额的</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，或资产负债表项</w:t>
            </w:r>
            <w:r>
              <w:rPr>
                <w:rFonts w:ascii="宋体" w:hAnsi="宋体" w:cs="宋体" w:eastAsia="宋体" w:hint="default"/>
                <w:w w:val="99"/>
                <w:sz w:val="18"/>
                <w:szCs w:val="18"/>
              </w:rPr>
              <w:t> </w:t>
            </w:r>
            <w:r>
              <w:rPr>
                <w:rFonts w:ascii="宋体" w:hAnsi="宋体" w:cs="宋体" w:eastAsia="宋体" w:hint="default"/>
                <w:sz w:val="18"/>
                <w:szCs w:val="18"/>
              </w:rPr>
              <w:t>目潜在错报金额大于或等于净资产的</w:t>
            </w:r>
            <w:r>
              <w:rPr>
                <w:rFonts w:ascii="Times New Roman" w:hAnsi="Times New Roman" w:cs="Times New Roman" w:eastAsia="Times New Roman" w:hint="default"/>
                <w:sz w:val="18"/>
                <w:szCs w:val="18"/>
              </w:rPr>
              <w:t>5%</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时，则认定为重大缺陷；</w:t>
            </w:r>
            <w:r>
              <w:rPr>
                <w:rFonts w:ascii="宋体" w:hAnsi="宋体" w:cs="宋体" w:eastAsia="宋体" w:hint="default"/>
                <w:spacing w:val="-1"/>
                <w:sz w:val="18"/>
                <w:szCs w:val="18"/>
              </w:rPr>
              <w:t> </w:t>
            </w:r>
            <w:r>
              <w:rPr>
                <w:rFonts w:ascii="宋体" w:hAnsi="宋体" w:cs="宋体" w:eastAsia="宋体" w:hint="default"/>
                <w:sz w:val="18"/>
                <w:szCs w:val="18"/>
              </w:rPr>
              <w:t>当利润表项目</w:t>
            </w:r>
            <w:r>
              <w:rPr>
                <w:rFonts w:ascii="宋体" w:hAnsi="宋体" w:cs="宋体" w:eastAsia="宋体" w:hint="default"/>
                <w:w w:val="99"/>
                <w:sz w:val="18"/>
                <w:szCs w:val="18"/>
              </w:rPr>
              <w:t> </w:t>
            </w:r>
            <w:r>
              <w:rPr>
                <w:rFonts w:ascii="宋体" w:hAnsi="宋体" w:cs="宋体" w:eastAsia="宋体" w:hint="default"/>
                <w:sz w:val="18"/>
                <w:szCs w:val="18"/>
              </w:rPr>
              <w:t>潜在错报金额小于利润总额的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，但大</w:t>
            </w:r>
            <w:r>
              <w:rPr>
                <w:rFonts w:ascii="宋体" w:hAnsi="宋体" w:cs="宋体" w:eastAsia="宋体" w:hint="default"/>
                <w:w w:val="99"/>
                <w:sz w:val="18"/>
                <w:szCs w:val="18"/>
              </w:rPr>
              <w:t> </w:t>
            </w:r>
            <w:r>
              <w:rPr>
                <w:rFonts w:ascii="宋体" w:hAnsi="宋体" w:cs="宋体" w:eastAsia="宋体" w:hint="default"/>
                <w:sz w:val="18"/>
                <w:szCs w:val="18"/>
              </w:rPr>
              <w:t>于或等于利润总额的</w:t>
            </w:r>
            <w:r>
              <w:rPr>
                <w:rFonts w:ascii="Times New Roman" w:hAnsi="Times New Roman" w:cs="Times New Roman" w:eastAsia="Times New Roman" w:hint="default"/>
                <w:sz w:val="18"/>
                <w:szCs w:val="18"/>
              </w:rPr>
              <w:t>3%</w:t>
            </w:r>
            <w:r>
              <w:rPr>
                <w:rFonts w:ascii="宋体" w:hAnsi="宋体" w:cs="宋体" w:eastAsia="宋体" w:hint="default"/>
                <w:sz w:val="18"/>
                <w:szCs w:val="18"/>
              </w:rPr>
              <w:t>，或资产负债表</w:t>
            </w:r>
            <w:r>
              <w:rPr>
                <w:rFonts w:ascii="宋体" w:hAnsi="宋体" w:cs="宋体" w:eastAsia="宋体" w:hint="default"/>
                <w:w w:val="99"/>
                <w:sz w:val="18"/>
                <w:szCs w:val="18"/>
              </w:rPr>
              <w:t> </w:t>
            </w:r>
            <w:r>
              <w:rPr>
                <w:rFonts w:ascii="宋体" w:hAnsi="宋体" w:cs="宋体" w:eastAsia="宋体" w:hint="default"/>
                <w:sz w:val="18"/>
                <w:szCs w:val="18"/>
              </w:rPr>
              <w:t>项目潜在错报金额小于净资产的</w:t>
            </w:r>
            <w:r>
              <w:rPr>
                <w:rFonts w:ascii="Times New Roman" w:hAnsi="Times New Roman" w:cs="Times New Roman" w:eastAsia="Times New Roman" w:hint="default"/>
                <w:sz w:val="18"/>
                <w:szCs w:val="18"/>
              </w:rPr>
              <w:t>5%</w:t>
            </w:r>
            <w:r>
              <w:rPr>
                <w:rFonts w:ascii="宋体" w:hAnsi="宋体" w:cs="宋体" w:eastAsia="宋体" w:hint="default"/>
                <w:sz w:val="18"/>
                <w:szCs w:val="18"/>
              </w:rPr>
              <w:t>，但</w:t>
            </w:r>
            <w:r>
              <w:rPr>
                <w:rFonts w:ascii="宋体" w:hAnsi="宋体" w:cs="宋体" w:eastAsia="宋体" w:hint="default"/>
                <w:w w:val="99"/>
                <w:sz w:val="18"/>
                <w:szCs w:val="18"/>
              </w:rPr>
              <w:t> </w:t>
            </w:r>
            <w:r>
              <w:rPr>
                <w:rFonts w:ascii="宋体" w:hAnsi="宋体" w:cs="宋体" w:eastAsia="宋体" w:hint="default"/>
                <w:sz w:val="18"/>
                <w:szCs w:val="18"/>
              </w:rPr>
              <w:t>大于或等于净资产的</w:t>
            </w:r>
            <w:r>
              <w:rPr>
                <w:rFonts w:ascii="Times New Roman" w:hAnsi="Times New Roman" w:cs="Times New Roman" w:eastAsia="Times New Roman" w:hint="default"/>
                <w:sz w:val="18"/>
                <w:szCs w:val="18"/>
              </w:rPr>
              <w:t>3%</w:t>
            </w:r>
            <w:r>
              <w:rPr>
                <w:rFonts w:ascii="宋体" w:hAnsi="宋体" w:cs="宋体" w:eastAsia="宋体" w:hint="default"/>
                <w:sz w:val="18"/>
                <w:szCs w:val="18"/>
              </w:rPr>
              <w:t>，则认定为重要</w:t>
            </w:r>
            <w:r>
              <w:rPr>
                <w:rFonts w:ascii="宋体" w:hAnsi="宋体" w:cs="宋体" w:eastAsia="宋体" w:hint="default"/>
                <w:w w:val="99"/>
                <w:sz w:val="18"/>
                <w:szCs w:val="18"/>
              </w:rPr>
              <w:t> </w:t>
            </w:r>
            <w:r>
              <w:rPr>
                <w:rFonts w:ascii="宋体" w:hAnsi="宋体" w:cs="宋体" w:eastAsia="宋体" w:hint="default"/>
                <w:sz w:val="18"/>
                <w:szCs w:val="18"/>
              </w:rPr>
              <w:t>缺陷；</w:t>
            </w:r>
            <w:r>
              <w:rPr>
                <w:rFonts w:ascii="宋体" w:hAnsi="宋体" w:cs="宋体" w:eastAsia="宋体" w:hint="default"/>
                <w:spacing w:val="-1"/>
                <w:sz w:val="18"/>
                <w:szCs w:val="18"/>
              </w:rPr>
              <w:t> </w:t>
            </w:r>
            <w:r>
              <w:rPr>
                <w:rFonts w:ascii="宋体" w:hAnsi="宋体" w:cs="宋体" w:eastAsia="宋体" w:hint="default"/>
                <w:sz w:val="18"/>
                <w:szCs w:val="18"/>
              </w:rPr>
              <w:t>当利润表项目潜在错报金额小于</w:t>
            </w:r>
            <w:r>
              <w:rPr>
                <w:rFonts w:ascii="宋体" w:hAnsi="宋体" w:cs="宋体" w:eastAsia="宋体" w:hint="default"/>
                <w:w w:val="99"/>
                <w:sz w:val="18"/>
                <w:szCs w:val="18"/>
              </w:rPr>
              <w:t> </w:t>
            </w:r>
            <w:r>
              <w:rPr>
                <w:rFonts w:ascii="宋体" w:hAnsi="宋体" w:cs="宋体" w:eastAsia="宋体" w:hint="default"/>
                <w:sz w:val="18"/>
                <w:szCs w:val="18"/>
              </w:rPr>
              <w:t>利润总额的</w:t>
            </w:r>
            <w:r>
              <w:rPr>
                <w:rFonts w:ascii="宋体" w:hAnsi="宋体" w:cs="宋体" w:eastAsia="宋体" w:hint="default"/>
                <w:spacing w:val="9"/>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，资产负债表项目潜在错</w:t>
            </w:r>
            <w:r>
              <w:rPr>
                <w:rFonts w:ascii="宋体" w:hAnsi="宋体" w:cs="宋体" w:eastAsia="宋体" w:hint="default"/>
                <w:w w:val="99"/>
                <w:sz w:val="18"/>
                <w:szCs w:val="18"/>
              </w:rPr>
              <w:t> </w:t>
            </w:r>
            <w:r>
              <w:rPr>
                <w:rFonts w:ascii="宋体" w:hAnsi="宋体" w:cs="宋体" w:eastAsia="宋体" w:hint="default"/>
                <w:sz w:val="18"/>
                <w:szCs w:val="18"/>
              </w:rPr>
              <w:t>报金额小于净资产的</w:t>
            </w:r>
            <w:r>
              <w:rPr>
                <w:rFonts w:ascii="Times New Roman" w:hAnsi="Times New Roman" w:cs="Times New Roman" w:eastAsia="Times New Roman" w:hint="default"/>
                <w:sz w:val="18"/>
                <w:szCs w:val="18"/>
              </w:rPr>
              <w:t>3%</w:t>
            </w:r>
            <w:r>
              <w:rPr>
                <w:rFonts w:ascii="宋体" w:hAnsi="宋体" w:cs="宋体" w:eastAsia="宋体" w:hint="default"/>
                <w:sz w:val="18"/>
                <w:szCs w:val="18"/>
              </w:rPr>
              <w:t>时，则认定为一</w:t>
            </w:r>
            <w:r>
              <w:rPr>
                <w:rFonts w:ascii="宋体" w:hAnsi="宋体" w:cs="宋体" w:eastAsia="宋体" w:hint="default"/>
                <w:w w:val="99"/>
                <w:sz w:val="18"/>
                <w:szCs w:val="18"/>
              </w:rPr>
              <w:t> </w:t>
            </w:r>
            <w:r>
              <w:rPr>
                <w:rFonts w:ascii="宋体" w:hAnsi="宋体" w:cs="宋体" w:eastAsia="宋体" w:hint="default"/>
                <w:sz w:val="18"/>
                <w:szCs w:val="18"/>
              </w:rPr>
              <w:t>般缺陷。</w:t>
            </w:r>
          </w:p>
        </w:tc>
        <w:tc>
          <w:tcPr>
            <w:tcW w:w="31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，则认定为重大缺陷；当直接损 失金额小于净资产的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但大于或等于 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，则认定为重要缺陷；当 直接损失金额小于净资产的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时，则 认定为一般缺陷。</w:t>
            </w:r>
          </w:p>
        </w:tc>
      </w:tr>
      <w:tr>
        <w:trPr>
          <w:trHeight w:val="323"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418" w:right="1117"/>
        <w:jc w:val="left"/>
        <w:rPr>
          <w:b w:val="0"/>
          <w:bCs w:val="0"/>
        </w:rPr>
      </w:pPr>
      <w:bookmarkStart w:name="十、内部控制审计报告或鉴证报告" w:id="139"/>
      <w:bookmarkEnd w:id="139"/>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18"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left="144" w:right="0"/>
        <w:jc w:val="center"/>
        <w:rPr>
          <w:b w:val="0"/>
          <w:bCs w:val="0"/>
        </w:rPr>
      </w:pPr>
      <w:bookmarkStart w:name="第十节 公司债券相关情况" w:id="140"/>
      <w:bookmarkEnd w:id="140"/>
      <w:r>
        <w:rPr>
          <w:b w:val="0"/>
          <w:bCs w:val="0"/>
        </w:rPr>
      </w:r>
      <w:bookmarkStart w:name="_bookmark9" w:id="141"/>
      <w:bookmarkEnd w:id="14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60" w:lineRule="auto"/>
        <w:ind w:left="1418" w:right="1828"/>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right="0"/>
        <w:jc w:val="center"/>
        <w:rPr>
          <w:b w:val="0"/>
          <w:bCs w:val="0"/>
        </w:rPr>
      </w:pPr>
      <w:bookmarkStart w:name="第十一节 财务报告" w:id="142"/>
      <w:bookmarkEnd w:id="142"/>
      <w:r>
        <w:rPr>
          <w:b w:val="0"/>
          <w:bCs w:val="0"/>
        </w:rPr>
      </w:r>
      <w:bookmarkStart w:name="_bookmark10" w:id="143"/>
      <w:bookmarkEnd w:id="14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418" w:right="1117"/>
        <w:jc w:val="left"/>
        <w:rPr>
          <w:b w:val="0"/>
          <w:bCs w:val="0"/>
        </w:rPr>
      </w:pPr>
      <w:bookmarkStart w:name="一、审计报告" w:id="144"/>
      <w:bookmarkEnd w:id="144"/>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25" w:type="dxa"/>
        <w:tblLayout w:type="fixed"/>
        <w:tblCellMar>
          <w:top w:w="0" w:type="dxa"/>
          <w:left w:w="0" w:type="dxa"/>
          <w:bottom w:w="0" w:type="dxa"/>
          <w:right w:w="0" w:type="dxa"/>
        </w:tblCellMar>
        <w:tblLook w:val="01E0"/>
      </w:tblPr>
      <w:tblGrid>
        <w:gridCol w:w="4772"/>
        <w:gridCol w:w="4785"/>
      </w:tblGrid>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二〇一八年四月二十三日</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[2018]5461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刘智清、伍舫</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1"/>
        <w:ind w:left="146" w:right="0" w:firstLine="0"/>
        <w:jc w:val="center"/>
        <w:rPr>
          <w:rFonts w:ascii="宋体" w:hAnsi="宋体" w:cs="宋体" w:eastAsia="宋体" w:hint="default"/>
          <w:sz w:val="32"/>
          <w:szCs w:val="32"/>
        </w:rPr>
      </w:pPr>
      <w:r>
        <w:rPr>
          <w:rFonts w:ascii="宋体" w:hAnsi="宋体" w:cs="宋体" w:eastAsia="宋体" w:hint="default"/>
          <w:sz w:val="32"/>
          <w:szCs w:val="32"/>
        </w:rPr>
        <w:t>审计报告正文</w:t>
      </w:r>
    </w:p>
    <w:p>
      <w:pPr>
        <w:spacing w:line="240" w:lineRule="auto" w:before="2"/>
        <w:rPr>
          <w:rFonts w:ascii="宋体" w:hAnsi="宋体" w:cs="宋体" w:eastAsia="宋体" w:hint="default"/>
          <w:sz w:val="17"/>
          <w:szCs w:val="17"/>
        </w:rPr>
      </w:pPr>
    </w:p>
    <w:p>
      <w:pPr>
        <w:pStyle w:val="BodyText"/>
        <w:spacing w:line="240" w:lineRule="auto" w:before="44"/>
        <w:ind w:left="0" w:right="1271"/>
        <w:jc w:val="right"/>
      </w:pPr>
      <w:r>
        <w:rPr/>
        <w:t>天职业字</w:t>
      </w:r>
      <w:r>
        <w:rPr>
          <w:rFonts w:ascii="Times New Roman" w:hAnsi="Times New Roman" w:cs="Times New Roman" w:eastAsia="Times New Roman" w:hint="default"/>
        </w:rPr>
        <w:t>[2018]5461</w:t>
      </w:r>
      <w:r>
        <w:rPr>
          <w:rFonts w:ascii="Times New Roman" w:hAnsi="Times New Roman" w:cs="Times New Roman" w:eastAsia="Times New Roman" w:hint="default"/>
          <w:spacing w:val="-2"/>
        </w:rPr>
        <w:t> </w:t>
      </w:r>
      <w:r>
        <w:rPr/>
        <w:t>号</w:t>
      </w:r>
    </w:p>
    <w:p>
      <w:pPr>
        <w:spacing w:line="240" w:lineRule="auto" w:before="12"/>
        <w:rPr>
          <w:rFonts w:ascii="宋体" w:hAnsi="宋体" w:cs="宋体" w:eastAsia="宋体" w:hint="default"/>
          <w:sz w:val="28"/>
          <w:szCs w:val="28"/>
        </w:rPr>
      </w:pPr>
    </w:p>
    <w:p>
      <w:pPr>
        <w:pStyle w:val="BodyText"/>
        <w:spacing w:line="240" w:lineRule="auto" w:before="44"/>
        <w:ind w:left="1418" w:right="1117"/>
        <w:jc w:val="left"/>
      </w:pPr>
      <w:r>
        <w:rPr/>
        <w:t>天舟文化股份有限公司全体股东：</w:t>
      </w:r>
    </w:p>
    <w:p>
      <w:pPr>
        <w:spacing w:line="240" w:lineRule="auto" w:before="0"/>
        <w:rPr>
          <w:rFonts w:ascii="宋体" w:hAnsi="宋体" w:cs="宋体" w:eastAsia="宋体" w:hint="default"/>
          <w:sz w:val="18"/>
          <w:szCs w:val="18"/>
        </w:rPr>
      </w:pPr>
    </w:p>
    <w:p>
      <w:pPr>
        <w:pStyle w:val="Heading2"/>
        <w:spacing w:line="240" w:lineRule="auto" w:before="131"/>
        <w:ind w:left="1901" w:right="1117"/>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45" w:lineRule="auto"/>
        <w:ind w:left="1418" w:right="1271" w:firstLine="360"/>
        <w:jc w:val="both"/>
      </w:pPr>
      <w:r>
        <w:rPr/>
        <w:t>我们审计了天舟文化股份有限公司（以下简称</w:t>
      </w:r>
      <w:r>
        <w:rPr>
          <w:rFonts w:ascii="Times New Roman" w:hAnsi="Times New Roman" w:cs="Times New Roman" w:eastAsia="Times New Roman" w:hint="default"/>
        </w:rPr>
        <w:t>“</w:t>
      </w:r>
      <w:r>
        <w:rPr/>
        <w:t>天舟文化</w:t>
      </w:r>
      <w:r>
        <w:rPr>
          <w:rFonts w:ascii="Times New Roman" w:hAnsi="Times New Roman" w:cs="Times New Roman" w:eastAsia="Times New Roman" w:hint="default"/>
        </w:rPr>
        <w:t>”</w:t>
      </w:r>
      <w:r>
        <w:rPr/>
        <w:t>）财务报表，包括</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日的合并资产负债表 及资产负债表，</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年度的合并利润表及利润表、合并现金流量表及现金流量表、合并所有者权益变动表及所有者权 益变动表，以及相关财务报表附注。</w:t>
      </w:r>
    </w:p>
    <w:p>
      <w:pPr>
        <w:spacing w:line="240" w:lineRule="auto" w:before="5"/>
        <w:rPr>
          <w:rFonts w:ascii="宋体" w:hAnsi="宋体" w:cs="宋体" w:eastAsia="宋体" w:hint="default"/>
          <w:sz w:val="15"/>
          <w:szCs w:val="15"/>
        </w:rPr>
      </w:pPr>
    </w:p>
    <w:p>
      <w:pPr>
        <w:pStyle w:val="BodyText"/>
        <w:spacing w:line="240" w:lineRule="auto"/>
        <w:ind w:right="1117"/>
        <w:jc w:val="left"/>
        <w:rPr>
          <w:rFonts w:ascii="Times New Roman" w:hAnsi="Times New Roman" w:cs="Times New Roman" w:eastAsia="Times New Roman" w:hint="default"/>
        </w:rPr>
      </w:pPr>
      <w:r>
        <w:rPr/>
        <w:t>我们认为，后附的财务报表在所有重大方面按照企业会计准则的规定编制，公允反映了天舟文化</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p>
    <w:p>
      <w:pPr>
        <w:pStyle w:val="BodyText"/>
        <w:spacing w:line="240" w:lineRule="auto" w:before="111"/>
        <w:ind w:left="1418" w:right="1117"/>
        <w:jc w:val="left"/>
      </w:pPr>
      <w:r>
        <w:rPr/>
        <w:t>日的合并财务状况及财务状况以及</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年度的合并经营成果和合并现金流量及经营成果和现金流量。</w:t>
      </w:r>
    </w:p>
    <w:p>
      <w:pPr>
        <w:spacing w:line="240" w:lineRule="auto" w:before="13"/>
        <w:rPr>
          <w:rFonts w:ascii="宋体" w:hAnsi="宋体" w:cs="宋体" w:eastAsia="宋体" w:hint="default"/>
          <w:sz w:val="26"/>
          <w:szCs w:val="26"/>
        </w:rPr>
      </w:pPr>
    </w:p>
    <w:p>
      <w:pPr>
        <w:pStyle w:val="Heading2"/>
        <w:spacing w:line="240" w:lineRule="auto"/>
        <w:ind w:left="1901" w:right="1117"/>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57" w:lineRule="auto"/>
        <w:ind w:left="1418" w:right="1268" w:firstLine="36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 进一步阐述了我们在这些准则下的责任。按照中国注册会计师职业道德守则，我们独立于天舟文化，并履行了职业道</w:t>
      </w:r>
      <w:r>
        <w:rPr>
          <w:spacing w:val="-63"/>
        </w:rPr>
        <w:t> </w:t>
      </w:r>
      <w:r>
        <w:rPr>
          <w:spacing w:val="-63"/>
        </w:rPr>
      </w:r>
      <w:r>
        <w:rPr/>
        <w:t>德方面的其他责任。我们相信，我们获取的审计证据是充分、适当的，为发表审计意见提供了基础。</w:t>
      </w:r>
    </w:p>
    <w:p>
      <w:pPr>
        <w:spacing w:line="240" w:lineRule="auto" w:before="3"/>
        <w:rPr>
          <w:rFonts w:ascii="宋体" w:hAnsi="宋体" w:cs="宋体" w:eastAsia="宋体" w:hint="default"/>
          <w:sz w:val="21"/>
          <w:szCs w:val="21"/>
        </w:rPr>
      </w:pPr>
    </w:p>
    <w:p>
      <w:pPr>
        <w:pStyle w:val="Heading2"/>
        <w:spacing w:line="240" w:lineRule="auto"/>
        <w:ind w:left="1901" w:right="1117"/>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spacing w:line="367" w:lineRule="auto"/>
        <w:ind w:left="1418" w:right="1274" w:firstLine="360"/>
        <w:jc w:val="both"/>
      </w:pPr>
      <w:r>
        <w:rPr/>
        <w:t>关键审计事项是我们根据职业判断，认为对本期财务报表审计最为重要的事项。这些事项的应对以对财务报表整 体进行审计并形成审计意见为背景，我们不对这些事项单独发表意见。</w:t>
      </w:r>
    </w:p>
    <w:p>
      <w:pPr>
        <w:spacing w:after="0" w:line="367" w:lineRule="auto"/>
        <w:jc w:val="both"/>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64.799988pt;margin-top:98.220001pt;width:472.05pt;height:3.4pt;mso-position-horizontal-relative:page;mso-position-vertical-relative:page;z-index:-947416" coordorigin="1296,1964" coordsize="9441,68">
            <v:shape style="position:absolute;left:1296;top:1964;width:4268;height:67" type="#_x0000_t75" stroked="false">
              <v:imagedata r:id="rId18" o:title=""/>
            </v:shape>
            <v:shape style="position:absolute;left:5535;top:1964;width:5201;height:67" type="#_x0000_t75" stroked="false">
              <v:imagedata r:id="rId19" o:title=""/>
            </v:shape>
            <w10:wrap type="none"/>
          </v:group>
        </w:pict>
      </w:r>
      <w:r>
        <w:rPr/>
        <w:pict>
          <v:group style="position:absolute;margin-left:64.799988pt;margin-top:119.820023pt;width:472.05pt;height:5.05pt;mso-position-horizontal-relative:page;mso-position-vertical-relative:page;z-index:-947392" coordorigin="1296,2396" coordsize="9441,101">
            <v:shape style="position:absolute;left:1296;top:2396;width:3500;height:101" type="#_x0000_t75" stroked="false">
              <v:imagedata r:id="rId20" o:title=""/>
            </v:shape>
            <v:shape style="position:absolute;left:4791;top:2488;width:5946;height:10" type="#_x0000_t75" stroked="false">
              <v:imagedata r:id="rId21" o:title=""/>
            </v:shape>
            <w10:wrap type="none"/>
          </v:group>
        </w:pict>
      </w:r>
      <w:r>
        <w:rPr/>
        <w:pict>
          <v:group style="position:absolute;margin-left:64.799988pt;margin-top:412.879974pt;width:472.5pt;height:3.45pt;mso-position-horizontal-relative:page;mso-position-vertical-relative:page;z-index:-947368" coordorigin="1296,8258" coordsize="9450,69">
            <v:shape style="position:absolute;left:1296;top:8258;width:3509;height:68" type="#_x0000_t75" stroked="false">
              <v:imagedata r:id="rId22" o:title=""/>
            </v:shape>
            <v:shape style="position:absolute;left:4767;top:8258;width:5979;height:68" type="#_x0000_t75" stroked="false">
              <v:imagedata r:id="rId23" o:title=""/>
            </v:shape>
            <w10:wrap type="none"/>
          </v:group>
        </w:pict>
      </w:r>
      <w:r>
        <w:rPr/>
        <w:pict>
          <v:group style="position:absolute;margin-left:64.799988pt;margin-top:434.559998pt;width:472.05pt;height:5.05pt;mso-position-horizontal-relative:page;mso-position-vertical-relative:page;z-index:-947344" coordorigin="1296,8691" coordsize="9441,101">
            <v:shape style="position:absolute;left:1296;top:8691;width:3500;height:101" type="#_x0000_t75" stroked="false">
              <v:imagedata r:id="rId24" o:title=""/>
            </v:shape>
            <v:shape style="position:absolute;left:4791;top:8782;width:5946;height:10" type="#_x0000_t75" stroked="false">
              <v:imagedata r:id="rId21" o:title=""/>
            </v:shape>
            <w10:wrap type="none"/>
          </v:group>
        </w:pict>
      </w:r>
      <w:r>
        <w:rPr/>
        <w:pict>
          <v:group style="position:absolute;margin-left:65.279999pt;margin-top:700.719971pt;width:472.55pt;height:5.45pt;mso-position-horizontal-relative:page;mso-position-vertical-relative:page;z-index:-947320" coordorigin="1306,14014" coordsize="9451,109">
            <v:shape style="position:absolute;left:1306;top:14111;width:10;height:12" type="#_x0000_t75" stroked="false">
              <v:imagedata r:id="rId25" o:title=""/>
            </v:shape>
            <v:shape style="position:absolute;left:1315;top:14014;width:3500;height:108" type="#_x0000_t75" stroked="false">
              <v:imagedata r:id="rId26" o:title=""/>
            </v:shape>
            <v:shape style="position:absolute;left:4805;top:14014;width:5951;height:108" type="#_x0000_t75" stroked="false">
              <v:imagedata r:id="rId27" o:titl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305" w:type="dxa"/>
        <w:tblLayout w:type="fixed"/>
        <w:tblCellMar>
          <w:top w:w="0" w:type="dxa"/>
          <w:left w:w="0" w:type="dxa"/>
          <w:bottom w:w="0" w:type="dxa"/>
          <w:right w:w="0" w:type="dxa"/>
        </w:tblCellMar>
        <w:tblLook w:val="01E0"/>
      </w:tblPr>
      <w:tblGrid>
        <w:gridCol w:w="3490"/>
        <w:gridCol w:w="768"/>
        <w:gridCol w:w="5172"/>
      </w:tblGrid>
      <w:tr>
        <w:trPr>
          <w:trHeight w:val="524" w:hRule="exact"/>
        </w:trPr>
        <w:tc>
          <w:tcPr>
            <w:tcW w:w="4258" w:type="dxa"/>
            <w:gridSpan w:val="2"/>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关键审计事项</w:t>
            </w:r>
            <w:r>
              <w:rPr>
                <w:rFonts w:ascii="宋体" w:hAnsi="宋体" w:cs="宋体" w:eastAsia="宋体" w:hint="default"/>
                <w:sz w:val="15"/>
                <w:szCs w:val="15"/>
              </w:rPr>
            </w:r>
          </w:p>
        </w:tc>
        <w:tc>
          <w:tcPr>
            <w:tcW w:w="5172"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602" w:right="0"/>
              <w:jc w:val="left"/>
              <w:rPr>
                <w:rFonts w:ascii="宋体" w:hAnsi="宋体" w:cs="宋体" w:eastAsia="宋体" w:hint="default"/>
                <w:sz w:val="15"/>
                <w:szCs w:val="15"/>
              </w:rPr>
            </w:pPr>
            <w:r>
              <w:rPr>
                <w:rFonts w:ascii="宋体" w:hAnsi="宋体" w:cs="宋体" w:eastAsia="宋体" w:hint="default"/>
                <w:b/>
                <w:bCs/>
                <w:sz w:val="15"/>
                <w:szCs w:val="15"/>
              </w:rPr>
              <w:t>该事项在审计中是如何应对的</w:t>
            </w:r>
            <w:r>
              <w:rPr>
                <w:rFonts w:ascii="宋体" w:hAnsi="宋体" w:cs="宋体" w:eastAsia="宋体" w:hint="default"/>
                <w:sz w:val="15"/>
                <w:szCs w:val="15"/>
              </w:rPr>
            </w:r>
          </w:p>
        </w:tc>
      </w:tr>
      <w:tr>
        <w:trPr>
          <w:trHeight w:val="520" w:hRule="exact"/>
        </w:trPr>
        <w:tc>
          <w:tcPr>
            <w:tcW w:w="9431" w:type="dxa"/>
            <w:gridSpan w:val="3"/>
            <w:tcBorders>
              <w:top w:val="nil" w:sz="6" w:space="0" w:color="auto"/>
              <w:left w:val="single" w:sz="4" w:space="0" w:color="000000"/>
              <w:bottom w:val="nil" w:sz="6" w:space="0" w:color="auto"/>
              <w:right w:val="single" w:sz="4" w:space="0" w:color="000000"/>
            </w:tcBorders>
            <w:shd w:val="clear" w:color="auto" w:fill="F1F1F1"/>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1</w:t>
            </w:r>
            <w:r>
              <w:rPr>
                <w:rFonts w:ascii="宋体" w:hAnsi="宋体" w:cs="宋体" w:eastAsia="宋体" w:hint="default"/>
                <w:b/>
                <w:bCs/>
                <w:sz w:val="15"/>
                <w:szCs w:val="15"/>
              </w:rPr>
              <w:t>、移动网络游戏业务收入确认</w:t>
            </w:r>
            <w:r>
              <w:rPr>
                <w:rFonts w:ascii="宋体" w:hAnsi="宋体" w:cs="宋体" w:eastAsia="宋体" w:hint="default"/>
                <w:sz w:val="15"/>
                <w:szCs w:val="15"/>
              </w:rPr>
            </w:r>
          </w:p>
        </w:tc>
      </w:tr>
      <w:tr>
        <w:trPr>
          <w:trHeight w:val="5780" w:hRule="exact"/>
        </w:trPr>
        <w:tc>
          <w:tcPr>
            <w:tcW w:w="3490" w:type="dxa"/>
            <w:tcBorders>
              <w:top w:val="nil" w:sz="6" w:space="0" w:color="auto"/>
              <w:left w:val="single" w:sz="4" w:space="0" w:color="000000"/>
              <w:bottom w:val="nil" w:sz="6" w:space="0" w:color="auto"/>
              <w:right w:val="single" w:sz="4" w:space="0" w:color="000000"/>
            </w:tcBorders>
          </w:tcPr>
          <w:p>
            <w:pPr>
              <w:pStyle w:val="TableParagraph"/>
              <w:spacing w:line="391" w:lineRule="auto" w:before="131"/>
              <w:ind w:left="103" w:right="102" w:firstLine="300"/>
              <w:jc w:val="left"/>
              <w:rPr>
                <w:rFonts w:ascii="Times New Roman" w:hAnsi="Times New Roman" w:cs="Times New Roman" w:eastAsia="Times New Roman" w:hint="default"/>
                <w:sz w:val="15"/>
                <w:szCs w:val="15"/>
              </w:rPr>
            </w:pPr>
            <w:r>
              <w:rPr>
                <w:rFonts w:ascii="宋体" w:hAnsi="宋体" w:cs="宋体" w:eastAsia="宋体" w:hint="default"/>
                <w:sz w:val="15"/>
                <w:szCs w:val="15"/>
              </w:rPr>
              <w:t>如财务报表附注三</w:t>
            </w:r>
            <w:r>
              <w:rPr>
                <w:rFonts w:ascii="宋体" w:hAnsi="宋体" w:cs="宋体" w:eastAsia="宋体" w:hint="default"/>
                <w:spacing w:val="-75"/>
                <w:sz w:val="15"/>
                <w:szCs w:val="15"/>
              </w:rPr>
              <w:t>、</w:t>
            </w:r>
            <w:r>
              <w:rPr>
                <w:rFonts w:ascii="宋体" w:hAnsi="宋体" w:cs="宋体" w:eastAsia="宋体" w:hint="default"/>
                <w:sz w:val="15"/>
                <w:szCs w:val="15"/>
              </w:rPr>
              <w:t>（二十六）所</w:t>
            </w:r>
            <w:r>
              <w:rPr>
                <w:rFonts w:ascii="宋体" w:hAnsi="宋体" w:cs="宋体" w:eastAsia="宋体" w:hint="default"/>
                <w:spacing w:val="-2"/>
                <w:sz w:val="15"/>
                <w:szCs w:val="15"/>
              </w:rPr>
              <w:t>述</w:t>
            </w:r>
            <w:r>
              <w:rPr>
                <w:rFonts w:ascii="宋体" w:hAnsi="宋体" w:cs="宋体" w:eastAsia="宋体" w:hint="default"/>
                <w:sz w:val="15"/>
                <w:szCs w:val="15"/>
              </w:rPr>
              <w:t>的会计政</w:t>
            </w:r>
            <w:r>
              <w:rPr>
                <w:rFonts w:ascii="宋体" w:hAnsi="宋体" w:cs="宋体" w:eastAsia="宋体" w:hint="default"/>
                <w:sz w:val="15"/>
                <w:szCs w:val="15"/>
              </w:rPr>
              <w:t> 策及附注六</w:t>
            </w:r>
            <w:r>
              <w:rPr>
                <w:rFonts w:ascii="宋体" w:hAnsi="宋体" w:cs="宋体" w:eastAsia="宋体" w:hint="default"/>
                <w:spacing w:val="-70"/>
                <w:sz w:val="15"/>
                <w:szCs w:val="15"/>
              </w:rPr>
              <w:t>、</w:t>
            </w:r>
            <w:r>
              <w:rPr>
                <w:rFonts w:ascii="Times New Roman" w:hAnsi="Times New Roman" w:cs="Times New Roman" w:eastAsia="Times New Roman" w:hint="default"/>
                <w:sz w:val="15"/>
                <w:szCs w:val="15"/>
              </w:rPr>
              <w:t>32</w:t>
            </w:r>
            <w:r>
              <w:rPr>
                <w:rFonts w:ascii="宋体" w:hAnsi="宋体" w:cs="宋体" w:eastAsia="宋体" w:hint="default"/>
                <w:spacing w:val="-70"/>
                <w:sz w:val="15"/>
                <w:szCs w:val="15"/>
              </w:rPr>
              <w:t>，</w:t>
            </w:r>
            <w:r>
              <w:rPr>
                <w:rFonts w:ascii="宋体" w:hAnsi="宋体" w:cs="宋体" w:eastAsia="宋体" w:hint="default"/>
                <w:spacing w:val="-2"/>
                <w:sz w:val="15"/>
                <w:szCs w:val="15"/>
              </w:rPr>
              <w:t>公</w:t>
            </w:r>
            <w:r>
              <w:rPr>
                <w:rFonts w:ascii="宋体" w:hAnsi="宋体" w:cs="宋体" w:eastAsia="宋体" w:hint="default"/>
                <w:sz w:val="15"/>
                <w:szCs w:val="15"/>
              </w:rPr>
              <w:t>司</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1"/>
                <w:sz w:val="15"/>
                <w:szCs w:val="15"/>
              </w:rPr>
              <w:t>1</w:t>
            </w:r>
            <w:r>
              <w:rPr>
                <w:rFonts w:ascii="Times New Roman" w:hAnsi="Times New Roman" w:cs="Times New Roman" w:eastAsia="Times New Roman" w:hint="default"/>
                <w:sz w:val="15"/>
                <w:szCs w:val="15"/>
              </w:rPr>
              <w:t>7 </w:t>
            </w:r>
            <w:r>
              <w:rPr>
                <w:rFonts w:ascii="宋体" w:hAnsi="宋体" w:cs="宋体" w:eastAsia="宋体" w:hint="default"/>
                <w:sz w:val="15"/>
                <w:szCs w:val="15"/>
              </w:rPr>
              <w:t>年度营</w:t>
            </w:r>
            <w:r>
              <w:rPr>
                <w:rFonts w:ascii="宋体" w:hAnsi="宋体" w:cs="宋体" w:eastAsia="宋体" w:hint="default"/>
                <w:spacing w:val="-2"/>
                <w:sz w:val="15"/>
                <w:szCs w:val="15"/>
              </w:rPr>
              <w:t>业</w:t>
            </w:r>
            <w:r>
              <w:rPr>
                <w:rFonts w:ascii="宋体" w:hAnsi="宋体" w:cs="宋体" w:eastAsia="宋体" w:hint="default"/>
                <w:sz w:val="15"/>
                <w:szCs w:val="15"/>
              </w:rPr>
              <w:t>收入</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93,</w:t>
            </w:r>
            <w:r>
              <w:rPr>
                <w:rFonts w:ascii="Times New Roman" w:hAnsi="Times New Roman" w:cs="Times New Roman" w:eastAsia="Times New Roman" w:hint="default"/>
                <w:spacing w:val="-1"/>
                <w:sz w:val="15"/>
                <w:szCs w:val="15"/>
              </w:rPr>
              <w:t>6</w:t>
            </w:r>
            <w:r>
              <w:rPr>
                <w:rFonts w:ascii="Times New Roman" w:hAnsi="Times New Roman" w:cs="Times New Roman" w:eastAsia="Times New Roman" w:hint="default"/>
                <w:sz w:val="15"/>
                <w:szCs w:val="15"/>
              </w:rPr>
              <w:t>02.</w:t>
            </w:r>
            <w:r>
              <w:rPr>
                <w:rFonts w:ascii="Times New Roman" w:hAnsi="Times New Roman" w:cs="Times New Roman" w:eastAsia="Times New Roman" w:hint="default"/>
                <w:spacing w:val="-1"/>
                <w:sz w:val="15"/>
                <w:szCs w:val="15"/>
              </w:rPr>
              <w:t>3</w:t>
            </w:r>
            <w:r>
              <w:rPr>
                <w:rFonts w:ascii="Times New Roman" w:hAnsi="Times New Roman" w:cs="Times New Roman" w:eastAsia="Times New Roman" w:hint="default"/>
                <w:sz w:val="15"/>
                <w:szCs w:val="15"/>
              </w:rPr>
              <w:t>7</w:t>
            </w:r>
          </w:p>
          <w:p>
            <w:pPr>
              <w:pStyle w:val="TableParagraph"/>
              <w:spacing w:line="386" w:lineRule="auto" w:before="7"/>
              <w:ind w:left="103" w:right="101"/>
              <w:jc w:val="both"/>
              <w:rPr>
                <w:rFonts w:ascii="宋体" w:hAnsi="宋体" w:cs="宋体" w:eastAsia="宋体" w:hint="default"/>
                <w:sz w:val="15"/>
                <w:szCs w:val="15"/>
              </w:rPr>
            </w:pPr>
            <w:r>
              <w:rPr>
                <w:rFonts w:ascii="宋体" w:hAnsi="宋体" w:cs="宋体" w:eastAsia="宋体" w:hint="default"/>
                <w:sz w:val="15"/>
                <w:szCs w:val="15"/>
              </w:rPr>
              <w:t>万元，其中：移动网络游戏收入</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50,250.91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 占比</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53.69%</w:t>
            </w:r>
            <w:r>
              <w:rPr>
                <w:rFonts w:ascii="宋体" w:hAnsi="宋体" w:cs="宋体" w:eastAsia="宋体" w:hint="default"/>
                <w:sz w:val="15"/>
                <w:szCs w:val="15"/>
              </w:rPr>
              <w:t>，占比较高，对公司业绩影响较大。 </w:t>
            </w:r>
            <w:r>
              <w:rPr>
                <w:rFonts w:ascii="宋体" w:hAnsi="宋体" w:cs="宋体" w:eastAsia="宋体" w:hint="default"/>
                <w:spacing w:val="-2"/>
                <w:sz w:val="15"/>
                <w:szCs w:val="15"/>
              </w:rPr>
              <w:t>移动网络游戏业务数据高度依赖网络信息系统，游</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戏玩家通过虚拟网络注册账户、充值和消费，用户</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分布广、数量多、交易量大，游戏运营中运用到大</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2"/>
                <w:sz w:val="15"/>
                <w:szCs w:val="15"/>
              </w:rPr>
              <w:t>量的互联网技术，游戏玩家在虚拟网络中充值消费</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真实性核实的难度较高，我们判断移动网络游戏收</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入确认可能存在潜在错报风险。综上所述，我们将</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移动互联网游戏收入确认确定为关键审计事项。</w:t>
            </w:r>
          </w:p>
        </w:tc>
        <w:tc>
          <w:tcPr>
            <w:tcW w:w="59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402" w:right="0"/>
              <w:jc w:val="left"/>
              <w:rPr>
                <w:rFonts w:ascii="宋体" w:hAnsi="宋体" w:cs="宋体" w:eastAsia="宋体" w:hint="default"/>
                <w:sz w:val="15"/>
                <w:szCs w:val="15"/>
              </w:rPr>
            </w:pPr>
            <w:r>
              <w:rPr>
                <w:rFonts w:ascii="宋体" w:hAnsi="宋体" w:cs="宋体" w:eastAsia="宋体" w:hint="default"/>
                <w:sz w:val="15"/>
                <w:szCs w:val="15"/>
              </w:rPr>
              <w:t>针对此关键审计事项，我们主要实施了以下审计程序：</w:t>
            </w: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81" w:lineRule="auto"/>
              <w:ind w:left="102" w:right="101" w:firstLine="300"/>
              <w:jc w:val="both"/>
              <w:rPr>
                <w:rFonts w:ascii="宋体" w:hAnsi="宋体" w:cs="宋体" w:eastAsia="宋体" w:hint="default"/>
                <w:sz w:val="15"/>
                <w:szCs w:val="15"/>
              </w:rPr>
            </w:pP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、我们了解及评价了游戏运营业务收入确认有关的内部控制设计的有效性，并测试</w:t>
            </w:r>
            <w:r>
              <w:rPr>
                <w:rFonts w:ascii="宋体" w:hAnsi="宋体" w:cs="宋体" w:eastAsia="宋体" w:hint="default"/>
                <w:sz w:val="15"/>
                <w:szCs w:val="15"/>
              </w:rPr>
              <w:t> 了关键控制执行的有效性，对游戏业务收入确认时点进行了分析评估，进而评估天舟文 化游戏业务收入的确认政策；</w:t>
            </w:r>
          </w:p>
          <w:p>
            <w:pPr>
              <w:pStyle w:val="TableParagraph"/>
              <w:spacing w:line="381" w:lineRule="auto" w:before="74"/>
              <w:ind w:left="102" w:right="126" w:firstLine="300"/>
              <w:jc w:val="both"/>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、我们的信息系统</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IT</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审计团队测试了公司信息系统有效性、真实性、及时性、准 确性和完整性；通过大数据分析技术对主要游戏的玩家核心指标进行多维度交叉分析， 以判断游戏玩家信息的真实性、数据的合理性；抽查了部分游戏玩家进行了访谈；</w:t>
            </w:r>
          </w:p>
          <w:p>
            <w:pPr>
              <w:pStyle w:val="TableParagraph"/>
              <w:spacing w:line="369" w:lineRule="auto" w:before="74"/>
              <w:ind w:left="102" w:right="25"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、我们抽样检查了与收入确认相关的支持性文件，以确定收入确认的真实性、准确 </w:t>
            </w:r>
            <w:r>
              <w:rPr>
                <w:rFonts w:ascii="宋体" w:hAnsi="宋体" w:cs="宋体" w:eastAsia="宋体" w:hint="default"/>
                <w:spacing w:val="-5"/>
                <w:sz w:val="15"/>
                <w:szCs w:val="15"/>
              </w:rPr>
              <w:t>性，包括：（</w:t>
            </w:r>
            <w:r>
              <w:rPr>
                <w:rFonts w:ascii="Times New Roman" w:hAnsi="Times New Roman" w:cs="Times New Roman" w:eastAsia="Times New Roman" w:hint="default"/>
                <w:spacing w:val="-5"/>
                <w:sz w:val="15"/>
                <w:szCs w:val="15"/>
              </w:rPr>
              <w:t>1</w:t>
            </w:r>
            <w:r>
              <w:rPr>
                <w:rFonts w:ascii="宋体" w:hAnsi="宋体" w:cs="宋体" w:eastAsia="宋体" w:hint="default"/>
                <w:spacing w:val="-5"/>
                <w:sz w:val="15"/>
                <w:szCs w:val="15"/>
              </w:rPr>
              <w:t>）检查与各游戏运营商签订的合作协议、对账结算单、银行收款凭证；（</w:t>
            </w:r>
            <w:r>
              <w:rPr>
                <w:rFonts w:ascii="Times New Roman" w:hAnsi="Times New Roman" w:cs="Times New Roman" w:eastAsia="Times New Roman" w:hint="default"/>
                <w:spacing w:val="-5"/>
                <w:sz w:val="15"/>
                <w:szCs w:val="15"/>
              </w:rPr>
              <w:t>2</w:t>
            </w:r>
            <w:r>
              <w:rPr>
                <w:rFonts w:ascii="宋体" w:hAnsi="宋体" w:cs="宋体" w:eastAsia="宋体" w:hint="default"/>
                <w:spacing w:val="-5"/>
                <w:sz w:val="15"/>
                <w:szCs w:val="15"/>
              </w:rPr>
              <w:t>）</w:t>
            </w:r>
            <w:r>
              <w:rPr>
                <w:rFonts w:ascii="宋体" w:hAnsi="宋体" w:cs="宋体" w:eastAsia="宋体" w:hint="default"/>
                <w:sz w:val="15"/>
                <w:szCs w:val="15"/>
              </w:rPr>
              <w:t> </w:t>
            </w:r>
            <w:r>
              <w:rPr>
                <w:rFonts w:ascii="宋体" w:hAnsi="宋体" w:cs="宋体" w:eastAsia="宋体" w:hint="default"/>
                <w:spacing w:val="-4"/>
                <w:sz w:val="15"/>
                <w:szCs w:val="15"/>
              </w:rPr>
              <w:t>检查自营业务各支付渠道收款记录、银行收款凭证；（</w:t>
            </w:r>
            <w:r>
              <w:rPr>
                <w:rFonts w:ascii="Times New Roman" w:hAnsi="Times New Roman" w:cs="Times New Roman" w:eastAsia="Times New Roman" w:hint="default"/>
                <w:spacing w:val="-4"/>
                <w:sz w:val="15"/>
                <w:szCs w:val="15"/>
              </w:rPr>
              <w:t>3</w:t>
            </w:r>
            <w:r>
              <w:rPr>
                <w:rFonts w:ascii="宋体" w:hAnsi="宋体" w:cs="宋体" w:eastAsia="宋体" w:hint="default"/>
                <w:spacing w:val="-4"/>
                <w:sz w:val="15"/>
                <w:szCs w:val="15"/>
              </w:rPr>
              <w:t>）检查受托开发游戏签订的合同、</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验收合格记录；</w:t>
            </w:r>
          </w:p>
          <w:p>
            <w:pPr>
              <w:pStyle w:val="TableParagraph"/>
              <w:spacing w:line="369" w:lineRule="auto" w:before="81"/>
              <w:ind w:left="102" w:right="27" w:firstLine="30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4</w:t>
            </w:r>
            <w:r>
              <w:rPr>
                <w:rFonts w:ascii="宋体" w:hAnsi="宋体" w:cs="宋体" w:eastAsia="宋体" w:hint="default"/>
                <w:spacing w:val="-4"/>
                <w:sz w:val="15"/>
                <w:szCs w:val="15"/>
              </w:rPr>
              <w:t>、根据不同类别收入的确认方式，对移动网络游戏收入分别执行了分析性复核程序，</w:t>
            </w:r>
            <w:r>
              <w:rPr>
                <w:rFonts w:ascii="宋体" w:hAnsi="宋体" w:cs="宋体" w:eastAsia="宋体" w:hint="default"/>
                <w:sz w:val="15"/>
                <w:szCs w:val="15"/>
              </w:rPr>
              <w:t> 判断其合理性；</w:t>
            </w:r>
          </w:p>
          <w:p>
            <w:pPr>
              <w:pStyle w:val="TableParagraph"/>
              <w:spacing w:line="372" w:lineRule="auto" w:before="81"/>
              <w:ind w:left="102" w:right="27" w:firstLine="30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5</w:t>
            </w:r>
            <w:r>
              <w:rPr>
                <w:rFonts w:ascii="宋体" w:hAnsi="宋体" w:cs="宋体" w:eastAsia="宋体" w:hint="default"/>
                <w:spacing w:val="-6"/>
                <w:sz w:val="15"/>
                <w:szCs w:val="15"/>
              </w:rPr>
              <w:t>、对主要游戏运营数据进行测算：（</w:t>
            </w:r>
            <w:r>
              <w:rPr>
                <w:rFonts w:ascii="Times New Roman" w:hAnsi="Times New Roman" w:cs="Times New Roman" w:eastAsia="Times New Roman" w:hint="default"/>
                <w:spacing w:val="-6"/>
                <w:sz w:val="15"/>
                <w:szCs w:val="15"/>
              </w:rPr>
              <w:t>1</w:t>
            </w:r>
            <w:r>
              <w:rPr>
                <w:rFonts w:ascii="宋体" w:hAnsi="宋体" w:cs="宋体" w:eastAsia="宋体" w:hint="default"/>
                <w:spacing w:val="-6"/>
                <w:sz w:val="15"/>
                <w:szCs w:val="15"/>
              </w:rPr>
              <w:t>）根据主要游戏游戏币充值消耗数据测算自营、</w:t>
            </w:r>
            <w:r>
              <w:rPr>
                <w:rFonts w:ascii="宋体" w:hAnsi="宋体" w:cs="宋体" w:eastAsia="宋体" w:hint="default"/>
                <w:sz w:val="15"/>
                <w:szCs w:val="15"/>
              </w:rPr>
              <w:t> </w:t>
            </w:r>
            <w:r>
              <w:rPr>
                <w:rFonts w:ascii="宋体" w:hAnsi="宋体" w:cs="宋体" w:eastAsia="宋体" w:hint="default"/>
                <w:spacing w:val="-2"/>
                <w:sz w:val="15"/>
                <w:szCs w:val="15"/>
              </w:rPr>
              <w:t>联合运营模式下收入递延的准确性；（</w:t>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）根据游戏充值流水与合同约定的分成比例，测</w:t>
            </w:r>
            <w:r>
              <w:rPr>
                <w:rFonts w:ascii="宋体" w:hAnsi="宋体" w:cs="宋体" w:eastAsia="宋体" w:hint="default"/>
                <w:sz w:val="15"/>
                <w:szCs w:val="15"/>
              </w:rPr>
              <w:t> 算与重要游戏运营商分成金额的准确性；</w:t>
            </w:r>
          </w:p>
          <w:p>
            <w:pPr>
              <w:pStyle w:val="TableParagraph"/>
              <w:spacing w:line="240" w:lineRule="auto" w:before="81"/>
              <w:ind w:left="4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、我们抽查了重要的游戏合作运营商、受托开发游戏的委托方实施函证程序。</w:t>
            </w:r>
          </w:p>
        </w:tc>
      </w:tr>
      <w:tr>
        <w:trPr>
          <w:trHeight w:val="515" w:hRule="exact"/>
        </w:trPr>
        <w:tc>
          <w:tcPr>
            <w:tcW w:w="9431" w:type="dxa"/>
            <w:gridSpan w:val="3"/>
            <w:tcBorders>
              <w:top w:val="nil" w:sz="6" w:space="0" w:color="auto"/>
              <w:left w:val="single" w:sz="4" w:space="0" w:color="000000"/>
              <w:bottom w:val="nil" w:sz="6" w:space="0" w:color="auto"/>
              <w:right w:val="single" w:sz="4" w:space="0" w:color="000000"/>
            </w:tcBorders>
            <w:shd w:val="clear" w:color="auto" w:fill="F1F1F1"/>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2</w:t>
            </w:r>
            <w:r>
              <w:rPr>
                <w:rFonts w:ascii="宋体" w:hAnsi="宋体" w:cs="宋体" w:eastAsia="宋体" w:hint="default"/>
                <w:b/>
                <w:bCs/>
                <w:sz w:val="15"/>
                <w:szCs w:val="15"/>
              </w:rPr>
              <w:t>、商誉减值</w:t>
            </w:r>
            <w:r>
              <w:rPr>
                <w:rFonts w:ascii="宋体" w:hAnsi="宋体" w:cs="宋体" w:eastAsia="宋体" w:hint="default"/>
                <w:sz w:val="15"/>
                <w:szCs w:val="15"/>
              </w:rPr>
            </w:r>
          </w:p>
        </w:tc>
      </w:tr>
      <w:tr>
        <w:trPr>
          <w:trHeight w:val="5339" w:hRule="exact"/>
        </w:trPr>
        <w:tc>
          <w:tcPr>
            <w:tcW w:w="3490" w:type="dxa"/>
            <w:tcBorders>
              <w:top w:val="nil" w:sz="6" w:space="0" w:color="auto"/>
              <w:left w:val="single" w:sz="4" w:space="0" w:color="000000"/>
              <w:bottom w:val="nil" w:sz="6" w:space="0" w:color="auto"/>
              <w:right w:val="single" w:sz="4" w:space="0" w:color="000000"/>
            </w:tcBorders>
          </w:tcPr>
          <w:p>
            <w:pPr>
              <w:pStyle w:val="TableParagraph"/>
              <w:spacing w:line="376" w:lineRule="auto" w:before="131"/>
              <w:ind w:left="103" w:right="101" w:firstLine="300"/>
              <w:jc w:val="both"/>
              <w:rPr>
                <w:rFonts w:ascii="宋体" w:hAnsi="宋体" w:cs="宋体" w:eastAsia="宋体" w:hint="default"/>
                <w:sz w:val="15"/>
                <w:szCs w:val="15"/>
              </w:rPr>
            </w:pPr>
            <w:r>
              <w:rPr>
                <w:rFonts w:ascii="宋体" w:hAnsi="宋体" w:cs="宋体" w:eastAsia="宋体" w:hint="default"/>
                <w:spacing w:val="-4"/>
                <w:sz w:val="15"/>
                <w:szCs w:val="15"/>
              </w:rPr>
              <w:t>如财务报表附注三、（二十一）所述的会计政</w:t>
            </w:r>
            <w:r>
              <w:rPr>
                <w:rFonts w:ascii="宋体" w:hAnsi="宋体" w:cs="宋体" w:eastAsia="宋体" w:hint="default"/>
                <w:sz w:val="15"/>
                <w:szCs w:val="15"/>
              </w:rPr>
              <w:t> 策及附注六、</w:t>
            </w:r>
            <w:r>
              <w:rPr>
                <w:rFonts w:ascii="Times New Roman" w:hAnsi="Times New Roman" w:cs="Times New Roman" w:eastAsia="Times New Roman" w:hint="default"/>
                <w:sz w:val="15"/>
                <w:szCs w:val="15"/>
              </w:rPr>
              <w:t>13</w:t>
            </w:r>
            <w:r>
              <w:rPr>
                <w:rFonts w:ascii="宋体" w:hAnsi="宋体" w:cs="宋体" w:eastAsia="宋体" w:hint="default"/>
                <w:sz w:val="15"/>
                <w:szCs w:val="15"/>
              </w:rPr>
              <w:t>，公司</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年收购了北京神奇时 代网络有限公司确认商誉</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11.24</w:t>
            </w:r>
            <w:r>
              <w:rPr>
                <w:rFonts w:ascii="Times New Roman" w:hAnsi="Times New Roman" w:cs="Times New Roman" w:eastAsia="Times New Roman" w:hint="default"/>
                <w:spacing w:val="-1"/>
                <w:sz w:val="15"/>
                <w:szCs w:val="15"/>
              </w:rPr>
              <w:t> </w:t>
            </w:r>
            <w:r>
              <w:rPr>
                <w:rFonts w:ascii="宋体" w:hAnsi="宋体" w:cs="宋体" w:eastAsia="宋体" w:hint="default"/>
                <w:spacing w:val="-4"/>
                <w:sz w:val="15"/>
                <w:szCs w:val="15"/>
              </w:rPr>
              <w:t>亿元，</w:t>
            </w:r>
            <w:r>
              <w:rPr>
                <w:rFonts w:ascii="Times New Roman" w:hAnsi="Times New Roman" w:cs="Times New Roman" w:eastAsia="Times New Roman" w:hint="default"/>
                <w:spacing w:val="-4"/>
                <w:sz w:val="15"/>
                <w:szCs w:val="15"/>
              </w:rPr>
              <w:t>2016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年收购 广州游爱网络技术有限公司确认商誉</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14.22 </w:t>
            </w:r>
            <w:r>
              <w:rPr>
                <w:rFonts w:ascii="宋体" w:hAnsi="宋体" w:cs="宋体" w:eastAsia="宋体" w:hint="default"/>
                <w:sz w:val="15"/>
                <w:szCs w:val="15"/>
              </w:rPr>
              <w:t>亿元，</w:t>
            </w:r>
          </w:p>
          <w:p>
            <w:pPr>
              <w:pStyle w:val="TableParagraph"/>
              <w:spacing w:line="240" w:lineRule="auto" w:before="18"/>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年收购人民今典科教传媒有限公司确认商誉</w:t>
            </w:r>
          </w:p>
          <w:p>
            <w:pPr>
              <w:pStyle w:val="TableParagraph"/>
              <w:spacing w:line="240" w:lineRule="auto" w:before="111"/>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1.39 </w:t>
            </w:r>
            <w:r>
              <w:rPr>
                <w:rFonts w:ascii="宋体" w:hAnsi="宋体" w:cs="宋体" w:eastAsia="宋体" w:hint="default"/>
                <w:sz w:val="15"/>
                <w:szCs w:val="15"/>
              </w:rPr>
              <w:t>亿元，</w:t>
            </w:r>
            <w:r>
              <w:rPr>
                <w:rFonts w:ascii="宋体" w:hAnsi="宋体" w:cs="宋体" w:eastAsia="宋体" w:hint="default"/>
                <w:spacing w:val="-2"/>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日商誉的期末余额</w:t>
            </w:r>
          </w:p>
          <w:p>
            <w:pPr>
              <w:pStyle w:val="TableParagraph"/>
              <w:spacing w:line="240" w:lineRule="auto" w:before="112"/>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26.85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亿元，计提减值准备</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8,821.63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万元，期末账</w:t>
            </w:r>
          </w:p>
          <w:p>
            <w:pPr>
              <w:pStyle w:val="TableParagraph"/>
              <w:spacing w:line="415" w:lineRule="auto" w:before="114"/>
              <w:ind w:left="403" w:right="102" w:hanging="301"/>
              <w:jc w:val="left"/>
              <w:rPr>
                <w:rFonts w:ascii="宋体" w:hAnsi="宋体" w:cs="宋体" w:eastAsia="宋体" w:hint="default"/>
                <w:sz w:val="15"/>
                <w:szCs w:val="15"/>
              </w:rPr>
            </w:pPr>
            <w:r>
              <w:rPr>
                <w:rFonts w:ascii="宋体" w:hAnsi="宋体" w:cs="宋体" w:eastAsia="宋体" w:hint="default"/>
                <w:sz w:val="15"/>
                <w:szCs w:val="15"/>
              </w:rPr>
              <w:t>面价值</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25.97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亿元。 </w:t>
            </w:r>
            <w:r>
              <w:rPr>
                <w:rFonts w:ascii="宋体" w:hAnsi="宋体" w:cs="宋体" w:eastAsia="宋体" w:hint="default"/>
                <w:spacing w:val="-2"/>
                <w:sz w:val="15"/>
                <w:szCs w:val="15"/>
              </w:rPr>
              <w:t>管理层每年评估商誉可能出现减值的情况，商</w:t>
            </w:r>
          </w:p>
          <w:p>
            <w:pPr>
              <w:pStyle w:val="TableParagraph"/>
              <w:spacing w:line="393" w:lineRule="auto" w:before="13"/>
              <w:ind w:left="103" w:right="225"/>
              <w:jc w:val="left"/>
              <w:rPr>
                <w:rFonts w:ascii="宋体" w:hAnsi="宋体" w:cs="宋体" w:eastAsia="宋体" w:hint="default"/>
                <w:sz w:val="15"/>
                <w:szCs w:val="15"/>
              </w:rPr>
            </w:pPr>
            <w:r>
              <w:rPr>
                <w:rFonts w:ascii="宋体" w:hAnsi="宋体" w:cs="宋体" w:eastAsia="宋体" w:hint="default"/>
                <w:sz w:val="15"/>
                <w:szCs w:val="15"/>
              </w:rPr>
              <w:t>誉的减值评估结果由管理层依据其聘任的外部评 估机构编制的估值报告进行确定。</w:t>
            </w:r>
          </w:p>
          <w:p>
            <w:pPr>
              <w:pStyle w:val="TableParagraph"/>
              <w:spacing w:line="391" w:lineRule="auto" w:before="66"/>
              <w:ind w:left="103" w:right="102" w:firstLine="300"/>
              <w:jc w:val="left"/>
              <w:rPr>
                <w:rFonts w:ascii="宋体" w:hAnsi="宋体" w:cs="宋体" w:eastAsia="宋体" w:hint="default"/>
                <w:sz w:val="15"/>
                <w:szCs w:val="15"/>
              </w:rPr>
            </w:pPr>
            <w:r>
              <w:rPr>
                <w:rFonts w:ascii="宋体" w:hAnsi="宋体" w:cs="宋体" w:eastAsia="宋体" w:hint="default"/>
                <w:sz w:val="15"/>
                <w:szCs w:val="15"/>
              </w:rPr>
              <w:t>由于商誉的减值预测和折现未来现金流量涉 </w:t>
            </w:r>
            <w:r>
              <w:rPr>
                <w:rFonts w:ascii="宋体" w:hAnsi="宋体" w:cs="宋体" w:eastAsia="宋体" w:hint="default"/>
                <w:spacing w:val="-2"/>
                <w:sz w:val="15"/>
                <w:szCs w:val="15"/>
              </w:rPr>
              <w:t>及固有不确定性，以及管理层在选用假设和估计时</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可能出现偏好的风险，我们将商誉减值作为关键审</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计事项。</w:t>
            </w:r>
          </w:p>
        </w:tc>
        <w:tc>
          <w:tcPr>
            <w:tcW w:w="59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left="402" w:right="0"/>
              <w:jc w:val="left"/>
              <w:rPr>
                <w:rFonts w:ascii="宋体" w:hAnsi="宋体" w:cs="宋体" w:eastAsia="宋体" w:hint="default"/>
                <w:sz w:val="15"/>
                <w:szCs w:val="15"/>
              </w:rPr>
            </w:pPr>
            <w:r>
              <w:rPr>
                <w:rFonts w:ascii="宋体" w:hAnsi="宋体" w:cs="宋体" w:eastAsia="宋体" w:hint="default"/>
                <w:sz w:val="15"/>
                <w:szCs w:val="15"/>
              </w:rPr>
              <w:t>针对此关键审计事项，我们主要实施了以下审计程序：</w:t>
            </w: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、了解商誉减值评估管理的相关流程和控制；</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372" w:lineRule="auto"/>
              <w:ind w:left="102" w:right="126"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、获取管理层聘请的第三方专家编制的商誉减值测试估值报告，</w:t>
            </w:r>
            <w:r>
              <w:rPr>
                <w:rFonts w:ascii="宋体" w:hAnsi="宋体" w:cs="宋体" w:eastAsia="宋体" w:hint="default"/>
                <w:spacing w:val="-3"/>
                <w:sz w:val="15"/>
                <w:szCs w:val="15"/>
              </w:rPr>
              <w:t> </w:t>
            </w:r>
            <w:r>
              <w:rPr>
                <w:rFonts w:ascii="宋体" w:hAnsi="宋体" w:cs="宋体" w:eastAsia="宋体" w:hint="default"/>
                <w:sz w:val="15"/>
                <w:szCs w:val="15"/>
              </w:rPr>
              <w:t>复核了商誉减值</w:t>
            </w:r>
            <w:r>
              <w:rPr>
                <w:rFonts w:ascii="宋体" w:hAnsi="宋体" w:cs="宋体" w:eastAsia="宋体" w:hint="default"/>
                <w:sz w:val="15"/>
                <w:szCs w:val="15"/>
              </w:rPr>
              <w:t> 测试估值报告，评价了由管理层聘请的外部评估机构的独立性、客观性、经验和资质；</w:t>
            </w:r>
          </w:p>
          <w:p>
            <w:pPr>
              <w:pStyle w:val="TableParagraph"/>
              <w:spacing w:line="240" w:lineRule="auto" w:before="81"/>
              <w:ind w:left="4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、评估管理层采用的估值模式中采用关键假设的恰当性及输入数据的合理性；</w:t>
            </w: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369" w:lineRule="auto"/>
              <w:ind w:left="102" w:right="52"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、将预计未来现金流量现值时的基础数据与历史数据及其他支持性证据进行核对， 并考虑合理性；</w:t>
            </w:r>
          </w:p>
          <w:p>
            <w:pPr>
              <w:pStyle w:val="TableParagraph"/>
              <w:spacing w:line="372" w:lineRule="auto" w:before="81"/>
              <w:ind w:left="102" w:right="101" w:firstLine="30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5</w:t>
            </w:r>
            <w:r>
              <w:rPr>
                <w:rFonts w:ascii="宋体" w:hAnsi="宋体" w:cs="宋体" w:eastAsia="宋体" w:hint="default"/>
                <w:spacing w:val="-2"/>
                <w:sz w:val="15"/>
                <w:szCs w:val="15"/>
              </w:rPr>
              <w:t>、基于我们对事实和情况的了解，评估管理层在减值测试中预计未来现金流量现值</w:t>
            </w:r>
            <w:r>
              <w:rPr>
                <w:rFonts w:ascii="宋体" w:hAnsi="宋体" w:cs="宋体" w:eastAsia="宋体" w:hint="default"/>
                <w:sz w:val="15"/>
                <w:szCs w:val="15"/>
              </w:rPr>
              <w:t> 时运用的重大估计和判断的合理性；</w:t>
            </w:r>
          </w:p>
          <w:p>
            <w:pPr>
              <w:pStyle w:val="TableParagraph"/>
              <w:spacing w:line="240" w:lineRule="auto" w:before="81"/>
              <w:ind w:left="4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、根据商誉减值测试估值报告对商誉减值金额重新测算。</w:t>
            </w:r>
          </w:p>
        </w:tc>
      </w:tr>
    </w:tbl>
    <w:p>
      <w:pPr>
        <w:spacing w:after="0" w:line="240" w:lineRule="auto"/>
        <w:jc w:val="left"/>
        <w:rPr>
          <w:rFonts w:ascii="宋体" w:hAnsi="宋体" w:cs="宋体" w:eastAsia="宋体" w:hint="default"/>
          <w:sz w:val="15"/>
          <w:szCs w:val="15"/>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0"/>
        <w:ind w:left="1901" w:right="1117"/>
        <w:jc w:val="left"/>
        <w:rPr>
          <w:rFonts w:ascii="黑体" w:hAnsi="黑体" w:cs="黑体" w:eastAsia="黑体" w:hint="default"/>
          <w:b w:val="0"/>
          <w:bCs w:val="0"/>
        </w:rPr>
      </w:pPr>
      <w:r>
        <w:rPr>
          <w:rFonts w:ascii="黑体" w:hAnsi="黑体" w:cs="黑体" w:eastAsia="黑体" w:hint="default"/>
        </w:rPr>
        <w:t>四、其他信息</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45" w:lineRule="auto"/>
        <w:ind w:left="1418" w:right="1117" w:firstLine="360"/>
        <w:jc w:val="left"/>
      </w:pPr>
      <w:r>
        <w:rPr/>
        <w:t>天舟文化管理层（以下简称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）对其他信息负责。其他信息包括年度报告中涵盖的信息，但不包括财务报 表和我们的审计报告。</w:t>
      </w:r>
    </w:p>
    <w:p>
      <w:pPr>
        <w:spacing w:line="240" w:lineRule="auto" w:before="5"/>
        <w:rPr>
          <w:rFonts w:ascii="宋体" w:hAnsi="宋体" w:cs="宋体" w:eastAsia="宋体" w:hint="default"/>
          <w:sz w:val="15"/>
          <w:szCs w:val="15"/>
        </w:rPr>
      </w:pPr>
    </w:p>
    <w:p>
      <w:pPr>
        <w:pStyle w:val="BodyText"/>
        <w:spacing w:line="240" w:lineRule="auto"/>
        <w:ind w:right="1117"/>
        <w:jc w:val="left"/>
      </w:pPr>
      <w:r>
        <w:rPr/>
        <w:t>我们对财务报表发表的审计意见不涵盖其他信息，我们也不对其他信息发表任何形式的鉴证结论。</w:t>
      </w:r>
    </w:p>
    <w:p>
      <w:pPr>
        <w:spacing w:line="240" w:lineRule="auto" w:before="6"/>
        <w:rPr>
          <w:rFonts w:ascii="宋体" w:hAnsi="宋体" w:cs="宋体" w:eastAsia="宋体" w:hint="default"/>
          <w:sz w:val="21"/>
          <w:szCs w:val="21"/>
        </w:rPr>
      </w:pPr>
    </w:p>
    <w:p>
      <w:pPr>
        <w:pStyle w:val="BodyText"/>
        <w:spacing w:line="367" w:lineRule="auto"/>
        <w:ind w:left="1418" w:right="1117" w:firstLine="360"/>
        <w:jc w:val="left"/>
      </w:pPr>
      <w:r>
        <w:rPr/>
        <w:t>结合我们对财务报表的审计，我们的责任是阅读其他信息，在此过程中，考虑其他信息是否与财务报表或我们在 审计过程中了解到的情况存在重大不一致或者似乎存在重大错报。</w:t>
      </w:r>
    </w:p>
    <w:p>
      <w:pPr>
        <w:spacing w:line="240" w:lineRule="auto" w:before="2"/>
        <w:rPr>
          <w:rFonts w:ascii="宋体" w:hAnsi="宋体" w:cs="宋体" w:eastAsia="宋体" w:hint="default"/>
          <w:sz w:val="14"/>
          <w:szCs w:val="14"/>
        </w:rPr>
      </w:pPr>
    </w:p>
    <w:p>
      <w:pPr>
        <w:pStyle w:val="BodyText"/>
        <w:spacing w:line="367" w:lineRule="auto"/>
        <w:ind w:left="1418" w:right="1117" w:firstLine="360"/>
        <w:jc w:val="left"/>
      </w:pPr>
      <w:r>
        <w:rPr/>
        <w:t>基于我们已执行的工作，如果我们确定其他信息存在重大错报，我们应当报告该事实。在这方面，我们无任何事 项需要报告。</w:t>
      </w:r>
    </w:p>
    <w:p>
      <w:pPr>
        <w:spacing w:line="240" w:lineRule="auto" w:before="9"/>
        <w:rPr>
          <w:rFonts w:ascii="宋体" w:hAnsi="宋体" w:cs="宋体" w:eastAsia="宋体" w:hint="default"/>
          <w:sz w:val="20"/>
          <w:szCs w:val="20"/>
        </w:rPr>
      </w:pPr>
    </w:p>
    <w:p>
      <w:pPr>
        <w:pStyle w:val="Heading2"/>
        <w:spacing w:line="240" w:lineRule="auto"/>
        <w:ind w:left="1901" w:right="1117"/>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left="1418" w:right="1117" w:firstLine="360"/>
        <w:jc w:val="left"/>
      </w:pPr>
      <w:r>
        <w:rPr/>
        <w:t>管理层负责按照企业会计准则的规定编制财务报表，使其实现公允反映，并设计、执行和维护必要的内部控制， 以使财务报表不存在由于舞弊或错误导致的重大错报。</w:t>
      </w:r>
    </w:p>
    <w:p>
      <w:pPr>
        <w:spacing w:line="240" w:lineRule="auto" w:before="2"/>
        <w:rPr>
          <w:rFonts w:ascii="宋体" w:hAnsi="宋体" w:cs="宋体" w:eastAsia="宋体" w:hint="default"/>
          <w:sz w:val="14"/>
          <w:szCs w:val="14"/>
        </w:rPr>
      </w:pPr>
    </w:p>
    <w:p>
      <w:pPr>
        <w:pStyle w:val="BodyText"/>
        <w:spacing w:line="367" w:lineRule="auto"/>
        <w:ind w:left="1418" w:right="1258" w:firstLine="360"/>
        <w:jc w:val="left"/>
      </w:pPr>
      <w:r>
        <w:rPr>
          <w:spacing w:val="-3"/>
        </w:rPr>
        <w:t>在编制财务报表时，管理层负责评估天舟文化的持续经营能力，披露与持续经营相关的事项（如适用），并运用持</w:t>
      </w:r>
      <w:r>
        <w:rPr/>
        <w:t> 续经营假设，除非计划进行清算、终止运营或别无其他现实的选择。</w:t>
      </w:r>
    </w:p>
    <w:p>
      <w:pPr>
        <w:spacing w:line="240" w:lineRule="auto" w:before="2"/>
        <w:rPr>
          <w:rFonts w:ascii="宋体" w:hAnsi="宋体" w:cs="宋体" w:eastAsia="宋体" w:hint="default"/>
          <w:sz w:val="14"/>
          <w:szCs w:val="14"/>
        </w:rPr>
      </w:pPr>
    </w:p>
    <w:p>
      <w:pPr>
        <w:pStyle w:val="BodyText"/>
        <w:spacing w:line="240" w:lineRule="auto"/>
        <w:ind w:right="1117"/>
        <w:jc w:val="left"/>
      </w:pPr>
      <w:r>
        <w:rPr/>
        <w:t>治理层负责监督天舟文化的财务报告过程。</w:t>
      </w:r>
    </w:p>
    <w:p>
      <w:pPr>
        <w:spacing w:line="240" w:lineRule="auto" w:before="0"/>
        <w:rPr>
          <w:rFonts w:ascii="宋体" w:hAnsi="宋体" w:cs="宋体" w:eastAsia="宋体" w:hint="default"/>
          <w:sz w:val="18"/>
          <w:szCs w:val="18"/>
        </w:rPr>
      </w:pPr>
    </w:p>
    <w:p>
      <w:pPr>
        <w:pStyle w:val="Heading2"/>
        <w:spacing w:line="240" w:lineRule="auto" w:before="131"/>
        <w:ind w:left="1901" w:right="1117"/>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left="1418" w:right="1117" w:firstLine="360"/>
        <w:jc w:val="left"/>
      </w:pPr>
      <w:r>
        <w:rPr/>
        <w:t>我们的目标是对财务报表整体是否不存在由于舞弊或错误导致的重大错报获取合理保证，并出具包含审计意见的 审计报告。合理保证是高水平的保证，但并不能保证按照审计准则执行的审计在某一重大错报存在时总能发现。错报</w:t>
      </w:r>
      <w:r>
        <w:rPr>
          <w:spacing w:val="-62"/>
        </w:rPr>
        <w:t> </w:t>
      </w:r>
      <w:r>
        <w:rPr>
          <w:spacing w:val="-62"/>
        </w:rPr>
      </w:r>
      <w:r>
        <w:rPr>
          <w:spacing w:val="-2"/>
        </w:rPr>
        <w:t>可能由于舞弊或错误导致，如果合理预期错报单独或汇总起来可能影响财务报表使用者依据财务报表作出的经济决策，</w:t>
      </w:r>
      <w:r>
        <w:rPr>
          <w:spacing w:val="-43"/>
        </w:rPr>
        <w:t> </w:t>
      </w:r>
      <w:r>
        <w:rPr>
          <w:spacing w:val="-43"/>
        </w:rPr>
      </w:r>
      <w:r>
        <w:rPr/>
        <w:t>则通常认为错报是重大的。</w:t>
      </w:r>
    </w:p>
    <w:p>
      <w:pPr>
        <w:spacing w:line="240" w:lineRule="auto" w:before="2"/>
        <w:rPr>
          <w:rFonts w:ascii="宋体" w:hAnsi="宋体" w:cs="宋体" w:eastAsia="宋体" w:hint="default"/>
          <w:sz w:val="14"/>
          <w:szCs w:val="14"/>
        </w:rPr>
      </w:pPr>
    </w:p>
    <w:p>
      <w:pPr>
        <w:pStyle w:val="BodyText"/>
        <w:spacing w:line="240" w:lineRule="auto"/>
        <w:ind w:right="1117"/>
        <w:jc w:val="left"/>
      </w:pPr>
      <w:r>
        <w:rPr/>
        <w:t>在按照审计准则执行审计工作的过程中，我们运用职业判断，并保持职业怀疑。同时，我们也执行以下工作：</w:t>
      </w:r>
    </w:p>
    <w:p>
      <w:pPr>
        <w:spacing w:line="240" w:lineRule="auto" w:before="6"/>
        <w:rPr>
          <w:rFonts w:ascii="宋体" w:hAnsi="宋体" w:cs="宋体" w:eastAsia="宋体" w:hint="default"/>
          <w:sz w:val="21"/>
          <w:szCs w:val="21"/>
        </w:rPr>
      </w:pPr>
    </w:p>
    <w:p>
      <w:pPr>
        <w:pStyle w:val="BodyText"/>
        <w:spacing w:line="357" w:lineRule="auto"/>
        <w:ind w:left="1418" w:right="1273" w:firstLine="360"/>
        <w:jc w:val="both"/>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）识别和评估由于舞弊或错误导致的财务报表重大错报风险，设计和实施审计程序以应对这些风险，并获取充</w:t>
      </w:r>
      <w:r>
        <w:rPr/>
        <w:t> 分、适当的审计证据，作为发表审计意见的基础。由于舞弊可能涉及串通、伪造、故意遗漏、虚假陈述或凌驾于内部</w:t>
      </w:r>
      <w:r>
        <w:rPr>
          <w:spacing w:val="-63"/>
        </w:rPr>
        <w:t> </w:t>
      </w:r>
      <w:r>
        <w:rPr>
          <w:spacing w:val="-63"/>
        </w:rPr>
      </w:r>
      <w:r>
        <w:rPr/>
        <w:t>控制之上，未能发现由于舞弊导致的重大错报的风险高于未能发现由于错误导致的重大错报的风险。</w:t>
      </w:r>
    </w:p>
    <w:p>
      <w:pPr>
        <w:spacing w:line="240" w:lineRule="auto" w:before="9"/>
        <w:rPr>
          <w:rFonts w:ascii="宋体" w:hAnsi="宋体" w:cs="宋体" w:eastAsia="宋体" w:hint="default"/>
          <w:sz w:val="14"/>
          <w:szCs w:val="14"/>
        </w:rPr>
      </w:pPr>
    </w:p>
    <w:p>
      <w:pPr>
        <w:pStyle w:val="BodyText"/>
        <w:spacing w:line="240" w:lineRule="auto"/>
        <w:ind w:right="1117"/>
        <w:jc w:val="left"/>
        <w:rPr>
          <w:rFonts w:ascii="Times New Roman" w:hAnsi="Times New Roman" w:cs="Times New Roman" w:eastAsia="Times New Roman" w:hint="default"/>
          <w:sz w:val="12"/>
          <w:szCs w:val="12"/>
        </w:rPr>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r>
        <w:rPr>
          <w:rFonts w:ascii="Times New Roman" w:hAnsi="Times New Roman" w:cs="Times New Roman" w:eastAsia="Times New Roman" w:hint="default"/>
          <w:position w:val="8"/>
          <w:sz w:val="12"/>
          <w:szCs w:val="12"/>
        </w:rPr>
        <w:t>1</w:t>
      </w:r>
      <w:r>
        <w:rPr>
          <w:rFonts w:ascii="Times New Roman" w:hAnsi="Times New Roman" w:cs="Times New Roman" w:eastAsia="Times New Roman" w:hint="default"/>
          <w:sz w:val="12"/>
          <w:szCs w:val="12"/>
        </w:rPr>
      </w:r>
    </w:p>
    <w:p>
      <w:pPr>
        <w:spacing w:line="240" w:lineRule="auto" w:before="2"/>
        <w:rPr>
          <w:rFonts w:ascii="Times New Roman" w:hAnsi="Times New Roman" w:cs="Times New Roman" w:eastAsia="Times New Roman" w:hint="default"/>
          <w:sz w:val="23"/>
          <w:szCs w:val="23"/>
        </w:rPr>
      </w:pPr>
    </w:p>
    <w:p>
      <w:pPr>
        <w:pStyle w:val="BodyText"/>
        <w:spacing w:line="240" w:lineRule="auto"/>
        <w:ind w:right="1117"/>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5"/>
        <w:rPr>
          <w:rFonts w:ascii="宋体" w:hAnsi="宋体" w:cs="宋体" w:eastAsia="宋体" w:hint="default"/>
          <w:sz w:val="20"/>
          <w:szCs w:val="20"/>
        </w:rPr>
      </w:pPr>
    </w:p>
    <w:p>
      <w:pPr>
        <w:pStyle w:val="BodyText"/>
        <w:spacing w:line="357" w:lineRule="auto"/>
        <w:ind w:left="1418" w:right="1273" w:firstLine="360"/>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）对管理层使用持续经营假设的恰当性得出结论。同时，根据获取的审计证据，就可能导致对天舟文化持续经</w:t>
      </w:r>
      <w:r>
        <w:rPr/>
        <w:t> 营能力产生重大疑虑的事项或情况是否存在重大不确定性得出结论。如果我们得出结论认为存在重大不确定性，审计</w:t>
      </w:r>
      <w:r>
        <w:rPr>
          <w:spacing w:val="-63"/>
        </w:rPr>
        <w:t> </w:t>
      </w:r>
      <w:r>
        <w:rPr>
          <w:spacing w:val="-63"/>
        </w:rPr>
      </w:r>
      <w:r>
        <w:rPr/>
        <w:t>准则要求我们在审计报告中提请报表使用者注意财务报表中的相关披露；如果披露不充分，我们应当发表非无保留意</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p>
      <w:pPr>
        <w:spacing w:line="20" w:lineRule="exact"/>
        <w:ind w:left="1414" w:right="0" w:firstLine="0"/>
        <w:rPr>
          <w:rFonts w:ascii="宋体" w:hAnsi="宋体" w:cs="宋体" w:eastAsia="宋体" w:hint="default"/>
          <w:sz w:val="2"/>
          <w:szCs w:val="2"/>
        </w:rPr>
      </w:pPr>
      <w:r>
        <w:rPr>
          <w:rFonts w:ascii="宋体" w:hAnsi="宋体" w:cs="宋体" w:eastAsia="宋体" w:hint="default"/>
          <w:sz w:val="2"/>
          <w:szCs w:val="2"/>
        </w:rPr>
        <w:pict>
          <v:group style="width:144.450pt;height:.45pt;mso-position-horizontal-relative:char;mso-position-vertical-relative:line" coordorigin="0,0" coordsize="2889,9">
            <v:group style="position:absolute;left:4;top:4;width:2881;height:2" coordorigin="4,4" coordsize="2881,2">
              <v:shape style="position:absolute;left:4;top:4;width:2881;height:2" coordorigin="4,4" coordsize="2881,0" path="m4,4l2885,4e" filled="false" stroked="true" strokeweight=".4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979" w:top="1060" w:bottom="1160" w:left="0" w:right="0"/>
        </w:sectPr>
      </w:pPr>
    </w:p>
    <w:p>
      <w:pPr>
        <w:spacing w:line="240" w:lineRule="auto" w:before="0"/>
        <w:rPr>
          <w:rFonts w:ascii="宋体" w:hAnsi="宋体" w:cs="宋体" w:eastAsia="宋体" w:hint="default"/>
          <w:sz w:val="20"/>
          <w:szCs w:val="20"/>
        </w:rPr>
      </w:pPr>
      <w:r>
        <w:rPr/>
        <w:pict>
          <v:group style="position:absolute;margin-left:413.76001pt;margin-top:502.23999pt;width:105.3pt;height:.1pt;mso-position-horizontal-relative:page;mso-position-vertical-relative:page;z-index:-947248" coordorigin="8275,10045" coordsize="2106,2">
            <v:shape style="position:absolute;left:8275;top:10045;width:2106;height:2" coordorigin="8275,10045" coordsize="2106,0" path="m8275,10045l10381,10045e" filled="false" stroked="true" strokeweight=".48pt" strokecolor="#000000">
              <v:path arrowok="t"/>
            </v:shape>
            <w10:wrap type="none"/>
          </v:group>
        </w:pict>
      </w:r>
    </w:p>
    <w:p>
      <w:pPr>
        <w:spacing w:line="240" w:lineRule="auto" w:before="6"/>
        <w:rPr>
          <w:rFonts w:ascii="宋体" w:hAnsi="宋体" w:cs="宋体" w:eastAsia="宋体" w:hint="default"/>
          <w:sz w:val="14"/>
          <w:szCs w:val="14"/>
        </w:rPr>
      </w:pPr>
    </w:p>
    <w:p>
      <w:pPr>
        <w:pStyle w:val="BodyText"/>
        <w:spacing w:line="240" w:lineRule="auto"/>
        <w:ind w:left="1418" w:right="1117"/>
        <w:jc w:val="left"/>
      </w:pPr>
      <w:r>
        <w:rPr/>
        <w:t>见。我们的结论基于截至审计报告日可获得的信息。然而，未来的事项或情况可能导致天舟文化不能持续经营。</w:t>
      </w:r>
    </w:p>
    <w:p>
      <w:pPr>
        <w:spacing w:line="240" w:lineRule="auto" w:before="6"/>
        <w:rPr>
          <w:rFonts w:ascii="宋体" w:hAnsi="宋体" w:cs="宋体" w:eastAsia="宋体" w:hint="default"/>
          <w:sz w:val="21"/>
          <w:szCs w:val="21"/>
        </w:rPr>
      </w:pPr>
    </w:p>
    <w:p>
      <w:pPr>
        <w:pStyle w:val="BodyText"/>
        <w:spacing w:line="240" w:lineRule="auto"/>
        <w:ind w:right="1117"/>
        <w:jc w:val="left"/>
      </w:pPr>
      <w:r>
        <w:rPr/>
        <w:t>（</w:t>
      </w:r>
      <w:r>
        <w:rPr>
          <w:rFonts w:ascii="Times New Roman" w:hAnsi="Times New Roman" w:cs="Times New Roman" w:eastAsia="Times New Roman" w:hint="default"/>
        </w:rPr>
        <w:t>5</w:t>
      </w:r>
      <w:r>
        <w:rPr/>
        <w:t>）评价财务报表的总体列报、结构和内容（包括披露</w:t>
      </w:r>
      <w:r>
        <w:rPr>
          <w:spacing w:val="-90"/>
        </w:rPr>
        <w:t>）</w:t>
      </w:r>
      <w:r>
        <w:rPr/>
        <w:t>，并评价财务报表是否公允反映相关交易和事项。</w:t>
      </w:r>
    </w:p>
    <w:p>
      <w:pPr>
        <w:spacing w:line="240" w:lineRule="auto" w:before="5"/>
        <w:rPr>
          <w:rFonts w:ascii="宋体" w:hAnsi="宋体" w:cs="宋体" w:eastAsia="宋体" w:hint="default"/>
          <w:sz w:val="20"/>
          <w:szCs w:val="20"/>
        </w:rPr>
      </w:pPr>
    </w:p>
    <w:p>
      <w:pPr>
        <w:pStyle w:val="BodyText"/>
        <w:spacing w:line="348" w:lineRule="auto"/>
        <w:ind w:left="1418" w:right="1273" w:firstLine="360"/>
        <w:jc w:val="both"/>
      </w:pPr>
      <w:r>
        <w:rPr>
          <w:spacing w:val="-2"/>
        </w:rPr>
        <w:t>（</w:t>
      </w:r>
      <w:r>
        <w:rPr>
          <w:rFonts w:ascii="Times New Roman" w:hAnsi="Times New Roman" w:cs="Times New Roman" w:eastAsia="Times New Roman" w:hint="default"/>
          <w:spacing w:val="-2"/>
        </w:rPr>
        <w:t>6</w:t>
      </w:r>
      <w:r>
        <w:rPr>
          <w:spacing w:val="-2"/>
        </w:rPr>
        <w:t>）就天舟文化中实体或业务活动的财务信息获取充分、适当的审计证据，以对财务报表发表审计意见。我们负</w:t>
      </w:r>
      <w:r>
        <w:rPr/>
        <w:t> 责指导、监督和执行集团审计，并对审计意见承担全部责任。</w:t>
      </w:r>
    </w:p>
    <w:p>
      <w:pPr>
        <w:spacing w:line="240" w:lineRule="auto" w:before="3"/>
        <w:rPr>
          <w:rFonts w:ascii="宋体" w:hAnsi="宋体" w:cs="宋体" w:eastAsia="宋体" w:hint="default"/>
          <w:sz w:val="15"/>
          <w:szCs w:val="15"/>
        </w:rPr>
      </w:pPr>
    </w:p>
    <w:p>
      <w:pPr>
        <w:pStyle w:val="BodyText"/>
        <w:spacing w:line="367" w:lineRule="auto"/>
        <w:ind w:left="1418" w:right="1274" w:firstLine="360"/>
        <w:jc w:val="both"/>
      </w:pPr>
      <w:r>
        <w:rPr/>
        <w:t>我们与治理层就计划的审计范围、时间安排和重大审计发现等事项进行沟通，包括沟通我们在审计中识别出的值 得关注的内部控制缺陷。</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我们还就已遵守与独立性相关的职业道德要求向治理层提供声明，并与治理层沟通可能被合理认为影响我们独立 </w:t>
      </w:r>
      <w:r>
        <w:rPr>
          <w:spacing w:val="-4"/>
        </w:rPr>
        <w:t>性的所有关系和其他事项，以及相关的防范措施（如适用）。</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从与治理层沟通过的事项中，我们确定哪些事项对本期合并财务报表审计最为重要，因而构成关键审计事项。我 们在审计报告中描述这些事项，除非法律法规禁止公开披露这些事项，或在极少数情形下，如果合理预期在审计报告</w:t>
      </w:r>
      <w:r>
        <w:rPr>
          <w:spacing w:val="-63"/>
        </w:rPr>
        <w:t> </w:t>
      </w:r>
      <w:r>
        <w:rPr>
          <w:spacing w:val="-63"/>
        </w:rPr>
      </w:r>
      <w:r>
        <w:rPr/>
        <w:t>中沟通某事项造成的负面后果超过在公众利益方面产生的益处，我们确定不应在审计报告中沟通该事项。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tbl>
      <w:tblPr>
        <w:tblW w:w="0" w:type="auto"/>
        <w:jc w:val="left"/>
        <w:tblInd w:w="2621" w:type="dxa"/>
        <w:tblLayout w:type="fixed"/>
        <w:tblCellMar>
          <w:top w:w="0" w:type="dxa"/>
          <w:left w:w="0" w:type="dxa"/>
          <w:bottom w:w="0" w:type="dxa"/>
          <w:right w:w="0" w:type="dxa"/>
        </w:tblCellMar>
        <w:tblLook w:val="01E0"/>
      </w:tblPr>
      <w:tblGrid>
        <w:gridCol w:w="2900"/>
        <w:gridCol w:w="2848"/>
        <w:gridCol w:w="2211"/>
      </w:tblGrid>
      <w:tr>
        <w:trPr>
          <w:trHeight w:val="628" w:hRule="exact"/>
        </w:trPr>
        <w:tc>
          <w:tcPr>
            <w:tcW w:w="2900" w:type="dxa"/>
            <w:tcBorders>
              <w:top w:val="nil" w:sz="6" w:space="0" w:color="auto"/>
              <w:left w:val="nil" w:sz="6" w:space="0" w:color="auto"/>
              <w:bottom w:val="nil" w:sz="6" w:space="0" w:color="auto"/>
              <w:right w:val="nil" w:sz="6" w:space="0" w:color="auto"/>
            </w:tcBorders>
          </w:tcPr>
          <w:p>
            <w:pPr/>
          </w:p>
        </w:tc>
        <w:tc>
          <w:tcPr>
            <w:tcW w:w="2848" w:type="dxa"/>
            <w:vMerge w:val="restart"/>
            <w:tcBorders>
              <w:top w:val="nil" w:sz="6" w:space="0" w:color="auto"/>
              <w:left w:val="nil" w:sz="6" w:space="0" w:color="auto"/>
              <w:right w:val="nil" w:sz="6" w:space="0" w:color="auto"/>
            </w:tcBorders>
          </w:tcPr>
          <w:p>
            <w:pPr>
              <w:pStyle w:val="TableParagraph"/>
              <w:spacing w:line="180" w:lineRule="exact"/>
              <w:ind w:left="720"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sz w:val="18"/>
                <w:szCs w:val="18"/>
              </w:rPr>
              <w:t>（项目合伙人</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87" w:right="0"/>
              <w:jc w:val="left"/>
              <w:rPr>
                <w:rFonts w:ascii="宋体" w:hAnsi="宋体" w:cs="宋体" w:eastAsia="宋体" w:hint="default"/>
                <w:sz w:val="18"/>
                <w:szCs w:val="18"/>
              </w:rPr>
            </w:pPr>
            <w:r>
              <w:rPr>
                <w:rFonts w:ascii="宋体" w:hAnsi="宋体" w:cs="宋体" w:eastAsia="宋体" w:hint="default"/>
                <w:sz w:val="18"/>
                <w:szCs w:val="18"/>
              </w:rPr>
              <w:t>刘智清</w:t>
            </w:r>
          </w:p>
        </w:tc>
      </w:tr>
      <w:tr>
        <w:trPr>
          <w:trHeight w:val="986"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18"/>
              <w:jc w:val="center"/>
              <w:rPr>
                <w:rFonts w:ascii="宋体" w:hAnsi="宋体" w:cs="宋体" w:eastAsia="宋体" w:hint="default"/>
                <w:sz w:val="18"/>
                <w:szCs w:val="18"/>
              </w:rPr>
            </w:pPr>
            <w:r>
              <w:rPr>
                <w:rFonts w:ascii="宋体" w:hAnsi="宋体" w:cs="宋体" w:eastAsia="宋体" w:hint="default"/>
                <w:sz w:val="18"/>
                <w:szCs w:val="18"/>
              </w:rPr>
              <w:t>中国·北京</w:t>
            </w: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518"/>
              <w:jc w:val="center"/>
              <w:rPr>
                <w:rFonts w:ascii="宋体" w:hAnsi="宋体" w:cs="宋体" w:eastAsia="宋体" w:hint="default"/>
                <w:sz w:val="18"/>
                <w:szCs w:val="18"/>
              </w:rPr>
            </w:pPr>
            <w:r>
              <w:rPr>
                <w:rFonts w:ascii="宋体" w:hAnsi="宋体" w:cs="宋体" w:eastAsia="宋体" w:hint="default"/>
                <w:sz w:val="18"/>
                <w:szCs w:val="18"/>
              </w:rPr>
              <w:t>二○一八年四月二十三日</w:t>
            </w:r>
          </w:p>
        </w:tc>
        <w:tc>
          <w:tcPr>
            <w:tcW w:w="2848" w:type="dxa"/>
            <w:vMerge/>
            <w:tcBorders>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r>
      <w:tr>
        <w:trPr>
          <w:trHeight w:val="325" w:hRule="exact"/>
        </w:trPr>
        <w:tc>
          <w:tcPr>
            <w:tcW w:w="2900" w:type="dxa"/>
            <w:tcBorders>
              <w:top w:val="nil" w:sz="6" w:space="0" w:color="auto"/>
              <w:left w:val="nil" w:sz="6" w:space="0" w:color="auto"/>
              <w:bottom w:val="nil" w:sz="6" w:space="0" w:color="auto"/>
              <w:right w:val="nil" w:sz="6" w:space="0" w:color="auto"/>
            </w:tcBorders>
          </w:tcPr>
          <w:p>
            <w:pPr/>
          </w:p>
        </w:tc>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20"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77" w:right="0"/>
              <w:jc w:val="left"/>
              <w:rPr>
                <w:rFonts w:ascii="宋体" w:hAnsi="宋体" w:cs="宋体" w:eastAsia="宋体" w:hint="default"/>
                <w:sz w:val="18"/>
                <w:szCs w:val="18"/>
              </w:rPr>
            </w:pPr>
            <w:r>
              <w:rPr>
                <w:rFonts w:ascii="宋体" w:hAnsi="宋体" w:cs="宋体" w:eastAsia="宋体" w:hint="default"/>
                <w:sz w:val="18"/>
                <w:szCs w:val="18"/>
              </w:rPr>
              <w:t>伍舫</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line="20" w:lineRule="exact"/>
        <w:ind w:left="8270" w:right="0" w:firstLine="0"/>
        <w:rPr>
          <w:rFonts w:ascii="宋体" w:hAnsi="宋体" w:cs="宋体" w:eastAsia="宋体" w:hint="default"/>
          <w:sz w:val="2"/>
          <w:szCs w:val="2"/>
        </w:rPr>
      </w:pPr>
      <w:r>
        <w:rPr>
          <w:rFonts w:ascii="宋体" w:hAnsi="宋体" w:cs="宋体" w:eastAsia="宋体" w:hint="default"/>
          <w:sz w:val="2"/>
          <w:szCs w:val="2"/>
        </w:rPr>
        <w:pict>
          <v:group style="width:105.8pt;height:.5pt;mso-position-horizontal-relative:char;mso-position-vertical-relative:line" coordorigin="0,0" coordsize="2116,10">
            <v:group style="position:absolute;left:5;top:5;width:2106;height:2" coordorigin="5,5" coordsize="2106,2">
              <v:shape style="position:absolute;left:5;top:5;width:2106;height:2" coordorigin="5,5" coordsize="2106,0" path="m5,5l2111,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left="1418" w:right="1117"/>
        <w:jc w:val="left"/>
        <w:rPr>
          <w:b w:val="0"/>
          <w:bCs w:val="0"/>
        </w:rPr>
      </w:pPr>
      <w:bookmarkStart w:name="二、财务报表" w:id="145"/>
      <w:bookmarkEnd w:id="145"/>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418" w:right="1117"/>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1、合并资产负债表" w:id="146"/>
      <w:bookmarkEnd w:id="14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418" w:right="1117"/>
        <w:jc w:val="left"/>
      </w:pPr>
      <w:r>
        <w:rPr/>
        <w:t>编制单位：天舟文化股份有限公司</w:t>
      </w:r>
    </w:p>
    <w:p>
      <w:pPr>
        <w:pStyle w:val="BodyText"/>
        <w:spacing w:line="240" w:lineRule="auto" w:before="116"/>
        <w:ind w:left="0" w:right="1271"/>
        <w:jc w:val="right"/>
      </w:pPr>
      <w:r>
        <w:rPr/>
        <w:t>单位：元</w:t>
      </w:r>
    </w:p>
    <w:p>
      <w:pPr>
        <w:spacing w:line="240" w:lineRule="auto" w:before="1"/>
        <w:rPr>
          <w:rFonts w:ascii="宋体" w:hAnsi="宋体" w:cs="宋体" w:eastAsia="宋体" w:hint="default"/>
          <w:sz w:val="8"/>
          <w:szCs w:val="8"/>
        </w:rPr>
      </w:pPr>
    </w:p>
    <w:tbl>
      <w:tblPr>
        <w:tblW w:w="0" w:type="auto"/>
        <w:jc w:val="left"/>
        <w:tblInd w:w="1425"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985,041,341.15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1,483,437,417.85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274,226,349.96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219,381,204.09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40,751,899.97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14,134,737.04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1,969,297.88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1,078,210.56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77,003,811.86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30,259,430.12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36,921,522.19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22,779,260.92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6,710,393.95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5,027,901.71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1,422,624,616.96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1,776,098,162.29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325,508,325.00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129,607,116.00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255,909,591.53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172,814,922.09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7,103,313.40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3,713,989.47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51,705,106.11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57,772,448.16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100,715,973.33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117,908,490.36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2,596,505,752.54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2,684,722,022.52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2,285,647.53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26,081.65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398,270.66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1,188,157.80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3,351,131,980.10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3,168,753,228.05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4,773,756,597.06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4,944,851,390.34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278,617,929.37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210,167,583.24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27,160,677.58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15,237,275.69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23,632,039.48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20,166,949.67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25,389,327.61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36,518,268.46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117,097,491.29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199,693,427.82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3,186,688.38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4,706,987.62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475,084,153.71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486,490,492.50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12,074,712.60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12,074,712.60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5,540,052.33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628,772.54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3,236,098.82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4,475,290.01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3,402,576.00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4,347,736.00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24,253,439.75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21,526,511.15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499,337,593.46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508,017,003.65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844,934,446.00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649,949,574.00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2,898,499,902.07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3,094,167,172.54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270,581,816.38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-283,106.93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53,177.18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68,785,415.91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21,229,299.06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633,540,858.13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576,328,028.26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2956"/>
        <w:gridCol w:w="3301"/>
        <w:gridCol w:w="330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4,174,895,698.80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4,341,727,251.04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99,523,304.80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95,107,135.65</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4,274,419,003.60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4,436,834,386.69</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4,773,756,597.06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4,944,851,390.34</w:t>
            </w:r>
          </w:p>
        </w:tc>
      </w:tr>
    </w:tbl>
    <w:p>
      <w:pPr>
        <w:spacing w:line="240" w:lineRule="auto" w:before="2"/>
        <w:rPr>
          <w:rFonts w:ascii="Times New Roman" w:hAnsi="Times New Roman" w:cs="Times New Roman" w:eastAsia="Times New Roman" w:hint="default"/>
          <w:sz w:val="23"/>
          <w:szCs w:val="23"/>
        </w:rPr>
      </w:pPr>
    </w:p>
    <w:p>
      <w:pPr>
        <w:pStyle w:val="BodyText"/>
        <w:tabs>
          <w:tab w:pos="5034" w:val="left" w:leader="none"/>
          <w:tab w:pos="9190" w:val="left" w:leader="none"/>
        </w:tabs>
        <w:spacing w:line="319" w:lineRule="auto" w:before="44"/>
        <w:ind w:left="1418" w:right="1271"/>
        <w:jc w:val="left"/>
      </w:pPr>
      <w:r>
        <w:rPr/>
        <w:t>法定代表人：肖志鸿</w:t>
        <w:tab/>
        <w:t>主管会计工作负责人：张葵</w:t>
        <w:tab/>
        <w:t>会计机构负责人： 刘英</w:t>
      </w:r>
    </w:p>
    <w:p>
      <w:pPr>
        <w:spacing w:line="240" w:lineRule="auto" w:before="4"/>
        <w:rPr>
          <w:rFonts w:ascii="宋体" w:hAnsi="宋体" w:cs="宋体" w:eastAsia="宋体" w:hint="default"/>
          <w:sz w:val="22"/>
          <w:szCs w:val="22"/>
        </w:rPr>
      </w:pPr>
    </w:p>
    <w:p>
      <w:pPr>
        <w:pStyle w:val="Heading4"/>
        <w:spacing w:line="240" w:lineRule="auto"/>
        <w:ind w:right="1117"/>
        <w:jc w:val="left"/>
        <w:rPr>
          <w:b w:val="0"/>
          <w:bCs w:val="0"/>
        </w:rPr>
      </w:pPr>
      <w:bookmarkStart w:name="2、母公司资产负债表" w:id="147"/>
      <w:bookmarkEnd w:id="14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271"/>
        <w:jc w:val="right"/>
      </w:pPr>
      <w:r>
        <w:rPr/>
        <w:t>单位：元</w:t>
      </w:r>
    </w:p>
    <w:p>
      <w:pPr>
        <w:spacing w:line="240" w:lineRule="auto" w:before="1"/>
        <w:rPr>
          <w:rFonts w:ascii="宋体" w:hAnsi="宋体" w:cs="宋体" w:eastAsia="宋体" w:hint="default"/>
          <w:sz w:val="8"/>
          <w:szCs w:val="8"/>
        </w:rPr>
      </w:pPr>
    </w:p>
    <w:tbl>
      <w:tblPr>
        <w:tblW w:w="0" w:type="auto"/>
        <w:jc w:val="left"/>
        <w:tblInd w:w="1425"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528,707,153.50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948,475,466.46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12,069,242.95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10,556,687.56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2,851,483.76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607,822.03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1,444,310.00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943,460.56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103,510,052.81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41,994,187.96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7,026,861.52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9,044,579.98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98,295.82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655,707,400.36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1,011,622,204.55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241,079,425.00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112,957,116.00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3,435,414,733.76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3,276,645,944.77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7,103,313.40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3,713,989.47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41,521,545.83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46,989,900.60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429,132.97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632,692.52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41,657.83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28,255.71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3,736,589,808.79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3,441,967,899.07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4,392,297,209.15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4,453,590,103.62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126,979,761.33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117,335,879.86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3,161,391.44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6,712,821.67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3,609,488.68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4,922,432.94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208,664,373.89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449,815,063.30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342,415,015.34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578,786,197.77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413,333.34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1,066,666.67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413,333.34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1,066,666.67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342,828,348.68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579,852,864.44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844,934,446.00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649,949,574.00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2,899,027,894.84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3,094,012,766.84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270,581,816.38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68,785,415.91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21,229,299.06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507,302,920.10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108,545,599.28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4,049,468,860.47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3,873,737,239.18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4,392,297,209.15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4,453,590,103.62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bookmarkStart w:name="3、合并利润表" w:id="148"/>
      <w:bookmarkEnd w:id="14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71"/>
        <w:jc w:val="right"/>
      </w:pPr>
      <w:r>
        <w:rPr/>
        <w:t>单位：元</w:t>
      </w:r>
    </w:p>
    <w:p>
      <w:pPr>
        <w:spacing w:line="240" w:lineRule="auto" w:before="1"/>
        <w:rPr>
          <w:rFonts w:ascii="宋体" w:hAnsi="宋体" w:cs="宋体" w:eastAsia="宋体" w:hint="default"/>
          <w:sz w:val="8"/>
          <w:szCs w:val="8"/>
        </w:rPr>
      </w:pPr>
    </w:p>
    <w:tbl>
      <w:tblPr>
        <w:tblW w:w="0" w:type="auto"/>
        <w:jc w:val="left"/>
        <w:tblInd w:w="1425"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936,023,719.25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779,939,639.94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936,023,719.25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779,939,639.94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815,167,658.01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496,308,714.24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439,528,567.20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300,437,608.67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26.339996pt;margin-top:400.699982pt;width:157.7pt;height:19.650pt;mso-position-horizontal-relative:page;mso-position-vertical-relative:page;z-index:-947224" coordorigin="4527,8014" coordsize="3154,393">
            <v:shape style="position:absolute;left:4527;top:8014;width:3154;height:393" coordorigin="4527,8014" coordsize="3154,393" path="m4527,8406l7681,8406,7681,8014,4527,8014,4527,8406xe" filled="true" fillcolor="#ffffff" stroked="false">
              <v:path arrowok="t"/>
              <v:fill type="solid"/>
            </v:shape>
            <w10:wrap type="none"/>
          </v:group>
        </w:pict>
      </w:r>
      <w:r>
        <w:rPr/>
        <w:pict>
          <v:group style="position:absolute;margin-left:226.339996pt;margin-top:536.919983pt;width:157.7pt;height:19.650pt;mso-position-horizontal-relative:page;mso-position-vertical-relative:page;z-index:-947200" coordorigin="4527,10738" coordsize="3154,393">
            <v:shape style="position:absolute;left:4527;top:10738;width:3154;height:393" coordorigin="4527,10738" coordsize="3154,393" path="m4527,11131l7681,11131,7681,10738,4527,10738,4527,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3057"/>
        <w:gridCol w:w="1071"/>
        <w:gridCol w:w="2151"/>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5,508,542.07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3,533,729.33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64,738,018.91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63,718,397.95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214,219,879.26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119,052,587.68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2" w:right="0"/>
              <w:jc w:val="left"/>
              <w:rPr>
                <w:rFonts w:ascii="Times New Roman" w:hAnsi="Times New Roman" w:cs="Times New Roman" w:eastAsia="Times New Roman" w:hint="default"/>
                <w:sz w:val="18"/>
                <w:szCs w:val="18"/>
              </w:rPr>
            </w:pPr>
            <w:r>
              <w:rPr>
                <w:rFonts w:ascii="Times New Roman"/>
                <w:sz w:val="18"/>
              </w:rPr>
              <w:t>-14,794,208.68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-8,009,834.58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105,966,859.25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17,576,225.19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45,031,611.44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-399,435.45</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22,794,708.18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-3,060,229.08</w:t>
            </w:r>
          </w:p>
        </w:tc>
      </w:tr>
      <w:tr>
        <w:trPr>
          <w:trHeight w:val="402" w:hRule="exact"/>
        </w:trPr>
        <w:tc>
          <w:tcPr>
            <w:tcW w:w="30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8,433,333.33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174,321,006.01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283,231,490.25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334,755.16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19,614,774.94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282,898.14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55,171.36</w:t>
            </w:r>
          </w:p>
        </w:tc>
      </w:tr>
      <w:tr>
        <w:trPr>
          <w:trHeight w:val="402" w:hRule="exact"/>
        </w:trPr>
        <w:tc>
          <w:tcPr>
            <w:tcW w:w="30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174,372,863.03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302,791,093.83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36,831,557.82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46,321,511.02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1" w:right="0"/>
              <w:jc w:val="left"/>
              <w:rPr>
                <w:rFonts w:ascii="Times New Roman" w:hAnsi="Times New Roman" w:cs="Times New Roman" w:eastAsia="Times New Roman" w:hint="default"/>
                <w:sz w:val="18"/>
                <w:szCs w:val="18"/>
              </w:rPr>
            </w:pPr>
            <w:r>
              <w:rPr>
                <w:rFonts w:ascii="Times New Roman"/>
                <w:sz w:val="18"/>
              </w:rPr>
              <w:t>137,541,305.21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256,469,582.81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2" w:right="0"/>
              <w:jc w:val="left"/>
              <w:rPr>
                <w:rFonts w:ascii="Times New Roman" w:hAnsi="Times New Roman" w:cs="Times New Roman" w:eastAsia="Times New Roman" w:hint="default"/>
                <w:sz w:val="18"/>
                <w:szCs w:val="18"/>
              </w:rPr>
            </w:pPr>
            <w:r>
              <w:rPr>
                <w:rFonts w:ascii="Times New Roman"/>
                <w:sz w:val="18"/>
              </w:rPr>
              <w:t>137,541,305.21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256,469,582.81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134,016,677.55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243,568,965.82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3,524,627.66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12,900,616.99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-336,284.11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53,177.18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-336,284.11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53,177.18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-336,284.11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53,177.18</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-336,284.11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53,177.18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137,205,021.10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256,522,759.99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133,680,393.44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243,622,143.00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3,524,627.66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12,900,616.99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r>
    </w:tbl>
    <w:p>
      <w:pPr>
        <w:pStyle w:val="BodyText"/>
        <w:spacing w:line="240" w:lineRule="auto" w:before="51"/>
        <w:ind w:left="1418" w:right="1117"/>
        <w:jc w:val="left"/>
      </w:pPr>
      <w:r>
        <w:rPr/>
        <w:t>本期发生同一控制下企业合并的，被合并方在合并前实现的净利润为：</w:t>
      </w:r>
      <w:r>
        <w:rPr>
          <w:rFonts w:ascii="Times New Roman" w:hAnsi="Times New Roman" w:cs="Times New Roman" w:eastAsia="Times New Roman" w:hint="default"/>
        </w:rPr>
        <w:t>0 </w:t>
      </w:r>
      <w:r>
        <w:rPr/>
        <w:t>元，上期被合并方实现的净利润为：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5034" w:val="left" w:leader="none"/>
          <w:tab w:pos="9190" w:val="left" w:leader="none"/>
        </w:tabs>
        <w:spacing w:line="319" w:lineRule="auto" w:before="127"/>
        <w:ind w:left="1418" w:right="1271"/>
        <w:jc w:val="left"/>
      </w:pPr>
      <w:r>
        <w:rPr/>
        <w:t>法定代表人：肖志鸿</w:t>
        <w:tab/>
        <w:t>主管会计工作负责人：张葵</w:t>
        <w:tab/>
        <w:t>会计机构负责人： 刘英</w:t>
      </w:r>
    </w:p>
    <w:p>
      <w:pPr>
        <w:pStyle w:val="BodyText"/>
        <w:spacing w:line="240" w:lineRule="auto" w:before="56"/>
        <w:ind w:left="1418" w:right="1117"/>
        <w:jc w:val="left"/>
      </w:pPr>
      <w:r>
        <w:rPr/>
        <w:t>注：财务费用涉及金融业务需单独列示汇兑收益项目。</w:t>
      </w:r>
    </w:p>
    <w:p>
      <w:pPr>
        <w:spacing w:line="240" w:lineRule="auto" w:before="10"/>
        <w:rPr>
          <w:rFonts w:ascii="宋体" w:hAnsi="宋体" w:cs="宋体" w:eastAsia="宋体" w:hint="default"/>
          <w:sz w:val="26"/>
          <w:szCs w:val="26"/>
        </w:rPr>
      </w:pPr>
    </w:p>
    <w:p>
      <w:pPr>
        <w:pStyle w:val="Heading4"/>
        <w:spacing w:line="240" w:lineRule="auto"/>
        <w:ind w:right="1117"/>
        <w:jc w:val="left"/>
        <w:rPr>
          <w:b w:val="0"/>
          <w:bCs w:val="0"/>
        </w:rPr>
      </w:pPr>
      <w:bookmarkStart w:name="4、母公司利润表" w:id="149"/>
      <w:bookmarkEnd w:id="14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271"/>
        <w:jc w:val="right"/>
      </w:pPr>
      <w:r>
        <w:rPr/>
        <w:t>单位：元</w:t>
      </w:r>
    </w:p>
    <w:p>
      <w:pPr>
        <w:spacing w:line="240" w:lineRule="auto" w:before="0"/>
        <w:rPr>
          <w:rFonts w:ascii="宋体" w:hAnsi="宋体" w:cs="宋体" w:eastAsia="宋体" w:hint="default"/>
          <w:sz w:val="8"/>
          <w:szCs w:val="8"/>
        </w:rPr>
      </w:pPr>
    </w:p>
    <w:tbl>
      <w:tblPr>
        <w:tblW w:w="0" w:type="auto"/>
        <w:jc w:val="left"/>
        <w:tblInd w:w="1425"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2956"/>
        <w:gridCol w:w="3301"/>
        <w:gridCol w:w="330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233,161,566.58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252,899,334.61</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165,787,126.77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171,561,943.14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2,864,533.05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1,273,980.93</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21,202,332.48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27,361,178.43</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34,829,697.59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31,825,203.76</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-9,300,790.20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-5,126,953.04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15,213,738.70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971,480.61</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474,524,532.07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-13,505,244.79</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-6,231,211.01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-2,727,813.81</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1,003,333.33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478,092,793.59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11,527,255.99</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231,720.00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14,883,941.15</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59,804.37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478,264,709.22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26,381,197.14</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2,703,540.72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9,024,342.77</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475,561,168.50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17,356,854.37</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475,561,168.50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17,356,854.37</w:t>
            </w: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2945"/>
        <w:gridCol w:w="3312"/>
        <w:gridCol w:w="3300"/>
      </w:tblGrid>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1" w:right="0"/>
              <w:jc w:val="left"/>
              <w:rPr>
                <w:rFonts w:ascii="Times New Roman" w:hAnsi="Times New Roman" w:cs="Times New Roman" w:eastAsia="Times New Roman" w:hint="default"/>
                <w:sz w:val="18"/>
                <w:szCs w:val="18"/>
              </w:rPr>
            </w:pPr>
            <w:r>
              <w:rPr>
                <w:rFonts w:ascii="Times New Roman"/>
                <w:sz w:val="18"/>
              </w:rPr>
              <w:t>475,561,168.50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17,356,854.37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bookmarkStart w:name="5、合并现金流量表" w:id="150"/>
      <w:bookmarkEnd w:id="15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71"/>
        <w:jc w:val="right"/>
      </w:pPr>
      <w:r>
        <w:rPr/>
        <w:t>单位：元</w:t>
      </w:r>
    </w:p>
    <w:p>
      <w:pPr>
        <w:spacing w:line="240" w:lineRule="auto" w:before="1"/>
        <w:rPr>
          <w:rFonts w:ascii="宋体" w:hAnsi="宋体" w:cs="宋体" w:eastAsia="宋体" w:hint="default"/>
          <w:sz w:val="8"/>
          <w:szCs w:val="8"/>
        </w:rPr>
      </w:pPr>
    </w:p>
    <w:tbl>
      <w:tblPr>
        <w:tblW w:w="0" w:type="auto"/>
        <w:jc w:val="left"/>
        <w:tblInd w:w="1425"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923,898,548.31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712,221,316.33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105,120.00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34,703,163.54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14,656,586.67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960,620,511.85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726,983,023.00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425,746,868.00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193,193,118.33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162,696,444.58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83,126,686.32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73,319,791.74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60,769,677.94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87,513,766.51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86,036,153.44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749,276,870.83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423,125,636.03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211,343,641.02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303,857,386.97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252,477,691.00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114,102,884.00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636,942.00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2,096,825.88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18,239.85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975,728.50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18,731,776.30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253,132,872.85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135,907,214.68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15,477,883.52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2,765,793.92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94,590,918.13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514,100,948.65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614,850.00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436,118,801.65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792,881,592.57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-182,985,928.80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-656,974,377.89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1,121,159,055.76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2955"/>
        <w:gridCol w:w="3302"/>
        <w:gridCol w:w="3300"/>
      </w:tblGrid>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1,121,159,055.76</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35,597,537.81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17,785,905.52</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6,349,806.98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894,399.07</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270,581,816.38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4,625,000.00</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306,179,354.19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22,410,905.52</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-302,244,354.19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1,098,748,150.24</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-509,434.73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113,688.02</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-274,396,076.70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745,744,847.34</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1,212,437,417.85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466,692,570.51</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938,041,341.15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1,212,437,417.85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bookmarkStart w:name="6、母公司现金流量表" w:id="151"/>
      <w:bookmarkEnd w:id="15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271"/>
        <w:jc w:val="right"/>
      </w:pPr>
      <w:r>
        <w:rPr/>
        <w:t>单位：元</w:t>
      </w:r>
    </w:p>
    <w:p>
      <w:pPr>
        <w:spacing w:line="240" w:lineRule="auto" w:before="1"/>
        <w:rPr>
          <w:rFonts w:ascii="宋体" w:hAnsi="宋体" w:cs="宋体" w:eastAsia="宋体" w:hint="default"/>
          <w:sz w:val="8"/>
          <w:szCs w:val="8"/>
        </w:rPr>
      </w:pPr>
    </w:p>
    <w:tbl>
      <w:tblPr>
        <w:tblW w:w="0" w:type="auto"/>
        <w:jc w:val="left"/>
        <w:tblInd w:w="1425"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234,120,891.89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250,535,331.22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80,158,295.11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57,399,978.71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314,279,187.00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307,935,309.93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157,267,936.99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107,302,147.94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22,339,762.97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16,963,965.15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8,346,760.79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15,617,605.99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13,024,310.94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34,340,526.43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200,978,771.69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174,224,245.51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113,300,415.31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133,711,064.42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225,877,691.00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15,066,983.32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425"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229,038,794.69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919,728.50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454,929,162.69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15,986,711.82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10,577,425.62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1,922,301.08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840,036,010.38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94,590,918.13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464,168,343.75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841,958,311.46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-9,239,181.06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-825,971,599.64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1,111,209,055.76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1,111,209,055.76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29,247,730.83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16,891,506.45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270,581,816.38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299,829,547.21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21,516,506.45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-299,829,547.21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1,089,692,549.31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-195,768,312.96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397,432,014.09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677,475,466.46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280,043,452.37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481,707,153.50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677,475,466.46</w:t>
            </w:r>
          </w:p>
        </w:tc>
      </w:tr>
    </w:tbl>
    <w:p>
      <w:pPr>
        <w:spacing w:line="240" w:lineRule="auto" w:before="3"/>
        <w:rPr>
          <w:rFonts w:ascii="宋体" w:hAnsi="宋体" w:cs="宋体" w:eastAsia="宋体" w:hint="default"/>
          <w:sz w:val="19"/>
          <w:szCs w:val="19"/>
        </w:rPr>
      </w:pPr>
    </w:p>
    <w:p>
      <w:pPr>
        <w:pStyle w:val="Heading4"/>
        <w:spacing w:line="240" w:lineRule="auto" w:before="35"/>
        <w:ind w:right="1117"/>
        <w:jc w:val="left"/>
        <w:rPr>
          <w:b w:val="0"/>
          <w:bCs w:val="0"/>
        </w:rPr>
      </w:pPr>
      <w:bookmarkStart w:name="7、合并所有者权益变动表" w:id="152"/>
      <w:bookmarkEnd w:id="15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18" w:right="1117"/>
        <w:jc w:val="left"/>
      </w:pPr>
      <w:r>
        <w:rPr/>
        <w:t>本期金额</w:t>
      </w:r>
    </w:p>
    <w:p>
      <w:pPr>
        <w:pStyle w:val="BodyText"/>
        <w:spacing w:line="240" w:lineRule="auto" w:before="117"/>
        <w:ind w:left="0" w:right="1271"/>
        <w:jc w:val="right"/>
      </w:pPr>
      <w:r>
        <w:rPr/>
        <w:t>单位：元</w:t>
      </w:r>
    </w:p>
    <w:p>
      <w:pPr>
        <w:spacing w:after="0" w:line="240" w:lineRule="auto"/>
        <w:jc w:val="right"/>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25" w:type="dxa"/>
        <w:tblLayout w:type="fixed"/>
        <w:tblCellMar>
          <w:top w:w="0" w:type="dxa"/>
          <w:left w:w="0" w:type="dxa"/>
          <w:bottom w:w="0" w:type="dxa"/>
          <w:right w:w="0" w:type="dxa"/>
        </w:tblCellMar>
        <w:tblLook w:val="01E0"/>
      </w:tblPr>
      <w:tblGrid>
        <w:gridCol w:w="1415"/>
        <w:gridCol w:w="574"/>
        <w:gridCol w:w="530"/>
        <w:gridCol w:w="532"/>
        <w:gridCol w:w="531"/>
        <w:gridCol w:w="665"/>
        <w:gridCol w:w="665"/>
        <w:gridCol w:w="715"/>
        <w:gridCol w:w="614"/>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3"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5" w:right="59"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81" w:right="8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1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11" w:right="3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5" w:right="59"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1"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649,94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9,574.</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67,172.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53,177.1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14"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21,229,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299.06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576,328</w:t>
            </w:r>
          </w:p>
          <w:p>
            <w:pPr>
              <w:pStyle w:val="TableParagraph"/>
              <w:spacing w:line="240" w:lineRule="auto" w:before="106"/>
              <w:ind w:left="90" w:right="0"/>
              <w:jc w:val="left"/>
              <w:rPr>
                <w:rFonts w:ascii="Times New Roman" w:hAnsi="Times New Roman" w:cs="Times New Roman" w:eastAsia="Times New Roman" w:hint="default"/>
                <w:sz w:val="18"/>
                <w:szCs w:val="18"/>
              </w:rPr>
            </w:pPr>
            <w:r>
              <w:rPr>
                <w:rFonts w:ascii="Times New Roman"/>
                <w:sz w:val="18"/>
              </w:rPr>
              <w:t>,028.26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95,107,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135.65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34,386.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649,94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9,574.</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67,172.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53,177.1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14"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21,229,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299.06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576,328</w:t>
            </w:r>
          </w:p>
          <w:p>
            <w:pPr>
              <w:pStyle w:val="TableParagraph"/>
              <w:spacing w:line="240" w:lineRule="auto" w:before="106"/>
              <w:ind w:left="90" w:right="0"/>
              <w:jc w:val="left"/>
              <w:rPr>
                <w:rFonts w:ascii="Times New Roman" w:hAnsi="Times New Roman" w:cs="Times New Roman" w:eastAsia="Times New Roman" w:hint="default"/>
                <w:sz w:val="18"/>
                <w:szCs w:val="18"/>
              </w:rPr>
            </w:pPr>
            <w:r>
              <w:rPr>
                <w:rFonts w:ascii="Times New Roman"/>
                <w:sz w:val="18"/>
              </w:rPr>
              <w:t>,028.26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95,107,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135.65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4,436,8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34,386.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194,98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4,872.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7,270.4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,816.38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-336,284</w:t>
            </w:r>
          </w:p>
          <w:p>
            <w:pPr>
              <w:pStyle w:val="TableParagraph"/>
              <w:spacing w:line="240" w:lineRule="auto" w:before="106"/>
              <w:ind w:left="463" w:right="0"/>
              <w:jc w:val="left"/>
              <w:rPr>
                <w:rFonts w:ascii="Times New Roman" w:hAnsi="Times New Roman" w:cs="Times New Roman" w:eastAsia="Times New Roman" w:hint="default"/>
                <w:sz w:val="18"/>
                <w:szCs w:val="18"/>
              </w:rPr>
            </w:pPr>
            <w:r>
              <w:rPr>
                <w:rFonts w:ascii="Times New Roman"/>
                <w:spacing w:val="-3"/>
                <w:sz w:val="18"/>
              </w:rPr>
              <w:t>.11</w:t>
            </w: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47,556,</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116.85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57,212,</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829.87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4,416,1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69.15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-336,284</w:t>
            </w:r>
          </w:p>
          <w:p>
            <w:pPr>
              <w:pStyle w:val="TableParagraph"/>
              <w:spacing w:line="240" w:lineRule="auto" w:before="106"/>
              <w:ind w:left="463" w:right="0"/>
              <w:jc w:val="left"/>
              <w:rPr>
                <w:rFonts w:ascii="Times New Roman" w:hAnsi="Times New Roman" w:cs="Times New Roman" w:eastAsia="Times New Roman" w:hint="default"/>
                <w:sz w:val="18"/>
                <w:szCs w:val="18"/>
              </w:rPr>
            </w:pPr>
            <w:r>
              <w:rPr>
                <w:rFonts w:ascii="Times New Roman"/>
                <w:spacing w:val="-3"/>
                <w:sz w:val="18"/>
              </w:rPr>
              <w:t>.11</w:t>
            </w: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134,016</w:t>
            </w:r>
          </w:p>
          <w:p>
            <w:pPr>
              <w:pStyle w:val="TableParagraph"/>
              <w:spacing w:line="240" w:lineRule="auto" w:before="106"/>
              <w:ind w:left="90" w:right="0"/>
              <w:jc w:val="left"/>
              <w:rPr>
                <w:rFonts w:ascii="Times New Roman" w:hAnsi="Times New Roman" w:cs="Times New Roman" w:eastAsia="Times New Roman" w:hint="default"/>
                <w:sz w:val="18"/>
                <w:szCs w:val="18"/>
              </w:rPr>
            </w:pPr>
            <w:r>
              <w:rPr>
                <w:rFonts w:ascii="Times New Roman"/>
                <w:sz w:val="18"/>
              </w:rPr>
              <w:t>,677.55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3,524,6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27.66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137,205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,021.10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,816.38</w:t>
            </w:r>
          </w:p>
        </w:tc>
        <w:tc>
          <w:tcPr>
            <w:tcW w:w="715"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6,558,9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2,866.3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3,935,0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3,935,0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,816.38</w:t>
            </w:r>
          </w:p>
        </w:tc>
        <w:tc>
          <w:tcPr>
            <w:tcW w:w="715"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2,623,9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7,866.3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15"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47,556,</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116.85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-76,803,</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847.68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-6,349,8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06.98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-35,597,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537.81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47,556,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0" w:right="0"/>
              <w:jc w:val="left"/>
              <w:rPr>
                <w:rFonts w:ascii="Times New Roman" w:hAnsi="Times New Roman" w:cs="Times New Roman" w:eastAsia="Times New Roman" w:hint="default"/>
                <w:sz w:val="18"/>
                <w:szCs w:val="18"/>
              </w:rPr>
            </w:pPr>
            <w:r>
              <w:rPr>
                <w:rFonts w:ascii="Times New Roman"/>
                <w:sz w:val="18"/>
              </w:rPr>
              <w:t>-47,556,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13" w:type="dxa"/>
        <w:tblLayout w:type="fixed"/>
        <w:tblCellMar>
          <w:top w:w="0" w:type="dxa"/>
          <w:left w:w="0" w:type="dxa"/>
          <w:bottom w:w="0" w:type="dxa"/>
          <w:right w:w="0" w:type="dxa"/>
        </w:tblCellMar>
        <w:tblLook w:val="01E0"/>
      </w:tblPr>
      <w:tblGrid>
        <w:gridCol w:w="1438"/>
        <w:gridCol w:w="563"/>
        <w:gridCol w:w="530"/>
        <w:gridCol w:w="532"/>
        <w:gridCol w:w="531"/>
        <w:gridCol w:w="665"/>
        <w:gridCol w:w="665"/>
        <w:gridCol w:w="715"/>
        <w:gridCol w:w="614"/>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Times New Roman"/>
                <w:sz w:val="18"/>
              </w:rPr>
              <w:t>116.85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Times New Roman" w:hAnsi="Times New Roman" w:cs="Times New Roman" w:eastAsia="Times New Roman" w:hint="default"/>
                <w:sz w:val="18"/>
                <w:szCs w:val="18"/>
              </w:rPr>
            </w:pPr>
            <w:r>
              <w:rPr>
                <w:rFonts w:ascii="Times New Roman"/>
                <w:sz w:val="18"/>
              </w:rPr>
              <w:t>116.85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-29,247,</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730.83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-6,349,8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06.98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-35,597,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537.81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194,98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4,872.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-194,98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4,872.0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194,98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4,872.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-194,98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4,872.0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-682,39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682,398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.47</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844,93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4,446.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2,898,4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99,902.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,816.38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-283,106</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.93</w:t>
            </w:r>
          </w:p>
        </w:tc>
        <w:tc>
          <w:tcPr>
            <w:tcW w:w="614"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415.91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633,540</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,858.13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99,523,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304.80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4,274,4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19,003.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pStyle w:val="BodyText"/>
        <w:spacing w:line="240" w:lineRule="auto" w:before="51"/>
        <w:ind w:left="1418" w:right="1117"/>
        <w:jc w:val="left"/>
      </w:pPr>
      <w:r>
        <w:rPr/>
        <w:t>上期金额</w:t>
      </w:r>
    </w:p>
    <w:p>
      <w:pPr>
        <w:pStyle w:val="BodyText"/>
        <w:spacing w:line="240" w:lineRule="auto" w:before="117"/>
        <w:ind w:left="0" w:right="1271"/>
        <w:jc w:val="right"/>
      </w:pPr>
      <w:r>
        <w:rPr/>
        <w:t>单位：元</w:t>
      </w:r>
    </w:p>
    <w:p>
      <w:pPr>
        <w:spacing w:line="240" w:lineRule="auto" w:before="13"/>
        <w:rPr>
          <w:rFonts w:ascii="宋体" w:hAnsi="宋体" w:cs="宋体" w:eastAsia="宋体" w:hint="default"/>
          <w:sz w:val="7"/>
          <w:szCs w:val="7"/>
        </w:rPr>
      </w:pPr>
    </w:p>
    <w:tbl>
      <w:tblPr>
        <w:tblW w:w="0" w:type="auto"/>
        <w:jc w:val="left"/>
        <w:tblInd w:w="1413" w:type="dxa"/>
        <w:tblLayout w:type="fixed"/>
        <w:tblCellMar>
          <w:top w:w="0" w:type="dxa"/>
          <w:left w:w="0" w:type="dxa"/>
          <w:bottom w:w="0" w:type="dxa"/>
          <w:right w:w="0" w:type="dxa"/>
        </w:tblCellMar>
        <w:tblLook w:val="01E0"/>
      </w:tblPr>
      <w:tblGrid>
        <w:gridCol w:w="1437"/>
        <w:gridCol w:w="562"/>
        <w:gridCol w:w="530"/>
        <w:gridCol w:w="532"/>
        <w:gridCol w:w="531"/>
        <w:gridCol w:w="665"/>
        <w:gridCol w:w="665"/>
        <w:gridCol w:w="665"/>
        <w:gridCol w:w="665"/>
        <w:gridCol w:w="665"/>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3"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5" w:right="5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1"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422,35</w:t>
            </w:r>
          </w:p>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sz w:val="18"/>
              </w:rPr>
              <w:t>1,509.</w:t>
            </w:r>
          </w:p>
          <w:p>
            <w:pPr>
              <w:pStyle w:val="TableParagraph"/>
              <w:spacing w:line="240" w:lineRule="auto" w:before="106"/>
              <w:ind w:right="6"/>
              <w:jc w:val="center"/>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1,135,5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68,398.</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19,493,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613.62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351,386</w:t>
            </w:r>
          </w:p>
          <w:p>
            <w:pPr>
              <w:pStyle w:val="TableParagraph"/>
              <w:spacing w:line="240" w:lineRule="auto" w:before="106"/>
              <w:ind w:left="63" w:right="0"/>
              <w:jc w:val="left"/>
              <w:rPr>
                <w:rFonts w:ascii="Times New Roman" w:hAnsi="Times New Roman" w:cs="Times New Roman" w:eastAsia="Times New Roman" w:hint="default"/>
                <w:sz w:val="18"/>
                <w:szCs w:val="18"/>
              </w:rPr>
            </w:pPr>
            <w:r>
              <w:rPr>
                <w:rFonts w:ascii="Times New Roman"/>
                <w:sz w:val="18"/>
              </w:rPr>
              <w:t>,254.33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10,306,</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177.90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1,939,1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05,953.</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66</w:t>
            </w:r>
          </w:p>
        </w:tc>
      </w:tr>
      <w:tr>
        <w:trPr>
          <w:trHeight w:val="392" w:hRule="exact"/>
        </w:trPr>
        <w:tc>
          <w:tcPr>
            <w:tcW w:w="14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42"/>
              <w:jc w:val="righ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13" w:type="dxa"/>
        <w:tblLayout w:type="fixed"/>
        <w:tblCellMar>
          <w:top w:w="0" w:type="dxa"/>
          <w:left w:w="0" w:type="dxa"/>
          <w:bottom w:w="0" w:type="dxa"/>
          <w:right w:w="0" w:type="dxa"/>
        </w:tblCellMar>
        <w:tblLook w:val="01E0"/>
      </w:tblPr>
      <w:tblGrid>
        <w:gridCol w:w="1437"/>
        <w:gridCol w:w="562"/>
        <w:gridCol w:w="530"/>
        <w:gridCol w:w="532"/>
        <w:gridCol w:w="531"/>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422,35</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1,509.</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1,135,5</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68,398.</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19,493,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613.62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351,386</w:t>
            </w: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,254.33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10,306,</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177.90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1,939,1</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05,953.</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66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227,59</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8,065.</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1,958,5</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98,773.</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53,177.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1,735,6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224,941</w:t>
            </w: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,773.93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84,800,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957.75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2,497,7</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28,433.</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53,177.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243,568</w:t>
            </w: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,965.82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12,900,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616.99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256,522</w:t>
            </w:r>
          </w:p>
          <w:p>
            <w:pPr>
              <w:pStyle w:val="TableParagraph"/>
              <w:spacing w:line="240" w:lineRule="auto" w:before="105"/>
              <w:ind w:left="53" w:right="0"/>
              <w:jc w:val="left"/>
              <w:rPr>
                <w:rFonts w:ascii="Times New Roman" w:hAnsi="Times New Roman" w:cs="Times New Roman" w:eastAsia="Times New Roman" w:hint="default"/>
                <w:sz w:val="18"/>
                <w:szCs w:val="18"/>
              </w:rPr>
            </w:pPr>
            <w:r>
              <w:rPr>
                <w:rFonts w:ascii="Times New Roman"/>
                <w:sz w:val="18"/>
              </w:rPr>
              <w:t>,759.99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143,12</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7,764.</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2,043,2</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05,701.</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71,900,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340.76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2,258,2</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33,806.</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143,12</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7,764.</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2,043,2</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05,701.</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9,950,0</w:t>
            </w:r>
          </w:p>
          <w:p>
            <w:pPr>
              <w:pStyle w:val="TableParagraph"/>
              <w:spacing w:line="240" w:lineRule="auto" w:before="105"/>
              <w:ind w:left="118"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2,196,2</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83,465.</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61,950,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340.76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61,950,</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340.76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1,735,6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-18,627,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191.89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506.45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1,735,6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-1,735,6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85.44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506.45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506.45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84,470</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,301.0</w:t>
            </w:r>
          </w:p>
          <w:p>
            <w:pPr>
              <w:pStyle w:val="TableParagraph"/>
              <w:spacing w:line="240" w:lineRule="auto" w:before="106"/>
              <w:ind w:right="2"/>
              <w:jc w:val="center"/>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-84,470,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 w:right="0"/>
              <w:jc w:val="left"/>
              <w:rPr>
                <w:rFonts w:ascii="Times New Roman" w:hAnsi="Times New Roman" w:cs="Times New Roman" w:eastAsia="Times New Roman" w:hint="default"/>
                <w:sz w:val="18"/>
                <w:szCs w:val="18"/>
              </w:rPr>
            </w:pPr>
            <w:r>
              <w:rPr>
                <w:rFonts w:ascii="Times New Roman"/>
                <w:sz w:val="18"/>
              </w:rPr>
              <w:t>84,470</w:t>
            </w:r>
          </w:p>
          <w:p>
            <w:pPr>
              <w:pStyle w:val="TableParagraph"/>
              <w:spacing w:line="240" w:lineRule="auto" w:before="104"/>
              <w:ind w:left="49" w:right="0"/>
              <w:jc w:val="left"/>
              <w:rPr>
                <w:rFonts w:ascii="Times New Roman" w:hAnsi="Times New Roman" w:cs="Times New Roman" w:eastAsia="Times New Roman" w:hint="default"/>
                <w:sz w:val="18"/>
                <w:szCs w:val="18"/>
              </w:rPr>
            </w:pPr>
            <w:r>
              <w:rPr>
                <w:rFonts w:ascii="Times New Roman"/>
                <w:sz w:val="18"/>
              </w:rPr>
              <w:t>,301.0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-84,470,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13" w:type="dxa"/>
        <w:tblLayout w:type="fixed"/>
        <w:tblCellMar>
          <w:top w:w="0" w:type="dxa"/>
          <w:left w:w="0" w:type="dxa"/>
          <w:bottom w:w="0" w:type="dxa"/>
          <w:right w:w="0" w:type="dxa"/>
        </w:tblCellMar>
        <w:tblLook w:val="01E0"/>
      </w:tblPr>
      <w:tblGrid>
        <w:gridCol w:w="1437"/>
        <w:gridCol w:w="562"/>
        <w:gridCol w:w="530"/>
        <w:gridCol w:w="532"/>
        <w:gridCol w:w="531"/>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-136,62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-136,62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6.61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649,94</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9,574.</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3,094,1</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67,172.</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53,177.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21,229,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299.06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576,328</w:t>
            </w: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,028.26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95,107,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135.65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4,436,8</w:t>
            </w:r>
          </w:p>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34,386.</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69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117"/>
        <w:jc w:val="left"/>
        <w:rPr>
          <w:b w:val="0"/>
          <w:bCs w:val="0"/>
        </w:rPr>
      </w:pPr>
      <w:bookmarkStart w:name="8、母公司所有者权益变动表" w:id="153"/>
      <w:bookmarkEnd w:id="15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18" w:right="1117"/>
        <w:jc w:val="left"/>
      </w:pPr>
      <w:r>
        <w:rPr/>
        <w:t>本期金额</w:t>
      </w:r>
    </w:p>
    <w:p>
      <w:pPr>
        <w:pStyle w:val="BodyText"/>
        <w:spacing w:line="240" w:lineRule="auto" w:before="116"/>
        <w:ind w:left="0" w:right="1271"/>
        <w:jc w:val="right"/>
      </w:pPr>
      <w:r>
        <w:rPr/>
        <w:t>单位：元</w:t>
      </w:r>
    </w:p>
    <w:p>
      <w:pPr>
        <w:spacing w:line="240" w:lineRule="auto" w:before="1"/>
        <w:rPr>
          <w:rFonts w:ascii="宋体" w:hAnsi="宋体" w:cs="宋体" w:eastAsia="宋体" w:hint="default"/>
          <w:sz w:val="8"/>
          <w:szCs w:val="8"/>
        </w:rPr>
      </w:pPr>
    </w:p>
    <w:tbl>
      <w:tblPr>
        <w:tblW w:w="0" w:type="auto"/>
        <w:jc w:val="left"/>
        <w:tblInd w:w="1425"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9"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649,949,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574.00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3,094,012</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,766.84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21,229,29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9.06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40" w:right="0"/>
              <w:jc w:val="left"/>
              <w:rPr>
                <w:rFonts w:ascii="Times New Roman" w:hAnsi="Times New Roman" w:cs="Times New Roman" w:eastAsia="Times New Roman" w:hint="default"/>
                <w:sz w:val="18"/>
                <w:szCs w:val="18"/>
              </w:rPr>
            </w:pPr>
            <w:r>
              <w:rPr>
                <w:rFonts w:ascii="Times New Roman"/>
                <w:sz w:val="18"/>
              </w:rPr>
              <w:t>108,545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,599.28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5" w:right="0"/>
              <w:jc w:val="left"/>
              <w:rPr>
                <w:rFonts w:ascii="Times New Roman" w:hAnsi="Times New Roman" w:cs="Times New Roman" w:eastAsia="Times New Roman" w:hint="default"/>
                <w:sz w:val="18"/>
                <w:szCs w:val="18"/>
              </w:rPr>
            </w:pPr>
            <w:r>
              <w:rPr>
                <w:rFonts w:ascii="Times New Roman"/>
                <w:sz w:val="18"/>
              </w:rPr>
              <w:t>3,873,737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,239.18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9"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649,949,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574.00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3,094,012</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,766.84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21,229,29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108,545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,599.28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3,873,737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,239.18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left"/>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872.00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16.38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47,556,11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398,757</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,320.82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175,731,6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21.29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475,561</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,168.50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475,561,1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68.50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16.38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816.38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413" w:type="dxa"/>
        <w:tblLayout w:type="fixed"/>
        <w:tblCellMar>
          <w:top w:w="0" w:type="dxa"/>
          <w:left w:w="0" w:type="dxa"/>
          <w:bottom w:w="0" w:type="dxa"/>
          <w:right w:w="0" w:type="dxa"/>
        </w:tblCellMar>
        <w:tblLook w:val="01E0"/>
      </w:tblPr>
      <w:tblGrid>
        <w:gridCol w:w="1441"/>
        <w:gridCol w:w="692"/>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16.38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-270,581,</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816.38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47,556,11</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6.85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-76,803,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847.68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-29,247,7</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30.83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47,556,11</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6.85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-47,556,</w:t>
            </w:r>
          </w:p>
          <w:p>
            <w:pPr>
              <w:pStyle w:val="TableParagraph"/>
              <w:spacing w:line="240" w:lineRule="auto" w:before="106"/>
              <w:ind w:left="88" w:right="0"/>
              <w:jc w:val="left"/>
              <w:rPr>
                <w:rFonts w:ascii="Times New Roman" w:hAnsi="Times New Roman" w:cs="Times New Roman" w:eastAsia="Times New Roman" w:hint="default"/>
                <w:sz w:val="18"/>
                <w:szCs w:val="18"/>
              </w:rPr>
            </w:pPr>
            <w:r>
              <w:rPr>
                <w:rFonts w:ascii="Times New Roman"/>
                <w:sz w:val="18"/>
              </w:rPr>
              <w:t>116.85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-29,247,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730.83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-29,247,7</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30.83</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5" w:right="0"/>
              <w:jc w:val="left"/>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872.00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872.00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-194,984,</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872.00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844,934,</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446.00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2,899,027</w:t>
            </w:r>
          </w:p>
          <w:p>
            <w:pPr>
              <w:pStyle w:val="TableParagraph"/>
              <w:spacing w:line="240" w:lineRule="auto" w:before="106"/>
              <w:ind w:left="123" w:right="0"/>
              <w:jc w:val="left"/>
              <w:rPr>
                <w:rFonts w:ascii="Times New Roman" w:hAnsi="Times New Roman" w:cs="Times New Roman" w:eastAsia="Times New Roman" w:hint="default"/>
                <w:sz w:val="18"/>
                <w:szCs w:val="18"/>
              </w:rPr>
            </w:pPr>
            <w:r>
              <w:rPr>
                <w:rFonts w:ascii="Times New Roman"/>
                <w:sz w:val="18"/>
              </w:rPr>
              <w:t>,894.84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270,581,8</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16.38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68,785,41</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5.91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507,302</w:t>
            </w: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,920.10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4,049,468</w:t>
            </w:r>
          </w:p>
          <w:p>
            <w:pPr>
              <w:pStyle w:val="TableParagraph"/>
              <w:spacing w:line="240" w:lineRule="auto" w:before="106"/>
              <w:ind w:left="115" w:right="0"/>
              <w:jc w:val="left"/>
              <w:rPr>
                <w:rFonts w:ascii="Times New Roman" w:hAnsi="Times New Roman" w:cs="Times New Roman" w:eastAsia="Times New Roman" w:hint="default"/>
                <w:sz w:val="18"/>
                <w:szCs w:val="18"/>
              </w:rPr>
            </w:pPr>
            <w:r>
              <w:rPr>
                <w:rFonts w:ascii="Times New Roman"/>
                <w:sz w:val="18"/>
              </w:rPr>
              <w:t>,860.47</w:t>
            </w:r>
          </w:p>
        </w:tc>
      </w:tr>
    </w:tbl>
    <w:p>
      <w:pPr>
        <w:pStyle w:val="BodyText"/>
        <w:spacing w:line="240" w:lineRule="auto" w:before="51"/>
        <w:ind w:left="1418" w:right="1117"/>
        <w:jc w:val="left"/>
      </w:pPr>
      <w:r>
        <w:rPr/>
        <w:t>上期金额</w:t>
      </w:r>
    </w:p>
    <w:p>
      <w:pPr>
        <w:pStyle w:val="BodyText"/>
        <w:spacing w:line="240" w:lineRule="auto" w:before="117"/>
        <w:ind w:left="0" w:right="1271"/>
        <w:jc w:val="right"/>
      </w:pPr>
      <w:r>
        <w:rPr/>
        <w:t>单位：元</w:t>
      </w:r>
    </w:p>
    <w:p>
      <w:pPr>
        <w:spacing w:line="240" w:lineRule="auto" w:before="0"/>
        <w:rPr>
          <w:rFonts w:ascii="宋体" w:hAnsi="宋体" w:cs="宋体" w:eastAsia="宋体" w:hint="default"/>
          <w:sz w:val="8"/>
          <w:szCs w:val="8"/>
        </w:rPr>
      </w:pPr>
    </w:p>
    <w:tbl>
      <w:tblPr>
        <w:tblW w:w="0" w:type="auto"/>
        <w:jc w:val="left"/>
        <w:tblInd w:w="1425" w:type="dxa"/>
        <w:tblLayout w:type="fixed"/>
        <w:tblCellMar>
          <w:top w:w="0" w:type="dxa"/>
          <w:left w:w="0" w:type="dxa"/>
          <w:bottom w:w="0" w:type="dxa"/>
          <w:right w:w="0" w:type="dxa"/>
        </w:tblCellMar>
        <w:tblLook w:val="01E0"/>
      </w:tblPr>
      <w:tblGrid>
        <w:gridCol w:w="1430"/>
        <w:gridCol w:w="703"/>
        <w:gridCol w:w="653"/>
        <w:gridCol w:w="665"/>
        <w:gridCol w:w="653"/>
        <w:gridCol w:w="809"/>
        <w:gridCol w:w="798"/>
        <w:gridCol w:w="786"/>
        <w:gridCol w:w="810"/>
        <w:gridCol w:w="796"/>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3" w:right="2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71" w:type="dxa"/>
            <w:gridSpan w:val="3"/>
            <w:vMerge/>
            <w:tcBorders>
              <w:left w:val="single" w:sz="4" w:space="0" w:color="000000"/>
              <w:bottom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9"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0" w:right="0"/>
              <w:jc w:val="left"/>
              <w:rPr>
                <w:rFonts w:ascii="Times New Roman" w:hAnsi="Times New Roman" w:cs="Times New Roman" w:eastAsia="Times New Roman" w:hint="default"/>
                <w:sz w:val="18"/>
                <w:szCs w:val="18"/>
              </w:rPr>
            </w:pPr>
            <w:r>
              <w:rPr>
                <w:rFonts w:ascii="Times New Roman"/>
                <w:sz w:val="18"/>
              </w:rPr>
              <w:t>422,351,</w:t>
            </w:r>
          </w:p>
        </w:tc>
        <w:tc>
          <w:tcPr>
            <w:tcW w:w="6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1,135,277</w:t>
            </w:r>
          </w:p>
        </w:tc>
        <w:tc>
          <w:tcPr>
            <w:tcW w:w="798" w:type="dxa"/>
            <w:tcBorders>
              <w:top w:val="single" w:sz="22" w:space="0" w:color="D2D2D2"/>
              <w:left w:val="single" w:sz="4" w:space="0" w:color="000000"/>
              <w:bottom w:val="single" w:sz="4" w:space="0" w:color="000000"/>
              <w:right w:val="single" w:sz="4" w:space="0" w:color="000000"/>
            </w:tcBorders>
          </w:tcPr>
          <w:p>
            <w:pPr/>
          </w:p>
        </w:tc>
        <w:tc>
          <w:tcPr>
            <w:tcW w:w="786" w:type="dxa"/>
            <w:tcBorders>
              <w:top w:val="single" w:sz="22" w:space="0" w:color="D2D2D2"/>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left"/>
              <w:rPr>
                <w:rFonts w:ascii="Times New Roman" w:hAnsi="Times New Roman" w:cs="Times New Roman" w:eastAsia="Times New Roman" w:hint="default"/>
                <w:sz w:val="18"/>
                <w:szCs w:val="18"/>
              </w:rPr>
            </w:pPr>
            <w:r>
              <w:rPr>
                <w:rFonts w:ascii="Times New Roman"/>
                <w:sz w:val="18"/>
              </w:rPr>
              <w:t>19,493,61</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Times New Roman" w:hAnsi="Times New Roman" w:cs="Times New Roman" w:eastAsia="Times New Roman" w:hint="default"/>
                <w:sz w:val="18"/>
                <w:szCs w:val="18"/>
              </w:rPr>
            </w:pPr>
            <w:r>
              <w:rPr>
                <w:rFonts w:ascii="Times New Roman"/>
                <w:sz w:val="18"/>
              </w:rPr>
              <w:t>109,815</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Times New Roman" w:hAnsi="Times New Roman" w:cs="Times New Roman" w:eastAsia="Times New Roman" w:hint="default"/>
                <w:sz w:val="18"/>
                <w:szCs w:val="18"/>
              </w:rPr>
            </w:pPr>
            <w:r>
              <w:rPr>
                <w:rFonts w:ascii="Times New Roman"/>
                <w:sz w:val="18"/>
              </w:rPr>
              <w:t>1,686,938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13" w:type="dxa"/>
        <w:tblLayout w:type="fixed"/>
        <w:tblCellMar>
          <w:top w:w="0" w:type="dxa"/>
          <w:left w:w="0" w:type="dxa"/>
          <w:bottom w:w="0" w:type="dxa"/>
          <w:right w:w="0" w:type="dxa"/>
        </w:tblCellMar>
        <w:tblLook w:val="01E0"/>
      </w:tblPr>
      <w:tblGrid>
        <w:gridCol w:w="1441"/>
        <w:gridCol w:w="692"/>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509.00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,366.50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Times New Roman" w:hAnsi="Times New Roman" w:cs="Times New Roman" w:eastAsia="Times New Roman" w:hint="default"/>
                <w:sz w:val="18"/>
                <w:szCs w:val="18"/>
              </w:rPr>
            </w:pPr>
            <w:r>
              <w:rPr>
                <w:rFonts w:ascii="Times New Roman"/>
                <w:sz w:val="18"/>
              </w:rPr>
              <w:t>3.62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,936.80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,425.92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422,351,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509.00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1,135,277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,366.50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19,493,61</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3.62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109,815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,936.80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1,686,938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,425.92</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227,598,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1,958,735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,400.34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1,735,685</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-1,270,3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37.52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2,186,798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,813.26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17,356,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854.37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17,356,85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4.37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143,127,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764.00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2,043,205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,701.34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2,186,333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,465.34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143,127,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764.00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2,043,205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,701.34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2,186,333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,465.34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1,735,685</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-18,627,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191.89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-16,891,5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06.45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1,735,685</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-1,735,6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85.44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-16,891,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506.45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-16,891,5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06.45</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84,470,3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-84,470,3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84,470,3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-84,470,3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13" w:type="dxa"/>
        <w:tblLayout w:type="fixed"/>
        <w:tblCellMar>
          <w:top w:w="0" w:type="dxa"/>
          <w:left w:w="0" w:type="dxa"/>
          <w:bottom w:w="0" w:type="dxa"/>
          <w:right w:w="0" w:type="dxa"/>
        </w:tblCellMar>
        <w:tblLook w:val="01E0"/>
      </w:tblPr>
      <w:tblGrid>
        <w:gridCol w:w="1441"/>
        <w:gridCol w:w="692"/>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649,949,</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574.00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3,094,012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,766.84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21,229,29</w:t>
            </w:r>
          </w:p>
          <w:p>
            <w:pPr>
              <w:pStyle w:val="TableParagraph"/>
              <w:spacing w:line="240" w:lineRule="auto" w:before="106"/>
              <w:ind w:left="21" w:right="0"/>
              <w:jc w:val="left"/>
              <w:rPr>
                <w:rFonts w:ascii="Times New Roman" w:hAnsi="Times New Roman" w:cs="Times New Roman" w:eastAsia="Times New Roman" w:hint="default"/>
                <w:sz w:val="18"/>
                <w:szCs w:val="18"/>
              </w:rPr>
            </w:pPr>
            <w:r>
              <w:rPr>
                <w:rFonts w:ascii="Times New Roman"/>
                <w:sz w:val="18"/>
              </w:rPr>
              <w:t>9.06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108,545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,599.28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3,873,737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,239.18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460" w:lineRule="exact" w:before="0"/>
        <w:ind w:left="144" w:right="0" w:firstLine="0"/>
        <w:jc w:val="center"/>
        <w:rPr>
          <w:rFonts w:ascii="黑体" w:hAnsi="黑体" w:cs="黑体" w:eastAsia="黑体" w:hint="default"/>
          <w:sz w:val="36"/>
          <w:szCs w:val="36"/>
        </w:rPr>
      </w:pPr>
      <w:bookmarkStart w:name="天舟文化股份有限公司" w:id="154"/>
      <w:bookmarkEnd w:id="154"/>
      <w:r>
        <w:rPr/>
      </w:r>
      <w:r>
        <w:rPr>
          <w:rFonts w:ascii="黑体" w:hAnsi="黑体" w:cs="黑体" w:eastAsia="黑体" w:hint="default"/>
          <w:b/>
          <w:bCs/>
          <w:sz w:val="36"/>
          <w:szCs w:val="36"/>
        </w:rPr>
        <w:t>天舟文化股份有限公司</w:t>
      </w:r>
      <w:r>
        <w:rPr>
          <w:rFonts w:ascii="黑体" w:hAnsi="黑体" w:cs="黑体" w:eastAsia="黑体" w:hint="default"/>
          <w:sz w:val="36"/>
          <w:szCs w:val="36"/>
        </w:rPr>
      </w:r>
    </w:p>
    <w:p>
      <w:pPr>
        <w:spacing w:before="202"/>
        <w:ind w:left="143" w:right="0" w:firstLine="0"/>
        <w:jc w:val="center"/>
        <w:rPr>
          <w:rFonts w:ascii="黑体" w:hAnsi="黑体" w:cs="黑体" w:eastAsia="黑体" w:hint="default"/>
          <w:sz w:val="36"/>
          <w:szCs w:val="36"/>
        </w:rPr>
      </w:pPr>
      <w:bookmarkStart w:name="2017年度财务报表附注" w:id="155"/>
      <w:bookmarkEnd w:id="155"/>
      <w:r>
        <w:rPr/>
      </w:r>
      <w:r>
        <w:rPr>
          <w:rFonts w:ascii="Times New Roman" w:hAnsi="Times New Roman" w:cs="Times New Roman" w:eastAsia="Times New Roman" w:hint="default"/>
          <w:b/>
          <w:bCs/>
          <w:sz w:val="36"/>
          <w:szCs w:val="36"/>
        </w:rPr>
        <w:t>2017</w:t>
      </w:r>
      <w:r>
        <w:rPr>
          <w:rFonts w:ascii="Times New Roman" w:hAnsi="Times New Roman" w:cs="Times New Roman" w:eastAsia="Times New Roman" w:hint="default"/>
          <w:b/>
          <w:bCs/>
          <w:spacing w:val="-4"/>
          <w:sz w:val="36"/>
          <w:szCs w:val="36"/>
        </w:rPr>
        <w:t> </w:t>
      </w:r>
      <w:r>
        <w:rPr>
          <w:rFonts w:ascii="黑体" w:hAnsi="黑体" w:cs="黑体" w:eastAsia="黑体" w:hint="default"/>
          <w:b/>
          <w:bCs/>
          <w:sz w:val="36"/>
          <w:szCs w:val="36"/>
        </w:rPr>
        <w:t>年度财务报表附注</w:t>
      </w:r>
      <w:r>
        <w:rPr>
          <w:rFonts w:ascii="黑体" w:hAnsi="黑体" w:cs="黑体" w:eastAsia="黑体" w:hint="default"/>
          <w:sz w:val="36"/>
          <w:szCs w:val="36"/>
        </w:rPr>
      </w:r>
    </w:p>
    <w:p>
      <w:pPr>
        <w:spacing w:line="240" w:lineRule="auto" w:before="9"/>
        <w:rPr>
          <w:rFonts w:ascii="黑体" w:hAnsi="黑体" w:cs="黑体" w:eastAsia="黑体" w:hint="default"/>
          <w:b/>
          <w:bCs/>
          <w:sz w:val="26"/>
          <w:szCs w:val="26"/>
        </w:rPr>
      </w:pPr>
    </w:p>
    <w:p>
      <w:pPr>
        <w:pStyle w:val="Heading5"/>
        <w:spacing w:line="240" w:lineRule="auto"/>
        <w:ind w:left="3505" w:right="1117"/>
        <w:jc w:val="left"/>
      </w:pPr>
      <w:r>
        <w:rPr/>
        <w:t>（除另有注明外，所有金额均以人民币元为货币单位）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2"/>
        <w:spacing w:line="240" w:lineRule="auto"/>
        <w:ind w:left="1901" w:right="1117"/>
        <w:jc w:val="left"/>
        <w:rPr>
          <w:rFonts w:ascii="黑体" w:hAnsi="黑体" w:cs="黑体" w:eastAsia="黑体" w:hint="default"/>
          <w:b w:val="0"/>
          <w:bCs w:val="0"/>
        </w:rPr>
      </w:pPr>
      <w:bookmarkStart w:name="一、公司的基本情况" w:id="156"/>
      <w:bookmarkEnd w:id="156"/>
      <w:r>
        <w:rPr>
          <w:b w:val="0"/>
          <w:bCs w:val="0"/>
        </w:rPr>
      </w:r>
      <w:r>
        <w:rPr>
          <w:rFonts w:ascii="黑体" w:hAnsi="黑体" w:cs="黑体" w:eastAsia="黑体" w:hint="default"/>
        </w:rPr>
        <w:t>一、公司的基本情况</w:t>
      </w:r>
      <w:r>
        <w:rPr>
          <w:rFonts w:ascii="黑体" w:hAnsi="黑体" w:cs="黑体" w:eastAsia="黑体" w:hint="default"/>
          <w:b w:val="0"/>
          <w:bCs w:val="0"/>
        </w:rPr>
      </w:r>
    </w:p>
    <w:p>
      <w:pPr>
        <w:pStyle w:val="BodyText"/>
        <w:spacing w:line="510" w:lineRule="atLeast" w:before="167"/>
        <w:ind w:right="1117"/>
        <w:jc w:val="left"/>
      </w:pPr>
      <w:r>
        <w:rPr>
          <w:rFonts w:ascii="Times New Roman" w:hAnsi="Times New Roman" w:cs="Times New Roman" w:eastAsia="Times New Roman" w:hint="default"/>
        </w:rPr>
        <w:t>1</w:t>
      </w:r>
      <w:r>
        <w:rPr/>
        <w:t>、历史沿革 天舟文化股份有限公司（以下简称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）原名湖南天舟科教文化股份有限公司，是由原湖南天舟科</w:t>
      </w:r>
    </w:p>
    <w:p>
      <w:pPr>
        <w:pStyle w:val="BodyText"/>
        <w:spacing w:line="240" w:lineRule="auto" w:before="111"/>
        <w:ind w:left="1418" w:right="1117"/>
        <w:jc w:val="left"/>
      </w:pPr>
      <w:r>
        <w:rPr/>
        <w:t>教文化拓展有限公司整体变更的股份有限公司。湖南天舟科教文化拓展有限公司于</w:t>
      </w:r>
      <w:r>
        <w:rPr>
          <w:spacing w:val="-39"/>
        </w:rPr>
        <w:t> </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日在湖南省工商行</w:t>
      </w:r>
    </w:p>
    <w:p>
      <w:pPr>
        <w:pStyle w:val="BodyText"/>
        <w:spacing w:line="345" w:lineRule="auto" w:before="111"/>
        <w:ind w:left="1418" w:right="1259"/>
        <w:jc w:val="left"/>
      </w:pPr>
      <w:r>
        <w:rPr/>
        <w:t>政管理局登记成立，公司成立时注册资本人民币</w:t>
      </w:r>
      <w:r>
        <w:rPr>
          <w:spacing w:val="-55"/>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0"/>
        </w:rPr>
        <w:t> </w:t>
      </w:r>
      <w:r>
        <w:rPr/>
        <w:t>万元，其中湖南天鸿投资有限公司出资</w:t>
      </w:r>
      <w:r>
        <w:rPr>
          <w:spacing w:val="-55"/>
        </w:rPr>
        <w:t> </w:t>
      </w:r>
      <w:r>
        <w:rPr>
          <w:rFonts w:ascii="Times New Roman" w:hAnsi="Times New Roman" w:cs="Times New Roman" w:eastAsia="Times New Roman" w:hint="default"/>
        </w:rPr>
        <w:t>195.00</w:t>
      </w:r>
      <w:r>
        <w:rPr>
          <w:rFonts w:ascii="Times New Roman" w:hAnsi="Times New Roman" w:cs="Times New Roman" w:eastAsia="Times New Roman" w:hint="default"/>
          <w:spacing w:val="-10"/>
        </w:rPr>
        <w:t> </w:t>
      </w:r>
      <w:r>
        <w:rPr>
          <w:spacing w:val="-3"/>
        </w:rPr>
        <w:t>万元，湖南教育</w:t>
      </w:r>
      <w:r>
        <w:rPr/>
        <w:t> 出版社工会出资</w:t>
      </w:r>
      <w:r>
        <w:rPr>
          <w:spacing w:val="-46"/>
        </w:rPr>
        <w:t> </w:t>
      </w:r>
      <w:r>
        <w:rPr>
          <w:rFonts w:ascii="Times New Roman" w:hAnsi="Times New Roman" w:cs="Times New Roman" w:eastAsia="Times New Roman" w:hint="default"/>
        </w:rPr>
        <w:t>105.00</w:t>
      </w:r>
      <w:r>
        <w:rPr>
          <w:rFonts w:ascii="Times New Roman" w:hAnsi="Times New Roman" w:cs="Times New Roman" w:eastAsia="Times New Roman" w:hint="default"/>
          <w:spacing w:val="-1"/>
        </w:rPr>
        <w:t> </w:t>
      </w:r>
      <w:r>
        <w:rPr/>
        <w:t>万元，成立时企业法人营业执照注册号为</w:t>
      </w:r>
      <w:r>
        <w:rPr>
          <w:spacing w:val="-46"/>
        </w:rPr>
        <w:t> </w:t>
      </w:r>
      <w:r>
        <w:rPr>
          <w:rFonts w:ascii="Times New Roman" w:hAnsi="Times New Roman" w:cs="Times New Roman" w:eastAsia="Times New Roman" w:hint="default"/>
        </w:rPr>
        <w:t>4300002004810</w:t>
      </w:r>
      <w:r>
        <w:rPr/>
        <w:t>。</w:t>
      </w:r>
    </w:p>
    <w:p>
      <w:pPr>
        <w:spacing w:line="240" w:lineRule="auto" w:before="9"/>
        <w:rPr>
          <w:rFonts w:ascii="宋体" w:hAnsi="宋体" w:cs="宋体" w:eastAsia="宋体" w:hint="default"/>
          <w:sz w:val="13"/>
          <w:szCs w:val="13"/>
        </w:rPr>
      </w:pPr>
    </w:p>
    <w:p>
      <w:pPr>
        <w:pStyle w:val="BodyText"/>
        <w:spacing w:line="240" w:lineRule="auto"/>
        <w:ind w:right="1117"/>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月，公司增资</w:t>
      </w:r>
      <w:r>
        <w:rPr>
          <w:spacing w:val="-46"/>
        </w:rPr>
        <w:t> </w:t>
      </w:r>
      <w:r>
        <w:rPr>
          <w:rFonts w:ascii="Times New Roman" w:hAnsi="Times New Roman" w:cs="Times New Roman" w:eastAsia="Times New Roman" w:hint="default"/>
        </w:rPr>
        <w:t>4,700.00</w:t>
      </w:r>
      <w:r>
        <w:rPr>
          <w:rFonts w:ascii="Times New Roman" w:hAnsi="Times New Roman" w:cs="Times New Roman" w:eastAsia="Times New Roman" w:hint="default"/>
          <w:spacing w:val="-1"/>
        </w:rPr>
        <w:t> </w:t>
      </w:r>
      <w:r>
        <w:rPr/>
        <w:t>万元，增资后注册资本变更为人民币</w:t>
      </w:r>
      <w:r>
        <w:rPr>
          <w:spacing w:val="-46"/>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1"/>
        </w:rPr>
        <w:t> </w:t>
      </w:r>
      <w:r>
        <w:rPr/>
        <w:t>万元。</w:t>
      </w:r>
    </w:p>
    <w:p>
      <w:pPr>
        <w:spacing w:line="240" w:lineRule="auto" w:before="6"/>
        <w:rPr>
          <w:rFonts w:ascii="宋体" w:hAnsi="宋体" w:cs="宋体" w:eastAsia="宋体" w:hint="default"/>
          <w:sz w:val="20"/>
          <w:szCs w:val="20"/>
        </w:rPr>
      </w:pPr>
    </w:p>
    <w:p>
      <w:pPr>
        <w:pStyle w:val="BodyText"/>
        <w:spacing w:line="240" w:lineRule="auto"/>
        <w:ind w:right="1117"/>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21 </w:t>
      </w:r>
      <w:r>
        <w:rPr>
          <w:spacing w:val="-3"/>
        </w:rPr>
        <w:t>日，湖南天舟科教文化拓展有限公司以</w:t>
      </w:r>
      <w:r>
        <w:rPr>
          <w:spacing w:val="-46"/>
        </w:rPr>
        <w:t> </w:t>
      </w:r>
      <w:r>
        <w:rPr>
          <w:rFonts w:ascii="Times New Roman" w:hAnsi="Times New Roman" w:cs="Times New Roman" w:eastAsia="Times New Roman" w:hint="default"/>
        </w:rPr>
        <w:t>2007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日经审计后的净资产</w:t>
      </w:r>
      <w:r>
        <w:rPr>
          <w:spacing w:val="-46"/>
        </w:rPr>
        <w:t> </w:t>
      </w:r>
      <w:r>
        <w:rPr>
          <w:rFonts w:ascii="Times New Roman" w:hAnsi="Times New Roman" w:cs="Times New Roman" w:eastAsia="Times New Roman" w:hint="default"/>
        </w:rPr>
        <w:t>53,357,644.43 </w:t>
      </w:r>
      <w:r>
        <w:rPr/>
        <w:t>元按净</w:t>
      </w:r>
    </w:p>
    <w:p>
      <w:pPr>
        <w:pStyle w:val="BodyText"/>
        <w:spacing w:line="240" w:lineRule="auto" w:before="111"/>
        <w:ind w:left="1418" w:right="1117"/>
        <w:jc w:val="left"/>
        <w:rPr>
          <w:rFonts w:ascii="Times New Roman" w:hAnsi="Times New Roman" w:cs="Times New Roman" w:eastAsia="Times New Roman" w:hint="default"/>
        </w:rPr>
      </w:pPr>
      <w:r>
        <w:rPr/>
        <w:t>资产</w:t>
      </w:r>
      <w:r>
        <w:rPr>
          <w:spacing w:val="-42"/>
        </w:rPr>
        <w:t> </w:t>
      </w:r>
      <w:r>
        <w:rPr>
          <w:rFonts w:ascii="Times New Roman" w:hAnsi="Times New Roman" w:cs="Times New Roman" w:eastAsia="Times New Roman" w:hint="default"/>
          <w:spacing w:val="-5"/>
        </w:rPr>
        <w:t>1.067</w:t>
      </w:r>
      <w:r>
        <w:rPr>
          <w:spacing w:val="-5"/>
        </w:rPr>
        <w:t>：</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3"/>
        </w:rPr>
        <w:t> </w:t>
      </w:r>
      <w:r>
        <w:rPr>
          <w:spacing w:val="-3"/>
        </w:rPr>
        <w:t>折股，整体变更为湖南天舟科教文化股份有限公司。整体变更后，公司股本为</w:t>
      </w:r>
      <w:r>
        <w:rPr>
          <w:spacing w:val="-41"/>
        </w:rPr>
        <w:t> </w:t>
      </w:r>
      <w:r>
        <w:rPr>
          <w:rFonts w:ascii="Times New Roman" w:hAnsi="Times New Roman" w:cs="Times New Roman" w:eastAsia="Times New Roman" w:hint="default"/>
        </w:rPr>
        <w:t>5,000.00</w:t>
      </w:r>
      <w:r>
        <w:rPr>
          <w:rFonts w:ascii="Times New Roman" w:hAnsi="Times New Roman" w:cs="Times New Roman" w:eastAsia="Times New Roman" w:hint="default"/>
          <w:spacing w:val="3"/>
        </w:rPr>
        <w:t> </w:t>
      </w:r>
      <w:r>
        <w:rPr>
          <w:spacing w:val="-8"/>
        </w:rPr>
        <w:t>万元，计</w:t>
      </w:r>
      <w:r>
        <w:rPr>
          <w:spacing w:val="-42"/>
        </w:rPr>
        <w:t> </w:t>
      </w:r>
      <w:r>
        <w:rPr>
          <w:rFonts w:ascii="Times New Roman" w:hAnsi="Times New Roman" w:cs="Times New Roman" w:eastAsia="Times New Roman" w:hint="default"/>
        </w:rPr>
        <w:t>5,000.00</w:t>
      </w:r>
    </w:p>
    <w:p>
      <w:pPr>
        <w:pStyle w:val="BodyText"/>
        <w:spacing w:line="345" w:lineRule="auto" w:before="111"/>
        <w:ind w:left="1418" w:right="1260"/>
        <w:jc w:val="left"/>
      </w:pPr>
      <w:r>
        <w:rPr/>
        <w:t>万股，其中湖南天鸿投资集团有限公司出资</w:t>
      </w:r>
      <w:r>
        <w:rPr>
          <w:spacing w:val="-39"/>
        </w:rPr>
        <w:t> </w:t>
      </w:r>
      <w:r>
        <w:rPr>
          <w:rFonts w:ascii="Times New Roman" w:hAnsi="Times New Roman" w:cs="Times New Roman" w:eastAsia="Times New Roman" w:hint="default"/>
        </w:rPr>
        <w:t>4,898.00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102</w:t>
      </w:r>
      <w:r>
        <w:rPr>
          <w:rFonts w:ascii="Times New Roman" w:hAnsi="Times New Roman" w:cs="Times New Roman" w:eastAsia="Times New Roman" w:hint="default"/>
          <w:spacing w:val="5"/>
        </w:rPr>
        <w:t> </w:t>
      </w:r>
      <w:r>
        <w:rPr/>
        <w:t>名自然人股东出资</w:t>
      </w:r>
      <w:r>
        <w:rPr>
          <w:spacing w:val="-40"/>
        </w:rPr>
        <w:t> </w:t>
      </w:r>
      <w:r>
        <w:rPr>
          <w:rFonts w:ascii="Times New Roman" w:hAnsi="Times New Roman" w:cs="Times New Roman" w:eastAsia="Times New Roman" w:hint="default"/>
        </w:rPr>
        <w:t>102.00</w:t>
      </w:r>
      <w:r>
        <w:rPr>
          <w:rFonts w:ascii="Times New Roman" w:hAnsi="Times New Roman" w:cs="Times New Roman" w:eastAsia="Times New Roman" w:hint="default"/>
          <w:spacing w:val="6"/>
        </w:rPr>
        <w:t> </w:t>
      </w:r>
      <w:r>
        <w:rPr/>
        <w:t>万元。整体变更后的企业法 人营业执照注册号为</w:t>
      </w:r>
      <w:r>
        <w:rPr>
          <w:spacing w:val="-46"/>
        </w:rPr>
        <w:t> </w:t>
      </w:r>
      <w:r>
        <w:rPr>
          <w:rFonts w:ascii="Times New Roman" w:hAnsi="Times New Roman" w:cs="Times New Roman" w:eastAsia="Times New Roman" w:hint="default"/>
        </w:rPr>
        <w:t>430121000002025</w:t>
      </w:r>
      <w:r>
        <w:rPr/>
        <w:t>。</w:t>
      </w:r>
    </w:p>
    <w:p>
      <w:pPr>
        <w:spacing w:after="0" w:line="345"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月，公司增资</w:t>
      </w:r>
      <w:r>
        <w:rPr>
          <w:spacing w:val="-46"/>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1"/>
        </w:rPr>
        <w:t> </w:t>
      </w:r>
      <w:r>
        <w:rPr/>
        <w:t>万元，增资后公司股本增加至</w:t>
      </w:r>
      <w:r>
        <w:rPr>
          <w:spacing w:val="-46"/>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BodyText"/>
        <w:spacing w:line="240" w:lineRule="auto"/>
        <w:ind w:right="1117"/>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日，公司经中国证监会《证监许可</w:t>
      </w:r>
      <w:r>
        <w:rPr>
          <w:rFonts w:ascii="Times New Roman" w:hAnsi="Times New Roman" w:cs="Times New Roman" w:eastAsia="Times New Roman" w:hint="default"/>
        </w:rPr>
        <w:t>[2010]1697</w:t>
      </w:r>
      <w:r>
        <w:rPr>
          <w:rFonts w:ascii="Times New Roman" w:hAnsi="Times New Roman" w:cs="Times New Roman" w:eastAsia="Times New Roman" w:hint="default"/>
          <w:spacing w:val="6"/>
        </w:rPr>
        <w:t> </w:t>
      </w:r>
      <w:r>
        <w:rPr/>
        <w:t>号》文批准，向社会公开发行社会公众股</w:t>
      </w:r>
      <w:r>
        <w:rPr>
          <w:spacing w:val="-38"/>
        </w:rPr>
        <w:t> </w:t>
      </w:r>
      <w:r>
        <w:rPr>
          <w:rFonts w:ascii="Times New Roman" w:hAnsi="Times New Roman" w:cs="Times New Roman" w:eastAsia="Times New Roman" w:hint="default"/>
        </w:rPr>
        <w:t>1,900.00</w:t>
      </w:r>
    </w:p>
    <w:p>
      <w:pPr>
        <w:pStyle w:val="BodyText"/>
        <w:spacing w:line="240" w:lineRule="auto" w:before="111"/>
        <w:ind w:left="1418" w:right="1117"/>
        <w:jc w:val="left"/>
      </w:pPr>
      <w:r>
        <w:rPr/>
        <w:t>万股；经深圳证券交易所《深证上</w:t>
      </w:r>
      <w:r>
        <w:rPr>
          <w:rFonts w:ascii="Times New Roman" w:hAnsi="Times New Roman" w:cs="Times New Roman" w:eastAsia="Times New Roman" w:hint="default"/>
        </w:rPr>
        <w:t>[2010]412</w:t>
      </w:r>
      <w:r>
        <w:rPr>
          <w:rFonts w:ascii="Times New Roman" w:hAnsi="Times New Roman" w:cs="Times New Roman" w:eastAsia="Times New Roman" w:hint="default"/>
          <w:spacing w:val="7"/>
        </w:rPr>
        <w:t> </w:t>
      </w:r>
      <w:r>
        <w:rPr/>
        <w:t>号》文同意，于</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9"/>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日在深交所创业板上市交易。公司股本</w:t>
      </w:r>
    </w:p>
    <w:p>
      <w:pPr>
        <w:pStyle w:val="BodyText"/>
        <w:spacing w:line="240" w:lineRule="auto" w:before="111"/>
        <w:ind w:left="1418" w:right="1117"/>
        <w:jc w:val="left"/>
      </w:pPr>
      <w:r>
        <w:rPr/>
        <w:t>增加至</w:t>
      </w:r>
      <w:r>
        <w:rPr>
          <w:spacing w:val="-47"/>
        </w:rPr>
        <w:t> </w:t>
      </w:r>
      <w:r>
        <w:rPr>
          <w:rFonts w:ascii="Times New Roman" w:hAnsi="Times New Roman" w:cs="Times New Roman" w:eastAsia="Times New Roman" w:hint="default"/>
        </w:rPr>
        <w:t>7,500.00</w:t>
      </w:r>
      <w:r>
        <w:rPr>
          <w:rFonts w:ascii="Times New Roman" w:hAnsi="Times New Roman" w:cs="Times New Roman" w:eastAsia="Times New Roman" w:hint="default"/>
          <w:spacing w:val="-2"/>
        </w:rPr>
        <w:t> </w:t>
      </w:r>
      <w:r>
        <w:rPr/>
        <w:t>万元，其中湖南天鸿投资集团有限公司出资</w:t>
      </w:r>
      <w:r>
        <w:rPr>
          <w:spacing w:val="-47"/>
        </w:rPr>
        <w:t> </w:t>
      </w:r>
      <w:r>
        <w:rPr>
          <w:rFonts w:ascii="Times New Roman" w:hAnsi="Times New Roman" w:cs="Times New Roman" w:eastAsia="Times New Roman" w:hint="default"/>
        </w:rPr>
        <w:t>4,888.00</w:t>
      </w:r>
      <w:r>
        <w:rPr>
          <w:rFonts w:ascii="Times New Roman" w:hAnsi="Times New Roman" w:cs="Times New Roman" w:eastAsia="Times New Roman" w:hint="default"/>
          <w:spacing w:val="-2"/>
        </w:rPr>
        <w:t> </w:t>
      </w:r>
      <w:r>
        <w:rPr/>
        <w:t>万元，占总股本的</w:t>
      </w:r>
      <w:r>
        <w:rPr>
          <w:spacing w:val="-47"/>
        </w:rPr>
        <w:t> </w:t>
      </w:r>
      <w:r>
        <w:rPr>
          <w:rFonts w:ascii="Times New Roman" w:hAnsi="Times New Roman" w:cs="Times New Roman" w:eastAsia="Times New Roman" w:hint="default"/>
        </w:rPr>
        <w:t>65.17%</w:t>
      </w:r>
      <w:r>
        <w:rPr/>
        <w:t>。</w:t>
      </w:r>
    </w:p>
    <w:p>
      <w:pPr>
        <w:spacing w:line="240" w:lineRule="auto" w:before="5"/>
        <w:rPr>
          <w:rFonts w:ascii="宋体" w:hAnsi="宋体" w:cs="宋体" w:eastAsia="宋体" w:hint="default"/>
          <w:sz w:val="20"/>
          <w:szCs w:val="20"/>
        </w:rPr>
      </w:pPr>
    </w:p>
    <w:p>
      <w:pPr>
        <w:pStyle w:val="BodyText"/>
        <w:spacing w:line="240" w:lineRule="auto"/>
        <w:ind w:right="1117"/>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日，公司</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年度股东大会决议，以</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日总股本</w:t>
      </w:r>
      <w:r>
        <w:rPr>
          <w:spacing w:val="-47"/>
        </w:rPr>
        <w:t> </w:t>
      </w:r>
      <w:r>
        <w:rPr>
          <w:rFonts w:ascii="Times New Roman" w:hAnsi="Times New Roman" w:cs="Times New Roman" w:eastAsia="Times New Roman" w:hint="default"/>
        </w:rPr>
        <w:t>7,500.00</w:t>
      </w:r>
      <w:r>
        <w:rPr>
          <w:rFonts w:ascii="Times New Roman" w:hAnsi="Times New Roman" w:cs="Times New Roman" w:eastAsia="Times New Roman" w:hint="default"/>
          <w:spacing w:val="-1"/>
        </w:rPr>
        <w:t> </w:t>
      </w:r>
      <w:r>
        <w:rPr/>
        <w:t>万股为基数，按每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w:t>
      </w:r>
    </w:p>
    <w:p>
      <w:pPr>
        <w:pStyle w:val="BodyText"/>
        <w:spacing w:line="240" w:lineRule="auto" w:before="111"/>
        <w:ind w:left="1418" w:right="1117"/>
        <w:jc w:val="left"/>
      </w:pPr>
      <w:r>
        <w:rPr/>
        <w:t>转增</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股的比例，以资本公积转增股份</w:t>
      </w:r>
      <w:r>
        <w:rPr>
          <w:spacing w:val="-46"/>
        </w:rPr>
        <w:t> </w:t>
      </w:r>
      <w:r>
        <w:rPr>
          <w:rFonts w:ascii="Times New Roman" w:hAnsi="Times New Roman" w:cs="Times New Roman" w:eastAsia="Times New Roman" w:hint="default"/>
        </w:rPr>
        <w:t>2,250.00 </w:t>
      </w:r>
      <w:r>
        <w:rPr/>
        <w:t>万股，公司股本增加至</w:t>
      </w:r>
      <w:r>
        <w:rPr>
          <w:spacing w:val="-46"/>
        </w:rPr>
        <w:t> </w:t>
      </w:r>
      <w:r>
        <w:rPr>
          <w:rFonts w:ascii="Times New Roman" w:hAnsi="Times New Roman" w:cs="Times New Roman" w:eastAsia="Times New Roman" w:hint="default"/>
        </w:rPr>
        <w:t>9,750.00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BodyText"/>
        <w:spacing w:line="240" w:lineRule="auto"/>
        <w:ind w:right="1117"/>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日，公司名称变更为天舟文化股份有限公司。</w:t>
      </w:r>
    </w:p>
    <w:p>
      <w:pPr>
        <w:spacing w:line="240" w:lineRule="auto" w:before="5"/>
        <w:rPr>
          <w:rFonts w:ascii="宋体" w:hAnsi="宋体" w:cs="宋体" w:eastAsia="宋体" w:hint="default"/>
          <w:sz w:val="20"/>
          <w:szCs w:val="20"/>
        </w:rPr>
      </w:pPr>
    </w:p>
    <w:p>
      <w:pPr>
        <w:pStyle w:val="BodyText"/>
        <w:spacing w:line="240" w:lineRule="auto"/>
        <w:ind w:right="1117"/>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日，公司</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年度股东大会决议，以</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日总股本</w:t>
      </w:r>
      <w:r>
        <w:rPr>
          <w:spacing w:val="-47"/>
        </w:rPr>
        <w:t> </w:t>
      </w:r>
      <w:r>
        <w:rPr>
          <w:rFonts w:ascii="Times New Roman" w:hAnsi="Times New Roman" w:cs="Times New Roman" w:eastAsia="Times New Roman" w:hint="default"/>
        </w:rPr>
        <w:t>9,750.00</w:t>
      </w:r>
      <w:r>
        <w:rPr>
          <w:rFonts w:ascii="Times New Roman" w:hAnsi="Times New Roman" w:cs="Times New Roman" w:eastAsia="Times New Roman" w:hint="default"/>
          <w:spacing w:val="-1"/>
        </w:rPr>
        <w:t> </w:t>
      </w:r>
      <w:r>
        <w:rPr/>
        <w:t>万股为基数，按每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w:t>
      </w:r>
    </w:p>
    <w:p>
      <w:pPr>
        <w:pStyle w:val="BodyText"/>
        <w:spacing w:line="240" w:lineRule="auto" w:before="111"/>
        <w:ind w:left="1418" w:right="1117"/>
        <w:jc w:val="left"/>
      </w:pPr>
      <w:r>
        <w:rPr/>
        <w:t>转增</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股的比例，以资本公积转增股份</w:t>
      </w:r>
      <w:r>
        <w:rPr>
          <w:spacing w:val="-46"/>
        </w:rPr>
        <w:t> </w:t>
      </w:r>
      <w:r>
        <w:rPr>
          <w:rFonts w:ascii="Times New Roman" w:hAnsi="Times New Roman" w:cs="Times New Roman" w:eastAsia="Times New Roman" w:hint="default"/>
        </w:rPr>
        <w:t>2,925.00 </w:t>
      </w:r>
      <w:r>
        <w:rPr/>
        <w:t>万股，公司股本增加至</w:t>
      </w:r>
      <w:r>
        <w:rPr>
          <w:spacing w:val="-46"/>
        </w:rPr>
        <w:t> </w:t>
      </w:r>
      <w:r>
        <w:rPr>
          <w:rFonts w:ascii="Times New Roman" w:hAnsi="Times New Roman" w:cs="Times New Roman" w:eastAsia="Times New Roman" w:hint="default"/>
        </w:rPr>
        <w:t>12,675.00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BodyText"/>
        <w:spacing w:line="240" w:lineRule="auto"/>
        <w:ind w:right="1117"/>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日，公司</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年度股东大会决议，以</w:t>
      </w:r>
      <w:r>
        <w:rPr>
          <w:spacing w:val="-3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日总股本</w:t>
      </w:r>
      <w:r>
        <w:rPr>
          <w:spacing w:val="-38"/>
        </w:rPr>
        <w:t> </w:t>
      </w:r>
      <w:r>
        <w:rPr>
          <w:rFonts w:ascii="Times New Roman" w:hAnsi="Times New Roman" w:cs="Times New Roman" w:eastAsia="Times New Roman" w:hint="default"/>
        </w:rPr>
        <w:t>12,675.00</w:t>
      </w:r>
      <w:r>
        <w:rPr>
          <w:rFonts w:ascii="Times New Roman" w:hAnsi="Times New Roman" w:cs="Times New Roman" w:eastAsia="Times New Roman" w:hint="default"/>
          <w:spacing w:val="7"/>
        </w:rPr>
        <w:t> </w:t>
      </w:r>
      <w:r>
        <w:rPr/>
        <w:t>万股为基数，按每</w:t>
      </w:r>
      <w:r>
        <w:rPr>
          <w:spacing w:val="-39"/>
        </w:rPr>
        <w:t> </w:t>
      </w:r>
      <w:r>
        <w:rPr>
          <w:rFonts w:ascii="Times New Roman" w:hAnsi="Times New Roman" w:cs="Times New Roman" w:eastAsia="Times New Roman" w:hint="default"/>
        </w:rPr>
        <w:t>10</w:t>
      </w:r>
    </w:p>
    <w:p>
      <w:pPr>
        <w:pStyle w:val="BodyText"/>
        <w:spacing w:line="240" w:lineRule="auto" w:before="111"/>
        <w:ind w:left="1418" w:right="1117"/>
        <w:jc w:val="left"/>
      </w:pPr>
      <w:r>
        <w:rPr/>
        <w:t>股转增</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股的比例，以资本公积转增股份</w:t>
      </w:r>
      <w:r>
        <w:rPr>
          <w:spacing w:val="-47"/>
        </w:rPr>
        <w:t> </w:t>
      </w:r>
      <w:r>
        <w:rPr>
          <w:rFonts w:ascii="Times New Roman" w:hAnsi="Times New Roman" w:cs="Times New Roman" w:eastAsia="Times New Roman" w:hint="default"/>
        </w:rPr>
        <w:t>2,535.00</w:t>
      </w:r>
      <w:r>
        <w:rPr>
          <w:rFonts w:ascii="Times New Roman" w:hAnsi="Times New Roman" w:cs="Times New Roman" w:eastAsia="Times New Roman" w:hint="default"/>
          <w:spacing w:val="-1"/>
        </w:rPr>
        <w:t> </w:t>
      </w:r>
      <w:r>
        <w:rPr/>
        <w:t>万股，公司股本增加至</w:t>
      </w:r>
      <w:r>
        <w:rPr>
          <w:spacing w:val="-47"/>
        </w:rPr>
        <w:t> </w:t>
      </w:r>
      <w:r>
        <w:rPr>
          <w:rFonts w:ascii="Times New Roman" w:hAnsi="Times New Roman" w:cs="Times New Roman" w:eastAsia="Times New Roman" w:hint="default"/>
        </w:rPr>
        <w:t>15,210.00</w:t>
      </w:r>
      <w:r>
        <w:rPr>
          <w:rFonts w:ascii="Times New Roman" w:hAnsi="Times New Roman" w:cs="Times New Roman" w:eastAsia="Times New Roman" w:hint="default"/>
          <w:spacing w:val="-2"/>
        </w:rPr>
        <w:t> </w:t>
      </w:r>
      <w:r>
        <w:rPr/>
        <w:t>万元。</w:t>
      </w:r>
    </w:p>
    <w:p>
      <w:pPr>
        <w:spacing w:line="240" w:lineRule="auto" w:before="5"/>
        <w:rPr>
          <w:rFonts w:ascii="宋体" w:hAnsi="宋体" w:cs="宋体" w:eastAsia="宋体" w:hint="default"/>
          <w:sz w:val="20"/>
          <w:szCs w:val="20"/>
        </w:rPr>
      </w:pPr>
    </w:p>
    <w:p>
      <w:pPr>
        <w:pStyle w:val="BodyText"/>
        <w:spacing w:line="240" w:lineRule="auto"/>
        <w:ind w:right="1117"/>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日，公司</w:t>
      </w:r>
      <w:r>
        <w:rPr>
          <w:spacing w:val="-3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年度股东大会决议，以</w:t>
      </w:r>
      <w:r>
        <w:rPr>
          <w:spacing w:val="-3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日总股本</w:t>
      </w:r>
      <w:r>
        <w:rPr>
          <w:spacing w:val="-38"/>
        </w:rPr>
        <w:t> </w:t>
      </w:r>
      <w:r>
        <w:rPr>
          <w:rFonts w:ascii="Times New Roman" w:hAnsi="Times New Roman" w:cs="Times New Roman" w:eastAsia="Times New Roman" w:hint="default"/>
        </w:rPr>
        <w:t>15,210.00</w:t>
      </w:r>
      <w:r>
        <w:rPr>
          <w:rFonts w:ascii="Times New Roman" w:hAnsi="Times New Roman" w:cs="Times New Roman" w:eastAsia="Times New Roman" w:hint="default"/>
          <w:spacing w:val="7"/>
        </w:rPr>
        <w:t> </w:t>
      </w:r>
      <w:r>
        <w:rPr/>
        <w:t>万股为基数，按每</w:t>
      </w:r>
      <w:r>
        <w:rPr>
          <w:spacing w:val="-39"/>
        </w:rPr>
        <w:t> </w:t>
      </w:r>
      <w:r>
        <w:rPr>
          <w:rFonts w:ascii="Times New Roman" w:hAnsi="Times New Roman" w:cs="Times New Roman" w:eastAsia="Times New Roman" w:hint="default"/>
        </w:rPr>
        <w:t>10</w:t>
      </w:r>
    </w:p>
    <w:p>
      <w:pPr>
        <w:pStyle w:val="BodyText"/>
        <w:spacing w:line="240" w:lineRule="auto" w:before="111"/>
        <w:ind w:left="1418" w:right="1117"/>
        <w:jc w:val="left"/>
      </w:pPr>
      <w:r>
        <w:rPr/>
        <w:t>股转增</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股的比例，以资本公积转增股份</w:t>
      </w:r>
      <w:r>
        <w:rPr>
          <w:spacing w:val="-47"/>
        </w:rPr>
        <w:t> </w:t>
      </w:r>
      <w:r>
        <w:rPr>
          <w:rFonts w:ascii="Times New Roman" w:hAnsi="Times New Roman" w:cs="Times New Roman" w:eastAsia="Times New Roman" w:hint="default"/>
        </w:rPr>
        <w:t>7,605.00</w:t>
      </w:r>
      <w:r>
        <w:rPr>
          <w:rFonts w:ascii="Times New Roman" w:hAnsi="Times New Roman" w:cs="Times New Roman" w:eastAsia="Times New Roman" w:hint="default"/>
          <w:spacing w:val="-1"/>
        </w:rPr>
        <w:t> </w:t>
      </w:r>
      <w:r>
        <w:rPr/>
        <w:t>万股，公司股本增加至</w:t>
      </w:r>
      <w:r>
        <w:rPr>
          <w:spacing w:val="-47"/>
        </w:rPr>
        <w:t> </w:t>
      </w:r>
      <w:r>
        <w:rPr>
          <w:rFonts w:ascii="Times New Roman" w:hAnsi="Times New Roman" w:cs="Times New Roman" w:eastAsia="Times New Roman" w:hint="default"/>
        </w:rPr>
        <w:t>22,815.00</w:t>
      </w:r>
      <w:r>
        <w:rPr>
          <w:rFonts w:ascii="Times New Roman" w:hAnsi="Times New Roman" w:cs="Times New Roman" w:eastAsia="Times New Roman" w:hint="default"/>
          <w:spacing w:val="-2"/>
        </w:rPr>
        <w:t> </w:t>
      </w:r>
      <w:r>
        <w:rPr/>
        <w:t>万元。</w:t>
      </w:r>
    </w:p>
    <w:p>
      <w:pPr>
        <w:spacing w:line="240" w:lineRule="auto" w:before="5"/>
        <w:rPr>
          <w:rFonts w:ascii="宋体" w:hAnsi="宋体" w:cs="宋体" w:eastAsia="宋体" w:hint="default"/>
          <w:sz w:val="20"/>
          <w:szCs w:val="20"/>
        </w:rPr>
      </w:pPr>
    </w:p>
    <w:p>
      <w:pPr>
        <w:pStyle w:val="BodyText"/>
        <w:spacing w:line="345" w:lineRule="auto"/>
        <w:ind w:left="1418" w:right="1270" w:firstLine="360"/>
        <w:jc w:val="both"/>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日，经中国证券监督管理委员会《关于核准天舟文化股份有限公司向李桂华等发行股份购买资产 </w:t>
      </w:r>
      <w:r>
        <w:rPr>
          <w:spacing w:val="-4"/>
        </w:rPr>
        <w:t>并募集配套资金的批复》（证监许可字</w:t>
      </w:r>
      <w:r>
        <w:rPr>
          <w:rFonts w:ascii="Times New Roman" w:hAnsi="Times New Roman" w:cs="Times New Roman" w:eastAsia="Times New Roman" w:hint="default"/>
          <w:spacing w:val="-4"/>
        </w:rPr>
        <w:t>[2014]416</w:t>
      </w:r>
      <w:r>
        <w:rPr>
          <w:rFonts w:ascii="Times New Roman" w:hAnsi="Times New Roman" w:cs="Times New Roman" w:eastAsia="Times New Roman" w:hint="default"/>
          <w:spacing w:val="14"/>
        </w:rPr>
        <w:t> </w:t>
      </w:r>
      <w:r>
        <w:rPr/>
        <w:t>号文件）核准，公司以支付现金及发行股份的方式购买北京神奇时代 网络有限公司（以下简称</w:t>
      </w:r>
      <w:r>
        <w:rPr>
          <w:rFonts w:ascii="Times New Roman" w:hAnsi="Times New Roman" w:cs="Times New Roman" w:eastAsia="Times New Roman" w:hint="default"/>
        </w:rPr>
        <w:t>“</w:t>
      </w:r>
      <w:r>
        <w:rPr/>
        <w:t>神奇时代</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股权，并募集配套资金，增加股本人民币 </w:t>
      </w:r>
      <w:r>
        <w:rPr>
          <w:rFonts w:ascii="Times New Roman" w:hAnsi="Times New Roman" w:cs="Times New Roman" w:eastAsia="Times New Roman" w:hint="default"/>
        </w:rPr>
        <w:t>12,380.9591</w:t>
      </w:r>
      <w:r>
        <w:rPr>
          <w:rFonts w:ascii="Times New Roman" w:hAnsi="Times New Roman" w:cs="Times New Roman" w:eastAsia="Times New Roman" w:hint="default"/>
          <w:spacing w:val="38"/>
        </w:rPr>
        <w:t> </w:t>
      </w:r>
      <w:r>
        <w:rPr/>
        <w:t>万元，变更后的股</w:t>
      </w:r>
    </w:p>
    <w:p>
      <w:pPr>
        <w:pStyle w:val="BodyText"/>
        <w:spacing w:line="240" w:lineRule="auto" w:before="23"/>
        <w:ind w:left="1418" w:right="1117"/>
        <w:jc w:val="left"/>
      </w:pPr>
      <w:r>
        <w:rPr/>
        <w:t>本为人民币</w:t>
      </w:r>
      <w:r>
        <w:rPr>
          <w:spacing w:val="-46"/>
        </w:rPr>
        <w:t> </w:t>
      </w:r>
      <w:r>
        <w:rPr>
          <w:rFonts w:ascii="Times New Roman" w:hAnsi="Times New Roman" w:cs="Times New Roman" w:eastAsia="Times New Roman" w:hint="default"/>
        </w:rPr>
        <w:t>35,195.9591</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BodyText"/>
        <w:spacing w:line="240" w:lineRule="auto"/>
        <w:ind w:right="1117"/>
        <w:jc w:val="left"/>
        <w:rPr>
          <w:rFonts w:ascii="Times New Roman" w:hAnsi="Times New Roman" w:cs="Times New Roman" w:eastAsia="Times New Roman" w:hint="default"/>
        </w:rPr>
      </w:pP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年度股东大会决议，以</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日总股本</w:t>
      </w:r>
      <w:r>
        <w:rPr>
          <w:spacing w:val="-45"/>
        </w:rPr>
        <w:t> </w:t>
      </w:r>
      <w:r>
        <w:rPr>
          <w:rFonts w:ascii="Times New Roman" w:hAnsi="Times New Roman" w:cs="Times New Roman" w:eastAsia="Times New Roman" w:hint="default"/>
        </w:rPr>
        <w:t>35,195.9591</w:t>
      </w:r>
      <w:r>
        <w:rPr>
          <w:rFonts w:ascii="Times New Roman" w:hAnsi="Times New Roman" w:cs="Times New Roman" w:eastAsia="Times New Roman" w:hint="default"/>
          <w:spacing w:val="1"/>
        </w:rPr>
        <w:t> </w:t>
      </w:r>
      <w:r>
        <w:rPr/>
        <w:t>万股为基数，按每</w:t>
      </w:r>
      <w:r>
        <w:rPr>
          <w:spacing w:val="-45"/>
        </w:rPr>
        <w:t> </w:t>
      </w:r>
      <w:r>
        <w:rPr>
          <w:rFonts w:ascii="Times New Roman" w:hAnsi="Times New Roman" w:cs="Times New Roman" w:eastAsia="Times New Roman" w:hint="default"/>
        </w:rPr>
        <w:t>10</w:t>
      </w:r>
    </w:p>
    <w:p>
      <w:pPr>
        <w:pStyle w:val="BodyText"/>
        <w:spacing w:line="240" w:lineRule="auto" w:before="111"/>
        <w:ind w:left="1418" w:right="1117"/>
        <w:jc w:val="left"/>
      </w:pPr>
      <w:r>
        <w:rPr/>
        <w:t>股转增</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股的比例，以资本公积转增股份</w:t>
      </w:r>
      <w:r>
        <w:rPr>
          <w:spacing w:val="-47"/>
        </w:rPr>
        <w:t> </w:t>
      </w:r>
      <w:r>
        <w:rPr>
          <w:rFonts w:ascii="Times New Roman" w:hAnsi="Times New Roman" w:cs="Times New Roman" w:eastAsia="Times New Roman" w:hint="default"/>
        </w:rPr>
        <w:t>7,039.1918</w:t>
      </w:r>
      <w:r>
        <w:rPr>
          <w:rFonts w:ascii="Times New Roman" w:hAnsi="Times New Roman" w:cs="Times New Roman" w:eastAsia="Times New Roman" w:hint="default"/>
          <w:spacing w:val="-1"/>
        </w:rPr>
        <w:t> </w:t>
      </w:r>
      <w:r>
        <w:rPr/>
        <w:t>万股，公司股本增加至</w:t>
      </w:r>
      <w:r>
        <w:rPr>
          <w:spacing w:val="-47"/>
        </w:rPr>
        <w:t> </w:t>
      </w:r>
      <w:r>
        <w:rPr>
          <w:rFonts w:ascii="Times New Roman" w:hAnsi="Times New Roman" w:cs="Times New Roman" w:eastAsia="Times New Roman" w:hint="default"/>
        </w:rPr>
        <w:t>42,235.1509</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BodyText"/>
        <w:spacing w:line="240" w:lineRule="auto"/>
        <w:ind w:right="1117"/>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5"/>
        </w:rPr>
        <w:t>日，公司</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年度股东大会决议，以</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日总股本</w:t>
      </w:r>
      <w:r>
        <w:rPr>
          <w:spacing w:val="-47"/>
        </w:rPr>
        <w:t> </w:t>
      </w:r>
      <w:r>
        <w:rPr>
          <w:rFonts w:ascii="Times New Roman" w:hAnsi="Times New Roman" w:cs="Times New Roman" w:eastAsia="Times New Roman" w:hint="default"/>
        </w:rPr>
        <w:t>42,235.1509</w:t>
      </w:r>
      <w:r>
        <w:rPr>
          <w:rFonts w:ascii="Times New Roman" w:hAnsi="Times New Roman" w:cs="Times New Roman" w:eastAsia="Times New Roman" w:hint="default"/>
          <w:spacing w:val="-1"/>
        </w:rPr>
        <w:t> </w:t>
      </w:r>
      <w:r>
        <w:rPr>
          <w:spacing w:val="-3"/>
        </w:rPr>
        <w:t>万股为基数，按每</w:t>
      </w:r>
      <w:r>
        <w:rPr>
          <w:spacing w:val="-47"/>
        </w:rPr>
        <w:t> </w:t>
      </w:r>
      <w:r>
        <w:rPr>
          <w:rFonts w:ascii="Times New Roman" w:hAnsi="Times New Roman" w:cs="Times New Roman" w:eastAsia="Times New Roman" w:hint="default"/>
        </w:rPr>
        <w:t>10</w:t>
      </w:r>
    </w:p>
    <w:p>
      <w:pPr>
        <w:pStyle w:val="BodyText"/>
        <w:spacing w:line="240" w:lineRule="auto" w:before="111"/>
        <w:ind w:left="1418" w:right="1117"/>
        <w:jc w:val="left"/>
      </w:pPr>
      <w:r>
        <w:rPr/>
        <w:t>股转增</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股的比例，以资本公积转增股份</w:t>
      </w:r>
      <w:r>
        <w:rPr>
          <w:spacing w:val="-47"/>
        </w:rPr>
        <w:t> </w:t>
      </w:r>
      <w:r>
        <w:rPr>
          <w:rFonts w:ascii="Times New Roman" w:hAnsi="Times New Roman" w:cs="Times New Roman" w:eastAsia="Times New Roman" w:hint="default"/>
        </w:rPr>
        <w:t>8,447.0301</w:t>
      </w:r>
      <w:r>
        <w:rPr>
          <w:rFonts w:ascii="Times New Roman" w:hAnsi="Times New Roman" w:cs="Times New Roman" w:eastAsia="Times New Roman" w:hint="default"/>
          <w:spacing w:val="-1"/>
        </w:rPr>
        <w:t> </w:t>
      </w:r>
      <w:r>
        <w:rPr/>
        <w:t>万股，公司股本增加至</w:t>
      </w:r>
      <w:r>
        <w:rPr>
          <w:spacing w:val="-47"/>
        </w:rPr>
        <w:t> </w:t>
      </w:r>
      <w:r>
        <w:rPr>
          <w:rFonts w:ascii="Times New Roman" w:hAnsi="Times New Roman" w:cs="Times New Roman" w:eastAsia="Times New Roman" w:hint="default"/>
        </w:rPr>
        <w:t>50,682.1810</w:t>
      </w:r>
      <w:r>
        <w:rPr>
          <w:rFonts w:ascii="Times New Roman" w:hAnsi="Times New Roman" w:cs="Times New Roman" w:eastAsia="Times New Roman" w:hint="default"/>
          <w:spacing w:val="-1"/>
        </w:rPr>
        <w:t> </w:t>
      </w:r>
      <w:r>
        <w:rPr/>
        <w:t>万股。</w:t>
      </w:r>
    </w:p>
    <w:p>
      <w:pPr>
        <w:spacing w:line="240" w:lineRule="auto" w:before="5"/>
        <w:rPr>
          <w:rFonts w:ascii="宋体" w:hAnsi="宋体" w:cs="宋体" w:eastAsia="宋体" w:hint="default"/>
          <w:sz w:val="20"/>
          <w:szCs w:val="20"/>
        </w:rPr>
      </w:pPr>
    </w:p>
    <w:p>
      <w:pPr>
        <w:pStyle w:val="BodyText"/>
        <w:spacing w:line="352" w:lineRule="auto"/>
        <w:ind w:left="1418" w:right="1170" w:firstLine="360"/>
        <w:jc w:val="left"/>
      </w:pP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日，经中国证券监督管理委员会《关于核准天舟文化股份有限公司向袁雄贵等发行股份购买资产 </w:t>
      </w:r>
      <w:r>
        <w:rPr>
          <w:spacing w:val="-5"/>
        </w:rPr>
        <w:t>并募集配套资金的批复》（证监许可</w:t>
      </w:r>
      <w:r>
        <w:rPr>
          <w:rFonts w:ascii="Times New Roman" w:hAnsi="Times New Roman" w:cs="Times New Roman" w:eastAsia="Times New Roman" w:hint="default"/>
          <w:spacing w:val="-5"/>
        </w:rPr>
        <w:t>[2016]1585</w:t>
      </w:r>
      <w:r>
        <w:rPr>
          <w:rFonts w:ascii="Times New Roman" w:hAnsi="Times New Roman" w:cs="Times New Roman" w:eastAsia="Times New Roman" w:hint="default"/>
        </w:rPr>
        <w:t> </w:t>
      </w:r>
      <w:r>
        <w:rPr>
          <w:spacing w:val="-1"/>
        </w:rPr>
        <w:t>号文件）核准，公司以非公开定向发行股份和支付现金的方式收购交易</w:t>
      </w:r>
      <w:r>
        <w:rPr>
          <w:spacing w:val="-63"/>
        </w:rPr>
        <w:t> </w:t>
      </w:r>
      <w:r>
        <w:rPr>
          <w:spacing w:val="-63"/>
        </w:rPr>
      </w:r>
      <w:r>
        <w:rPr/>
        <w:t>对方合计持有广州游爱网络技术有限公司（以下简称</w:t>
      </w:r>
      <w:r>
        <w:rPr>
          <w:rFonts w:ascii="Times New Roman" w:hAnsi="Times New Roman" w:cs="Times New Roman" w:eastAsia="Times New Roman" w:hint="default"/>
        </w:rPr>
        <w:t>“</w:t>
      </w:r>
      <w:r>
        <w:rPr/>
        <w:t>广州游爱</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的股权，其中：公司申请增加股本</w:t>
      </w:r>
      <w:r>
        <w:rPr>
          <w:spacing w:val="-8"/>
        </w:rPr>
        <w:t> </w:t>
      </w:r>
      <w:r>
        <w:rPr>
          <w:rFonts w:ascii="Times New Roman" w:hAnsi="Times New Roman" w:cs="Times New Roman" w:eastAsia="Times New Roman" w:hint="default"/>
        </w:rPr>
        <w:t>7,314.5950 </w:t>
      </w:r>
      <w:r>
        <w:rPr>
          <w:spacing w:val="-3"/>
        </w:rPr>
        <w:t>万股，由袁雄贵、李道龙、成仁凤、申徐洲、樟树市悦玩投资管理中心（有限合伙）、李冰和新余高新区互兴拾号投资</w:t>
      </w:r>
      <w:r>
        <w:rPr>
          <w:spacing w:val="-86"/>
        </w:rPr>
        <w:t> </w:t>
      </w:r>
      <w:r>
        <w:rPr>
          <w:spacing w:val="-86"/>
        </w:rPr>
      </w:r>
      <w:r>
        <w:rPr/>
        <w:t>管理中心（有限合伙）合计持有的广州游爱</w:t>
      </w:r>
      <w:r>
        <w:rPr>
          <w:spacing w:val="-24"/>
        </w:rPr>
        <w:t> </w:t>
      </w:r>
      <w:r>
        <w:rPr>
          <w:rFonts w:ascii="Times New Roman" w:hAnsi="Times New Roman" w:cs="Times New Roman" w:eastAsia="Times New Roman" w:hint="default"/>
        </w:rPr>
        <w:t>66.7344%</w:t>
      </w:r>
      <w:r>
        <w:rPr/>
        <w:t>股权出资，公司股本由原</w:t>
      </w:r>
      <w:r>
        <w:rPr>
          <w:spacing w:val="-24"/>
        </w:rPr>
        <w:t> </w:t>
      </w:r>
      <w:r>
        <w:rPr>
          <w:rFonts w:ascii="Times New Roman" w:hAnsi="Times New Roman" w:cs="Times New Roman" w:eastAsia="Times New Roman" w:hint="default"/>
        </w:rPr>
        <w:t>50,682.1810</w:t>
      </w:r>
      <w:r>
        <w:rPr>
          <w:rFonts w:ascii="Times New Roman" w:hAnsi="Times New Roman" w:cs="Times New Roman" w:eastAsia="Times New Roman" w:hint="default"/>
          <w:spacing w:val="21"/>
        </w:rPr>
        <w:t> </w:t>
      </w:r>
      <w:r>
        <w:rPr/>
        <w:t>万股，变更后公司股本增 加至</w:t>
      </w:r>
      <w:r>
        <w:rPr>
          <w:spacing w:val="-33"/>
        </w:rPr>
        <w:t> </w:t>
      </w:r>
      <w:r>
        <w:rPr>
          <w:rFonts w:ascii="Times New Roman" w:hAnsi="Times New Roman" w:cs="Times New Roman" w:eastAsia="Times New Roman" w:hint="default"/>
        </w:rPr>
        <w:t>57,996.7760</w:t>
      </w:r>
      <w:r>
        <w:rPr>
          <w:rFonts w:ascii="Times New Roman" w:hAnsi="Times New Roman" w:cs="Times New Roman" w:eastAsia="Times New Roman" w:hint="default"/>
          <w:spacing w:val="12"/>
        </w:rPr>
        <w:t> </w:t>
      </w:r>
      <w:r>
        <w:rPr/>
        <w:t>万股。另以现金</w:t>
      </w:r>
      <w:r>
        <w:rPr>
          <w:spacing w:val="-34"/>
        </w:rPr>
        <w:t> </w:t>
      </w:r>
      <w:r>
        <w:rPr>
          <w:rFonts w:ascii="Times New Roman" w:hAnsi="Times New Roman" w:cs="Times New Roman" w:eastAsia="Times New Roman" w:hint="default"/>
        </w:rPr>
        <w:t>53,890.28</w:t>
      </w:r>
      <w:r>
        <w:rPr>
          <w:rFonts w:ascii="Times New Roman" w:hAnsi="Times New Roman" w:cs="Times New Roman" w:eastAsia="Times New Roman" w:hint="default"/>
          <w:spacing w:val="12"/>
        </w:rPr>
        <w:t> </w:t>
      </w:r>
      <w:r>
        <w:rPr/>
        <w:t>万元购买广州游爱</w:t>
      </w:r>
      <w:r>
        <w:rPr>
          <w:spacing w:val="-34"/>
        </w:rPr>
        <w:t> </w:t>
      </w:r>
      <w:r>
        <w:rPr>
          <w:rFonts w:ascii="Times New Roman" w:hAnsi="Times New Roman" w:cs="Times New Roman" w:eastAsia="Times New Roman" w:hint="default"/>
        </w:rPr>
        <w:t>33.2656%</w:t>
      </w:r>
      <w:r>
        <w:rPr/>
        <w:t>的股权，公司通过对宝盈基金管理有限公司、 北信瑞丰基金管理有限公司、财通基金管理有限公司、安信基金管理有限责任公司共四名特定投资者非公开发行股份</w:t>
      </w:r>
      <w:r>
        <w:rPr>
          <w:spacing w:val="-63"/>
        </w:rPr>
        <w:t> </w:t>
      </w:r>
      <w:r>
        <w:rPr>
          <w:spacing w:val="-63"/>
        </w:rPr>
      </w:r>
      <w:r>
        <w:rPr>
          <w:rFonts w:ascii="Times New Roman" w:hAnsi="Times New Roman" w:cs="Times New Roman" w:eastAsia="Times New Roman" w:hint="default"/>
        </w:rPr>
        <w:t>6,998.1814</w:t>
      </w:r>
      <w:r>
        <w:rPr>
          <w:rFonts w:ascii="Times New Roman" w:hAnsi="Times New Roman" w:cs="Times New Roman" w:eastAsia="Times New Roman" w:hint="default"/>
          <w:spacing w:val="-1"/>
        </w:rPr>
        <w:t> </w:t>
      </w:r>
      <w:r>
        <w:rPr/>
        <w:t>万股，募集配套资金增加股本</w:t>
      </w:r>
      <w:r>
        <w:rPr>
          <w:spacing w:val="-47"/>
        </w:rPr>
        <w:t> </w:t>
      </w:r>
      <w:r>
        <w:rPr>
          <w:rFonts w:ascii="Times New Roman" w:hAnsi="Times New Roman" w:cs="Times New Roman" w:eastAsia="Times New Roman" w:hint="default"/>
        </w:rPr>
        <w:t>6,998.1814</w:t>
      </w:r>
      <w:r>
        <w:rPr>
          <w:rFonts w:ascii="Times New Roman" w:hAnsi="Times New Roman" w:cs="Times New Roman" w:eastAsia="Times New Roman" w:hint="default"/>
          <w:spacing w:val="-1"/>
        </w:rPr>
        <w:t> </w:t>
      </w:r>
      <w:r>
        <w:rPr/>
        <w:t>万股，变更后的股本为</w:t>
      </w:r>
      <w:r>
        <w:rPr>
          <w:spacing w:val="-47"/>
        </w:rPr>
        <w:t> </w:t>
      </w:r>
      <w:r>
        <w:rPr>
          <w:rFonts w:ascii="Times New Roman" w:hAnsi="Times New Roman" w:cs="Times New Roman" w:eastAsia="Times New Roman" w:hint="default"/>
        </w:rPr>
        <w:t>64,994.9574</w:t>
      </w:r>
      <w:r>
        <w:rPr>
          <w:rFonts w:ascii="Times New Roman" w:hAnsi="Times New Roman" w:cs="Times New Roman" w:eastAsia="Times New Roman" w:hint="default"/>
          <w:spacing w:val="-1"/>
        </w:rPr>
        <w:t> </w:t>
      </w:r>
      <w:r>
        <w:rPr/>
        <w:t>万股。</w:t>
      </w:r>
    </w:p>
    <w:p>
      <w:pPr>
        <w:spacing w:line="240" w:lineRule="auto" w:before="3"/>
        <w:rPr>
          <w:rFonts w:ascii="宋体" w:hAnsi="宋体" w:cs="宋体" w:eastAsia="宋体" w:hint="default"/>
          <w:sz w:val="13"/>
          <w:szCs w:val="13"/>
        </w:rPr>
      </w:pPr>
    </w:p>
    <w:p>
      <w:pPr>
        <w:pStyle w:val="BodyText"/>
        <w:spacing w:line="240" w:lineRule="auto"/>
        <w:ind w:right="1117"/>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5"/>
        </w:rPr>
        <w:t>日，公司</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年度股东大会决议，以</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日总股本</w:t>
      </w:r>
      <w:r>
        <w:rPr>
          <w:spacing w:val="-47"/>
        </w:rPr>
        <w:t> </w:t>
      </w:r>
      <w:r>
        <w:rPr>
          <w:rFonts w:ascii="Times New Roman" w:hAnsi="Times New Roman" w:cs="Times New Roman" w:eastAsia="Times New Roman" w:hint="default"/>
        </w:rPr>
        <w:t>64,994.9574</w:t>
      </w:r>
      <w:r>
        <w:rPr>
          <w:rFonts w:ascii="Times New Roman" w:hAnsi="Times New Roman" w:cs="Times New Roman" w:eastAsia="Times New Roman" w:hint="default"/>
          <w:spacing w:val="-1"/>
        </w:rPr>
        <w:t> </w:t>
      </w:r>
      <w:r>
        <w:rPr>
          <w:spacing w:val="-3"/>
        </w:rPr>
        <w:t>万股为基数，按每</w:t>
      </w:r>
      <w:r>
        <w:rPr>
          <w:spacing w:val="-47"/>
        </w:rPr>
        <w:t> </w:t>
      </w:r>
      <w:r>
        <w:rPr>
          <w:rFonts w:ascii="Times New Roman" w:hAnsi="Times New Roman" w:cs="Times New Roman" w:eastAsia="Times New Roman" w:hint="default"/>
        </w:rPr>
        <w:t>10</w:t>
      </w:r>
    </w:p>
    <w:p>
      <w:pPr>
        <w:pStyle w:val="BodyText"/>
        <w:spacing w:line="240" w:lineRule="auto" w:before="111"/>
        <w:ind w:left="1418" w:right="1117"/>
        <w:jc w:val="left"/>
      </w:pPr>
      <w:r>
        <w:rPr/>
        <w:t>股转增</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股的比例，以资本公积转增股份</w:t>
      </w:r>
      <w:r>
        <w:rPr>
          <w:spacing w:val="-47"/>
        </w:rPr>
        <w:t> </w:t>
      </w:r>
      <w:r>
        <w:rPr>
          <w:rFonts w:ascii="Times New Roman" w:hAnsi="Times New Roman" w:cs="Times New Roman" w:eastAsia="Times New Roman" w:hint="default"/>
        </w:rPr>
        <w:t>19,498.4872</w:t>
      </w:r>
      <w:r>
        <w:rPr>
          <w:rFonts w:ascii="Times New Roman" w:hAnsi="Times New Roman" w:cs="Times New Roman" w:eastAsia="Times New Roman" w:hint="default"/>
          <w:spacing w:val="-1"/>
        </w:rPr>
        <w:t> </w:t>
      </w:r>
      <w:r>
        <w:rPr/>
        <w:t>万股，公司股本增加至</w:t>
      </w:r>
      <w:r>
        <w:rPr>
          <w:spacing w:val="-47"/>
        </w:rPr>
        <w:t> </w:t>
      </w:r>
      <w:r>
        <w:rPr>
          <w:rFonts w:ascii="Times New Roman" w:hAnsi="Times New Roman" w:cs="Times New Roman" w:eastAsia="Times New Roman" w:hint="default"/>
        </w:rPr>
        <w:t>84,493.4446</w:t>
      </w:r>
      <w:r>
        <w:rPr>
          <w:rFonts w:ascii="Times New Roman" w:hAnsi="Times New Roman" w:cs="Times New Roman" w:eastAsia="Times New Roman" w:hint="default"/>
          <w:spacing w:val="-1"/>
        </w:rPr>
        <w:t> </w:t>
      </w:r>
      <w:r>
        <w:rPr/>
        <w:t>万股。</w:t>
      </w:r>
    </w:p>
    <w:p>
      <w:pPr>
        <w:spacing w:line="240" w:lineRule="auto" w:before="5"/>
        <w:rPr>
          <w:rFonts w:ascii="宋体" w:hAnsi="宋体" w:cs="宋体" w:eastAsia="宋体" w:hint="default"/>
          <w:sz w:val="20"/>
          <w:szCs w:val="20"/>
        </w:rPr>
      </w:pPr>
    </w:p>
    <w:p>
      <w:pPr>
        <w:pStyle w:val="BodyText"/>
        <w:spacing w:line="496" w:lineRule="auto"/>
        <w:ind w:right="5518"/>
        <w:jc w:val="left"/>
      </w:pPr>
      <w:r>
        <w:rPr>
          <w:rFonts w:ascii="Times New Roman" w:hAnsi="Times New Roman" w:cs="Times New Roman" w:eastAsia="Times New Roman" w:hint="default"/>
        </w:rPr>
        <w:t>2</w:t>
      </w:r>
      <w:r>
        <w:rPr/>
        <w:t>、公司住所及经营范围 公司住所：长沙县星沙镇茶叶大市场办公楼</w:t>
      </w:r>
      <w:r>
        <w:rPr>
          <w:spacing w:val="-45"/>
        </w:rPr>
        <w:t> </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602 </w:t>
      </w:r>
      <w:r>
        <w:rPr/>
        <w:t>号。</w:t>
      </w:r>
    </w:p>
    <w:p>
      <w:pPr>
        <w:spacing w:after="0" w:line="496"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ind w:left="1418" w:right="1271" w:firstLine="360"/>
        <w:jc w:val="both"/>
      </w:pPr>
      <w:r>
        <w:rPr/>
        <w:t>公司经营范围：中国内地已正式出版的图书内容的网络（含手机网络）传播；其他文化娱乐用品、电子产品、办 公用品、书报刊、音像制品及电子出版物的批发；图书互联网销售；文具用品、工艺品、多媒体系统、学生公寓床、</w:t>
      </w:r>
      <w:r>
        <w:rPr>
          <w:spacing w:val="-63"/>
        </w:rPr>
        <w:t> </w:t>
      </w:r>
      <w:r>
        <w:rPr>
          <w:spacing w:val="-63"/>
        </w:rPr>
      </w:r>
      <w:r>
        <w:rPr/>
        <w:t>学生铁床、文件柜、黑板、教学仪器、电控教学实训设备、塑料跑道、触摸屏、液晶显示屏、文化用品、办公用品、</w:t>
      </w:r>
      <w:r>
        <w:rPr>
          <w:spacing w:val="-63"/>
        </w:rPr>
        <w:t> </w:t>
      </w:r>
      <w:r>
        <w:rPr>
          <w:spacing w:val="-63"/>
        </w:rPr>
      </w:r>
      <w:r>
        <w:rPr>
          <w:spacing w:val="-3"/>
        </w:rPr>
        <w:t>家具、体育用品及器材、纸制品、玩具、乐器、钢木课桌椅、玻璃钢餐桌椅、塑料课桌椅、办公桌椅、餐桌椅的销售；</w:t>
      </w:r>
      <w:r>
        <w:rPr>
          <w:spacing w:val="-84"/>
        </w:rPr>
        <w:t> </w:t>
      </w:r>
      <w:r>
        <w:rPr>
          <w:spacing w:val="-84"/>
        </w:rPr>
      </w:r>
      <w:r>
        <w:rPr/>
        <w:t>游艺娱乐用品、望远镜的零售；书刊项目的设计、策划；版权服务；著作权代理；商标服务；信息系统集成服务；软</w:t>
      </w:r>
      <w:r>
        <w:rPr>
          <w:spacing w:val="-63"/>
        </w:rPr>
        <w:t> </w:t>
      </w:r>
      <w:r>
        <w:rPr>
          <w:spacing w:val="-63"/>
        </w:rPr>
      </w:r>
      <w:r>
        <w:rPr/>
        <w:t>件服务；软件开发；软件技术转让；软件技术服务；数据处理和存储服务；数字内容服务；移动互联网研发和维护；</w:t>
      </w:r>
      <w:r>
        <w:rPr>
          <w:spacing w:val="-63"/>
        </w:rPr>
        <w:t> </w:t>
      </w:r>
      <w:r>
        <w:rPr>
          <w:spacing w:val="-63"/>
        </w:rPr>
      </w:r>
      <w:r>
        <w:rPr>
          <w:spacing w:val="-3"/>
        </w:rPr>
        <w:t>电子商务平台的开发建设；果蔬仓储管理信息系统集成；心理咨询服务（不含医疗门诊）；教育咨询服务；信息技术咨</w:t>
      </w:r>
      <w:r>
        <w:rPr>
          <w:spacing w:val="-81"/>
        </w:rPr>
        <w:t> </w:t>
      </w:r>
      <w:r>
        <w:rPr>
          <w:spacing w:val="-81"/>
        </w:rPr>
      </w:r>
      <w:r>
        <w:rPr>
          <w:spacing w:val="-3"/>
        </w:rPr>
        <w:t>询服务；互联网信息服务、金融信息咨询（不得从事金融业务）；以自有资产进行教育投资，教育投资管理（不得从事</w:t>
      </w:r>
      <w:r>
        <w:rPr>
          <w:spacing w:val="-84"/>
        </w:rPr>
        <w:t> </w:t>
      </w:r>
      <w:r>
        <w:rPr>
          <w:spacing w:val="-84"/>
        </w:rPr>
      </w:r>
      <w:r>
        <w:rPr/>
        <w:t>吸收存款、集资收款、受托贷款、</w:t>
      </w:r>
      <w:r>
        <w:rPr>
          <w:spacing w:val="7"/>
        </w:rPr>
        <w:t> </w:t>
      </w:r>
      <w:r>
        <w:rPr>
          <w:spacing w:val="-2"/>
        </w:rPr>
        <w:t>发放贷款等国家金融监管及财政信用业务）；商业活动的策划；文化活动的组织与</w:t>
      </w:r>
      <w:r>
        <w:rPr/>
        <w:t> 策划；体育活动的组织与策划；学术交流活动的组织；培训活动的组织；商业活动的组织；导向标识设计；导向标识</w:t>
      </w:r>
      <w:r>
        <w:rPr>
          <w:spacing w:val="-63"/>
        </w:rPr>
        <w:t> </w:t>
      </w:r>
      <w:r>
        <w:rPr>
          <w:spacing w:val="-63"/>
        </w:rPr>
      </w:r>
      <w:r>
        <w:rPr>
          <w:spacing w:val="-3"/>
        </w:rPr>
        <w:t>制作；广告设计；广告制作服务、发布服务；自有房地产经营活动；房屋租赁。（依法须经批准的项目，经相关部门批</w:t>
      </w:r>
      <w:r>
        <w:rPr>
          <w:spacing w:val="-86"/>
        </w:rPr>
        <w:t> </w:t>
      </w:r>
      <w:r>
        <w:rPr>
          <w:spacing w:val="-86"/>
        </w:rPr>
      </w:r>
      <w:r>
        <w:rPr>
          <w:spacing w:val="-8"/>
        </w:rPr>
        <w:t>准后方可开展经营活动）。</w:t>
      </w:r>
    </w:p>
    <w:p>
      <w:pPr>
        <w:spacing w:line="240" w:lineRule="auto" w:before="2"/>
        <w:rPr>
          <w:rFonts w:ascii="宋体" w:hAnsi="宋体" w:cs="宋体" w:eastAsia="宋体" w:hint="default"/>
          <w:sz w:val="14"/>
          <w:szCs w:val="14"/>
        </w:rPr>
      </w:pPr>
    </w:p>
    <w:p>
      <w:pPr>
        <w:pStyle w:val="BodyText"/>
        <w:spacing w:line="240" w:lineRule="auto"/>
        <w:ind w:right="1117"/>
        <w:jc w:val="left"/>
      </w:pPr>
      <w:r>
        <w:rPr/>
        <w:t>公司主营业务：图书出版发行业务；移动互联网游戏业务。</w:t>
      </w:r>
    </w:p>
    <w:p>
      <w:pPr>
        <w:spacing w:line="240" w:lineRule="auto" w:before="6"/>
        <w:rPr>
          <w:rFonts w:ascii="宋体" w:hAnsi="宋体" w:cs="宋体" w:eastAsia="宋体" w:hint="default"/>
          <w:sz w:val="21"/>
          <w:szCs w:val="21"/>
        </w:rPr>
      </w:pPr>
    </w:p>
    <w:p>
      <w:pPr>
        <w:pStyle w:val="BodyText"/>
        <w:spacing w:line="240" w:lineRule="auto"/>
        <w:ind w:right="1117"/>
        <w:jc w:val="left"/>
      </w:pPr>
      <w:r>
        <w:rPr>
          <w:rFonts w:ascii="Times New Roman" w:hAnsi="Times New Roman" w:cs="Times New Roman" w:eastAsia="Times New Roman" w:hint="default"/>
        </w:rPr>
        <w:t>3</w:t>
      </w:r>
      <w:r>
        <w:rPr/>
        <w:t>、公司现任法定代表人：肖志鸿。</w:t>
      </w:r>
    </w:p>
    <w:p>
      <w:pPr>
        <w:spacing w:line="240" w:lineRule="auto" w:before="5"/>
        <w:rPr>
          <w:rFonts w:ascii="宋体" w:hAnsi="宋体" w:cs="宋体" w:eastAsia="宋体" w:hint="default"/>
          <w:sz w:val="20"/>
          <w:szCs w:val="20"/>
        </w:rPr>
      </w:pPr>
    </w:p>
    <w:p>
      <w:pPr>
        <w:pStyle w:val="BodyText"/>
        <w:spacing w:line="240" w:lineRule="auto"/>
        <w:ind w:right="1117"/>
        <w:jc w:val="left"/>
      </w:pPr>
      <w:r>
        <w:rPr>
          <w:rFonts w:ascii="Times New Roman" w:hAnsi="Times New Roman" w:cs="Times New Roman" w:eastAsia="Times New Roman" w:hint="default"/>
        </w:rPr>
        <w:t>4</w:t>
      </w:r>
      <w:r>
        <w:rPr/>
        <w:t>、公司母公司及集团最终母公司：湖南天鸿投资集团有限公司。</w:t>
      </w:r>
    </w:p>
    <w:p>
      <w:pPr>
        <w:spacing w:line="240" w:lineRule="auto" w:before="5"/>
        <w:rPr>
          <w:rFonts w:ascii="宋体" w:hAnsi="宋体" w:cs="宋体" w:eastAsia="宋体" w:hint="default"/>
          <w:sz w:val="20"/>
          <w:szCs w:val="20"/>
        </w:rPr>
      </w:pPr>
    </w:p>
    <w:p>
      <w:pPr>
        <w:pStyle w:val="BodyText"/>
        <w:spacing w:line="511" w:lineRule="auto"/>
        <w:ind w:right="6557"/>
        <w:jc w:val="left"/>
      </w:pPr>
      <w:r>
        <w:rPr>
          <w:rFonts w:ascii="Times New Roman" w:hAnsi="Times New Roman" w:cs="Times New Roman" w:eastAsia="Times New Roman" w:hint="default"/>
        </w:rPr>
        <w:t>5</w:t>
      </w:r>
      <w:r>
        <w:rPr/>
        <w:t>、财务报表报出 本公司财务报表经公司董事会批准后报出。 本财务报表批准报出日：</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p>
    <w:p>
      <w:pPr>
        <w:pStyle w:val="BodyText"/>
        <w:spacing w:line="357" w:lineRule="auto" w:before="41"/>
        <w:ind w:left="1418" w:right="1271" w:firstLine="360"/>
        <w:jc w:val="both"/>
      </w:pPr>
      <w:r>
        <w:rPr/>
        <w:t>本公司合并财务报表的合并范围以控制为基础确定，包括本公司及全部子公司的财务报表。子公司，是指被本公 </w:t>
      </w:r>
      <w:r>
        <w:rPr>
          <w:spacing w:val="-1"/>
        </w:rPr>
        <w:t>司控制的企业或主体。本期的合并财务报表范围及其变化情况详见附注</w:t>
      </w:r>
      <w:r>
        <w:rPr>
          <w:rFonts w:ascii="Times New Roman" w:hAnsi="Times New Roman" w:cs="Times New Roman" w:eastAsia="Times New Roman" w:hint="default"/>
          <w:spacing w:val="-1"/>
        </w:rPr>
        <w:t>“</w:t>
      </w:r>
      <w:r>
        <w:rPr>
          <w:spacing w:val="-1"/>
        </w:rPr>
        <w:t>七、合并范围的变动</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八、在其他主体中的</w:t>
      </w:r>
      <w:r>
        <w:rPr>
          <w:spacing w:val="-66"/>
        </w:rPr>
        <w:t> </w:t>
      </w:r>
      <w:r>
        <w:rPr>
          <w:spacing w:val="-66"/>
        </w:rPr>
      </w:r>
      <w:r>
        <w:rPr/>
        <w:t>权益</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9"/>
          <w:szCs w:val="19"/>
        </w:rPr>
      </w:pPr>
    </w:p>
    <w:p>
      <w:pPr>
        <w:pStyle w:val="Heading2"/>
        <w:spacing w:line="240" w:lineRule="auto"/>
        <w:ind w:left="1901" w:right="1117"/>
        <w:jc w:val="left"/>
        <w:rPr>
          <w:rFonts w:ascii="黑体" w:hAnsi="黑体" w:cs="黑体" w:eastAsia="黑体" w:hint="default"/>
          <w:b w:val="0"/>
          <w:bCs w:val="0"/>
        </w:rPr>
      </w:pPr>
      <w:bookmarkStart w:name="二、财务报表的编制基础" w:id="157"/>
      <w:bookmarkEnd w:id="157"/>
      <w:r>
        <w:rPr>
          <w:b w:val="0"/>
          <w:bCs w:val="0"/>
        </w:rPr>
      </w:r>
      <w:r>
        <w:rPr>
          <w:rFonts w:ascii="黑体" w:hAnsi="黑体" w:cs="黑体" w:eastAsia="黑体" w:hint="default"/>
        </w:rPr>
        <w:t>二、财务报表的编制基础</w:t>
      </w:r>
      <w:r>
        <w:rPr>
          <w:rFonts w:ascii="黑体" w:hAnsi="黑体" w:cs="黑体" w:eastAsia="黑体" w:hint="default"/>
          <w:b w:val="0"/>
          <w:bCs w:val="0"/>
        </w:rPr>
      </w:r>
    </w:p>
    <w:p>
      <w:pPr>
        <w:pStyle w:val="BodyText"/>
        <w:spacing w:line="510" w:lineRule="atLeast" w:before="153"/>
        <w:ind w:right="1117"/>
        <w:jc w:val="left"/>
      </w:pPr>
      <w:r>
        <w:rPr/>
        <w:t>（一）编制基础 本财务报表以公司持续经营假设为基础，根据实际发生的交易事项，按照企业会计准则的有关规定，并基于以下</w:t>
      </w:r>
    </w:p>
    <w:p>
      <w:pPr>
        <w:pStyle w:val="BodyText"/>
        <w:spacing w:line="240" w:lineRule="auto" w:before="124"/>
        <w:ind w:left="1418" w:right="1117"/>
        <w:jc w:val="left"/>
      </w:pPr>
      <w:r>
        <w:rPr/>
        <w:t>所述重要会计政策、会计估计进行编制。</w:t>
      </w:r>
    </w:p>
    <w:p>
      <w:pPr>
        <w:spacing w:line="240" w:lineRule="auto" w:before="6"/>
        <w:rPr>
          <w:rFonts w:ascii="宋体" w:hAnsi="宋体" w:cs="宋体" w:eastAsia="宋体" w:hint="default"/>
          <w:sz w:val="21"/>
          <w:szCs w:val="21"/>
        </w:rPr>
      </w:pPr>
    </w:p>
    <w:p>
      <w:pPr>
        <w:pStyle w:val="BodyText"/>
        <w:spacing w:line="240" w:lineRule="auto"/>
        <w:ind w:right="1117"/>
        <w:jc w:val="left"/>
      </w:pPr>
      <w:r>
        <w:rPr/>
        <w:t>（二）持续经营</w:t>
      </w:r>
    </w:p>
    <w:p>
      <w:pPr>
        <w:spacing w:line="240" w:lineRule="auto" w:before="6"/>
        <w:rPr>
          <w:rFonts w:ascii="宋体" w:hAnsi="宋体" w:cs="宋体" w:eastAsia="宋体" w:hint="default"/>
          <w:sz w:val="21"/>
          <w:szCs w:val="21"/>
        </w:rPr>
      </w:pPr>
    </w:p>
    <w:p>
      <w:pPr>
        <w:pStyle w:val="BodyText"/>
        <w:spacing w:line="240" w:lineRule="auto"/>
        <w:ind w:right="1117"/>
        <w:jc w:val="left"/>
      </w:pPr>
      <w:r>
        <w:rPr/>
        <w:t>本公司自本报告期末至少</w:t>
      </w:r>
      <w:r>
        <w:rPr>
          <w:spacing w:val="-46"/>
        </w:rPr>
        <w:t> </w:t>
      </w:r>
      <w:r>
        <w:rPr>
          <w:rFonts w:ascii="Times New Roman" w:hAnsi="Times New Roman" w:cs="Times New Roman" w:eastAsia="Times New Roman" w:hint="default"/>
        </w:rPr>
        <w:t>12 </w:t>
      </w:r>
      <w:r>
        <w:rPr/>
        <w:t>个月内具有持续经营能力，无影响持续经营能力的重大事项。</w:t>
      </w:r>
    </w:p>
    <w:p>
      <w:pPr>
        <w:spacing w:line="240" w:lineRule="auto" w:before="13"/>
        <w:rPr>
          <w:rFonts w:ascii="宋体" w:hAnsi="宋体" w:cs="宋体" w:eastAsia="宋体" w:hint="default"/>
          <w:sz w:val="26"/>
          <w:szCs w:val="26"/>
        </w:rPr>
      </w:pPr>
    </w:p>
    <w:p>
      <w:pPr>
        <w:pStyle w:val="Heading2"/>
        <w:spacing w:line="240" w:lineRule="auto"/>
        <w:ind w:left="1901" w:right="1117"/>
        <w:jc w:val="left"/>
        <w:rPr>
          <w:rFonts w:ascii="黑体" w:hAnsi="黑体" w:cs="黑体" w:eastAsia="黑体" w:hint="default"/>
          <w:b w:val="0"/>
          <w:bCs w:val="0"/>
        </w:rPr>
      </w:pPr>
      <w:bookmarkStart w:name="三、重要会计政策及会计估计" w:id="158"/>
      <w:bookmarkEnd w:id="158"/>
      <w:r>
        <w:rPr>
          <w:b w:val="0"/>
          <w:bCs w:val="0"/>
        </w:rPr>
      </w:r>
      <w:r>
        <w:rPr>
          <w:rFonts w:ascii="黑体" w:hAnsi="黑体" w:cs="黑体" w:eastAsia="黑体" w:hint="default"/>
        </w:rPr>
        <w:t>三、重要会计政策及会计估计</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spacing w:line="525" w:lineRule="auto"/>
        <w:ind w:right="1117"/>
        <w:jc w:val="left"/>
      </w:pPr>
      <w:bookmarkStart w:name="（一）遵循企业会计准则的声明" w:id="159"/>
      <w:bookmarkEnd w:id="159"/>
      <w:r>
        <w:rPr/>
      </w:r>
      <w:r>
        <w:rPr/>
        <w:t>（一）遵循企业会计准则的声明 本公司基于上述编制基础编制的财务报表符合财政部已颁布的最新企业会计准则及其应用指南、解释以及其他相</w:t>
      </w:r>
    </w:p>
    <w:p>
      <w:pPr>
        <w:spacing w:after="0" w:line="525"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418" w:right="1117"/>
        <w:jc w:val="left"/>
      </w:pPr>
      <w:r>
        <w:rPr/>
        <w:t>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的要求，真实完整地反映了公司的财务状况、经营成果和现金流量等有关信息。</w:t>
      </w:r>
    </w:p>
    <w:p>
      <w:pPr>
        <w:spacing w:line="240" w:lineRule="auto" w:before="5"/>
        <w:rPr>
          <w:rFonts w:ascii="宋体" w:hAnsi="宋体" w:cs="宋体" w:eastAsia="宋体" w:hint="default"/>
          <w:sz w:val="20"/>
          <w:szCs w:val="20"/>
        </w:rPr>
      </w:pPr>
    </w:p>
    <w:p>
      <w:pPr>
        <w:pStyle w:val="BodyText"/>
        <w:spacing w:line="345" w:lineRule="auto"/>
        <w:ind w:left="1418" w:right="1267" w:firstLine="360"/>
        <w:jc w:val="both"/>
      </w:pPr>
      <w:r>
        <w:rPr>
          <w:spacing w:val="3"/>
        </w:rPr>
        <w:t>此外，本财务报表参照了《公开发行证券的公司信息披露编报规则第 </w:t>
      </w:r>
      <w:r>
        <w:rPr>
          <w:rFonts w:ascii="Times New Roman" w:hAnsi="Times New Roman" w:cs="Times New Roman" w:eastAsia="Times New Roman" w:hint="default"/>
        </w:rPr>
        <w:t>15 </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27"/>
        </w:rPr>
        <w:t> </w:t>
      </w:r>
      <w:r>
        <w:rPr>
          <w:spacing w:val="3"/>
        </w:rPr>
        <w:t>年修 </w:t>
      </w:r>
      <w:r>
        <w:rPr/>
        <w:t>订</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第 </w:t>
      </w:r>
      <w:r>
        <w:rPr>
          <w:rFonts w:ascii="Times New Roman" w:hAnsi="Times New Roman" w:cs="Times New Roman" w:eastAsia="Times New Roman" w:hint="default"/>
        </w:rPr>
        <w:t>15  </w:t>
      </w:r>
      <w:r>
        <w:rPr/>
        <w:t>号文</w:t>
      </w:r>
      <w:r>
        <w:rPr>
          <w:rFonts w:ascii="Times New Roman" w:hAnsi="Times New Roman" w:cs="Times New Roman" w:eastAsia="Times New Roman" w:hint="default"/>
        </w:rPr>
        <w:t>(2014</w:t>
      </w:r>
      <w:r>
        <w:rPr>
          <w:rFonts w:ascii="Times New Roman" w:hAnsi="Times New Roman" w:cs="Times New Roman" w:eastAsia="Times New Roman" w:hint="default"/>
          <w:spacing w:val="41"/>
        </w:rPr>
        <w:t> </w:t>
      </w:r>
      <w:r>
        <w:rPr/>
        <w:t>年修订</w:t>
      </w:r>
      <w:r>
        <w:rPr>
          <w:rFonts w:ascii="Times New Roman" w:hAnsi="Times New Roman" w:cs="Times New Roman" w:eastAsia="Times New Roman" w:hint="default"/>
        </w:rPr>
        <w:t>)”)</w:t>
      </w:r>
      <w:r>
        <w:rPr/>
        <w:t>的列报和披露要求。</w:t>
      </w:r>
    </w:p>
    <w:p>
      <w:pPr>
        <w:spacing w:line="240" w:lineRule="auto" w:before="9"/>
        <w:rPr>
          <w:rFonts w:ascii="宋体" w:hAnsi="宋体" w:cs="宋体" w:eastAsia="宋体" w:hint="default"/>
          <w:sz w:val="13"/>
          <w:szCs w:val="13"/>
        </w:rPr>
      </w:pPr>
    </w:p>
    <w:p>
      <w:pPr>
        <w:pStyle w:val="BodyText"/>
        <w:spacing w:line="525" w:lineRule="auto"/>
        <w:ind w:right="5986"/>
        <w:jc w:val="left"/>
      </w:pPr>
      <w:bookmarkStart w:name="（二）会计期间和经营周期" w:id="160"/>
      <w:bookmarkEnd w:id="160"/>
      <w:r>
        <w:rPr/>
      </w:r>
      <w:r>
        <w:rPr/>
        <w:t>（二）会计期间和经营周期 本公司的会计年度从公历</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pStyle w:val="BodyText"/>
        <w:spacing w:line="525" w:lineRule="auto" w:before="29"/>
        <w:ind w:right="7228"/>
        <w:jc w:val="left"/>
      </w:pPr>
      <w:bookmarkStart w:name="（三）记账本位币" w:id="161"/>
      <w:bookmarkEnd w:id="161"/>
      <w:r>
        <w:rPr/>
      </w:r>
      <w:r>
        <w:rPr/>
        <w:t>（三）记账本位币 本公司采用人民币作为记账本位币。</w:t>
      </w:r>
    </w:p>
    <w:p>
      <w:pPr>
        <w:pStyle w:val="BodyText"/>
        <w:spacing w:line="525" w:lineRule="auto" w:before="66"/>
        <w:ind w:right="3628"/>
        <w:jc w:val="left"/>
      </w:pPr>
      <w:bookmarkStart w:name="（四）计量属性在本期发生变化的报表项目及其本期采用的计量属性" w:id="162"/>
      <w:bookmarkEnd w:id="162"/>
      <w:r>
        <w:rPr/>
      </w:r>
      <w:r>
        <w:rPr/>
        <w:t>（四）计量属性在本期发生变化的报表项目及其本期采用的计量属性 本公司采用的计量属性包括历史成本、重置成本、可变现净值、现值和公允价值。</w:t>
      </w:r>
    </w:p>
    <w:p>
      <w:pPr>
        <w:pStyle w:val="BodyText"/>
        <w:spacing w:line="240" w:lineRule="auto" w:before="66"/>
        <w:ind w:right="1117"/>
        <w:jc w:val="left"/>
      </w:pPr>
      <w:bookmarkStart w:name="（五）企业合并" w:id="163"/>
      <w:bookmarkEnd w:id="163"/>
      <w:r>
        <w:rPr/>
      </w:r>
      <w:r>
        <w:rPr/>
        <w:t>（五）企业合并</w:t>
      </w:r>
    </w:p>
    <w:p>
      <w:pPr>
        <w:pStyle w:val="BodyText"/>
        <w:spacing w:line="500" w:lineRule="atLeast" w:before="29"/>
        <w:ind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同一控制下企业合并的会计处理方法 本公司在一次交易取得或通过多次交易分步实现同一控制下企业合并，企业合并中取得的资产和负债，按照合并</w:t>
      </w:r>
    </w:p>
    <w:p>
      <w:pPr>
        <w:pStyle w:val="BodyText"/>
        <w:spacing w:line="367" w:lineRule="auto" w:before="124"/>
        <w:ind w:left="1418" w:right="1117"/>
        <w:jc w:val="left"/>
      </w:pPr>
      <w:r>
        <w:rPr/>
        <w:t>日被合并方在最终控制方合并财务报表中的的账面价值计量。本公司取得的净资产账面价值与支付的合并对价账面价</w:t>
      </w:r>
      <w:r>
        <w:rPr>
          <w:spacing w:val="-63"/>
        </w:rPr>
        <w:t> </w:t>
      </w:r>
      <w:r>
        <w:rPr>
          <w:spacing w:val="-63"/>
        </w:rPr>
      </w:r>
      <w:r>
        <w:rPr/>
        <w:t>值（或发行股份面值总额）的差额，调整资本公积；资本公积不足冲减的，调整留存收益。</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非同一控制下企业合并的会计处理方法</w:t>
      </w:r>
    </w:p>
    <w:p>
      <w:pPr>
        <w:spacing w:line="240" w:lineRule="auto" w:before="5"/>
        <w:rPr>
          <w:rFonts w:ascii="宋体" w:hAnsi="宋体" w:cs="宋体" w:eastAsia="宋体" w:hint="default"/>
          <w:sz w:val="20"/>
          <w:szCs w:val="20"/>
        </w:rPr>
      </w:pPr>
    </w:p>
    <w:p>
      <w:pPr>
        <w:pStyle w:val="BodyText"/>
        <w:spacing w:line="367" w:lineRule="auto"/>
        <w:ind w:left="1418" w:right="1271" w:firstLine="360"/>
        <w:jc w:val="both"/>
      </w:pPr>
      <w:r>
        <w:rPr/>
        <w:t>本公司在购买日对合并成本大于合并中取得的被购买方可辨认净资产公允价值份额的差额，确认为商誉；如果合 并成本小于合并中取得的被购买方可辨认净资产公允价值份额，首先对取得的被购买方各项可辨认资产、负债及或有</w:t>
      </w:r>
      <w:r>
        <w:rPr>
          <w:spacing w:val="-61"/>
        </w:rPr>
        <w:t> </w:t>
      </w:r>
      <w:r>
        <w:rPr>
          <w:spacing w:val="-61"/>
        </w:rPr>
      </w:r>
      <w:r>
        <w:rPr/>
        <w:t>负债的公允价值以及合并成本的计量进行复核，经复核后合并成本仍小于合并中取得的被购买方可辨认净资产公允价</w:t>
      </w:r>
      <w:r>
        <w:rPr>
          <w:spacing w:val="-61"/>
        </w:rPr>
        <w:t> </w:t>
      </w:r>
      <w:r>
        <w:rPr>
          <w:spacing w:val="-61"/>
        </w:rPr>
      </w:r>
      <w:r>
        <w:rPr/>
        <w:t>值份额的，其差额计入当期损益。</w:t>
      </w:r>
    </w:p>
    <w:p>
      <w:pPr>
        <w:spacing w:line="240" w:lineRule="auto" w:before="2"/>
        <w:rPr>
          <w:rFonts w:ascii="宋体" w:hAnsi="宋体" w:cs="宋体" w:eastAsia="宋体" w:hint="default"/>
          <w:sz w:val="14"/>
          <w:szCs w:val="14"/>
        </w:rPr>
      </w:pPr>
    </w:p>
    <w:p>
      <w:pPr>
        <w:pStyle w:val="BodyText"/>
        <w:spacing w:line="240" w:lineRule="auto"/>
        <w:ind w:right="1117"/>
        <w:jc w:val="left"/>
      </w:pPr>
      <w:r>
        <w:rPr/>
        <w:t>通过多次交易分步实现非同一控制下企业合并，应按以下顺序处理：</w:t>
      </w:r>
    </w:p>
    <w:p>
      <w:pPr>
        <w:spacing w:line="240" w:lineRule="auto" w:before="6"/>
        <w:rPr>
          <w:rFonts w:ascii="宋体" w:hAnsi="宋体" w:cs="宋体" w:eastAsia="宋体" w:hint="default"/>
          <w:sz w:val="21"/>
          <w:szCs w:val="21"/>
        </w:rPr>
      </w:pPr>
    </w:p>
    <w:p>
      <w:pPr>
        <w:pStyle w:val="BodyText"/>
        <w:spacing w:line="360" w:lineRule="auto"/>
        <w:ind w:left="1418" w:right="1273" w:firstLine="360"/>
        <w:jc w:val="both"/>
      </w:pPr>
      <w:r>
        <w:rPr>
          <w:spacing w:val="-2"/>
        </w:rPr>
        <w:t>（</w:t>
      </w:r>
      <w:r>
        <w:rPr>
          <w:rFonts w:ascii="Times New Roman" w:hAnsi="Times New Roman" w:cs="Times New Roman" w:eastAsia="Times New Roman" w:hint="default"/>
          <w:spacing w:val="-2"/>
        </w:rPr>
        <w:t>1</w:t>
      </w:r>
      <w:r>
        <w:rPr>
          <w:spacing w:val="-2"/>
        </w:rPr>
        <w:t>）调整长期股权投资初始投资成本。购买日之前持有股权采用权益法核算的，按照该股权在购买日的公允价值</w:t>
      </w:r>
      <w:r>
        <w:rPr/>
        <w:t> 进行重新计量，公允价值与其账面价值的差额计入当期投资收益；购买日之前持有的被购买方的股权涉及权益法核算</w:t>
      </w:r>
      <w:r>
        <w:rPr>
          <w:spacing w:val="-63"/>
        </w:rPr>
        <w:t> </w:t>
      </w:r>
      <w:r>
        <w:rPr>
          <w:spacing w:val="-63"/>
        </w:rPr>
      </w:r>
      <w:r>
        <w:rPr/>
        <w:t>下的其他综合收益、其他所有者权益变动的，转为购买日所属当期收益，由于被投资方重新计量设定受益计划净负债</w:t>
      </w:r>
      <w:r>
        <w:rPr>
          <w:spacing w:val="-63"/>
        </w:rPr>
        <w:t> </w:t>
      </w:r>
      <w:r>
        <w:rPr>
          <w:spacing w:val="-63"/>
        </w:rPr>
      </w:r>
      <w:r>
        <w:rPr/>
        <w:t>或净资产变动而产生的其他综合收益除外。</w:t>
      </w:r>
    </w:p>
    <w:p>
      <w:pPr>
        <w:spacing w:line="240" w:lineRule="auto" w:before="7"/>
        <w:rPr>
          <w:rFonts w:ascii="宋体" w:hAnsi="宋体" w:cs="宋体" w:eastAsia="宋体" w:hint="default"/>
          <w:sz w:val="14"/>
          <w:szCs w:val="14"/>
        </w:rPr>
      </w:pPr>
    </w:p>
    <w:p>
      <w:pPr>
        <w:pStyle w:val="BodyText"/>
        <w:spacing w:line="345" w:lineRule="auto"/>
        <w:ind w:left="1418" w:right="1274" w:firstLine="360"/>
        <w:jc w:val="both"/>
      </w:pPr>
      <w:r>
        <w:rPr>
          <w:spacing w:val="-2"/>
        </w:rPr>
        <w:t>（</w:t>
      </w:r>
      <w:r>
        <w:rPr>
          <w:rFonts w:ascii="Times New Roman" w:hAnsi="Times New Roman" w:cs="Times New Roman" w:eastAsia="Times New Roman" w:hint="default"/>
          <w:spacing w:val="-2"/>
        </w:rPr>
        <w:t>2</w:t>
      </w:r>
      <w:r>
        <w:rPr>
          <w:spacing w:val="-2"/>
        </w:rPr>
        <w:t>）确认商誉（或计入当期损益的金额）。将第一步调整后长期股权投资初始投资成本与购买日应享有子公司可</w:t>
      </w:r>
      <w:r>
        <w:rPr/>
        <w:t> 辨认净资产公允价值份额比较，前者大于后者，差额确认为商誉；前者小于后者，差额计入当期损益。</w:t>
      </w:r>
    </w:p>
    <w:p>
      <w:pPr>
        <w:spacing w:line="240" w:lineRule="auto" w:before="5"/>
        <w:rPr>
          <w:rFonts w:ascii="宋体" w:hAnsi="宋体" w:cs="宋体" w:eastAsia="宋体" w:hint="default"/>
          <w:sz w:val="15"/>
          <w:szCs w:val="15"/>
        </w:rPr>
      </w:pPr>
    </w:p>
    <w:p>
      <w:pPr>
        <w:pStyle w:val="BodyText"/>
        <w:spacing w:line="240" w:lineRule="auto"/>
        <w:ind w:right="1117"/>
        <w:jc w:val="left"/>
      </w:pPr>
      <w:r>
        <w:rPr/>
        <w:t>通过多次交易分步处置股权至丧失对子公司控制权的情形</w:t>
      </w:r>
    </w:p>
    <w:p>
      <w:pPr>
        <w:pStyle w:val="BodyText"/>
        <w:spacing w:line="500" w:lineRule="atLeast" w:before="30"/>
        <w:ind w:right="1117"/>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处置对子公司股权投资的各项交易的条款、条件以及经济影响符合以下一种或多种情况，通常表明应将多次交易</w:t>
      </w:r>
    </w:p>
    <w:p>
      <w:pPr>
        <w:pStyle w:val="BodyText"/>
        <w:spacing w:line="240" w:lineRule="auto" w:before="124"/>
        <w:ind w:left="1418" w:right="1117"/>
        <w:jc w:val="left"/>
      </w:pPr>
      <w:r>
        <w:rPr/>
        <w:t>事项作为一揽子交易进行会计处理：</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868" w:right="1117"/>
        <w:jc w:val="left"/>
      </w:pPr>
      <w:r>
        <w:rPr>
          <w:rFonts w:ascii="Times New Roman" w:hAnsi="Times New Roman" w:cs="Times New Roman" w:eastAsia="Times New Roman" w:hint="default"/>
        </w:rPr>
        <w:t>1</w:t>
      </w:r>
      <w:r>
        <w:rPr/>
        <w:t>）这些交易是同时或者在考虑了彼此影响的情况下订立的；</w:t>
      </w:r>
    </w:p>
    <w:p>
      <w:pPr>
        <w:spacing w:line="240" w:lineRule="auto" w:before="5"/>
        <w:rPr>
          <w:rFonts w:ascii="宋体" w:hAnsi="宋体" w:cs="宋体" w:eastAsia="宋体" w:hint="default"/>
          <w:sz w:val="20"/>
          <w:szCs w:val="20"/>
        </w:rPr>
      </w:pPr>
    </w:p>
    <w:p>
      <w:pPr>
        <w:pStyle w:val="BodyText"/>
        <w:spacing w:line="240" w:lineRule="auto"/>
        <w:ind w:left="1868" w:right="1117"/>
        <w:jc w:val="left"/>
      </w:pPr>
      <w:r>
        <w:rPr>
          <w:rFonts w:ascii="Times New Roman" w:hAnsi="Times New Roman" w:cs="Times New Roman" w:eastAsia="Times New Roman" w:hint="default"/>
        </w:rPr>
        <w:t>2</w:t>
      </w:r>
      <w:r>
        <w:rPr/>
        <w:t>）这些交易整体才能达成一项完整的商业结果；</w:t>
      </w:r>
    </w:p>
    <w:p>
      <w:pPr>
        <w:spacing w:line="240" w:lineRule="auto" w:before="5"/>
        <w:rPr>
          <w:rFonts w:ascii="宋体" w:hAnsi="宋体" w:cs="宋体" w:eastAsia="宋体" w:hint="default"/>
          <w:sz w:val="20"/>
          <w:szCs w:val="20"/>
        </w:rPr>
      </w:pPr>
    </w:p>
    <w:p>
      <w:pPr>
        <w:pStyle w:val="BodyText"/>
        <w:spacing w:line="240" w:lineRule="auto"/>
        <w:ind w:left="1868" w:right="1117"/>
        <w:jc w:val="left"/>
      </w:pPr>
      <w:r>
        <w:rPr>
          <w:rFonts w:ascii="Times New Roman" w:hAnsi="Times New Roman" w:cs="Times New Roman" w:eastAsia="Times New Roman" w:hint="default"/>
        </w:rPr>
        <w:t>3</w:t>
      </w:r>
      <w:r>
        <w:rPr/>
        <w:t>）一项交易的发生取决于其他至少一项交易的发生；</w:t>
      </w:r>
    </w:p>
    <w:p>
      <w:pPr>
        <w:spacing w:line="240" w:lineRule="auto" w:before="6"/>
        <w:rPr>
          <w:rFonts w:ascii="宋体" w:hAnsi="宋体" w:cs="宋体" w:eastAsia="宋体" w:hint="default"/>
          <w:sz w:val="20"/>
          <w:szCs w:val="20"/>
        </w:rPr>
      </w:pPr>
    </w:p>
    <w:p>
      <w:pPr>
        <w:pStyle w:val="BodyText"/>
        <w:spacing w:line="240" w:lineRule="auto"/>
        <w:ind w:left="1868" w:right="1117"/>
        <w:jc w:val="left"/>
      </w:pPr>
      <w:r>
        <w:rPr>
          <w:rFonts w:ascii="Times New Roman" w:hAnsi="Times New Roman" w:cs="Times New Roman" w:eastAsia="Times New Roman" w:hint="default"/>
        </w:rPr>
        <w:t>4</w:t>
      </w:r>
      <w:r>
        <w:rPr/>
        <w:t>）一项交易单独看是不经济的，但是和其他交易一并考虑时是经济的。</w:t>
      </w:r>
    </w:p>
    <w:p>
      <w:pPr>
        <w:pStyle w:val="BodyText"/>
        <w:spacing w:line="500" w:lineRule="atLeast" w:before="16"/>
        <w:ind w:right="1117"/>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处置对子公司股权投资直至丧失控制权的各项交易属于一揽子交易的，将各项交易作为一项处置子公司并丧失控</w:t>
      </w:r>
    </w:p>
    <w:p>
      <w:pPr>
        <w:pStyle w:val="BodyText"/>
        <w:spacing w:line="367" w:lineRule="auto" w:before="124"/>
        <w:ind w:left="1418" w:right="1275"/>
        <w:jc w:val="both"/>
      </w:pPr>
      <w:r>
        <w:rPr/>
        <w:t>制权的交易进行会计处理；但是，在丧失控制权之前每一次处置价款与处置投资对应的享有该子公司净资产份额的差</w:t>
      </w:r>
      <w:r>
        <w:rPr>
          <w:spacing w:val="-63"/>
        </w:rPr>
        <w:t> </w:t>
      </w:r>
      <w:r>
        <w:rPr>
          <w:spacing w:val="-63"/>
        </w:rPr>
      </w:r>
      <w:r>
        <w:rPr/>
        <w:t>额，在合并财务报表中确认为其他综合收益，在丧失控制权时一并转入丧失控制权当期的损益。</w:t>
      </w:r>
    </w:p>
    <w:p>
      <w:pPr>
        <w:spacing w:line="240" w:lineRule="auto" w:before="2"/>
        <w:rPr>
          <w:rFonts w:ascii="宋体" w:hAnsi="宋体" w:cs="宋体" w:eastAsia="宋体" w:hint="default"/>
          <w:sz w:val="14"/>
          <w:szCs w:val="14"/>
        </w:rPr>
      </w:pPr>
    </w:p>
    <w:p>
      <w:pPr>
        <w:pStyle w:val="BodyText"/>
        <w:spacing w:line="367" w:lineRule="auto"/>
        <w:ind w:left="1418" w:right="1273" w:firstLine="360"/>
        <w:jc w:val="both"/>
      </w:pPr>
      <w:r>
        <w:rPr/>
        <w:t>在合并财务报表中，对于剩余股权，按照其在丧失控制权日的公允价值进行重新计量。处置股权取得的对价与剩 余股权公允价值之和，减去按原持股比例计算应享有原子公司自购买日开始持续计算的净资产的份额之间的差额，计</w:t>
      </w:r>
      <w:r>
        <w:rPr>
          <w:spacing w:val="-61"/>
        </w:rPr>
        <w:t> </w:t>
      </w:r>
      <w:r>
        <w:rPr>
          <w:spacing w:val="-61"/>
        </w:rPr>
      </w:r>
      <w:r>
        <w:rPr/>
        <w:t>入丧失控制权当期的投资收益。与原子公司股权投资相关的其他综合收益，在丧失控制权时转为当期投资收益。</w:t>
      </w:r>
    </w:p>
    <w:p>
      <w:pPr>
        <w:spacing w:line="240" w:lineRule="auto" w:before="2"/>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w:t>
      </w:r>
    </w:p>
    <w:p>
      <w:pPr>
        <w:spacing w:line="240" w:lineRule="auto" w:before="5"/>
        <w:rPr>
          <w:rFonts w:ascii="宋体" w:hAnsi="宋体" w:cs="宋体" w:eastAsia="宋体" w:hint="default"/>
          <w:sz w:val="20"/>
          <w:szCs w:val="20"/>
        </w:rPr>
      </w:pPr>
    </w:p>
    <w:p>
      <w:pPr>
        <w:pStyle w:val="BodyText"/>
        <w:spacing w:line="367" w:lineRule="auto"/>
        <w:ind w:left="1418" w:right="1274" w:firstLine="360"/>
        <w:jc w:val="both"/>
      </w:pPr>
      <w:r>
        <w:rPr/>
        <w:t>处置对子公司的投资未丧失控制权的，合并财务报表中处置价款与处置投资对应的享有该子公司净资产份额的差 </w:t>
      </w:r>
      <w:r>
        <w:rPr>
          <w:spacing w:val="-3"/>
        </w:rPr>
        <w:t>额计入资本公积（资本溢价或股本溢价），资本溢价不足冲减的，调整留存收益。</w:t>
      </w:r>
    </w:p>
    <w:p>
      <w:pPr>
        <w:spacing w:line="240" w:lineRule="auto" w:before="2"/>
        <w:rPr>
          <w:rFonts w:ascii="宋体" w:hAnsi="宋体" w:cs="宋体" w:eastAsia="宋体" w:hint="default"/>
          <w:sz w:val="14"/>
          <w:szCs w:val="14"/>
        </w:rPr>
      </w:pPr>
    </w:p>
    <w:p>
      <w:pPr>
        <w:pStyle w:val="BodyText"/>
        <w:spacing w:line="367" w:lineRule="auto"/>
        <w:ind w:left="1418" w:right="1269" w:firstLine="360"/>
        <w:jc w:val="both"/>
      </w:pPr>
      <w:r>
        <w:rPr/>
        <w:t>处置对子公司的投资丧失控制权的，在合并财务报表中，对于剩余股权，按照其在丧失控制权日的公允价值进行 重新计量。处置股权取得的对价与剩余股权公允价值之和，减去按原持股比例计算应享有原有子公司自购买日开始持</w:t>
      </w:r>
      <w:r>
        <w:rPr>
          <w:spacing w:val="-63"/>
        </w:rPr>
        <w:t> </w:t>
      </w:r>
      <w:r>
        <w:rPr>
          <w:spacing w:val="-63"/>
        </w:rPr>
      </w:r>
      <w:r>
        <w:rPr/>
        <w:t>续计算的净资产的份额之间的差额，计入丧失控制权当期的投资收益。与原有子公司股权投资相关的其他综合收益，</w:t>
      </w:r>
      <w:r>
        <w:rPr>
          <w:spacing w:val="-63"/>
        </w:rPr>
        <w:t> </w:t>
      </w:r>
      <w:r>
        <w:rPr>
          <w:spacing w:val="-63"/>
        </w:rPr>
      </w:r>
      <w:r>
        <w:rPr/>
        <w:t>在丧失控制权时转为当期投资收益。</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六）合并财务报表的编制方法" w:id="164"/>
      <w:bookmarkEnd w:id="164"/>
      <w:r>
        <w:rPr/>
      </w:r>
      <w:r>
        <w:rPr/>
        <w:t>（六）合并财务报表的编制方法</w:t>
      </w:r>
    </w:p>
    <w:p>
      <w:pPr>
        <w:spacing w:line="240" w:lineRule="auto" w:before="6"/>
        <w:rPr>
          <w:rFonts w:ascii="宋体" w:hAnsi="宋体" w:cs="宋体" w:eastAsia="宋体" w:hint="default"/>
          <w:sz w:val="21"/>
          <w:szCs w:val="21"/>
        </w:rPr>
      </w:pPr>
    </w:p>
    <w:p>
      <w:pPr>
        <w:pStyle w:val="BodyText"/>
        <w:spacing w:line="240" w:lineRule="auto"/>
        <w:ind w:right="1117"/>
        <w:jc w:val="left"/>
      </w:pPr>
      <w:r>
        <w:rPr>
          <w:spacing w:val="-2"/>
        </w:rPr>
        <w:t>合并财务报表以母公司及其子公司的财务报表为基础，根据其他有关资料，由本公司按照《企业会计准则第</w:t>
      </w:r>
      <w:r>
        <w:rPr/>
        <w:t> </w:t>
      </w:r>
      <w:r>
        <w:rPr>
          <w:rFonts w:ascii="Times New Roman" w:hAnsi="Times New Roman" w:cs="Times New Roman" w:eastAsia="Times New Roman" w:hint="default"/>
        </w:rPr>
        <w:t>33</w:t>
      </w:r>
      <w:r>
        <w:rPr>
          <w:rFonts w:ascii="Times New Roman" w:hAnsi="Times New Roman" w:cs="Times New Roman" w:eastAsia="Times New Roman" w:hint="default"/>
          <w:spacing w:val="-12"/>
        </w:rPr>
        <w:t> </w:t>
      </w:r>
      <w:r>
        <w:rPr/>
        <w:t>号</w:t>
      </w:r>
    </w:p>
    <w:p>
      <w:pPr>
        <w:pStyle w:val="BodyText"/>
        <w:spacing w:line="496" w:lineRule="auto" w:before="111"/>
        <w:ind w:right="7633" w:hanging="361"/>
        <w:jc w:val="left"/>
      </w:pPr>
      <w:r>
        <w:rPr>
          <w:rFonts w:ascii="Times New Roman" w:hAnsi="Times New Roman" w:cs="Times New Roman" w:eastAsia="Times New Roman" w:hint="default"/>
        </w:rPr>
        <w:t>——</w:t>
      </w:r>
      <w:r>
        <w:rPr/>
        <w:t>合并财务报表》编制。 </w:t>
      </w:r>
      <w:r>
        <w:rPr>
          <w:rFonts w:ascii="Times New Roman" w:hAnsi="Times New Roman" w:cs="Times New Roman" w:eastAsia="Times New Roman" w:hint="default"/>
        </w:rPr>
        <w:t>1.</w:t>
      </w:r>
      <w:r>
        <w:rPr/>
        <w:t>合并财务报表范围的确定原则</w:t>
      </w:r>
    </w:p>
    <w:p>
      <w:pPr>
        <w:pStyle w:val="BodyText"/>
        <w:spacing w:line="367" w:lineRule="auto" w:before="53"/>
        <w:ind w:left="1418" w:right="1274" w:firstLine="360"/>
        <w:jc w:val="both"/>
      </w:pPr>
      <w:r>
        <w:rPr/>
        <w:t>合并财务报表的合并范围以控制为基础予以确定。控制是指本公司拥有对被投资方的权力，通过参与被投资方的 相关活动而享有可变回报，并且有能力运用对被投资方的权力影响该回报金额。合并范围包括本公司及全部子公司。</w:t>
      </w:r>
      <w:r>
        <w:rPr>
          <w:spacing w:val="-63"/>
        </w:rPr>
        <w:t> </w:t>
      </w:r>
      <w:r>
        <w:rPr>
          <w:spacing w:val="-63"/>
        </w:rPr>
      </w:r>
      <w:r>
        <w:rPr/>
        <w:t>子公司，是指被本公司控制的企业或主体。</w:t>
      </w:r>
    </w:p>
    <w:p>
      <w:pPr>
        <w:spacing w:line="240" w:lineRule="auto" w:before="2"/>
        <w:rPr>
          <w:rFonts w:ascii="宋体" w:hAnsi="宋体" w:cs="宋体" w:eastAsia="宋体" w:hint="default"/>
          <w:sz w:val="14"/>
          <w:szCs w:val="14"/>
        </w:rPr>
      </w:pPr>
    </w:p>
    <w:p>
      <w:pPr>
        <w:pStyle w:val="BodyText"/>
        <w:spacing w:line="240" w:lineRule="auto"/>
        <w:ind w:right="1117"/>
        <w:jc w:val="left"/>
      </w:pPr>
      <w:r>
        <w:rPr/>
        <w:t>一旦相关事实和情况的变化导致上述控制定义涉及的相关要素发生了变化，本公司将进行重新评估。</w:t>
      </w:r>
    </w:p>
    <w:p>
      <w:pPr>
        <w:pStyle w:val="BodyText"/>
        <w:spacing w:line="500" w:lineRule="atLeast" w:before="29"/>
        <w:ind w:right="1117"/>
        <w:jc w:val="left"/>
      </w:pP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w:t>
      </w:r>
    </w:p>
    <w:p>
      <w:pPr>
        <w:pStyle w:val="BodyText"/>
        <w:spacing w:line="367" w:lineRule="auto" w:before="125"/>
        <w:ind w:left="1418" w:right="1273"/>
        <w:jc w:val="both"/>
      </w:pPr>
      <w:r>
        <w:rPr/>
        <w:t>之日起停止纳入合并范围。对于处置的子公司，处置日前的经营成果和现金流量已经适当地包括在合并利润表和合并</w:t>
      </w:r>
      <w:r>
        <w:rPr>
          <w:spacing w:val="-61"/>
        </w:rPr>
        <w:t> </w:t>
      </w:r>
      <w:r>
        <w:rPr>
          <w:spacing w:val="-61"/>
        </w:rPr>
      </w:r>
      <w:r>
        <w:rPr/>
        <w:t>现金流量表中；当期处置的子公司，不调整合并资产负债表的期初数。非同一控制下企业合并增加的子公司，其购买</w:t>
      </w:r>
      <w:r>
        <w:rPr>
          <w:spacing w:val="-63"/>
        </w:rPr>
        <w:t> </w:t>
      </w:r>
      <w:r>
        <w:rPr>
          <w:spacing w:val="-63"/>
        </w:rPr>
      </w:r>
      <w:r>
        <w:rPr/>
        <w:t>日后的经营成果及现金流量已经适当地包括在合并利润表和合并现金流量表中，且不调整合并财务报表的期初数和对</w:t>
      </w:r>
    </w:p>
    <w:p>
      <w:pPr>
        <w:spacing w:after="0" w:line="367"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ind w:left="1418" w:right="1117"/>
        <w:jc w:val="left"/>
      </w:pPr>
      <w:r>
        <w:rPr/>
        <w:t>比数。同一控制下企业合并增加的子公司，其自合并当期期初至合并日的经营成果和现金流量已经适当地包括在合并</w:t>
      </w:r>
      <w:r>
        <w:rPr>
          <w:spacing w:val="-63"/>
        </w:rPr>
        <w:t> </w:t>
      </w:r>
      <w:r>
        <w:rPr>
          <w:spacing w:val="-63"/>
        </w:rPr>
      </w:r>
      <w:r>
        <w:rPr/>
        <w:t>利润表和合并现金流量表中，并且同时调整合并财务报表的对比数。</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在编制合并财务报表时，子公司与本公司采用的会计政策或会计期间不一致的，按照本公司的会计政策和会计期 间对子公司财务报表进行必要的调整。对于非同一控制下企业合并取得的子公司，以购买日可辨认净资产公允价值为</w:t>
      </w:r>
      <w:r>
        <w:rPr>
          <w:spacing w:val="-63"/>
        </w:rPr>
        <w:t> </w:t>
      </w:r>
      <w:r>
        <w:rPr>
          <w:spacing w:val="-63"/>
        </w:rPr>
      </w:r>
      <w:r>
        <w:rPr/>
        <w:t>基础对其财务报表进行调整。</w:t>
      </w:r>
    </w:p>
    <w:p>
      <w:pPr>
        <w:spacing w:line="240" w:lineRule="auto" w:before="2"/>
        <w:rPr>
          <w:rFonts w:ascii="宋体" w:hAnsi="宋体" w:cs="宋体" w:eastAsia="宋体" w:hint="default"/>
          <w:sz w:val="14"/>
          <w:szCs w:val="14"/>
        </w:rPr>
      </w:pPr>
    </w:p>
    <w:p>
      <w:pPr>
        <w:pStyle w:val="BodyText"/>
        <w:spacing w:line="240" w:lineRule="auto"/>
        <w:ind w:right="1117"/>
        <w:jc w:val="left"/>
      </w:pPr>
      <w:r>
        <w:rPr/>
        <w:t>公司内所有重大往来余额、交易及未实现利润在合并财务报表编制时予以抵销。</w:t>
      </w:r>
    </w:p>
    <w:p>
      <w:pPr>
        <w:spacing w:line="240" w:lineRule="auto" w:before="6"/>
        <w:rPr>
          <w:rFonts w:ascii="宋体" w:hAnsi="宋体" w:cs="宋体" w:eastAsia="宋体" w:hint="default"/>
          <w:sz w:val="21"/>
          <w:szCs w:val="21"/>
        </w:rPr>
      </w:pPr>
    </w:p>
    <w:p>
      <w:pPr>
        <w:pStyle w:val="BodyText"/>
        <w:spacing w:line="360" w:lineRule="auto"/>
        <w:ind w:left="1418" w:right="1274" w:firstLine="360"/>
        <w:jc w:val="both"/>
      </w:pPr>
      <w:r>
        <w:rPr/>
        <w:t>子公司的股东权益及当期净损益中不属于本公司所拥有的部分分别作为少数股东权益及少数股东损益在合并财务 报表中股东权益及净利润项下单独列示。子公司当期净损益中属于少数股东权益的份额，在合并利润表中净利润项目</w:t>
      </w:r>
      <w:r>
        <w:rPr>
          <w:spacing w:val="-63"/>
        </w:rPr>
        <w:t> </w:t>
      </w:r>
      <w:r>
        <w:rPr>
          <w:spacing w:val="-63"/>
        </w:rPr>
      </w:r>
      <w:r>
        <w:rPr/>
        <w:t>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w:t>
      </w:r>
      <w:r>
        <w:rPr>
          <w:spacing w:val="-48"/>
        </w:rPr>
        <w:t> </w:t>
      </w:r>
      <w:r>
        <w:rPr>
          <w:spacing w:val="-48"/>
        </w:rPr>
      </w:r>
      <w:r>
        <w:rPr/>
        <w:t>额，冲减少数股东权益。</w:t>
      </w:r>
    </w:p>
    <w:p>
      <w:pPr>
        <w:spacing w:line="240" w:lineRule="auto" w:before="7"/>
        <w:rPr>
          <w:rFonts w:ascii="宋体" w:hAnsi="宋体" w:cs="宋体" w:eastAsia="宋体" w:hint="default"/>
          <w:sz w:val="14"/>
          <w:szCs w:val="14"/>
        </w:rPr>
      </w:pPr>
    </w:p>
    <w:p>
      <w:pPr>
        <w:pStyle w:val="BodyText"/>
        <w:spacing w:line="362" w:lineRule="auto"/>
        <w:ind w:left="1418" w:right="1272" w:firstLine="360"/>
        <w:jc w:val="both"/>
      </w:pPr>
      <w:r>
        <w:rPr/>
        <w:t>当因处置部分股权投资或其他原因丧失了对原有子公司的控制权时，对于剩余股权，按照其在丧失控制权日的公 允价值进行重新计量。处置股权取得的对价与剩余股权公允价值之和，减去按原持股比例计算应享有原有子公司自购</w:t>
      </w:r>
      <w:r>
        <w:rPr>
          <w:spacing w:val="-63"/>
        </w:rPr>
        <w:t> </w:t>
      </w:r>
      <w:r>
        <w:rPr>
          <w:spacing w:val="-63"/>
        </w:rPr>
      </w:r>
      <w:r>
        <w:rPr/>
        <w:t>买日开始持续计算的净资产的份额之间的差额，计入丧失控制权当期的投资收益。与原有子公司股权投资相关的其他</w:t>
      </w:r>
      <w:r>
        <w:rPr>
          <w:spacing w:val="-63"/>
        </w:rPr>
        <w:t> </w:t>
      </w:r>
      <w:r>
        <w:rPr>
          <w:spacing w:val="-63"/>
        </w:rPr>
      </w:r>
      <w:r>
        <w:rPr/>
        <w:t>综合收益，在丧失控制权时采用与被购买方直接处置相关资产或负债相同的基础进行会计处理（即，除了在该原有子</w:t>
      </w:r>
      <w:r>
        <w:rPr>
          <w:spacing w:val="-63"/>
        </w:rPr>
        <w:t> </w:t>
      </w:r>
      <w:r>
        <w:rPr>
          <w:spacing w:val="-63"/>
        </w:rPr>
      </w:r>
      <w:r>
        <w:rPr>
          <w:spacing w:val="-3"/>
        </w:rPr>
        <w:t>公司重新计量设定受益计划净负债或净资产导致的变动以外，其余一并转为当期投资收益）。其后，对该部分剩余股权</w:t>
      </w:r>
      <w:r>
        <w:rPr>
          <w:spacing w:val="-83"/>
        </w:rPr>
        <w:t> </w:t>
      </w:r>
      <w:r>
        <w:rPr>
          <w:spacing w:val="-83"/>
        </w:rPr>
      </w:r>
      <w:r>
        <w:rPr/>
        <w:t>按照《企业会计准则第</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长期股权投资》或《企业会计准则第</w:t>
      </w:r>
      <w:r>
        <w:rPr>
          <w:spacing w:val="-60"/>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金融工具确认和计量》等相关规定进行 </w:t>
      </w:r>
      <w:r>
        <w:rPr>
          <w:spacing w:val="-6"/>
        </w:rPr>
        <w:t>后续计量，详见本附注三、（十五）</w:t>
      </w:r>
      <w:r>
        <w:rPr>
          <w:spacing w:val="10"/>
        </w:rPr>
        <w:t> </w:t>
      </w:r>
      <w:r>
        <w:rPr>
          <w:rFonts w:ascii="Times New Roman" w:hAnsi="Times New Roman" w:cs="Times New Roman" w:eastAsia="Times New Roman" w:hint="default"/>
          <w:spacing w:val="-4"/>
          <w:w w:val="100"/>
        </w:rPr>
        <w:t>“</w:t>
      </w:r>
      <w:r>
        <w:rPr>
          <w:spacing w:val="-4"/>
          <w:w w:val="100"/>
        </w:rPr>
        <w:t>长期股权投资</w:t>
      </w:r>
      <w:r>
        <w:rPr>
          <w:rFonts w:ascii="Times New Roman" w:hAnsi="Times New Roman" w:cs="Times New Roman" w:eastAsia="Times New Roman" w:hint="default"/>
          <w:spacing w:val="-4"/>
          <w:w w:val="100"/>
        </w:rPr>
        <w:t>”</w:t>
      </w:r>
      <w:r>
        <w:rPr>
          <w:spacing w:val="-4"/>
          <w:w w:val="100"/>
        </w:rPr>
        <w:t>或本附注三、（十）</w:t>
      </w:r>
      <w:r>
        <w:rPr>
          <w:rFonts w:ascii="Times New Roman" w:hAnsi="Times New Roman" w:cs="Times New Roman" w:eastAsia="Times New Roman" w:hint="default"/>
          <w:spacing w:val="-4"/>
          <w:w w:val="100"/>
        </w:rPr>
        <w:t>“</w:t>
      </w:r>
      <w:r>
        <w:rPr>
          <w:spacing w:val="-4"/>
          <w:w w:val="100"/>
        </w:rPr>
        <w:t>金融工具</w:t>
      </w:r>
      <w:r>
        <w:rPr>
          <w:rFonts w:ascii="Times New Roman" w:hAnsi="Times New Roman" w:cs="Times New Roman" w:eastAsia="Times New Roman" w:hint="default"/>
          <w:spacing w:val="-4"/>
          <w:w w:val="100"/>
        </w:rPr>
        <w:t>”</w:t>
      </w:r>
      <w:r>
        <w:rPr>
          <w:spacing w:val="-4"/>
          <w:w w:val="100"/>
        </w:rPr>
        <w:t>。</w:t>
      </w:r>
    </w:p>
    <w:p>
      <w:pPr>
        <w:spacing w:line="240" w:lineRule="auto" w:before="9"/>
        <w:rPr>
          <w:rFonts w:ascii="宋体" w:hAnsi="宋体" w:cs="宋体" w:eastAsia="宋体" w:hint="default"/>
          <w:sz w:val="12"/>
          <w:szCs w:val="12"/>
        </w:rPr>
      </w:pPr>
    </w:p>
    <w:p>
      <w:pPr>
        <w:pStyle w:val="BodyText"/>
        <w:spacing w:line="360" w:lineRule="auto"/>
        <w:ind w:left="1418" w:right="1181" w:firstLine="360"/>
        <w:jc w:val="both"/>
      </w:pPr>
      <w:r>
        <w:rPr/>
        <w:t>本公司通过多次交易分步处置对子公司股权投资直至丧失控制权的，需区分处置对子公司股权投资直至丧失控制 权的各项交易是否属于一揽子交易。处置对子公司股权投资的各项交易的条款、条件以及经济影响符合以下一种或多</w:t>
      </w:r>
      <w:r>
        <w:rPr>
          <w:spacing w:val="-63"/>
        </w:rPr>
        <w:t> </w:t>
      </w:r>
      <w:r>
        <w:rPr>
          <w:spacing w:val="-63"/>
        </w:rPr>
      </w:r>
      <w:r>
        <w:rPr>
          <w:spacing w:val="-2"/>
        </w:rPr>
        <w:t>种情况，通常表明应将多次交易事项作为一揽子交易进行会计处理：（</w:t>
      </w:r>
      <w:r>
        <w:rPr>
          <w:rFonts w:ascii="Times New Roman" w:hAnsi="Times New Roman" w:cs="Times New Roman" w:eastAsia="Times New Roman" w:hint="default"/>
          <w:spacing w:val="-2"/>
        </w:rPr>
        <w:t>1</w:t>
      </w:r>
      <w:r>
        <w:rPr>
          <w:spacing w:val="-2"/>
        </w:rPr>
        <w:t>）这些交易是同时或者在考虑了彼此影响的情</w:t>
      </w:r>
      <w:r>
        <w:rPr>
          <w:spacing w:val="-48"/>
        </w:rPr>
        <w:t> </w:t>
      </w:r>
      <w:r>
        <w:rPr>
          <w:spacing w:val="-48"/>
        </w:rPr>
      </w:r>
      <w:r>
        <w:rPr>
          <w:spacing w:val="-5"/>
        </w:rPr>
        <w:t>况下订立的；（</w:t>
      </w:r>
      <w:r>
        <w:rPr>
          <w:rFonts w:ascii="Times New Roman" w:hAnsi="Times New Roman" w:cs="Times New Roman" w:eastAsia="Times New Roman" w:hint="default"/>
          <w:spacing w:val="-5"/>
        </w:rPr>
        <w:t>2</w:t>
      </w:r>
      <w:r>
        <w:rPr>
          <w:spacing w:val="-5"/>
        </w:rPr>
        <w:t>）这些交易整体才能达成一项完整的商业结果；（</w:t>
      </w:r>
      <w:r>
        <w:rPr>
          <w:rFonts w:ascii="Times New Roman" w:hAnsi="Times New Roman" w:cs="Times New Roman" w:eastAsia="Times New Roman" w:hint="default"/>
          <w:spacing w:val="-5"/>
        </w:rPr>
        <w:t>3</w:t>
      </w:r>
      <w:r>
        <w:rPr>
          <w:spacing w:val="-5"/>
        </w:rPr>
        <w:t>）一项交易的发生取决于其他至少一项交易的发生；</w:t>
      </w:r>
    </w:p>
    <w:p>
      <w:pPr>
        <w:pStyle w:val="BodyText"/>
        <w:spacing w:line="355" w:lineRule="auto" w:before="11"/>
        <w:ind w:left="1418" w:right="1117"/>
        <w:jc w:val="left"/>
      </w:pPr>
      <w:r>
        <w:rPr/>
        <w:t>（</w:t>
      </w:r>
      <w:r>
        <w:rPr>
          <w:rFonts w:ascii="Times New Roman" w:hAnsi="Times New Roman" w:cs="Times New Roman" w:eastAsia="Times New Roman" w:hint="default"/>
        </w:rPr>
        <w:t>4</w:t>
      </w:r>
      <w:r>
        <w:rPr/>
        <w:t>）一项交易单独看是不经济的，但是和其他交易一并考虑时是经济的。不属于一揽子交易的，对其中的每一项交易 </w:t>
      </w:r>
      <w:r>
        <w:rPr>
          <w:spacing w:val="-5"/>
          <w:w w:val="100"/>
        </w:rPr>
        <w:t>视情况分别按照</w:t>
      </w:r>
      <w:r>
        <w:rPr>
          <w:rFonts w:ascii="Times New Roman" w:hAnsi="Times New Roman" w:cs="Times New Roman" w:eastAsia="Times New Roman" w:hint="default"/>
          <w:spacing w:val="-5"/>
          <w:w w:val="100"/>
        </w:rPr>
        <w:t>“</w:t>
      </w:r>
      <w:r>
        <w:rPr>
          <w:spacing w:val="-5"/>
          <w:w w:val="100"/>
        </w:rPr>
        <w:t>不丧失控制权的情况下部分处置对子公司的长期股权投资</w:t>
      </w:r>
      <w:r>
        <w:rPr>
          <w:rFonts w:ascii="Times New Roman" w:hAnsi="Times New Roman" w:cs="Times New Roman" w:eastAsia="Times New Roman" w:hint="default"/>
          <w:spacing w:val="-5"/>
          <w:w w:val="100"/>
        </w:rPr>
        <w:t>”</w:t>
      </w:r>
      <w:r>
        <w:rPr>
          <w:spacing w:val="-5"/>
          <w:w w:val="100"/>
        </w:rPr>
        <w:t>（详见本附注三、（十五）、</w:t>
      </w:r>
      <w:r>
        <w:rPr>
          <w:rFonts w:ascii="Times New Roman" w:hAnsi="Times New Roman" w:cs="Times New Roman" w:eastAsia="Times New Roman" w:hint="default"/>
          <w:spacing w:val="-5"/>
          <w:w w:val="100"/>
        </w:rPr>
        <w:t>4.1</w:t>
      </w:r>
      <w:r>
        <w:rPr>
          <w:spacing w:val="-5"/>
          <w:w w:val="100"/>
        </w:rPr>
        <w:t>）和</w:t>
      </w:r>
      <w:r>
        <w:rPr>
          <w:rFonts w:ascii="Times New Roman" w:hAnsi="Times New Roman" w:cs="Times New Roman" w:eastAsia="Times New Roman" w:hint="default"/>
          <w:spacing w:val="-5"/>
          <w:w w:val="100"/>
        </w:rPr>
        <w:t>“</w:t>
      </w:r>
      <w:r>
        <w:rPr>
          <w:spacing w:val="-5"/>
          <w:w w:val="100"/>
        </w:rPr>
        <w:t>因处置</w:t>
      </w:r>
      <w:r>
        <w:rPr>
          <w:spacing w:val="-63"/>
          <w:w w:val="100"/>
        </w:rPr>
        <w:t> </w:t>
      </w:r>
      <w:r>
        <w:rPr>
          <w:spacing w:val="-63"/>
          <w:w w:val="100"/>
        </w:rPr>
      </w:r>
      <w:r>
        <w:rPr/>
        <w:t>部分股权投资或其他原因丧失了对原有子公司的控制权</w:t>
      </w:r>
      <w:r>
        <w:rPr>
          <w:rFonts w:ascii="Times New Roman" w:hAnsi="Times New Roman" w:cs="Times New Roman" w:eastAsia="Times New Roman" w:hint="default"/>
        </w:rPr>
        <w:t>”</w:t>
      </w:r>
      <w:r>
        <w:rPr/>
        <w:t>（详见前段）适用的原则进行会计处理。处置对子公司股权投 </w:t>
      </w:r>
      <w:r>
        <w:rPr>
          <w:spacing w:val="-2"/>
        </w:rPr>
        <w:t>资直至丧失控制权的各项交易属于一揽子交易的，将各项交易作为一项处置子公司并丧失控制权的交易进行会计处理；</w:t>
      </w:r>
      <w:r>
        <w:rPr>
          <w:spacing w:val="-43"/>
        </w:rPr>
        <w:t> </w:t>
      </w:r>
      <w:r>
        <w:rPr>
          <w:spacing w:val="-43"/>
        </w:rPr>
      </w:r>
      <w:r>
        <w:rPr/>
        <w:t>但是，在丧失控制权之前每一次处置价款与处置投资对应的享有该子公司净资产份额的差额，在合并财务报表中确认</w:t>
      </w:r>
      <w:r>
        <w:rPr>
          <w:spacing w:val="-63"/>
        </w:rPr>
        <w:t> </w:t>
      </w:r>
      <w:r>
        <w:rPr>
          <w:spacing w:val="-63"/>
        </w:rPr>
      </w:r>
      <w:r>
        <w:rPr/>
        <w:t>为其他综合收益，在丧失控制权时一并转入丧失控制权当期的损益。</w:t>
      </w:r>
    </w:p>
    <w:p>
      <w:pPr>
        <w:spacing w:line="240" w:lineRule="auto" w:before="11"/>
        <w:rPr>
          <w:rFonts w:ascii="宋体" w:hAnsi="宋体" w:cs="宋体" w:eastAsia="宋体" w:hint="default"/>
          <w:sz w:val="14"/>
          <w:szCs w:val="14"/>
        </w:rPr>
      </w:pPr>
    </w:p>
    <w:p>
      <w:pPr>
        <w:pStyle w:val="BodyText"/>
        <w:spacing w:line="240" w:lineRule="auto"/>
        <w:ind w:right="1117"/>
        <w:jc w:val="left"/>
      </w:pPr>
      <w:bookmarkStart w:name="（七）合营安排" w:id="165"/>
      <w:bookmarkEnd w:id="165"/>
      <w:r>
        <w:rPr/>
      </w:r>
      <w:r>
        <w:rPr/>
        <w:t>（七）合营安排</w:t>
      </w:r>
    </w:p>
    <w:p>
      <w:pPr>
        <w:pStyle w:val="BodyText"/>
        <w:spacing w:line="510" w:lineRule="atLeast" w:before="19"/>
        <w:ind w:right="1117"/>
        <w:jc w:val="left"/>
      </w:pPr>
      <w:r>
        <w:rPr>
          <w:rFonts w:ascii="Times New Roman" w:hAnsi="Times New Roman" w:cs="Times New Roman" w:eastAsia="Times New Roman" w:hint="default"/>
        </w:rPr>
        <w:t>1.</w:t>
      </w:r>
      <w:r>
        <w:rPr/>
        <w:t>合营安排的认定和分类 合营安排，是指一项由两个或两个以上的参与方共同控制的安排。合营安排具有下列特征：</w:t>
      </w:r>
      <w:r>
        <w:rPr>
          <w:rFonts w:ascii="Times New Roman" w:hAnsi="Times New Roman" w:cs="Times New Roman" w:eastAsia="Times New Roman" w:hint="default"/>
        </w:rPr>
        <w:t>1)</w:t>
      </w:r>
      <w:r>
        <w:rPr/>
        <w:t>各参与方均受到该</w:t>
      </w:r>
    </w:p>
    <w:p>
      <w:pPr>
        <w:pStyle w:val="BodyText"/>
        <w:spacing w:line="348" w:lineRule="auto" w:before="111"/>
        <w:ind w:left="1418" w:right="1117"/>
        <w:jc w:val="left"/>
      </w:pPr>
      <w:r>
        <w:rPr/>
        <w:t>安排的约束；</w:t>
      </w:r>
      <w:r>
        <w:rPr>
          <w:rFonts w:ascii="Times New Roman" w:hAnsi="Times New Roman" w:cs="Times New Roman" w:eastAsia="Times New Roman" w:hint="default"/>
        </w:rPr>
        <w:t>2)</w:t>
      </w:r>
      <w:r>
        <w:rPr/>
        <w:t>两个或两个以上的参与方对该安排实施共同控制。任何一个参与方都不能够单独控制该安排，对该安</w:t>
      </w:r>
      <w:r>
        <w:rPr>
          <w:spacing w:val="-39"/>
        </w:rPr>
        <w:t> </w:t>
      </w:r>
      <w:r>
        <w:rPr>
          <w:spacing w:val="-39"/>
        </w:rPr>
      </w:r>
      <w:r>
        <w:rPr/>
        <w:t>排具有共同控制的任何一个参与方均能够阻止其他参与方或参与方组合单独控制该安排。</w:t>
      </w:r>
    </w:p>
    <w:p>
      <w:pPr>
        <w:spacing w:line="240" w:lineRule="auto" w:before="3"/>
        <w:rPr>
          <w:rFonts w:ascii="宋体" w:hAnsi="宋体" w:cs="宋体" w:eastAsia="宋体" w:hint="default"/>
          <w:sz w:val="15"/>
          <w:szCs w:val="15"/>
        </w:rPr>
      </w:pPr>
    </w:p>
    <w:p>
      <w:pPr>
        <w:pStyle w:val="BodyText"/>
        <w:spacing w:line="367" w:lineRule="auto"/>
        <w:ind w:left="1418" w:right="1274" w:firstLine="360"/>
        <w:jc w:val="both"/>
      </w:pPr>
      <w:r>
        <w:rPr/>
        <w:t>共同控制，是指按照相关约定对某项安排所共有的控制，并且该安排的相关活动必须经过分享控制权的参与方一 致同意后才能决策。</w:t>
      </w:r>
    </w:p>
    <w:p>
      <w:pPr>
        <w:spacing w:after="0" w:line="367"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ind w:left="1418" w:right="1274" w:firstLine="360"/>
        <w:jc w:val="both"/>
      </w:pPr>
      <w:r>
        <w:rPr/>
        <w:t>合营安排分为共同经营和合营企业。共同经营，是指合营方享有该安排相关资产且承担该安排相关负债的合营安 排。合营企业，是指合营方仅对该安排的净资产享有权利的合营安排。</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合营安排的会计处理</w:t>
      </w:r>
    </w:p>
    <w:p>
      <w:pPr>
        <w:spacing w:line="240" w:lineRule="auto" w:before="6"/>
        <w:rPr>
          <w:rFonts w:ascii="宋体" w:hAnsi="宋体" w:cs="宋体" w:eastAsia="宋体" w:hint="default"/>
          <w:sz w:val="20"/>
          <w:szCs w:val="20"/>
        </w:rPr>
      </w:pPr>
    </w:p>
    <w:p>
      <w:pPr>
        <w:pStyle w:val="BodyText"/>
        <w:spacing w:line="352" w:lineRule="auto"/>
        <w:ind w:left="1418" w:right="1271" w:firstLine="360"/>
        <w:jc w:val="both"/>
      </w:pPr>
      <w:r>
        <w:rPr/>
        <w:t>共同经营参与方确认其与共同经营中利益份额相关的下列项目，并按照相关企业会计准则的规定进行会计处理： </w:t>
      </w:r>
      <w:r>
        <w:rPr>
          <w:rFonts w:ascii="Times New Roman" w:hAnsi="Times New Roman" w:cs="Times New Roman" w:eastAsia="Times New Roman" w:hint="default"/>
          <w:spacing w:val="-2"/>
        </w:rPr>
        <w:t>1)</w:t>
      </w:r>
      <w:r>
        <w:rPr>
          <w:spacing w:val="-2"/>
        </w:rPr>
        <w:t>确认单独所持有的资产，以及按其份额确认共同持有的资产；</w:t>
      </w:r>
      <w:r>
        <w:rPr>
          <w:rFonts w:ascii="Times New Roman" w:hAnsi="Times New Roman" w:cs="Times New Roman" w:eastAsia="Times New Roman" w:hint="default"/>
          <w:spacing w:val="-2"/>
        </w:rPr>
        <w:t>2)</w:t>
      </w:r>
      <w:r>
        <w:rPr>
          <w:spacing w:val="-2"/>
        </w:rPr>
        <w:t>确认单独所承担的负债，以及按其份额确认共同承担</w:t>
      </w:r>
      <w:r>
        <w:rPr>
          <w:spacing w:val="-68"/>
        </w:rPr>
        <w:t> </w:t>
      </w:r>
      <w:r>
        <w:rPr>
          <w:spacing w:val="-68"/>
        </w:rPr>
      </w:r>
      <w:r>
        <w:rPr>
          <w:spacing w:val="-2"/>
        </w:rPr>
        <w:t>的负债；</w:t>
      </w:r>
      <w:r>
        <w:rPr>
          <w:rFonts w:ascii="Times New Roman" w:hAnsi="Times New Roman" w:cs="Times New Roman" w:eastAsia="Times New Roman" w:hint="default"/>
          <w:spacing w:val="-2"/>
        </w:rPr>
        <w:t>3)</w:t>
      </w:r>
      <w:r>
        <w:rPr>
          <w:spacing w:val="-2"/>
        </w:rPr>
        <w:t>确认出售其享有的共同经营产出份额所产生的收入；</w:t>
      </w:r>
      <w:r>
        <w:rPr>
          <w:rFonts w:ascii="Times New Roman" w:hAnsi="Times New Roman" w:cs="Times New Roman" w:eastAsia="Times New Roman" w:hint="default"/>
          <w:spacing w:val="-2"/>
        </w:rPr>
        <w:t>4)</w:t>
      </w:r>
      <w:r>
        <w:rPr>
          <w:spacing w:val="-2"/>
        </w:rPr>
        <w:t>按其份额确认共同经营因出售产出所产生的收入；</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8"/>
        </w:rPr>
        <w:t> </w:t>
      </w:r>
      <w:r>
        <w:rPr/>
        <w:t>确认单独所发生的费用，以及按其份额确认共同经营发生的费用。</w:t>
      </w:r>
    </w:p>
    <w:p>
      <w:pPr>
        <w:spacing w:line="240" w:lineRule="auto" w:before="13"/>
        <w:rPr>
          <w:rFonts w:ascii="宋体" w:hAnsi="宋体" w:cs="宋体" w:eastAsia="宋体" w:hint="default"/>
          <w:sz w:val="14"/>
          <w:szCs w:val="14"/>
        </w:rPr>
      </w:pPr>
    </w:p>
    <w:p>
      <w:pPr>
        <w:pStyle w:val="BodyText"/>
        <w:spacing w:line="240" w:lineRule="auto"/>
        <w:ind w:right="1117"/>
        <w:jc w:val="left"/>
      </w:pPr>
      <w:r>
        <w:rPr/>
        <w:t>合营企业参与方按照《企业会计准则第</w:t>
      </w:r>
      <w:r>
        <w:rPr>
          <w:spacing w:val="-46"/>
        </w:rPr>
        <w:t> </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长期股权投资》的规定对合营企业的投资进行会计处理。</w:t>
      </w:r>
    </w:p>
    <w:p>
      <w:pPr>
        <w:pStyle w:val="BodyText"/>
        <w:spacing w:line="516" w:lineRule="exact" w:before="64"/>
        <w:ind w:right="1117"/>
        <w:jc w:val="left"/>
      </w:pPr>
      <w:bookmarkStart w:name="（八）现金流量表之现金及现金等价物的确定标准" w:id="166"/>
      <w:bookmarkEnd w:id="166"/>
      <w:r>
        <w:rPr/>
      </w:r>
      <w:r>
        <w:rPr/>
        <w:t>（八）现金流量表之现金及现金等价物的确定标准 现金流量表的现金指企业库存现金及可以随时用于支付的存款。现金等价物指持有的期限短（一般是指从购买日</w:t>
      </w:r>
    </w:p>
    <w:p>
      <w:pPr>
        <w:pStyle w:val="BodyText"/>
        <w:spacing w:line="240" w:lineRule="auto" w:before="46"/>
        <w:ind w:left="1418" w:right="0"/>
        <w:jc w:val="both"/>
      </w:pPr>
      <w:r>
        <w:rPr/>
        <w:t>起三个月内到期</w:t>
      </w:r>
      <w:r>
        <w:rPr>
          <w:spacing w:val="-90"/>
        </w:rPr>
        <w:t>）</w:t>
      </w:r>
      <w:r>
        <w:rPr/>
        <w:t>、流动性强、易于转换为已知金额现金、价值变动风险很小的投资。</w:t>
      </w:r>
    </w:p>
    <w:p>
      <w:pPr>
        <w:spacing w:line="240" w:lineRule="auto" w:before="6"/>
        <w:rPr>
          <w:rFonts w:ascii="宋体" w:hAnsi="宋体" w:cs="宋体" w:eastAsia="宋体" w:hint="default"/>
          <w:sz w:val="21"/>
          <w:szCs w:val="21"/>
        </w:rPr>
      </w:pPr>
    </w:p>
    <w:p>
      <w:pPr>
        <w:pStyle w:val="BodyText"/>
        <w:spacing w:line="240" w:lineRule="auto"/>
        <w:ind w:right="1117"/>
        <w:jc w:val="left"/>
      </w:pPr>
      <w:bookmarkStart w:name="（九）外币业务和外币报表折算" w:id="167"/>
      <w:bookmarkEnd w:id="167"/>
      <w:r>
        <w:rPr/>
      </w:r>
      <w:r>
        <w:rPr/>
        <w:t>（九）外币业务和外币报表折算</w:t>
      </w:r>
    </w:p>
    <w:p>
      <w:pPr>
        <w:pStyle w:val="BodyText"/>
        <w:spacing w:line="500" w:lineRule="atLeast" w:before="29"/>
        <w:ind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外币业务折算 外币交易在初始确认时，采用交易发生日的即期汇率折算为人民币金额。资产负债表日，外币货币性项目采用资</w:t>
      </w:r>
    </w:p>
    <w:p>
      <w:pPr>
        <w:pStyle w:val="BodyText"/>
        <w:spacing w:line="367" w:lineRule="auto" w:before="124"/>
        <w:ind w:left="1418" w:right="1275"/>
        <w:jc w:val="both"/>
      </w:pPr>
      <w:r>
        <w:rPr/>
        <w:t>产负债表日即期汇率折算，因汇率不同而产生的汇兑差额，除与购建符合资本化条件资产有关的外币专门借款本金及</w:t>
      </w:r>
      <w:r>
        <w:rPr>
          <w:spacing w:val="-63"/>
        </w:rPr>
        <w:t> </w:t>
      </w:r>
      <w:r>
        <w:rPr>
          <w:spacing w:val="-63"/>
        </w:rPr>
      </w:r>
      <w:r>
        <w:rPr/>
        <w:t>利息的汇兑差额外，计入当期损益；以历史成本计量的外币非货币性项目仍采用交易发生日的即期汇率折算，不改变</w:t>
      </w:r>
      <w:r>
        <w:rPr>
          <w:spacing w:val="-63"/>
        </w:rPr>
        <w:t> </w:t>
      </w:r>
      <w:r>
        <w:rPr>
          <w:spacing w:val="-63"/>
        </w:rPr>
      </w:r>
      <w:r>
        <w:rPr/>
        <w:t>其人民币金额；以公允价值计量的外币非货币性项目，采用公允价值确定日的即期汇率折算，差额计入当期损益或其</w:t>
      </w:r>
      <w:r>
        <w:rPr>
          <w:spacing w:val="-63"/>
        </w:rPr>
        <w:t> </w:t>
      </w:r>
      <w:r>
        <w:rPr>
          <w:spacing w:val="-63"/>
        </w:rPr>
      </w:r>
      <w:r>
        <w:rPr/>
        <w:t>他综合收益。</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外币财务报表折算</w:t>
      </w:r>
    </w:p>
    <w:p>
      <w:pPr>
        <w:spacing w:line="240" w:lineRule="auto" w:before="5"/>
        <w:rPr>
          <w:rFonts w:ascii="宋体" w:hAnsi="宋体" w:cs="宋体" w:eastAsia="宋体" w:hint="default"/>
          <w:sz w:val="20"/>
          <w:szCs w:val="20"/>
        </w:rPr>
      </w:pPr>
    </w:p>
    <w:p>
      <w:pPr>
        <w:pStyle w:val="BodyText"/>
        <w:spacing w:line="357" w:lineRule="auto"/>
        <w:ind w:left="1418" w:right="1269" w:firstLine="36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 其他项目采用交易发生日的即期汇率折算；利润表中的收入和费用项目，采用交易发生日的即期汇率折算。按照上述</w:t>
      </w:r>
      <w:r>
        <w:rPr>
          <w:spacing w:val="-63"/>
        </w:rPr>
        <w:t> </w:t>
      </w:r>
      <w:r>
        <w:rPr>
          <w:spacing w:val="-63"/>
        </w:rPr>
      </w:r>
      <w:r>
        <w:rPr/>
        <w:t>折算产生的外币财务报表折算差额，确认为其他综合收益。</w:t>
      </w:r>
    </w:p>
    <w:p>
      <w:pPr>
        <w:spacing w:line="240" w:lineRule="auto" w:before="9"/>
        <w:rPr>
          <w:rFonts w:ascii="宋体" w:hAnsi="宋体" w:cs="宋体" w:eastAsia="宋体" w:hint="default"/>
          <w:sz w:val="14"/>
          <w:szCs w:val="14"/>
        </w:rPr>
      </w:pPr>
    </w:p>
    <w:p>
      <w:pPr>
        <w:pStyle w:val="BodyText"/>
        <w:spacing w:line="240" w:lineRule="auto"/>
        <w:ind w:right="1117"/>
        <w:jc w:val="left"/>
      </w:pPr>
      <w:bookmarkStart w:name="（十）金融工具" w:id="168"/>
      <w:bookmarkEnd w:id="168"/>
      <w:r>
        <w:rPr/>
      </w:r>
      <w:r>
        <w:rPr/>
        <w:t>（十）金融工具</w:t>
      </w:r>
    </w:p>
    <w:p>
      <w:pPr>
        <w:pStyle w:val="BodyText"/>
        <w:spacing w:line="500" w:lineRule="atLeast" w:before="29"/>
        <w:ind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金融资产和金融负债的分类 金融资产在初始确认时划分为以下四类：以公允价值计量且其变动计入当期损益的金融资产（包括交易性金融资</w:t>
      </w:r>
    </w:p>
    <w:p>
      <w:pPr>
        <w:pStyle w:val="BodyText"/>
        <w:spacing w:line="367" w:lineRule="auto" w:before="124"/>
        <w:ind w:left="1418" w:right="1273"/>
        <w:jc w:val="both"/>
      </w:pPr>
      <w:r>
        <w:rPr>
          <w:spacing w:val="-3"/>
        </w:rPr>
        <w:t>产和指定为以公允价值计量且其变动计入当期损益的金融资产）、持有至到期投资、贷款和应收款项、可供出售金融资</w:t>
      </w:r>
      <w:r>
        <w:rPr>
          <w:spacing w:val="-84"/>
        </w:rPr>
        <w:t> </w:t>
      </w:r>
      <w:r>
        <w:rPr>
          <w:spacing w:val="-84"/>
        </w:rPr>
      </w:r>
      <w:r>
        <w:rPr/>
        <w:t>产。</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金融负债在初始确认时划分为以下两类：以公允价值计量且其变动计入当期损益的金融负债（包括交易性金融负 </w:t>
      </w:r>
      <w:r>
        <w:rPr>
          <w:spacing w:val="-3"/>
        </w:rPr>
        <w:t>债和指定为以公允价值计量且其变动计入当期损益的金融负债）、其他金融负债。</w:t>
      </w:r>
    </w:p>
    <w:p>
      <w:pPr>
        <w:spacing w:line="240" w:lineRule="auto" w:before="2"/>
        <w:rPr>
          <w:rFonts w:ascii="宋体" w:hAnsi="宋体" w:cs="宋体" w:eastAsia="宋体" w:hint="default"/>
          <w:sz w:val="14"/>
          <w:szCs w:val="14"/>
        </w:rPr>
      </w:pPr>
    </w:p>
    <w:p>
      <w:pPr>
        <w:pStyle w:val="BodyText"/>
        <w:spacing w:line="496" w:lineRule="auto"/>
        <w:ind w:right="1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金融资产和金融负债的确认依据、计量方法和终止确认条件 本公司成为金融工具合同的一方时，确认一项金融资产或金融负债。初始确认金融资产或金融负债时，按照公允</w:t>
      </w:r>
    </w:p>
    <w:p>
      <w:pPr>
        <w:spacing w:after="0" w:line="496"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ind w:left="1418" w:right="1275"/>
        <w:jc w:val="both"/>
      </w:pPr>
      <w:r>
        <w:rPr/>
        <w:t>价值计量；对于以公允价值计量且其变动计入当期损益的金融资产和金融负债，相关交易费用直接计入当期损益；对</w:t>
      </w:r>
      <w:r>
        <w:rPr>
          <w:spacing w:val="-63"/>
        </w:rPr>
        <w:t> </w:t>
      </w:r>
      <w:r>
        <w:rPr>
          <w:spacing w:val="-63"/>
        </w:rPr>
      </w:r>
      <w:r>
        <w:rPr/>
        <w:t>于其他类别的金融资产或金融负债，相关交易费用计入初始确认金额。</w:t>
      </w:r>
    </w:p>
    <w:p>
      <w:pPr>
        <w:spacing w:line="240" w:lineRule="auto" w:before="2"/>
        <w:rPr>
          <w:rFonts w:ascii="宋体" w:hAnsi="宋体" w:cs="宋体" w:eastAsia="宋体" w:hint="default"/>
          <w:sz w:val="14"/>
          <w:szCs w:val="14"/>
        </w:rPr>
      </w:pPr>
    </w:p>
    <w:p>
      <w:pPr>
        <w:pStyle w:val="BodyText"/>
        <w:spacing w:line="360" w:lineRule="auto"/>
        <w:ind w:left="1418" w:right="1271" w:firstLine="360"/>
        <w:jc w:val="both"/>
      </w:pPr>
      <w:r>
        <w:rPr/>
        <w:t>本公司按照公允价值对金融资产进行后续计量，且不扣除将来处置该金融资产时可能发生的交易费用，但下列情 </w:t>
      </w:r>
      <w:r>
        <w:rPr>
          <w:spacing w:val="-3"/>
        </w:rPr>
        <w:t>况除外：（</w:t>
      </w:r>
      <w:r>
        <w:rPr>
          <w:rFonts w:ascii="Times New Roman" w:hAnsi="Times New Roman" w:cs="Times New Roman" w:eastAsia="Times New Roman" w:hint="default"/>
          <w:spacing w:val="-3"/>
        </w:rPr>
        <w:t>1</w:t>
      </w:r>
      <w:r>
        <w:rPr>
          <w:spacing w:val="-3"/>
        </w:rPr>
        <w:t>）持有至到期投资以及贷款和应收款项采用实际利率法，按摊余成本计量；（</w:t>
      </w:r>
      <w:r>
        <w:rPr>
          <w:rFonts w:ascii="Times New Roman" w:hAnsi="Times New Roman" w:cs="Times New Roman" w:eastAsia="Times New Roman" w:hint="default"/>
          <w:spacing w:val="-3"/>
        </w:rPr>
        <w:t>2</w:t>
      </w:r>
      <w:r>
        <w:rPr>
          <w:spacing w:val="-3"/>
        </w:rPr>
        <w:t>）在活跃市场中没有报价且</w:t>
      </w:r>
      <w:r>
        <w:rPr>
          <w:spacing w:val="-82"/>
        </w:rPr>
        <w:t> </w:t>
      </w:r>
      <w:r>
        <w:rPr>
          <w:spacing w:val="-82"/>
        </w:rPr>
      </w:r>
      <w:r>
        <w:rPr/>
        <w:t>其公允价值不能可靠计量的权益工具投资，以及与该权益工具挂钩并须通过交付该权益工具结算的衍生金融资产，按</w:t>
      </w:r>
      <w:r>
        <w:rPr>
          <w:spacing w:val="-63"/>
        </w:rPr>
        <w:t> </w:t>
      </w:r>
      <w:r>
        <w:rPr>
          <w:spacing w:val="-63"/>
        </w:rPr>
      </w:r>
      <w:r>
        <w:rPr/>
        <w:t>照成本计量。</w:t>
      </w:r>
    </w:p>
    <w:p>
      <w:pPr>
        <w:spacing w:line="240" w:lineRule="auto" w:before="7"/>
        <w:rPr>
          <w:rFonts w:ascii="宋体" w:hAnsi="宋体" w:cs="宋体" w:eastAsia="宋体" w:hint="default"/>
          <w:sz w:val="14"/>
          <w:szCs w:val="14"/>
        </w:rPr>
      </w:pPr>
    </w:p>
    <w:p>
      <w:pPr>
        <w:pStyle w:val="BodyText"/>
        <w:spacing w:line="345" w:lineRule="auto"/>
        <w:ind w:left="1418" w:right="1181" w:firstLine="360"/>
        <w:jc w:val="both"/>
      </w:pPr>
      <w:r>
        <w:rPr>
          <w:spacing w:val="-2"/>
        </w:rPr>
        <w:t>本公司采用实际利率法，按摊余成本对金融负债进行后续计量，但下列情况除外：（</w:t>
      </w:r>
      <w:r>
        <w:rPr>
          <w:rFonts w:ascii="Times New Roman" w:hAnsi="Times New Roman" w:cs="Times New Roman" w:eastAsia="Times New Roman" w:hint="default"/>
          <w:spacing w:val="-2"/>
        </w:rPr>
        <w:t>1</w:t>
      </w:r>
      <w:r>
        <w:rPr>
          <w:spacing w:val="-2"/>
        </w:rPr>
        <w:t>）以公允价值计量且其变动</w:t>
      </w:r>
      <w:r>
        <w:rPr/>
        <w:t> </w:t>
      </w:r>
      <w:r>
        <w:rPr>
          <w:spacing w:val="-2"/>
        </w:rPr>
        <w:t>计入当期损益的金融负债，按照公允价值计量，且不扣除将来结清金融负债时可能发生的交易费用；（</w:t>
      </w:r>
      <w:r>
        <w:rPr>
          <w:rFonts w:ascii="Times New Roman" w:hAnsi="Times New Roman" w:cs="Times New Roman" w:eastAsia="Times New Roman" w:hint="default"/>
          <w:spacing w:val="-2"/>
        </w:rPr>
        <w:t>2</w:t>
      </w:r>
      <w:r>
        <w:rPr>
          <w:spacing w:val="-2"/>
        </w:rPr>
        <w:t>）与在活跃市</w:t>
      </w:r>
      <w:r>
        <w:rPr>
          <w:spacing w:val="-46"/>
        </w:rPr>
        <w:t> </w:t>
      </w:r>
      <w:r>
        <w:rPr>
          <w:spacing w:val="-46"/>
        </w:rPr>
      </w:r>
      <w:r>
        <w:rPr>
          <w:spacing w:val="-2"/>
        </w:rPr>
        <w:t>场中没有报价、公允价值不能可靠计量的权益工具挂钩并须通过交付该权益工具结算的衍生金融负债，按照成本计量；</w:t>
      </w:r>
    </w:p>
    <w:p>
      <w:pPr>
        <w:pStyle w:val="BodyText"/>
        <w:spacing w:line="352" w:lineRule="auto" w:before="45"/>
        <w:ind w:left="1418" w:right="1270"/>
        <w:jc w:val="both"/>
      </w:pPr>
      <w:r>
        <w:rPr>
          <w:spacing w:val="-2"/>
        </w:rPr>
        <w:t>（</w:t>
      </w:r>
      <w:r>
        <w:rPr>
          <w:rFonts w:ascii="Times New Roman" w:hAnsi="Times New Roman" w:cs="Times New Roman" w:eastAsia="Times New Roman" w:hint="default"/>
          <w:spacing w:val="-2"/>
        </w:rPr>
        <w:t>3</w:t>
      </w:r>
      <w:r>
        <w:rPr>
          <w:spacing w:val="-2"/>
        </w:rPr>
        <w:t>）不属于指定为以公允价值计量且其变动计入当期损益的金融负债的财务担保合同，或没有指定为以公允价值计量</w:t>
      </w:r>
      <w:r>
        <w:rPr>
          <w:spacing w:val="-42"/>
        </w:rPr>
        <w:t> </w:t>
      </w:r>
      <w:r>
        <w:rPr>
          <w:spacing w:val="-42"/>
        </w:rPr>
      </w:r>
      <w:r>
        <w:rPr/>
        <w:t>且其变动计入当期损益并将以低于市场利率贷款的贷款承诺，在初始确认后按照下列两项金额之中的较高者进行后续</w:t>
      </w:r>
      <w:r>
        <w:rPr>
          <w:spacing w:val="-59"/>
        </w:rPr>
        <w:t> </w:t>
      </w:r>
      <w:r>
        <w:rPr>
          <w:spacing w:val="-59"/>
        </w:rPr>
      </w:r>
      <w:r>
        <w:rPr/>
        <w:t>计量：</w:t>
      </w:r>
      <w:r>
        <w:rPr>
          <w:rFonts w:ascii="Times New Roman" w:hAnsi="Times New Roman" w:cs="Times New Roman" w:eastAsia="Times New Roman" w:hint="default"/>
        </w:rPr>
        <w:t>1</w:t>
      </w:r>
      <w:r>
        <w:rPr/>
        <w:t>）按照《企业会计准则第 </w:t>
      </w:r>
      <w:r>
        <w:rPr>
          <w:rFonts w:ascii="Times New Roman" w:hAnsi="Times New Roman" w:cs="Times New Roman" w:eastAsia="Times New Roman" w:hint="default"/>
        </w:rPr>
        <w:t>13 </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w:t>
      </w:r>
      <w:r>
        <w:rPr/>
        <w:t>）初始确认金额扣除按照《企业会计准则第</w:t>
      </w:r>
      <w:r>
        <w:rPr>
          <w:spacing w:val="-59"/>
        </w:rPr>
        <w:t> </w:t>
      </w:r>
      <w:r>
        <w:rPr>
          <w:rFonts w:ascii="Times New Roman" w:hAnsi="Times New Roman" w:cs="Times New Roman" w:eastAsia="Times New Roman" w:hint="default"/>
        </w:rPr>
        <w:t>14 </w:t>
      </w:r>
      <w:r>
        <w:rPr/>
        <w:t>号</w:t>
      </w:r>
      <w:r>
        <w:rPr>
          <w:rFonts w:ascii="Times New Roman" w:hAnsi="Times New Roman" w:cs="Times New Roman" w:eastAsia="Times New Roman" w:hint="default"/>
        </w:rPr>
        <w:t>——</w:t>
      </w:r>
      <w:r>
        <w:rPr/>
        <w:t>收入》的原则确定的累积摊销额后的余额。</w:t>
      </w:r>
    </w:p>
    <w:p>
      <w:pPr>
        <w:spacing w:line="240" w:lineRule="auto" w:before="3"/>
        <w:rPr>
          <w:rFonts w:ascii="宋体" w:hAnsi="宋体" w:cs="宋体" w:eastAsia="宋体" w:hint="default"/>
          <w:sz w:val="13"/>
          <w:szCs w:val="13"/>
        </w:rPr>
      </w:pPr>
    </w:p>
    <w:p>
      <w:pPr>
        <w:pStyle w:val="BodyText"/>
        <w:spacing w:line="360" w:lineRule="auto"/>
        <w:ind w:left="1418" w:right="1271" w:firstLine="36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spacing w:val="-2"/>
        </w:rPr>
        <w:t>）以公允价</w:t>
      </w:r>
      <w:r>
        <w:rPr/>
        <w:t> 值计量且其变动计入当期损益的金融资产或金融负债公允价值变动形成的利得或损失，计入公允价值变动损益；在资</w:t>
      </w:r>
      <w:r>
        <w:rPr>
          <w:spacing w:val="-63"/>
        </w:rPr>
        <w:t> </w:t>
      </w:r>
      <w:r>
        <w:rPr>
          <w:spacing w:val="-63"/>
        </w:rPr>
      </w:r>
      <w:r>
        <w:rPr/>
        <w:t>产持有期间所取得的利息或现金股利，确认为投资收益；处置时，将实际收到的金额与初始入账金额之间的差额确认</w:t>
      </w:r>
      <w:r>
        <w:rPr>
          <w:spacing w:val="-63"/>
        </w:rPr>
        <w:t> </w:t>
      </w:r>
      <w:r>
        <w:rPr>
          <w:spacing w:val="-63"/>
        </w:rPr>
      </w:r>
      <w:r>
        <w:rPr>
          <w:spacing w:val="-2"/>
        </w:rPr>
        <w:t>为投资收益，同时调整公允价值变动损益。（</w:t>
      </w:r>
      <w:r>
        <w:rPr>
          <w:rFonts w:ascii="Times New Roman" w:hAnsi="Times New Roman" w:cs="Times New Roman" w:eastAsia="Times New Roman" w:hint="default"/>
          <w:spacing w:val="-2"/>
        </w:rPr>
        <w:t>2</w:t>
      </w:r>
      <w:r>
        <w:rPr>
          <w:spacing w:val="-2"/>
        </w:rPr>
        <w:t>）可供出售金融资产的公允价值变动计入其他综合收益；持有期间按实</w:t>
      </w:r>
      <w:r>
        <w:rPr>
          <w:spacing w:val="-48"/>
        </w:rPr>
        <w:t> </w:t>
      </w:r>
      <w:r>
        <w:rPr>
          <w:spacing w:val="-48"/>
        </w:rPr>
      </w:r>
      <w:r>
        <w:rPr/>
        <w:t>际利率法计算的利息，计入投资收益；可供出售权益工具投资的现金股利，于被投资单位宣告发放股利时计入投资收</w:t>
      </w:r>
      <w:r>
        <w:rPr>
          <w:spacing w:val="-63"/>
        </w:rPr>
        <w:t> </w:t>
      </w:r>
      <w:r>
        <w:rPr>
          <w:spacing w:val="-63"/>
        </w:rPr>
      </w:r>
      <w:r>
        <w:rPr/>
        <w:t>益；处置时，将实际收到的金额与账面价值扣除原直接计入其他综合收益的公允价值变动累计额之后的差额确认为投</w:t>
      </w:r>
      <w:r>
        <w:rPr>
          <w:spacing w:val="-63"/>
        </w:rPr>
        <w:t> </w:t>
      </w:r>
      <w:r>
        <w:rPr>
          <w:spacing w:val="-63"/>
        </w:rPr>
      </w:r>
      <w:r>
        <w:rPr/>
        <w:t>资收益。</w:t>
      </w:r>
    </w:p>
    <w:p>
      <w:pPr>
        <w:spacing w:line="240" w:lineRule="auto" w:before="7"/>
        <w:rPr>
          <w:rFonts w:ascii="宋体" w:hAnsi="宋体" w:cs="宋体" w:eastAsia="宋体" w:hint="default"/>
          <w:sz w:val="14"/>
          <w:szCs w:val="14"/>
        </w:rPr>
      </w:pPr>
    </w:p>
    <w:p>
      <w:pPr>
        <w:pStyle w:val="BodyText"/>
        <w:spacing w:line="367" w:lineRule="auto"/>
        <w:ind w:left="1418" w:right="1274" w:firstLine="360"/>
        <w:jc w:val="both"/>
      </w:pPr>
      <w:r>
        <w:rPr/>
        <w:t>当收取某项金融资产现金流量的合同权利已终止或该金融资产所有权上几乎所有的风险和报酬已转移时，终止确 认该金融资产；当金融负债的现时义务全部或部分解除时，相应终止确认该金融负债或其一部分。</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金融资产转移的确认依据和计量方法</w:t>
      </w:r>
    </w:p>
    <w:p>
      <w:pPr>
        <w:spacing w:line="240" w:lineRule="auto" w:before="5"/>
        <w:rPr>
          <w:rFonts w:ascii="宋体" w:hAnsi="宋体" w:cs="宋体" w:eastAsia="宋体" w:hint="default"/>
          <w:sz w:val="20"/>
          <w:szCs w:val="20"/>
        </w:rPr>
      </w:pPr>
    </w:p>
    <w:p>
      <w:pPr>
        <w:pStyle w:val="BodyText"/>
        <w:spacing w:line="357" w:lineRule="auto"/>
        <w:ind w:left="1418" w:right="1273" w:firstLine="360"/>
        <w:jc w:val="both"/>
      </w:pPr>
      <w:r>
        <w:rPr/>
        <w:t>本公司已将金融资产所有权上几乎所有的风险和报酬转移给了转入方的，终止确认该金融资产；保留了金融资产 所有权上几乎所有的风险和报酬的，继续确认所转移的金融资产，并将收到的对价确认为一项金融负债。本公司既没</w:t>
      </w:r>
      <w:r>
        <w:rPr>
          <w:spacing w:val="-63"/>
        </w:rPr>
        <w:t> </w:t>
      </w:r>
      <w:r>
        <w:rPr>
          <w:spacing w:val="-63"/>
        </w:rPr>
      </w:r>
      <w:r>
        <w:rPr>
          <w:spacing w:val="-5"/>
        </w:rPr>
        <w:t>有转移也没有保留金融资产所有权上几乎所有的风险和报酬的，分别下列情况处理：（</w:t>
      </w:r>
      <w:r>
        <w:rPr>
          <w:rFonts w:ascii="Times New Roman" w:hAnsi="Times New Roman" w:cs="Times New Roman" w:eastAsia="Times New Roman" w:hint="default"/>
          <w:spacing w:val="-5"/>
        </w:rPr>
        <w:t>1</w:t>
      </w:r>
      <w:r>
        <w:rPr>
          <w:spacing w:val="-5"/>
        </w:rPr>
        <w:t>）放弃了对该金融资产控制的，</w:t>
      </w:r>
      <w:r>
        <w:rPr>
          <w:spacing w:val="-64"/>
        </w:rPr>
        <w:t> </w:t>
      </w:r>
      <w:r>
        <w:rPr>
          <w:spacing w:val="-64"/>
        </w:rPr>
      </w:r>
      <w:r>
        <w:rPr>
          <w:spacing w:val="-9"/>
        </w:rPr>
        <w:t>终止确认该金融资产；（</w:t>
      </w:r>
      <w:r>
        <w:rPr>
          <w:rFonts w:ascii="Times New Roman" w:hAnsi="Times New Roman" w:cs="Times New Roman" w:eastAsia="Times New Roman" w:hint="default"/>
          <w:spacing w:val="-9"/>
        </w:rPr>
        <w:t>2</w:t>
      </w:r>
      <w:r>
        <w:rPr>
          <w:spacing w:val="-9"/>
        </w:rPr>
        <w:t>）</w:t>
      </w:r>
      <w:r>
        <w:rPr>
          <w:spacing w:val="5"/>
        </w:rPr>
        <w:t> </w:t>
      </w:r>
      <w:r>
        <w:rPr>
          <w:spacing w:val="-1"/>
        </w:rPr>
        <w:t>未放弃对该金融资产控制的，按照继续涉入所转移金融资产的程度确认有关金融资产，并</w:t>
      </w:r>
      <w:r>
        <w:rPr/>
        <w:t> 相应确认有关负债。</w:t>
      </w:r>
    </w:p>
    <w:p>
      <w:pPr>
        <w:spacing w:line="240" w:lineRule="auto" w:before="9"/>
        <w:rPr>
          <w:rFonts w:ascii="宋体" w:hAnsi="宋体" w:cs="宋体" w:eastAsia="宋体" w:hint="default"/>
          <w:sz w:val="14"/>
          <w:szCs w:val="14"/>
        </w:rPr>
      </w:pPr>
    </w:p>
    <w:p>
      <w:pPr>
        <w:pStyle w:val="BodyText"/>
        <w:spacing w:line="240" w:lineRule="auto"/>
        <w:ind w:right="1117"/>
        <w:jc w:val="left"/>
      </w:pPr>
      <w:r>
        <w:rPr/>
        <w:t>金融资产整体转移满足终止确认条件的</w:t>
      </w:r>
      <w:r>
        <w:rPr>
          <w:spacing w:val="-50"/>
        </w:rPr>
        <w:t>，</w:t>
      </w:r>
      <w:r>
        <w:rPr/>
        <w:t>将下列两项金额的差额计入当期损益</w:t>
      </w:r>
      <w:r>
        <w:rPr>
          <w:spacing w:val="-140"/>
        </w:rPr>
        <w:t>：</w:t>
      </w:r>
      <w:r>
        <w:rPr/>
        <w:t>（</w:t>
      </w:r>
      <w:r>
        <w:rPr>
          <w:rFonts w:ascii="Times New Roman" w:hAnsi="Times New Roman" w:cs="Times New Roman" w:eastAsia="Times New Roman" w:hint="default"/>
        </w:rPr>
        <w:t>1</w:t>
      </w:r>
      <w:r>
        <w:rPr/>
        <w:t>）</w:t>
      </w:r>
      <w:r>
        <w:rPr>
          <w:spacing w:val="-48"/>
        </w:rPr>
        <w:t> </w:t>
      </w:r>
      <w:r>
        <w:rPr/>
        <w:t>所转移金融资产的账面价值；</w:t>
      </w:r>
    </w:p>
    <w:p>
      <w:pPr>
        <w:pStyle w:val="BodyText"/>
        <w:spacing w:line="352" w:lineRule="auto" w:before="111"/>
        <w:ind w:left="1418" w:right="1271"/>
        <w:jc w:val="both"/>
      </w:pPr>
      <w:r>
        <w:rPr/>
        <w:t>（</w:t>
      </w:r>
      <w:r>
        <w:rPr>
          <w:rFonts w:ascii="Times New Roman" w:hAnsi="Times New Roman" w:cs="Times New Roman" w:eastAsia="Times New Roman" w:hint="default"/>
        </w:rPr>
        <w:t>2</w:t>
      </w:r>
      <w:r>
        <w:rPr/>
        <w:t>）</w:t>
      </w:r>
      <w:r>
        <w:rPr>
          <w:spacing w:val="24"/>
        </w:rPr>
        <w:t> </w:t>
      </w:r>
      <w:r>
        <w:rPr/>
        <w:t>因转移而收到的对价，与原直接计入其他综合收益的公允价值变动累计额之和。金融资产部分转移满足终止确</w:t>
      </w:r>
      <w:r>
        <w:rPr>
          <w:spacing w:val="-87"/>
        </w:rPr>
        <w:t> </w:t>
      </w:r>
      <w:r>
        <w:rPr>
          <w:spacing w:val="-87"/>
        </w:rPr>
      </w:r>
      <w:r>
        <w:rPr/>
        <w:t>认条件的，将所转移金融资产整体的账面价值，在终止确认部分和未终止确认部分之间，按照各自的相对公允价值进</w:t>
      </w:r>
      <w:r>
        <w:rPr>
          <w:spacing w:val="-63"/>
        </w:rPr>
        <w:t> </w:t>
      </w:r>
      <w:r>
        <w:rPr>
          <w:spacing w:val="-63"/>
        </w:rPr>
      </w:r>
      <w:r>
        <w:rPr>
          <w:spacing w:val="-3"/>
        </w:rPr>
        <w:t>行分摊，并将下列两项金额的差额计入当期损益：（</w:t>
      </w:r>
      <w:r>
        <w:rPr>
          <w:rFonts w:ascii="Times New Roman" w:hAnsi="Times New Roman" w:cs="Times New Roman" w:eastAsia="Times New Roman" w:hint="default"/>
          <w:spacing w:val="-3"/>
        </w:rPr>
        <w:t>1</w:t>
      </w:r>
      <w:r>
        <w:rPr>
          <w:spacing w:val="-3"/>
        </w:rPr>
        <w:t>）</w:t>
      </w:r>
      <w:r>
        <w:rPr/>
        <w:t> </w:t>
      </w:r>
      <w:r>
        <w:rPr>
          <w:spacing w:val="-6"/>
        </w:rPr>
        <w:t>终止确认部分的账面价值；（</w:t>
      </w:r>
      <w:r>
        <w:rPr>
          <w:rFonts w:ascii="Times New Roman" w:hAnsi="Times New Roman" w:cs="Times New Roman" w:eastAsia="Times New Roman" w:hint="default"/>
          <w:spacing w:val="-6"/>
        </w:rPr>
        <w:t>2</w:t>
      </w:r>
      <w:r>
        <w:rPr>
          <w:spacing w:val="-6"/>
        </w:rPr>
        <w:t>）</w:t>
      </w:r>
      <w:r>
        <w:rPr>
          <w:spacing w:val="14"/>
        </w:rPr>
        <w:t> </w:t>
      </w:r>
      <w:r>
        <w:rPr/>
        <w:t>终止确认部分的对价，与原</w:t>
      </w:r>
      <w:r>
        <w:rPr/>
        <w:t> 直接计入其他综合收益的公允价值变动累计额中对应终止确认部分的金额之和。</w:t>
      </w:r>
    </w:p>
    <w:p>
      <w:pPr>
        <w:spacing w:line="240" w:lineRule="auto" w:before="10"/>
        <w:rPr>
          <w:rFonts w:ascii="宋体" w:hAnsi="宋体" w:cs="宋体" w:eastAsia="宋体" w:hint="default"/>
          <w:sz w:val="13"/>
          <w:szCs w:val="13"/>
        </w:rPr>
      </w:pPr>
    </w:p>
    <w:p>
      <w:pPr>
        <w:pStyle w:val="BodyText"/>
        <w:spacing w:line="240" w:lineRule="auto"/>
        <w:ind w:right="111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主要金融资产和金融负债的公允价值确定方法</w:t>
      </w:r>
    </w:p>
    <w:p>
      <w:pPr>
        <w:spacing w:after="0" w:line="240" w:lineRule="auto"/>
        <w:jc w:val="left"/>
        <w:sectPr>
          <w:pgSz w:w="11910" w:h="16840"/>
          <w:pgMar w:header="877" w:footer="979" w:top="1060" w:bottom="1160" w:left="0" w:right="0"/>
        </w:sectPr>
      </w:pPr>
    </w:p>
    <w:p>
      <w:pPr>
        <w:spacing w:line="240" w:lineRule="auto" w:before="11"/>
        <w:rPr>
          <w:rFonts w:ascii="宋体" w:hAnsi="宋体" w:cs="宋体" w:eastAsia="宋体" w:hint="default"/>
          <w:sz w:val="29"/>
          <w:szCs w:val="29"/>
        </w:rPr>
      </w:pPr>
    </w:p>
    <w:p>
      <w:pPr>
        <w:pStyle w:val="BodyText"/>
        <w:spacing w:line="345" w:lineRule="auto" w:before="44"/>
        <w:ind w:left="1418" w:right="1270" w:firstLine="360"/>
        <w:jc w:val="both"/>
      </w:pPr>
      <w:r>
        <w:rPr/>
        <w:t>存在活跃市场的金融资产或金融负债，以活跃市场的报价确定其公允价值；不存在活跃市场的金融资产或金融负 债，采用估值技术（包括参考熟悉情况并自愿交易的各方最近进行的市场交易中使用的价格、参照实质上相同的其他</w:t>
      </w:r>
      <w:r>
        <w:rPr>
          <w:spacing w:val="-63"/>
        </w:rPr>
        <w:t> </w:t>
      </w:r>
      <w:r>
        <w:rPr>
          <w:spacing w:val="-63"/>
        </w:rPr>
      </w:r>
      <w:r>
        <w:rPr/>
        <w:t>金融工具的当前公允价值、现金流量折现法和期权定价模型等）确定其公允价值；初始取得或源生的金融资产或承担</w:t>
      </w:r>
      <w:r>
        <w:rPr>
          <w:spacing w:val="-63"/>
        </w:rPr>
        <w:t> </w:t>
      </w:r>
      <w:r>
        <w:rPr>
          <w:spacing w:val="-63"/>
        </w:rPr>
      </w:r>
      <w:r>
        <w:rPr/>
        <w:t>的金融负债，以市场交易价格作为确定其公允价值的基础。</w:t>
      </w:r>
    </w:p>
    <w:p>
      <w:pPr>
        <w:spacing w:line="240" w:lineRule="auto" w:before="11"/>
        <w:rPr>
          <w:rFonts w:ascii="宋体" w:hAnsi="宋体" w:cs="宋体" w:eastAsia="宋体" w:hint="default"/>
          <w:sz w:val="13"/>
          <w:szCs w:val="13"/>
        </w:rPr>
      </w:pPr>
    </w:p>
    <w:p>
      <w:pPr>
        <w:pStyle w:val="BodyText"/>
        <w:spacing w:line="240" w:lineRule="auto"/>
        <w:ind w:right="111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3"/>
        </w:rPr>
        <w:t> </w:t>
      </w:r>
      <w:r>
        <w:rPr/>
        <w:t>金融资产的减值测试和减值准备计提方法</w:t>
      </w:r>
    </w:p>
    <w:p>
      <w:pPr>
        <w:spacing w:line="240" w:lineRule="auto" w:before="12"/>
        <w:rPr>
          <w:rFonts w:ascii="宋体" w:hAnsi="宋体" w:cs="宋体" w:eastAsia="宋体" w:hint="default"/>
          <w:sz w:val="18"/>
          <w:szCs w:val="18"/>
        </w:rPr>
      </w:pPr>
    </w:p>
    <w:p>
      <w:pPr>
        <w:pStyle w:val="BodyText"/>
        <w:spacing w:line="345" w:lineRule="auto"/>
        <w:ind w:left="1418" w:right="1274" w:firstLine="360"/>
        <w:jc w:val="both"/>
      </w:pPr>
      <w:r>
        <w:rPr/>
        <w:t>资产负债表日对以公允价值计量且其变动计入当期损益的金融资产以外的金融资产的账面价值进行检查，如有客 观证据表明该金融资产发生减值的，计提减值准备。</w:t>
      </w:r>
    </w:p>
    <w:p>
      <w:pPr>
        <w:spacing w:line="240" w:lineRule="auto" w:before="11"/>
        <w:rPr>
          <w:rFonts w:ascii="宋体" w:hAnsi="宋体" w:cs="宋体" w:eastAsia="宋体" w:hint="default"/>
          <w:sz w:val="13"/>
          <w:szCs w:val="13"/>
        </w:rPr>
      </w:pPr>
    </w:p>
    <w:p>
      <w:pPr>
        <w:pStyle w:val="BodyText"/>
        <w:spacing w:line="345" w:lineRule="auto"/>
        <w:ind w:left="1418" w:right="1272" w:firstLine="360"/>
        <w:jc w:val="both"/>
      </w:pPr>
      <w:r>
        <w:rPr/>
        <w:t>对单项金额重大的金融资产单独进行减值测试；对单项金额不重大的金融资产，可以单独进行减值测试，或包括 在具有类似信用风险特征的金融资产组合中进行减值测试；单独测试未发生减值的金融资产（包括单项金额重大和不</w:t>
      </w:r>
      <w:r>
        <w:rPr>
          <w:spacing w:val="-63"/>
        </w:rPr>
        <w:t> </w:t>
      </w:r>
      <w:r>
        <w:rPr>
          <w:spacing w:val="-63"/>
        </w:rPr>
      </w:r>
      <w:r>
        <w:rPr>
          <w:spacing w:val="-3"/>
        </w:rPr>
        <w:t>重大的金融资产），包括在具有类似信用风险特征的金融资产组合中再进行减值测试。</w:t>
      </w:r>
    </w:p>
    <w:p>
      <w:pPr>
        <w:pStyle w:val="BodyText"/>
        <w:spacing w:line="500" w:lineRule="exact" w:before="6"/>
        <w:ind w:left="1838" w:right="1117" w:hanging="60"/>
        <w:jc w:val="left"/>
      </w:pPr>
      <w:r>
        <w:rPr/>
        <w:t>（</w:t>
      </w:r>
      <w:r>
        <w:rPr>
          <w:rFonts w:ascii="Times New Roman" w:hAnsi="Times New Roman" w:cs="Times New Roman" w:eastAsia="Times New Roman" w:hint="default"/>
        </w:rPr>
        <w:t>1</w:t>
      </w:r>
      <w:r>
        <w:rPr/>
        <w:t>）持有至到期投资、贷款和应收款项减值 </w:t>
      </w:r>
      <w:r>
        <w:rPr>
          <w:spacing w:val="-1"/>
        </w:rPr>
        <w:t>按摊余成本计量的金融资产，期末有客观证据表明其发生了减值的，根据其账面价值与预计未来现金流量现值之</w:t>
      </w:r>
    </w:p>
    <w:p>
      <w:pPr>
        <w:pStyle w:val="BodyText"/>
        <w:spacing w:line="345" w:lineRule="auto" w:before="30"/>
        <w:ind w:left="1418" w:right="1275"/>
        <w:jc w:val="both"/>
      </w:pPr>
      <w:r>
        <w:rPr/>
        <w:t>间的差额确认减值损失。在活跃市场中没有报价且其公允价值不能可靠计量的权益工具投资，或与该权益工具挂钩并</w:t>
      </w:r>
      <w:r>
        <w:rPr>
          <w:spacing w:val="-63"/>
        </w:rPr>
        <w:t> </w:t>
      </w:r>
      <w:r>
        <w:rPr>
          <w:spacing w:val="-63"/>
        </w:rPr>
      </w:r>
      <w:r>
        <w:rPr/>
        <w:t>须通过交付该权益工具结算的衍生金融资产发生减值时，将该权益工具投资或衍生金融资产的账面价值，与按照类似</w:t>
      </w:r>
      <w:r>
        <w:rPr>
          <w:spacing w:val="-63"/>
        </w:rPr>
        <w:t> </w:t>
      </w:r>
      <w:r>
        <w:rPr>
          <w:spacing w:val="-63"/>
        </w:rPr>
      </w:r>
      <w:r>
        <w:rPr/>
        <w:t>金融资产当时市场收益率对未来现金流量折现确定的现值之间的差额，确认为减值损失。</w:t>
      </w:r>
    </w:p>
    <w:p>
      <w:pPr>
        <w:spacing w:line="240" w:lineRule="auto" w:before="1"/>
        <w:rPr>
          <w:rFonts w:ascii="宋体" w:hAnsi="宋体" w:cs="宋体" w:eastAsia="宋体" w:hint="default"/>
          <w:sz w:val="15"/>
          <w:szCs w:val="15"/>
        </w:rPr>
      </w:pPr>
    </w:p>
    <w:p>
      <w:pPr>
        <w:pStyle w:val="BodyText"/>
        <w:spacing w:line="240" w:lineRule="auto"/>
        <w:ind w:right="1117"/>
        <w:jc w:val="left"/>
      </w:pPr>
      <w:r>
        <w:rPr/>
        <w:t>（</w:t>
      </w:r>
      <w:r>
        <w:rPr>
          <w:rFonts w:ascii="Times New Roman" w:hAnsi="Times New Roman" w:cs="Times New Roman" w:eastAsia="Times New Roman" w:hint="default"/>
        </w:rPr>
        <w:t>2</w:t>
      </w:r>
      <w:r>
        <w:rPr/>
        <w:t>）可供出售金融资产减值</w:t>
      </w:r>
    </w:p>
    <w:p>
      <w:pPr>
        <w:spacing w:line="240" w:lineRule="auto" w:before="5"/>
        <w:rPr>
          <w:rFonts w:ascii="宋体" w:hAnsi="宋体" w:cs="宋体" w:eastAsia="宋体" w:hint="default"/>
          <w:sz w:val="20"/>
          <w:szCs w:val="20"/>
        </w:rPr>
      </w:pPr>
    </w:p>
    <w:p>
      <w:pPr>
        <w:pStyle w:val="BodyText"/>
        <w:spacing w:line="357" w:lineRule="auto"/>
        <w:ind w:left="1418" w:right="1305" w:firstLine="360"/>
        <w:jc w:val="both"/>
      </w:pPr>
      <w:r>
        <w:rPr/>
        <w:t>当综合相关因素判断可供出售权益工具投资公允价值下跌是严重或非暂时性下跌时，表明该可供出售权益工具投 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spacing w:val="-46"/>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p>
    <w:p>
      <w:pPr>
        <w:spacing w:line="240" w:lineRule="auto" w:before="12"/>
        <w:rPr>
          <w:rFonts w:ascii="宋体" w:hAnsi="宋体" w:cs="宋体" w:eastAsia="宋体" w:hint="default"/>
          <w:sz w:val="12"/>
          <w:szCs w:val="12"/>
        </w:rPr>
      </w:pPr>
    </w:p>
    <w:p>
      <w:pPr>
        <w:pStyle w:val="BodyText"/>
        <w:spacing w:line="367" w:lineRule="auto"/>
        <w:ind w:left="1418" w:right="1305" w:firstLine="360"/>
        <w:jc w:val="both"/>
      </w:pPr>
      <w:r>
        <w:rPr/>
        <w:t>可供出售金融资产的公允价值发生较大幅度下降，或在综合考虑各种相关因素后，预期这种下降趋势属于非暂时 性的，确认其减值损失，并将原直接计入其他综合收益的公允价值累计损失一并转出计入减值损失。</w:t>
      </w:r>
    </w:p>
    <w:p>
      <w:pPr>
        <w:spacing w:line="240" w:lineRule="auto" w:before="2"/>
        <w:rPr>
          <w:rFonts w:ascii="宋体" w:hAnsi="宋体" w:cs="宋体" w:eastAsia="宋体" w:hint="default"/>
          <w:sz w:val="14"/>
          <w:szCs w:val="14"/>
        </w:rPr>
      </w:pPr>
    </w:p>
    <w:p>
      <w:pPr>
        <w:pStyle w:val="BodyText"/>
        <w:spacing w:line="367" w:lineRule="auto"/>
        <w:ind w:left="1418" w:right="1305" w:firstLine="360"/>
        <w:jc w:val="both"/>
      </w:pPr>
      <w:r>
        <w:rPr/>
        <w:t>在确认减值损失后，期后如有客观证据表明该金融资产价值已恢复，且客观上与确认该损失后发生的事项有关， 原确认的减值损失予以转回，可供出售权益工具投资的减值损失转回确认为其他综合收益，可供出售债务工具的减值 损失转回计入当期损益。</w:t>
      </w:r>
    </w:p>
    <w:p>
      <w:pPr>
        <w:spacing w:line="240" w:lineRule="auto" w:before="2"/>
        <w:rPr>
          <w:rFonts w:ascii="宋体" w:hAnsi="宋体" w:cs="宋体" w:eastAsia="宋体" w:hint="default"/>
          <w:sz w:val="14"/>
          <w:szCs w:val="14"/>
        </w:rPr>
      </w:pPr>
    </w:p>
    <w:p>
      <w:pPr>
        <w:pStyle w:val="BodyText"/>
        <w:spacing w:line="367" w:lineRule="auto"/>
        <w:ind w:left="1418" w:right="1305" w:firstLine="360"/>
        <w:jc w:val="both"/>
      </w:pPr>
      <w:r>
        <w:rPr/>
        <w:t>在活跃市场中没有报价且其公允价值不能可靠计量的权益工具投资，或与该权益工具挂钩并须通过交付该权益工 具结算的衍生金融资产的减值损失，不予转回。</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十一）应收款项" w:id="169"/>
      <w:bookmarkEnd w:id="169"/>
      <w:r>
        <w:rPr/>
      </w:r>
      <w:r>
        <w:rPr/>
        <w:t>（十一）应收款项</w:t>
      </w:r>
    </w:p>
    <w:p>
      <w:pPr>
        <w:spacing w:line="240" w:lineRule="auto" w:before="7"/>
        <w:rPr>
          <w:rFonts w:ascii="宋体" w:hAnsi="宋体" w:cs="宋体" w:eastAsia="宋体" w:hint="default"/>
          <w:sz w:val="17"/>
          <w:szCs w:val="17"/>
        </w:rPr>
      </w:pPr>
    </w:p>
    <w:p>
      <w:pPr>
        <w:pStyle w:val="Heading5"/>
        <w:spacing w:line="240" w:lineRule="auto"/>
        <w:ind w:left="1838"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单项金额重大并单项计提坏账准备的应收款项</w:t>
      </w:r>
    </w:p>
    <w:p>
      <w:pPr>
        <w:spacing w:line="240" w:lineRule="auto" w:before="2"/>
        <w:rPr>
          <w:rFonts w:ascii="宋体" w:hAnsi="宋体" w:cs="宋体" w:eastAsia="宋体" w:hint="default"/>
          <w:sz w:val="25"/>
          <w:szCs w:val="25"/>
        </w:rPr>
      </w:pPr>
    </w:p>
    <w:tbl>
      <w:tblPr>
        <w:tblW w:w="0" w:type="auto"/>
        <w:jc w:val="left"/>
        <w:tblInd w:w="1218" w:type="dxa"/>
        <w:tblLayout w:type="fixed"/>
        <w:tblCellMar>
          <w:top w:w="0" w:type="dxa"/>
          <w:left w:w="0" w:type="dxa"/>
          <w:bottom w:w="0" w:type="dxa"/>
          <w:right w:w="0" w:type="dxa"/>
        </w:tblCellMar>
        <w:tblLook w:val="01E0"/>
      </w:tblPr>
      <w:tblGrid>
        <w:gridCol w:w="3553"/>
        <w:gridCol w:w="6062"/>
      </w:tblGrid>
      <w:tr>
        <w:trPr>
          <w:trHeight w:val="285" w:hRule="exact"/>
        </w:trPr>
        <w:tc>
          <w:tcPr>
            <w:tcW w:w="355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单项金额重大的判断依据或金额标准</w:t>
            </w:r>
            <w:r>
              <w:rPr>
                <w:rFonts w:ascii="宋体" w:hAnsi="宋体" w:cs="宋体" w:eastAsia="宋体" w:hint="default"/>
                <w:sz w:val="18"/>
                <w:szCs w:val="18"/>
              </w:rPr>
            </w:r>
          </w:p>
        </w:tc>
        <w:tc>
          <w:tcPr>
            <w:tcW w:w="6062" w:type="dxa"/>
            <w:tcBorders>
              <w:top w:val="nil" w:sz="6" w:space="0" w:color="auto"/>
              <w:left w:val="nil" w:sz="6" w:space="0" w:color="auto"/>
              <w:bottom w:val="nil" w:sz="6" w:space="0" w:color="auto"/>
              <w:right w:val="nil" w:sz="6" w:space="0" w:color="auto"/>
            </w:tcBorders>
          </w:tcPr>
          <w:p>
            <w:pPr>
              <w:pStyle w:val="TableParagraph"/>
              <w:spacing w:line="194" w:lineRule="exact"/>
              <w:ind w:left="108" w:right="0"/>
              <w:jc w:val="left"/>
              <w:rPr>
                <w:rFonts w:ascii="宋体" w:hAnsi="宋体" w:cs="宋体" w:eastAsia="宋体" w:hint="default"/>
                <w:sz w:val="18"/>
                <w:szCs w:val="18"/>
              </w:rPr>
            </w:pPr>
            <w:r>
              <w:rPr>
                <w:rFonts w:ascii="宋体" w:hAnsi="宋体" w:cs="宋体" w:eastAsia="宋体" w:hint="default"/>
                <w:sz w:val="18"/>
                <w:szCs w:val="18"/>
              </w:rPr>
              <w:t>期末金额为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万元）应收款项。</w:t>
            </w:r>
          </w:p>
        </w:tc>
      </w:tr>
      <w:tr>
        <w:trPr>
          <w:trHeight w:val="995" w:hRule="exact"/>
        </w:trPr>
        <w:tc>
          <w:tcPr>
            <w:tcW w:w="3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67" w:lineRule="auto"/>
              <w:ind w:left="200" w:right="106"/>
              <w:jc w:val="left"/>
              <w:rPr>
                <w:rFonts w:ascii="宋体" w:hAnsi="宋体" w:cs="宋体" w:eastAsia="宋体" w:hint="default"/>
                <w:sz w:val="18"/>
                <w:szCs w:val="18"/>
              </w:rPr>
            </w:pPr>
            <w:r>
              <w:rPr>
                <w:rFonts w:ascii="宋体" w:hAnsi="宋体" w:cs="宋体" w:eastAsia="宋体" w:hint="default"/>
                <w:b/>
                <w:bCs/>
                <w:spacing w:val="10"/>
                <w:w w:val="95"/>
                <w:sz w:val="18"/>
                <w:szCs w:val="18"/>
              </w:rPr>
              <w:t>单项金额重大并单项计提坏账准备的计</w:t>
            </w:r>
            <w:r>
              <w:rPr>
                <w:rFonts w:ascii="宋体" w:hAnsi="宋体" w:cs="宋体" w:eastAsia="宋体" w:hint="default"/>
                <w:b/>
                <w:bCs/>
                <w:spacing w:val="56"/>
                <w:w w:val="95"/>
                <w:sz w:val="18"/>
                <w:szCs w:val="18"/>
              </w:rPr>
              <w:t> </w:t>
            </w:r>
            <w:r>
              <w:rPr>
                <w:rFonts w:ascii="宋体" w:hAnsi="宋体" w:cs="宋体" w:eastAsia="宋体" w:hint="default"/>
                <w:b/>
                <w:bCs/>
                <w:spacing w:val="56"/>
                <w:w w:val="95"/>
                <w:sz w:val="18"/>
                <w:szCs w:val="18"/>
              </w:rPr>
            </w:r>
            <w:r>
              <w:rPr>
                <w:rFonts w:ascii="宋体" w:hAnsi="宋体" w:cs="宋体" w:eastAsia="宋体" w:hint="default"/>
                <w:b/>
                <w:bCs/>
                <w:sz w:val="18"/>
                <w:szCs w:val="18"/>
              </w:rPr>
              <w:t>提方法</w:t>
            </w:r>
            <w:r>
              <w:rPr>
                <w:rFonts w:ascii="宋体" w:hAnsi="宋体" w:cs="宋体" w:eastAsia="宋体" w:hint="default"/>
                <w:sz w:val="18"/>
                <w:szCs w:val="18"/>
              </w:rPr>
            </w:r>
          </w:p>
        </w:tc>
        <w:tc>
          <w:tcPr>
            <w:tcW w:w="606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单独进行减值测试，按预计未来现金流量现值低于其账面价值的差额计提</w:t>
            </w:r>
          </w:p>
          <w:p>
            <w:pPr>
              <w:pStyle w:val="TableParagraph"/>
              <w:spacing w:line="360" w:lineRule="atLeast"/>
              <w:ind w:left="108" w:right="203"/>
              <w:jc w:val="left"/>
              <w:rPr>
                <w:rFonts w:ascii="宋体" w:hAnsi="宋体" w:cs="宋体" w:eastAsia="宋体" w:hint="default"/>
                <w:sz w:val="18"/>
                <w:szCs w:val="18"/>
              </w:rPr>
            </w:pPr>
            <w:r>
              <w:rPr>
                <w:rFonts w:ascii="宋体" w:hAnsi="宋体" w:cs="宋体" w:eastAsia="宋体" w:hint="default"/>
                <w:sz w:val="18"/>
                <w:szCs w:val="18"/>
              </w:rPr>
              <w:t>坏账准备，计入当期损益。</w:t>
            </w:r>
            <w:r>
              <w:rPr>
                <w:rFonts w:ascii="宋体" w:hAnsi="宋体" w:cs="宋体" w:eastAsia="宋体" w:hint="default"/>
                <w:spacing w:val="30"/>
                <w:sz w:val="18"/>
                <w:szCs w:val="18"/>
              </w:rPr>
              <w:t> </w:t>
            </w:r>
            <w:r>
              <w:rPr>
                <w:rFonts w:ascii="宋体" w:hAnsi="宋体" w:cs="宋体" w:eastAsia="宋体" w:hint="default"/>
                <w:spacing w:val="2"/>
                <w:sz w:val="18"/>
                <w:szCs w:val="18"/>
              </w:rPr>
              <w:t>单独测试未发生减值的应收款项，包括在具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有类似信用风险特征的应收款项组合中再进行减值测试。</w:t>
            </w:r>
          </w:p>
        </w:tc>
      </w:tr>
    </w:tbl>
    <w:p>
      <w:pPr>
        <w:spacing w:line="240" w:lineRule="auto" w:before="7"/>
        <w:rPr>
          <w:rFonts w:ascii="宋体" w:hAnsi="宋体" w:cs="宋体" w:eastAsia="宋体" w:hint="default"/>
          <w:sz w:val="25"/>
          <w:szCs w:val="25"/>
        </w:rPr>
      </w:pPr>
    </w:p>
    <w:p>
      <w:pPr>
        <w:pStyle w:val="Heading5"/>
        <w:spacing w:line="240" w:lineRule="auto" w:before="35"/>
        <w:ind w:left="1838" w:right="1117"/>
        <w:jc w:val="left"/>
      </w:pPr>
      <w:r>
        <w:rPr>
          <w:rFonts w:ascii="Times New Roman" w:hAnsi="Times New Roman" w:cs="Times New Roman" w:eastAsia="Times New Roman" w:hint="default"/>
        </w:rPr>
        <w:t>2</w:t>
      </w:r>
      <w:r>
        <w:rPr/>
        <w:t>．按组合计提坏账准备的应收款项</w:t>
      </w:r>
    </w:p>
    <w:p>
      <w:pPr>
        <w:spacing w:after="0" w:line="240" w:lineRule="auto"/>
        <w:jc w:val="left"/>
        <w:sectPr>
          <w:pgSz w:w="11910" w:h="16840"/>
          <w:pgMar w:header="877" w:footer="979" w:top="1060" w:bottom="1160" w:left="0" w:right="0"/>
        </w:sectPr>
      </w:pPr>
    </w:p>
    <w:p>
      <w:pPr>
        <w:spacing w:line="240" w:lineRule="auto" w:before="1"/>
        <w:rPr>
          <w:rFonts w:ascii="宋体" w:hAnsi="宋体" w:cs="宋体" w:eastAsia="宋体" w:hint="default"/>
          <w:sz w:val="29"/>
          <w:szCs w:val="29"/>
        </w:rPr>
      </w:pPr>
    </w:p>
    <w:p>
      <w:pPr>
        <w:pStyle w:val="Heading5"/>
        <w:spacing w:line="240" w:lineRule="auto" w:before="35"/>
        <w:ind w:left="1838" w:right="1117"/>
        <w:jc w:val="left"/>
      </w:pPr>
      <w:r>
        <w:rPr/>
        <w:t>（</w:t>
      </w:r>
      <w:r>
        <w:rPr>
          <w:rFonts w:ascii="Times New Roman" w:hAnsi="Times New Roman" w:cs="Times New Roman" w:eastAsia="Times New Roman" w:hint="default"/>
        </w:rPr>
        <w:t>1</w:t>
      </w:r>
      <w:r>
        <w:rPr/>
        <w:t>）</w:t>
      </w:r>
      <w:r>
        <w:rPr>
          <w:spacing w:val="-2"/>
        </w:rPr>
        <w:t> </w:t>
      </w:r>
      <w:r>
        <w:rPr/>
        <w:t>确定组合的依据及坏账准备的计提方法</w:t>
      </w:r>
    </w:p>
    <w:p>
      <w:pPr>
        <w:spacing w:line="240" w:lineRule="auto" w:before="7"/>
        <w:rPr>
          <w:rFonts w:ascii="宋体" w:hAnsi="宋体" w:cs="宋体" w:eastAsia="宋体" w:hint="default"/>
          <w:sz w:val="25"/>
          <w:szCs w:val="25"/>
        </w:rPr>
      </w:pPr>
    </w:p>
    <w:tbl>
      <w:tblPr>
        <w:tblW w:w="0" w:type="auto"/>
        <w:jc w:val="left"/>
        <w:tblInd w:w="1218" w:type="dxa"/>
        <w:tblLayout w:type="fixed"/>
        <w:tblCellMar>
          <w:top w:w="0" w:type="dxa"/>
          <w:left w:w="0" w:type="dxa"/>
          <w:bottom w:w="0" w:type="dxa"/>
          <w:right w:w="0" w:type="dxa"/>
        </w:tblCellMar>
        <w:tblLook w:val="01E0"/>
      </w:tblPr>
      <w:tblGrid>
        <w:gridCol w:w="1266"/>
        <w:gridCol w:w="8345"/>
      </w:tblGrid>
      <w:tr>
        <w:trPr>
          <w:trHeight w:val="280" w:hRule="exact"/>
        </w:trPr>
        <w:tc>
          <w:tcPr>
            <w:tcW w:w="9611"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r>
      <w:tr>
        <w:trPr>
          <w:trHeight w:val="109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8345" w:type="dxa"/>
            <w:tcBorders>
              <w:top w:val="nil" w:sz="6" w:space="0" w:color="auto"/>
              <w:left w:val="nil" w:sz="6" w:space="0" w:color="auto"/>
              <w:bottom w:val="nil" w:sz="6" w:space="0" w:color="auto"/>
              <w:right w:val="nil" w:sz="6" w:space="0" w:color="auto"/>
            </w:tcBorders>
          </w:tcPr>
          <w:p>
            <w:pPr>
              <w:pStyle w:val="TableParagraph"/>
              <w:spacing w:line="367" w:lineRule="auto" w:before="44"/>
              <w:ind w:left="571" w:right="198"/>
              <w:jc w:val="both"/>
              <w:rPr>
                <w:rFonts w:ascii="宋体" w:hAnsi="宋体" w:cs="宋体" w:eastAsia="宋体" w:hint="default"/>
                <w:sz w:val="18"/>
                <w:szCs w:val="18"/>
              </w:rPr>
            </w:pPr>
            <w:r>
              <w:rPr>
                <w:rFonts w:ascii="宋体" w:hAnsi="宋体" w:cs="宋体" w:eastAsia="宋体" w:hint="default"/>
                <w:sz w:val="18"/>
                <w:szCs w:val="18"/>
              </w:rPr>
              <w:t>公司除网络游戏领域外的其他业务领域产生的应收款项、已单独计提减值准备的外，根据以前年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度与之相同或相类似的、按账龄段划分的具有类似信用风险特征的应收款项组合的实际损失率为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基础，结合现时情况采用账龄分析法确定坏账准备计提的比例。</w:t>
            </w:r>
          </w:p>
        </w:tc>
      </w:tr>
      <w:tr>
        <w:trPr>
          <w:trHeight w:val="1089"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345" w:type="dxa"/>
            <w:tcBorders>
              <w:top w:val="nil" w:sz="6" w:space="0" w:color="auto"/>
              <w:left w:val="nil" w:sz="6" w:space="0" w:color="auto"/>
              <w:bottom w:val="nil" w:sz="6" w:space="0" w:color="auto"/>
              <w:right w:val="nil" w:sz="6" w:space="0" w:color="auto"/>
            </w:tcBorders>
          </w:tcPr>
          <w:p>
            <w:pPr>
              <w:pStyle w:val="TableParagraph"/>
              <w:spacing w:line="367" w:lineRule="auto" w:before="34"/>
              <w:ind w:left="571" w:right="198"/>
              <w:jc w:val="both"/>
              <w:rPr>
                <w:rFonts w:ascii="宋体" w:hAnsi="宋体" w:cs="宋体" w:eastAsia="宋体" w:hint="default"/>
                <w:sz w:val="18"/>
                <w:szCs w:val="18"/>
              </w:rPr>
            </w:pPr>
            <w:r>
              <w:rPr>
                <w:rFonts w:ascii="宋体" w:hAnsi="宋体" w:cs="宋体" w:eastAsia="宋体" w:hint="default"/>
                <w:sz w:val="18"/>
                <w:szCs w:val="18"/>
              </w:rPr>
              <w:t>公司网络游戏领域产生的应收款项，已单独计提减值准备的除外，根据以前年度与之相同或相类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似的、按账龄段划分的具有类似信用风险特征的应收款项组合的实际损失率为基础，结合现时情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况采用账龄分析法确定坏账准备计提的比例。</w:t>
            </w:r>
          </w:p>
        </w:tc>
      </w:tr>
      <w:tr>
        <w:trPr>
          <w:trHeight w:val="388" w:hRule="exact"/>
        </w:trPr>
        <w:tc>
          <w:tcPr>
            <w:tcW w:w="96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left="200" w:right="0"/>
              <w:jc w:val="left"/>
              <w:rPr>
                <w:rFonts w:ascii="宋体" w:hAnsi="宋体" w:cs="宋体" w:eastAsia="宋体" w:hint="default"/>
                <w:sz w:val="18"/>
                <w:szCs w:val="18"/>
              </w:rPr>
            </w:pPr>
            <w:r>
              <w:rPr>
                <w:rFonts w:ascii="宋体" w:hAnsi="宋体" w:cs="宋体" w:eastAsia="宋体" w:hint="default"/>
                <w:b/>
                <w:bCs/>
                <w:sz w:val="18"/>
                <w:szCs w:val="18"/>
              </w:rPr>
              <w:t>按组合计提坏账准备的计提方法</w:t>
            </w:r>
            <w:r>
              <w:rPr>
                <w:rFonts w:ascii="宋体" w:hAnsi="宋体" w:cs="宋体" w:eastAsia="宋体" w:hint="default"/>
                <w:sz w:val="18"/>
                <w:szCs w:val="18"/>
              </w:rPr>
            </w:r>
          </w:p>
        </w:tc>
      </w:tr>
      <w:tr>
        <w:trPr>
          <w:trHeight w:val="402"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9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71"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2"/>
        <w:rPr>
          <w:rFonts w:ascii="宋体" w:hAnsi="宋体" w:cs="宋体" w:eastAsia="宋体" w:hint="default"/>
          <w:sz w:val="26"/>
          <w:szCs w:val="26"/>
        </w:rPr>
      </w:pPr>
    </w:p>
    <w:p>
      <w:pPr>
        <w:pStyle w:val="Heading5"/>
        <w:spacing w:line="240" w:lineRule="auto" w:before="35"/>
        <w:ind w:left="1838" w:right="1117"/>
        <w:jc w:val="left"/>
      </w:pPr>
      <w:r>
        <w:rPr/>
        <w:t>（</w:t>
      </w:r>
      <w:r>
        <w:rPr>
          <w:rFonts w:ascii="Times New Roman" w:hAnsi="Times New Roman" w:cs="Times New Roman" w:eastAsia="Times New Roman" w:hint="default"/>
        </w:rPr>
        <w:t>2</w:t>
      </w:r>
      <w:r>
        <w:rPr/>
        <w:t>）</w:t>
      </w:r>
      <w:r>
        <w:rPr>
          <w:spacing w:val="-2"/>
        </w:rPr>
        <w:t> </w:t>
      </w:r>
      <w:r>
        <w:rPr/>
        <w:t>账龄分析法</w:t>
      </w:r>
    </w:p>
    <w:p>
      <w:pPr>
        <w:spacing w:line="240" w:lineRule="auto" w:before="8"/>
        <w:rPr>
          <w:rFonts w:ascii="宋体" w:hAnsi="宋体" w:cs="宋体" w:eastAsia="宋体" w:hint="default"/>
          <w:sz w:val="19"/>
          <w:szCs w:val="19"/>
        </w:rPr>
      </w:pPr>
    </w:p>
    <w:p>
      <w:pPr>
        <w:pStyle w:val="Heading6"/>
        <w:spacing w:line="234" w:lineRule="exact" w:before="44"/>
        <w:ind w:left="7103" w:right="1117"/>
        <w:jc w:val="left"/>
        <w:rPr>
          <w:b w:val="0"/>
          <w:bCs w:val="0"/>
        </w:rPr>
      </w:pPr>
      <w:r>
        <w:rPr/>
        <w:t>计提比例（</w:t>
      </w:r>
      <w:r>
        <w:rPr>
          <w:rFonts w:ascii="Times New Roman" w:hAnsi="Times New Roman" w:cs="Times New Roman" w:eastAsia="Times New Roman" w:hint="default"/>
        </w:rPr>
        <w:t>%</w:t>
      </w:r>
      <w:r>
        <w:rPr/>
        <w:t>）</w:t>
      </w:r>
      <w:r>
        <w:rPr>
          <w:b w:val="0"/>
          <w:bCs w:val="0"/>
        </w:rPr>
      </w:r>
    </w:p>
    <w:p>
      <w:pPr>
        <w:pStyle w:val="Heading6"/>
        <w:spacing w:line="221" w:lineRule="exact"/>
        <w:ind w:left="2749" w:right="1117"/>
        <w:jc w:val="left"/>
        <w:rPr>
          <w:b w:val="0"/>
          <w:bCs w:val="0"/>
        </w:rPr>
      </w:pPr>
      <w:r>
        <w:rPr/>
        <w:t>账</w:t>
      </w:r>
      <w:r>
        <w:rPr>
          <w:spacing w:val="90"/>
        </w:rPr>
        <w:t> </w:t>
      </w:r>
      <w:r>
        <w:rPr/>
        <w:t>龄</w:t>
      </w:r>
      <w:r>
        <w:rPr>
          <w:b w:val="0"/>
          <w:bCs w:val="0"/>
        </w:rPr>
      </w:r>
    </w:p>
    <w:p>
      <w:pPr>
        <w:spacing w:line="240" w:lineRule="auto" w:before="0"/>
        <w:rPr>
          <w:rFonts w:ascii="宋体" w:hAnsi="宋体" w:cs="宋体" w:eastAsia="宋体" w:hint="default"/>
          <w:b/>
          <w:bCs/>
          <w:sz w:val="3"/>
          <w:szCs w:val="3"/>
        </w:rPr>
      </w:pPr>
    </w:p>
    <w:tbl>
      <w:tblPr>
        <w:tblW w:w="0" w:type="auto"/>
        <w:jc w:val="left"/>
        <w:tblInd w:w="1310" w:type="dxa"/>
        <w:tblLayout w:type="fixed"/>
        <w:tblCellMar>
          <w:top w:w="0" w:type="dxa"/>
          <w:left w:w="0" w:type="dxa"/>
          <w:bottom w:w="0" w:type="dxa"/>
          <w:right w:w="0" w:type="dxa"/>
        </w:tblCellMar>
        <w:tblLook w:val="01E0"/>
      </w:tblPr>
      <w:tblGrid>
        <w:gridCol w:w="3409"/>
        <w:gridCol w:w="3016"/>
        <w:gridCol w:w="3006"/>
      </w:tblGrid>
      <w:tr>
        <w:trPr>
          <w:trHeight w:val="272" w:hRule="exact"/>
        </w:trPr>
        <w:tc>
          <w:tcPr>
            <w:tcW w:w="3409" w:type="dxa"/>
            <w:tcBorders>
              <w:top w:val="nil" w:sz="6" w:space="0" w:color="auto"/>
              <w:left w:val="nil" w:sz="6" w:space="0" w:color="auto"/>
              <w:bottom w:val="single" w:sz="4" w:space="0" w:color="000000"/>
              <w:right w:val="nil" w:sz="6" w:space="0" w:color="auto"/>
            </w:tcBorders>
          </w:tcPr>
          <w:p>
            <w:pPr/>
          </w:p>
        </w:tc>
        <w:tc>
          <w:tcPr>
            <w:tcW w:w="3016" w:type="dxa"/>
            <w:tcBorders>
              <w:top w:val="nil" w:sz="6" w:space="0" w:color="auto"/>
              <w:left w:val="nil" w:sz="6" w:space="0" w:color="auto"/>
              <w:bottom w:val="single" w:sz="4" w:space="0" w:color="000000"/>
              <w:right w:val="nil" w:sz="6" w:space="0" w:color="auto"/>
            </w:tcBorders>
          </w:tcPr>
          <w:p>
            <w:pPr>
              <w:pStyle w:val="TableParagraph"/>
              <w:spacing w:line="194" w:lineRule="exact"/>
              <w:ind w:left="10"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组合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3006"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组合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r>
      <w:tr>
        <w:trPr>
          <w:trHeight w:val="493" w:hRule="exact"/>
        </w:trPr>
        <w:tc>
          <w:tcPr>
            <w:tcW w:w="340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01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0" w:right="0"/>
              <w:jc w:val="center"/>
              <w:rPr>
                <w:rFonts w:ascii="Times New Roman" w:hAnsi="Times New Roman" w:cs="Times New Roman" w:eastAsia="Times New Roman" w:hint="default"/>
                <w:sz w:val="18"/>
                <w:szCs w:val="18"/>
              </w:rPr>
            </w:pPr>
            <w:r>
              <w:rPr>
                <w:rFonts w:ascii="Times New Roman"/>
                <w:sz w:val="18"/>
              </w:rPr>
              <w:t>1</w:t>
            </w:r>
          </w:p>
        </w:tc>
        <w:tc>
          <w:tcPr>
            <w:tcW w:w="300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5</w:t>
            </w:r>
          </w:p>
        </w:tc>
      </w:tr>
      <w:tr>
        <w:trPr>
          <w:trHeight w:val="441"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 w:right="0"/>
              <w:jc w:val="center"/>
              <w:rPr>
                <w:rFonts w:ascii="Times New Roman" w:hAnsi="Times New Roman" w:cs="Times New Roman" w:eastAsia="Times New Roman" w:hint="default"/>
                <w:sz w:val="18"/>
                <w:szCs w:val="18"/>
              </w:rPr>
            </w:pPr>
            <w:r>
              <w:rPr>
                <w:rFonts w:ascii="Times New Roman"/>
                <w:sz w:val="18"/>
              </w:rPr>
              <w:t>5</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10</w:t>
            </w:r>
          </w:p>
        </w:tc>
      </w:tr>
      <w:tr>
        <w:trPr>
          <w:trHeight w:val="440"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 w:right="0"/>
              <w:jc w:val="center"/>
              <w:rPr>
                <w:rFonts w:ascii="Times New Roman" w:hAnsi="Times New Roman" w:cs="Times New Roman" w:eastAsia="Times New Roman" w:hint="default"/>
                <w:sz w:val="18"/>
                <w:szCs w:val="18"/>
              </w:rPr>
            </w:pPr>
            <w:r>
              <w:rPr>
                <w:rFonts w:ascii="Times New Roman"/>
                <w:sz w:val="18"/>
              </w:rPr>
              <w:t>30</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50</w:t>
            </w:r>
          </w:p>
        </w:tc>
      </w:tr>
      <w:tr>
        <w:trPr>
          <w:trHeight w:val="415" w:hRule="exact"/>
        </w:trPr>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 w:right="0"/>
              <w:jc w:val="center"/>
              <w:rPr>
                <w:rFonts w:ascii="Times New Roman" w:hAnsi="Times New Roman" w:cs="Times New Roman" w:eastAsia="Times New Roman" w:hint="default"/>
                <w:sz w:val="18"/>
                <w:szCs w:val="18"/>
              </w:rPr>
            </w:pPr>
            <w:r>
              <w:rPr>
                <w:rFonts w:ascii="Times New Roman"/>
                <w:sz w:val="18"/>
              </w:rPr>
              <w:t>100</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3</w:t>
      </w:r>
      <w:r>
        <w:rPr/>
        <w:t>．单项金额虽不重大但单项计提坏账准备的应收款项</w:t>
      </w:r>
    </w:p>
    <w:p>
      <w:pPr>
        <w:spacing w:line="240" w:lineRule="auto" w:before="8"/>
        <w:rPr>
          <w:rFonts w:ascii="宋体" w:hAnsi="宋体" w:cs="宋体" w:eastAsia="宋体" w:hint="default"/>
          <w:sz w:val="24"/>
          <w:szCs w:val="24"/>
        </w:rPr>
      </w:pPr>
    </w:p>
    <w:tbl>
      <w:tblPr>
        <w:tblW w:w="0" w:type="auto"/>
        <w:jc w:val="left"/>
        <w:tblInd w:w="1218" w:type="dxa"/>
        <w:tblLayout w:type="fixed"/>
        <w:tblCellMar>
          <w:top w:w="0" w:type="dxa"/>
          <w:left w:w="0" w:type="dxa"/>
          <w:bottom w:w="0" w:type="dxa"/>
          <w:right w:w="0" w:type="dxa"/>
        </w:tblCellMar>
        <w:tblLook w:val="01E0"/>
      </w:tblPr>
      <w:tblGrid>
        <w:gridCol w:w="3036"/>
        <w:gridCol w:w="5369"/>
      </w:tblGrid>
      <w:tr>
        <w:trPr>
          <w:trHeight w:val="28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单项计提坏账准备的理由</w:t>
            </w:r>
            <w:r>
              <w:rPr>
                <w:rFonts w:ascii="宋体" w:hAnsi="宋体" w:cs="宋体" w:eastAsia="宋体" w:hint="default"/>
                <w:sz w:val="18"/>
                <w:szCs w:val="18"/>
              </w:rPr>
            </w:r>
          </w:p>
        </w:tc>
        <w:tc>
          <w:tcPr>
            <w:tcW w:w="5369" w:type="dxa"/>
            <w:tcBorders>
              <w:top w:val="nil" w:sz="6" w:space="0" w:color="auto"/>
              <w:left w:val="nil" w:sz="6" w:space="0" w:color="auto"/>
              <w:bottom w:val="nil" w:sz="6" w:space="0" w:color="auto"/>
              <w:right w:val="nil" w:sz="6" w:space="0" w:color="auto"/>
            </w:tcBorders>
          </w:tcPr>
          <w:p>
            <w:pPr>
              <w:pStyle w:val="TableParagraph"/>
              <w:spacing w:line="180" w:lineRule="exact"/>
              <w:ind w:left="849" w:right="0"/>
              <w:jc w:val="left"/>
              <w:rPr>
                <w:rFonts w:ascii="宋体" w:hAnsi="宋体" w:cs="宋体" w:eastAsia="宋体" w:hint="default"/>
                <w:sz w:val="18"/>
                <w:szCs w:val="18"/>
              </w:rPr>
            </w:pPr>
            <w:r>
              <w:rPr>
                <w:rFonts w:ascii="宋体" w:hAnsi="宋体" w:cs="宋体" w:eastAsia="宋体" w:hint="default"/>
                <w:sz w:val="18"/>
                <w:szCs w:val="18"/>
              </w:rPr>
              <w:t>单项金额重大的应收款项以外回收风险较大的应收款项</w:t>
            </w:r>
          </w:p>
        </w:tc>
      </w:tr>
      <w:tr>
        <w:trPr>
          <w:trHeight w:val="308"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00" w:right="0"/>
              <w:jc w:val="left"/>
              <w:rPr>
                <w:rFonts w:ascii="宋体" w:hAnsi="宋体" w:cs="宋体" w:eastAsia="宋体" w:hint="default"/>
                <w:sz w:val="18"/>
                <w:szCs w:val="18"/>
              </w:rPr>
            </w:pPr>
            <w:r>
              <w:rPr>
                <w:rFonts w:ascii="宋体" w:hAnsi="宋体" w:cs="宋体" w:eastAsia="宋体" w:hint="default"/>
                <w:b/>
                <w:bCs/>
                <w:sz w:val="18"/>
                <w:szCs w:val="18"/>
              </w:rPr>
              <w:t>坏账准备的计提方法</w:t>
            </w:r>
            <w:r>
              <w:rPr>
                <w:rFonts w:ascii="宋体" w:hAnsi="宋体" w:cs="宋体" w:eastAsia="宋体" w:hint="default"/>
                <w:sz w:val="18"/>
                <w:szCs w:val="18"/>
              </w:rPr>
            </w:r>
          </w:p>
        </w:tc>
        <w:tc>
          <w:tcPr>
            <w:tcW w:w="53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49"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7"/>
        <w:rPr>
          <w:rFonts w:ascii="宋体" w:hAnsi="宋体" w:cs="宋体" w:eastAsia="宋体" w:hint="default"/>
          <w:sz w:val="10"/>
          <w:szCs w:val="10"/>
        </w:rPr>
      </w:pPr>
    </w:p>
    <w:p>
      <w:pPr>
        <w:pStyle w:val="BodyText"/>
        <w:spacing w:line="240" w:lineRule="auto" w:before="44"/>
        <w:ind w:right="1117"/>
        <w:jc w:val="left"/>
      </w:pPr>
      <w:bookmarkStart w:name="（十二）存货" w:id="170"/>
      <w:bookmarkEnd w:id="170"/>
      <w:r>
        <w:rPr/>
      </w:r>
      <w:r>
        <w:rPr/>
        <w:t>（十二）存货</w:t>
      </w:r>
    </w:p>
    <w:p>
      <w:pPr>
        <w:spacing w:line="240" w:lineRule="auto" w:before="6"/>
        <w:rPr>
          <w:rFonts w:ascii="宋体" w:hAnsi="宋体" w:cs="宋体" w:eastAsia="宋体" w:hint="default"/>
          <w:sz w:val="21"/>
          <w:szCs w:val="21"/>
        </w:rPr>
      </w:pPr>
    </w:p>
    <w:p>
      <w:pPr>
        <w:pStyle w:val="BodyText"/>
        <w:spacing w:line="506" w:lineRule="auto"/>
        <w:ind w:right="6148"/>
        <w:jc w:val="left"/>
      </w:pPr>
      <w:r>
        <w:rPr>
          <w:rFonts w:ascii="Times New Roman" w:hAnsi="Times New Roman" w:cs="Times New Roman" w:eastAsia="Times New Roman" w:hint="default"/>
        </w:rPr>
        <w:t>1. </w:t>
      </w:r>
      <w:r>
        <w:rPr/>
        <w:t>存货的分类 公司的存货分为在产品、库存商品、发出商品等。 </w:t>
      </w: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发出存货的计价方法 发出存货采用加权平均法。</w:t>
      </w:r>
    </w:p>
    <w:p>
      <w:pPr>
        <w:pStyle w:val="BodyText"/>
        <w:spacing w:line="240" w:lineRule="auto" w:before="80"/>
        <w:ind w:right="1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存货可变现净值的确定依据及存货跌价准备的计提方法</w:t>
      </w:r>
    </w:p>
    <w:p>
      <w:pPr>
        <w:spacing w:line="240" w:lineRule="auto" w:before="6"/>
        <w:rPr>
          <w:rFonts w:ascii="宋体" w:hAnsi="宋体" w:cs="宋体" w:eastAsia="宋体" w:hint="default"/>
          <w:sz w:val="20"/>
          <w:szCs w:val="20"/>
        </w:rPr>
      </w:pPr>
    </w:p>
    <w:p>
      <w:pPr>
        <w:pStyle w:val="BodyText"/>
        <w:spacing w:line="367" w:lineRule="auto"/>
        <w:ind w:left="1418" w:right="1117" w:firstLine="360"/>
        <w:jc w:val="left"/>
      </w:pPr>
      <w:r>
        <w:rPr/>
        <w:t>结合行业积压图书处理的一般情况和企业处理积压图书的实际经验，公司将图书分为常销类、非常销类二大类。 于每期期末，对库存出版物存货进行全面清查并实行分年核价，按规定的比例提取跌价准备：</w:t>
      </w:r>
    </w:p>
    <w:p>
      <w:pPr>
        <w:spacing w:line="240" w:lineRule="auto" w:before="2"/>
        <w:rPr>
          <w:rFonts w:ascii="宋体" w:hAnsi="宋体" w:cs="宋体" w:eastAsia="宋体" w:hint="default"/>
          <w:sz w:val="14"/>
          <w:szCs w:val="14"/>
        </w:rPr>
      </w:pPr>
    </w:p>
    <w:p>
      <w:pPr>
        <w:pStyle w:val="BodyText"/>
        <w:spacing w:line="240" w:lineRule="auto"/>
        <w:ind w:right="1117"/>
        <w:jc w:val="left"/>
      </w:pPr>
      <w:r>
        <w:rPr/>
        <w:t>对红魔语法阅读词汇系列图书、少儿及经典名著系列图书等常销书</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年内不计提存货跌价准备，</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9"/>
        </w:rPr>
        <w:t> </w:t>
      </w:r>
      <w:r>
        <w:rPr/>
        <w:t>年按图书总定</w:t>
      </w:r>
    </w:p>
    <w:p>
      <w:pPr>
        <w:spacing w:after="0" w:line="240" w:lineRule="auto"/>
        <w:jc w:val="left"/>
        <w:sectPr>
          <w:footerReference w:type="default" r:id="rId28"/>
          <w:pgSz w:w="11910" w:h="16840"/>
          <w:pgMar w:footer="979" w:header="877"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45" w:lineRule="auto"/>
        <w:ind w:left="1418" w:right="1272"/>
        <w:jc w:val="both"/>
      </w:pPr>
      <w:r>
        <w:rPr/>
        <w:t>价计提</w:t>
      </w:r>
      <w:r>
        <w:rPr>
          <w:spacing w:val="-45"/>
        </w:rPr>
        <w:t> </w:t>
      </w:r>
      <w:r>
        <w:rPr>
          <w:rFonts w:ascii="Times New Roman" w:hAnsi="Times New Roman" w:cs="Times New Roman" w:eastAsia="Times New Roman" w:hint="default"/>
          <w:spacing w:val="-3"/>
        </w:rPr>
        <w:t>3%</w:t>
      </w:r>
      <w:r>
        <w:rPr>
          <w:spacing w:val="-3"/>
        </w:rPr>
        <w:t>存货跌价准备，</w:t>
      </w:r>
      <w:r>
        <w:rPr>
          <w:rFonts w:ascii="Times New Roman" w:hAnsi="Times New Roman" w:cs="Times New Roman" w:eastAsia="Times New Roman" w:hint="default"/>
          <w:spacing w:val="-3"/>
        </w:rPr>
        <w:t>2-3</w:t>
      </w:r>
      <w:r>
        <w:rPr>
          <w:rFonts w:ascii="Times New Roman" w:hAnsi="Times New Roman" w:cs="Times New Roman" w:eastAsia="Times New Roman" w:hint="default"/>
        </w:rPr>
        <w:t> </w:t>
      </w:r>
      <w:r>
        <w:rPr/>
        <w:t>年以上按图书总定价计提</w:t>
      </w:r>
      <w:r>
        <w:rPr>
          <w:spacing w:val="-45"/>
        </w:rPr>
        <w:t> </w:t>
      </w:r>
      <w:r>
        <w:rPr>
          <w:rFonts w:ascii="Times New Roman" w:hAnsi="Times New Roman" w:cs="Times New Roman" w:eastAsia="Times New Roman" w:hint="default"/>
          <w:spacing w:val="-4"/>
        </w:rPr>
        <w:t>5%</w:t>
      </w:r>
      <w:r>
        <w:rPr>
          <w:spacing w:val="-4"/>
        </w:rPr>
        <w:t>存货跌价准备，</w:t>
      </w:r>
      <w:r>
        <w:rPr>
          <w:rFonts w:ascii="Times New Roman" w:hAnsi="Times New Roman" w:cs="Times New Roman" w:eastAsia="Times New Roman" w:hint="default"/>
          <w:spacing w:val="-4"/>
        </w:rPr>
        <w:t>3</w:t>
      </w:r>
      <w:r>
        <w:rPr>
          <w:rFonts w:ascii="Times New Roman" w:hAnsi="Times New Roman" w:cs="Times New Roman" w:eastAsia="Times New Roman" w:hint="default"/>
        </w:rPr>
        <w:t> </w:t>
      </w:r>
      <w:r>
        <w:rPr/>
        <w:t>年以上按图书总定价计提</w:t>
      </w:r>
      <w:r>
        <w:rPr>
          <w:spacing w:val="-45"/>
        </w:rPr>
        <w:t> </w:t>
      </w:r>
      <w:r>
        <w:rPr>
          <w:rFonts w:ascii="Times New Roman" w:hAnsi="Times New Roman" w:cs="Times New Roman" w:eastAsia="Times New Roman" w:hint="default"/>
        </w:rPr>
        <w:t>10%</w:t>
      </w:r>
      <w:r>
        <w:rPr/>
        <w:t>存货跌价准 备。</w:t>
      </w:r>
    </w:p>
    <w:p>
      <w:pPr>
        <w:spacing w:line="240" w:lineRule="auto" w:before="5"/>
        <w:rPr>
          <w:rFonts w:ascii="宋体" w:hAnsi="宋体" w:cs="宋体" w:eastAsia="宋体" w:hint="default"/>
          <w:sz w:val="15"/>
          <w:szCs w:val="15"/>
        </w:rPr>
      </w:pPr>
    </w:p>
    <w:p>
      <w:pPr>
        <w:pStyle w:val="BodyText"/>
        <w:spacing w:line="348" w:lineRule="auto"/>
        <w:ind w:left="1418" w:right="1272" w:firstLine="360"/>
        <w:jc w:val="both"/>
      </w:pPr>
      <w:r>
        <w:rPr/>
        <w:t>在非常销书中对当年出版的过季同步教辅和纸质期刊扣除图书总定价</w:t>
      </w:r>
      <w:r>
        <w:rPr>
          <w:spacing w:val="-40"/>
        </w:rPr>
        <w:t> </w:t>
      </w:r>
      <w:r>
        <w:rPr>
          <w:rFonts w:ascii="Times New Roman" w:hAnsi="Times New Roman" w:cs="Times New Roman" w:eastAsia="Times New Roman" w:hint="default"/>
          <w:spacing w:val="-4"/>
        </w:rPr>
        <w:t>3%</w:t>
      </w:r>
      <w:r>
        <w:rPr>
          <w:spacing w:val="-4"/>
        </w:rPr>
        <w:t>全额计提存货跌价准备。对社科类、青春</w:t>
      </w:r>
      <w:r>
        <w:rPr/>
        <w:t> </w:t>
      </w:r>
      <w:r>
        <w:rPr>
          <w:spacing w:val="-4"/>
        </w:rPr>
        <w:t>类等非常销书类图书按库龄不同，库龄 </w:t>
      </w:r>
      <w:r>
        <w:rPr>
          <w:rFonts w:ascii="Times New Roman" w:hAnsi="Times New Roman" w:cs="Times New Roman" w:eastAsia="Times New Roman" w:hint="default"/>
        </w:rPr>
        <w:t>1-2 </w:t>
      </w:r>
      <w:r>
        <w:rPr>
          <w:spacing w:val="-4"/>
        </w:rPr>
        <w:t>年库存社科类、青春类等畅销图书按图书总定价的</w:t>
      </w:r>
      <w:r>
        <w:rPr>
          <w:spacing w:val="-67"/>
        </w:rPr>
        <w:t> </w:t>
      </w:r>
      <w:r>
        <w:rPr>
          <w:rFonts w:ascii="Times New Roman" w:hAnsi="Times New Roman" w:cs="Times New Roman" w:eastAsia="Times New Roman" w:hint="default"/>
        </w:rPr>
        <w:t>10%</w:t>
      </w:r>
      <w:r>
        <w:rPr/>
        <w:t>计提存货跌价准备， 图书库龄超过</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年的按图书总定价的</w:t>
      </w:r>
      <w:r>
        <w:rPr>
          <w:spacing w:val="-46"/>
        </w:rPr>
        <w:t> </w:t>
      </w:r>
      <w:r>
        <w:rPr>
          <w:rFonts w:ascii="Times New Roman" w:hAnsi="Times New Roman" w:cs="Times New Roman" w:eastAsia="Times New Roman" w:hint="default"/>
        </w:rPr>
        <w:t>20%</w:t>
      </w:r>
      <w:r>
        <w:rPr/>
        <w:t>计提存货跌价准备。</w:t>
      </w:r>
    </w:p>
    <w:p>
      <w:pPr>
        <w:spacing w:line="240" w:lineRule="auto" w:before="7"/>
        <w:rPr>
          <w:rFonts w:ascii="宋体" w:hAnsi="宋体" w:cs="宋体" w:eastAsia="宋体" w:hint="default"/>
          <w:sz w:val="13"/>
          <w:szCs w:val="13"/>
        </w:rPr>
      </w:pPr>
    </w:p>
    <w:p>
      <w:pPr>
        <w:pStyle w:val="BodyText"/>
        <w:spacing w:line="496" w:lineRule="auto"/>
        <w:ind w:right="758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存货的盘存制度 存货的盘存制度为永续盘存制。</w:t>
      </w:r>
    </w:p>
    <w:p>
      <w:pPr>
        <w:pStyle w:val="BodyText"/>
        <w:spacing w:line="496" w:lineRule="auto" w:before="88"/>
        <w:ind w:left="1868" w:right="5698" w:hanging="9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低值易耗品和包装物的摊销方法 低值易耗品、包装物领用时按照一次转销法进行摊销。</w:t>
      </w:r>
    </w:p>
    <w:p>
      <w:pPr>
        <w:pStyle w:val="BodyText"/>
        <w:spacing w:line="240" w:lineRule="auto" w:before="88"/>
        <w:ind w:left="1868" w:right="1117"/>
        <w:jc w:val="left"/>
      </w:pPr>
      <w:bookmarkStart w:name="（十三）持有待售" w:id="171"/>
      <w:bookmarkEnd w:id="171"/>
      <w:r>
        <w:rPr/>
      </w:r>
      <w:r>
        <w:rPr/>
        <w:t>（十三）持有待售</w:t>
      </w:r>
    </w:p>
    <w:p>
      <w:pPr>
        <w:spacing w:line="240" w:lineRule="auto" w:before="6"/>
        <w:rPr>
          <w:rFonts w:ascii="宋体" w:hAnsi="宋体" w:cs="宋体" w:eastAsia="宋体" w:hint="default"/>
          <w:sz w:val="21"/>
          <w:szCs w:val="21"/>
        </w:rPr>
      </w:pPr>
    </w:p>
    <w:p>
      <w:pPr>
        <w:pStyle w:val="BodyText"/>
        <w:spacing w:line="357" w:lineRule="auto"/>
        <w:ind w:left="1418" w:right="1271" w:firstLine="360"/>
        <w:jc w:val="both"/>
      </w:pPr>
      <w:r>
        <w:rPr>
          <w:spacing w:val="-3"/>
        </w:rPr>
        <w:t>本公司将同时满足下列条件的企业组成部分（或非流动资产）划分为持有待售：</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27"/>
        </w:rPr>
        <w:t> </w:t>
      </w:r>
      <w:r>
        <w:rPr/>
        <w:t>根据类似交易中出售此类资产 </w:t>
      </w:r>
      <w:r>
        <w:rPr>
          <w:spacing w:val="-3"/>
        </w:rPr>
        <w:t>或处置组的惯例，在当前状况下即可立即出售；</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2"/>
        </w:rPr>
        <w:t> </w:t>
      </w:r>
      <w:r>
        <w:rPr/>
        <w:t>出售极可能发生，已经就一项出售计划作出决议且获得确定的购买 承诺（确定的购买承诺，是指企业与其他方签订的具有法律约束力的购买协议，该协议包含交易价格、时间和足够严</w:t>
      </w:r>
      <w:r>
        <w:rPr>
          <w:spacing w:val="-63"/>
        </w:rPr>
        <w:t> </w:t>
      </w:r>
      <w:r>
        <w:rPr>
          <w:spacing w:val="-63"/>
        </w:rPr>
      </w:r>
      <w:r>
        <w:rPr/>
        <w:t>厉的违约惩罚等重要条款，使协议出现重大调整或者撤销的可能性极小。），预计出售将在一年内完成。已经获得按</w:t>
      </w:r>
      <w:r>
        <w:rPr>
          <w:spacing w:val="-63"/>
        </w:rPr>
        <w:t> </w:t>
      </w:r>
      <w:r>
        <w:rPr>
          <w:spacing w:val="-63"/>
        </w:rPr>
      </w:r>
      <w:r>
        <w:rPr/>
        <w:t>照有关规定需得到相关权力机构或者监管部门的批准。</w:t>
      </w:r>
    </w:p>
    <w:p>
      <w:pPr>
        <w:spacing w:line="240" w:lineRule="auto" w:before="9"/>
        <w:rPr>
          <w:rFonts w:ascii="宋体" w:hAnsi="宋体" w:cs="宋体" w:eastAsia="宋体" w:hint="default"/>
          <w:sz w:val="14"/>
          <w:szCs w:val="14"/>
        </w:rPr>
      </w:pPr>
    </w:p>
    <w:p>
      <w:pPr>
        <w:pStyle w:val="BodyText"/>
        <w:spacing w:line="362" w:lineRule="auto"/>
        <w:ind w:left="1418" w:right="1164" w:firstLine="360"/>
        <w:jc w:val="left"/>
      </w:pPr>
      <w:r>
        <w:rPr/>
        <w:t>本公司将持有待售的预计净残值调整为反映其公允价值减去出售费用后的净额（但不得超过该项持有待售的原账 面价值），原账面价值高于调整后预计净残值的差额，作为资产减值损失计入当期损益，同时计提持有待售资产减值</w:t>
      </w:r>
      <w:r>
        <w:rPr>
          <w:spacing w:val="-63"/>
        </w:rPr>
        <w:t> </w:t>
      </w:r>
      <w:r>
        <w:rPr>
          <w:spacing w:val="-63"/>
        </w:rPr>
      </w:r>
      <w:r>
        <w:rPr/>
        <w:t>准备。对于持有待售的处置组确认的资产减值损失金额，先抵减处置组中商誉的账面价值，再根据处置组中适用《企</w:t>
      </w:r>
      <w:r>
        <w:rPr>
          <w:spacing w:val="-63"/>
        </w:rPr>
        <w:t> </w:t>
      </w:r>
      <w:r>
        <w:rPr>
          <w:spacing w:val="-63"/>
        </w:rPr>
      </w:r>
      <w:r>
        <w:rPr/>
        <w:t>业会计准则第 </w:t>
      </w:r>
      <w:r>
        <w:rPr>
          <w:rFonts w:ascii="Times New Roman" w:hAnsi="Times New Roman" w:cs="Times New Roman" w:eastAsia="Times New Roman" w:hint="default"/>
        </w:rPr>
        <w:t>42</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持有待售的非流动资产、处置组和终止经营》计量规定的各项非流动资产账面价值所占比重， 按比例抵减其账面价值。</w:t>
      </w:r>
    </w:p>
    <w:p>
      <w:pPr>
        <w:spacing w:line="240" w:lineRule="auto" w:before="5"/>
        <w:rPr>
          <w:rFonts w:ascii="宋体" w:hAnsi="宋体" w:cs="宋体" w:eastAsia="宋体" w:hint="default"/>
          <w:sz w:val="14"/>
          <w:szCs w:val="14"/>
        </w:rPr>
      </w:pPr>
    </w:p>
    <w:p>
      <w:pPr>
        <w:pStyle w:val="BodyText"/>
        <w:spacing w:line="362" w:lineRule="auto"/>
        <w:ind w:left="1418" w:right="1165" w:firstLine="360"/>
        <w:jc w:val="left"/>
      </w:pPr>
      <w:r>
        <w:rPr/>
        <w:t>后续资产负债表日持有待售的非流动资产公允价值减去出售费用后的净额增加的，以前减记的金额予以恢复，并 在划分为持有待售类别后确认的资产减值损失金额内转回，转回金额计入当期损益。划分为持有待售类别前确认的资</w:t>
      </w:r>
      <w:r>
        <w:rPr>
          <w:spacing w:val="-63"/>
        </w:rPr>
        <w:t> </w:t>
      </w:r>
      <w:r>
        <w:rPr>
          <w:spacing w:val="-63"/>
        </w:rPr>
      </w:r>
      <w:r>
        <w:rPr/>
        <w:t>产减值损失不得转回。后续资产负债表日持有待售的处置组公允价值减去出售费用后的净额增加的，以前减记的金额</w:t>
      </w:r>
      <w:r>
        <w:rPr>
          <w:spacing w:val="-60"/>
        </w:rPr>
        <w:t> </w:t>
      </w:r>
      <w:r>
        <w:rPr>
          <w:spacing w:val="-60"/>
        </w:rPr>
      </w:r>
      <w:r>
        <w:rPr/>
        <w:t>予以恢复，并在划分为持有待售类别后适用《企业会计准则第 </w:t>
      </w:r>
      <w:r>
        <w:rPr>
          <w:rFonts w:ascii="Times New Roman" w:hAnsi="Times New Roman" w:cs="Times New Roman" w:eastAsia="Times New Roman" w:hint="default"/>
        </w:rPr>
        <w:t>42</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持有待售的非流动资产、处置组和终止经营》 计量规定的非流动资产确认的资产减值损失金额内转回，转回金额计入当期损益。已抵减的商誉账面价值，以及适用</w:t>
      </w:r>
    </w:p>
    <w:p>
      <w:pPr>
        <w:pStyle w:val="BodyText"/>
        <w:spacing w:line="352" w:lineRule="auto" w:before="32"/>
        <w:ind w:left="1418" w:right="1270"/>
        <w:jc w:val="both"/>
      </w:pPr>
      <w:r>
        <w:rPr/>
        <w:t>《企业会计准则第</w:t>
      </w:r>
      <w:r>
        <w:rPr>
          <w:spacing w:val="-71"/>
        </w:rPr>
        <w:t> </w:t>
      </w:r>
      <w:r>
        <w:rPr>
          <w:rFonts w:ascii="Times New Roman" w:hAnsi="Times New Roman" w:cs="Times New Roman" w:eastAsia="Times New Roman" w:hint="default"/>
        </w:rPr>
        <w:t>42</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持有待售的非流动资产、处置组和终止经营》计量规定的非流动资产在划分为持有待售类 别前确认的资产减值损失不得转回。持有待售的处置组确认的资产减值损失后续转回金额，</w:t>
      </w:r>
      <w:r>
        <w:rPr>
          <w:spacing w:val="-53"/>
        </w:rPr>
        <w:t> </w:t>
      </w:r>
      <w:r>
        <w:rPr/>
        <w:t>根据处置组中除商誉外适</w:t>
      </w:r>
      <w:r>
        <w:rPr/>
        <w:t> </w:t>
      </w:r>
      <w:r>
        <w:rPr>
          <w:spacing w:val="-3"/>
        </w:rPr>
        <w:t>用《企业会计准则第</w:t>
      </w:r>
      <w:r>
        <w:rPr>
          <w:spacing w:val="-60"/>
        </w:rPr>
        <w:t> </w:t>
      </w:r>
      <w:r>
        <w:rPr>
          <w:rFonts w:ascii="Times New Roman" w:hAnsi="Times New Roman" w:cs="Times New Roman" w:eastAsia="Times New Roman" w:hint="default"/>
        </w:rPr>
        <w:t>42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持有待售的非流动资产、处置组和终止经营》计量规定的各项非流动资产账面价值所占 比重，按比例增加其账面价值。</w:t>
      </w:r>
    </w:p>
    <w:p>
      <w:pPr>
        <w:spacing w:line="240" w:lineRule="auto" w:before="13"/>
        <w:rPr>
          <w:rFonts w:ascii="宋体" w:hAnsi="宋体" w:cs="宋体" w:eastAsia="宋体" w:hint="default"/>
          <w:sz w:val="14"/>
          <w:szCs w:val="14"/>
        </w:rPr>
      </w:pPr>
    </w:p>
    <w:p>
      <w:pPr>
        <w:pStyle w:val="BodyText"/>
        <w:spacing w:line="367" w:lineRule="auto"/>
        <w:ind w:left="1418" w:right="1117" w:firstLine="360"/>
        <w:jc w:val="left"/>
      </w:pPr>
      <w:r>
        <w:rPr>
          <w:spacing w:val="-2"/>
        </w:rPr>
        <w:t>本公司因出售对子公司的投资等原因导致其丧失对子公司控制权的，无论出售后本公司是否保留部分权益性投资，</w:t>
      </w:r>
      <w:r>
        <w:rPr/>
        <w:t> 在拟出售的对子公司投资满足持有待售类别划分条件时，在母公司个别财务报表中将对子公司投资整体划分为持有待</w:t>
      </w:r>
      <w:r>
        <w:rPr>
          <w:spacing w:val="-63"/>
        </w:rPr>
        <w:t> </w:t>
      </w:r>
      <w:r>
        <w:rPr>
          <w:spacing w:val="-63"/>
        </w:rPr>
      </w:r>
      <w:r>
        <w:rPr/>
        <w:t>售类别，在合并财务报表中将子公司所有资产和负债划分为持有待售类别。</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十四）终止经营" w:id="172"/>
      <w:bookmarkEnd w:id="172"/>
      <w:r>
        <w:rPr/>
      </w:r>
      <w:r>
        <w:rPr/>
        <w:t>（十四）终止经营</w:t>
      </w:r>
    </w:p>
    <w:p>
      <w:pPr>
        <w:spacing w:after="0" w:line="240" w:lineRule="auto"/>
        <w:jc w:val="left"/>
        <w:sectPr>
          <w:footerReference w:type="default" r:id="rId29"/>
          <w:pgSz w:w="11910" w:h="16840"/>
          <w:pgMar w:footer="979" w:header="877" w:top="1060" w:bottom="1160" w:left="0" w:right="0"/>
          <w:pgNumType w:start="10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ind w:left="1418" w:right="1274" w:firstLine="360"/>
        <w:jc w:val="both"/>
      </w:pPr>
      <w:r>
        <w:rPr/>
        <w:t>终止经营，是指企业满足下列条件之一的、能够单独区分的组成部分，且该组成部分已经处置或划分为持有待售 类别：</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1.</w:t>
      </w:r>
      <w:r>
        <w:rPr/>
        <w:t>该组成部分代表一项独立的主要业务或一个单独的主要经营地区；</w:t>
      </w:r>
    </w:p>
    <w:p>
      <w:pPr>
        <w:spacing w:line="240" w:lineRule="auto" w:before="6"/>
        <w:rPr>
          <w:rFonts w:ascii="宋体" w:hAnsi="宋体" w:cs="宋体" w:eastAsia="宋体" w:hint="default"/>
          <w:sz w:val="20"/>
          <w:szCs w:val="20"/>
        </w:rPr>
      </w:pPr>
    </w:p>
    <w:p>
      <w:pPr>
        <w:pStyle w:val="BodyText"/>
        <w:spacing w:line="240" w:lineRule="auto"/>
        <w:ind w:right="1117"/>
        <w:jc w:val="left"/>
      </w:pP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500" w:lineRule="atLeast" w:before="16"/>
        <w:ind w:right="1117"/>
        <w:jc w:val="left"/>
      </w:pPr>
      <w:r>
        <w:rPr>
          <w:rFonts w:ascii="Times New Roman" w:hAnsi="Times New Roman" w:cs="Times New Roman" w:eastAsia="Times New Roman" w:hint="default"/>
        </w:rPr>
        <w:t>3.</w:t>
      </w:r>
      <w:r>
        <w:rPr/>
        <w:t>该组成部分是专为转售而取得的子公司。 本公司在利润表中分别列示持续经营损益和终止经营损益。不符合终止经营定义的持有待售的非流动资产或处置</w:t>
      </w:r>
    </w:p>
    <w:p>
      <w:pPr>
        <w:pStyle w:val="BodyText"/>
        <w:spacing w:line="367" w:lineRule="auto" w:before="124"/>
        <w:ind w:left="1418" w:right="1117"/>
        <w:jc w:val="left"/>
      </w:pPr>
      <w:r>
        <w:rPr/>
        <w:t>组，其减值损失和转回金额及处置损益作为持续经营损益列报。终止经营的减值损失和转回金额等经营损益及处置损</w:t>
      </w:r>
      <w:r>
        <w:rPr>
          <w:spacing w:val="-63"/>
        </w:rPr>
        <w:t> </w:t>
      </w:r>
      <w:r>
        <w:rPr>
          <w:spacing w:val="-63"/>
        </w:rPr>
      </w:r>
      <w:r>
        <w:rPr/>
        <w:t>益作为终止经营损益列报。</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十五）长期股权投资" w:id="173"/>
      <w:bookmarkEnd w:id="173"/>
      <w:r>
        <w:rPr/>
      </w:r>
      <w:r>
        <w:rPr/>
        <w:t>（十五）长期股权投资</w:t>
      </w:r>
    </w:p>
    <w:p>
      <w:pPr>
        <w:spacing w:line="240" w:lineRule="auto" w:before="6"/>
        <w:rPr>
          <w:rFonts w:ascii="宋体" w:hAnsi="宋体" w:cs="宋体" w:eastAsia="宋体" w:hint="default"/>
          <w:sz w:val="21"/>
          <w:szCs w:val="21"/>
        </w:rPr>
      </w:pPr>
    </w:p>
    <w:p>
      <w:pPr>
        <w:pStyle w:val="BodyText"/>
        <w:spacing w:line="240" w:lineRule="auto"/>
        <w:ind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投资成本的确定</w:t>
      </w:r>
    </w:p>
    <w:p>
      <w:pPr>
        <w:spacing w:line="240" w:lineRule="auto" w:before="5"/>
        <w:rPr>
          <w:rFonts w:ascii="宋体" w:hAnsi="宋体" w:cs="宋体" w:eastAsia="宋体" w:hint="default"/>
          <w:sz w:val="20"/>
          <w:szCs w:val="20"/>
        </w:rPr>
      </w:pPr>
    </w:p>
    <w:p>
      <w:pPr>
        <w:pStyle w:val="BodyText"/>
        <w:spacing w:line="352" w:lineRule="auto"/>
        <w:ind w:left="1418" w:right="1272" w:firstLine="360"/>
        <w:jc w:val="both"/>
      </w:pPr>
      <w:r>
        <w:rPr/>
        <w:t>（</w:t>
      </w:r>
      <w:r>
        <w:rPr>
          <w:rFonts w:ascii="Times New Roman" w:hAnsi="Times New Roman" w:cs="Times New Roman" w:eastAsia="Times New Roman" w:hint="default"/>
        </w:rPr>
        <w:t>1</w:t>
      </w:r>
      <w:r>
        <w:rPr/>
        <w:t>）</w:t>
      </w:r>
      <w:r>
        <w:rPr>
          <w:spacing w:val="23"/>
        </w:rPr>
        <w:t> </w:t>
      </w:r>
      <w:r>
        <w:rPr/>
        <w:t>同一控制下的企业合并形成的，合并方以支付现金、转让非现金资产、承担债务或发行权益性证券作为合</w:t>
      </w:r>
      <w:r>
        <w:rPr/>
        <w:t> 并对价的，在合并日按照被合并方所有者权益在最终控制方合并财务报表中的账面价值的份额作为其初始投资成本。</w:t>
      </w:r>
      <w:r>
        <w:rPr>
          <w:spacing w:val="-63"/>
        </w:rPr>
        <w:t> </w:t>
      </w:r>
      <w:r>
        <w:rPr>
          <w:spacing w:val="-63"/>
        </w:rPr>
      </w:r>
      <w:r>
        <w:rPr>
          <w:spacing w:val="2"/>
        </w:rPr>
        <w:t>长期股权投资初始投资成本与支付的合并对价的账面价值或发行股份的面值总额之间的差额调整资本公积</w:t>
      </w:r>
      <w:r>
        <w:rPr>
          <w:rFonts w:ascii="Times New Roman" w:hAnsi="Times New Roman" w:cs="Times New Roman" w:eastAsia="Times New Roman" w:hint="default"/>
          <w:spacing w:val="2"/>
        </w:rPr>
        <w:t>(</w:t>
      </w:r>
      <w:r>
        <w:rPr>
          <w:spacing w:val="2"/>
        </w:rPr>
        <w:t>资本溢价</w:t>
      </w:r>
      <w:r>
        <w:rPr>
          <w:spacing w:val="-55"/>
        </w:rPr>
        <w:t> </w:t>
      </w:r>
      <w:r>
        <w:rPr>
          <w:spacing w:val="-55"/>
        </w:rPr>
      </w:r>
      <w:r>
        <w:rPr/>
        <w:t>或股本溢价</w:t>
      </w:r>
      <w:r>
        <w:rPr>
          <w:rFonts w:ascii="Times New Roman" w:hAnsi="Times New Roman" w:cs="Times New Roman" w:eastAsia="Times New Roman" w:hint="default"/>
        </w:rPr>
        <w:t>)</w:t>
      </w:r>
      <w:r>
        <w:rPr/>
        <w:t>；资本公积不足冲减的，调整留存收益。</w:t>
      </w:r>
    </w:p>
    <w:p>
      <w:pPr>
        <w:spacing w:line="240" w:lineRule="auto" w:before="3"/>
        <w:rPr>
          <w:rFonts w:ascii="宋体" w:hAnsi="宋体" w:cs="宋体" w:eastAsia="宋体" w:hint="default"/>
          <w:sz w:val="13"/>
          <w:szCs w:val="13"/>
        </w:rPr>
      </w:pPr>
    </w:p>
    <w:p>
      <w:pPr>
        <w:pStyle w:val="BodyText"/>
        <w:spacing w:line="367" w:lineRule="auto"/>
        <w:ind w:left="1418" w:right="1274" w:firstLine="360"/>
        <w:jc w:val="both"/>
      </w:pPr>
      <w:r>
        <w:rPr/>
        <w:t>分步实现同一控制下企业合并的，以持股比例计算的合并日应享有被合并方账面所有者权益份额作为该项投资的 初始投资成本。初始投资成本与其原长期股权投资账面价值加上合并日取得进一步股份新支付对价的账面价值之和的</w:t>
      </w:r>
      <w:r>
        <w:rPr>
          <w:spacing w:val="-63"/>
        </w:rPr>
        <w:t> </w:t>
      </w:r>
      <w:r>
        <w:rPr>
          <w:spacing w:val="-63"/>
        </w:rPr>
      </w:r>
      <w:r>
        <w:rPr/>
        <w:t>差额，调整资本公积（资本溢价或股本溢价），资本公积不足冲减的，冲减留存收益。</w:t>
      </w:r>
    </w:p>
    <w:p>
      <w:pPr>
        <w:spacing w:line="240" w:lineRule="auto" w:before="2"/>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2</w:t>
      </w:r>
      <w:r>
        <w:rPr/>
        <w:t>） 非同一控制下的企业合并形成的，在购买日按照支付的合并对价的公允价值作为其初始投资成本。</w:t>
      </w:r>
    </w:p>
    <w:p>
      <w:pPr>
        <w:spacing w:line="240" w:lineRule="auto" w:before="5"/>
        <w:rPr>
          <w:rFonts w:ascii="宋体" w:hAnsi="宋体" w:cs="宋体" w:eastAsia="宋体" w:hint="default"/>
          <w:sz w:val="20"/>
          <w:szCs w:val="20"/>
        </w:rPr>
      </w:pPr>
    </w:p>
    <w:p>
      <w:pPr>
        <w:pStyle w:val="BodyText"/>
        <w:spacing w:line="357" w:lineRule="auto"/>
        <w:ind w:left="1418" w:right="1272" w:firstLine="360"/>
        <w:jc w:val="both"/>
      </w:pPr>
      <w:r>
        <w:rPr/>
        <w:t>（</w:t>
      </w:r>
      <w:r>
        <w:rPr>
          <w:rFonts w:ascii="Times New Roman" w:hAnsi="Times New Roman" w:cs="Times New Roman" w:eastAsia="Times New Roman" w:hint="default"/>
        </w:rPr>
        <w:t>3</w:t>
      </w:r>
      <w:r>
        <w:rPr/>
        <w:t>）</w:t>
      </w:r>
      <w:r>
        <w:rPr>
          <w:spacing w:val="23"/>
        </w:rPr>
        <w:t> </w:t>
      </w:r>
      <w:r>
        <w:rPr/>
        <w:t>除企业合并形成以外的：以支付现金取得的，按照实际支付的购买价款作为其初始投资成本；以发行权益</w:t>
      </w:r>
      <w:r>
        <w:rPr/>
        <w:t> 性证券取得的，按照发行权益性证券的公允价值作为其初始投资成本；投资者投入的，按照投资合同或协议约定的价</w:t>
      </w:r>
      <w:r>
        <w:rPr>
          <w:spacing w:val="-60"/>
        </w:rPr>
        <w:t> </w:t>
      </w:r>
      <w:r>
        <w:rPr>
          <w:spacing w:val="-60"/>
        </w:rPr>
      </w:r>
      <w:r>
        <w:rPr/>
        <w:t>值作为其初始投资成本（合同或协议约定价值不公允的除外）。</w:t>
      </w:r>
    </w:p>
    <w:p>
      <w:pPr>
        <w:spacing w:line="240" w:lineRule="auto" w:before="9"/>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后续计量及损益确认方法</w:t>
      </w:r>
    </w:p>
    <w:p>
      <w:pPr>
        <w:spacing w:line="240" w:lineRule="auto" w:before="5"/>
        <w:rPr>
          <w:rFonts w:ascii="宋体" w:hAnsi="宋体" w:cs="宋体" w:eastAsia="宋体" w:hint="default"/>
          <w:sz w:val="20"/>
          <w:szCs w:val="20"/>
        </w:rPr>
      </w:pPr>
    </w:p>
    <w:p>
      <w:pPr>
        <w:pStyle w:val="BodyText"/>
        <w:spacing w:line="345" w:lineRule="auto"/>
        <w:ind w:left="1418" w:right="1271" w:firstLine="360"/>
        <w:jc w:val="both"/>
      </w:pPr>
      <w:r>
        <w:rPr>
          <w:spacing w:val="-1"/>
        </w:rPr>
        <w:t>本公司能够对被投资单位实施控制的长期股权投资</w:t>
      </w:r>
      <w:r>
        <w:rPr>
          <w:rFonts w:ascii="Times New Roman" w:hAnsi="Times New Roman" w:cs="Times New Roman" w:eastAsia="Times New Roman" w:hint="default"/>
          <w:spacing w:val="-1"/>
        </w:rPr>
        <w:t>,</w:t>
      </w:r>
      <w:r>
        <w:rPr>
          <w:spacing w:val="-1"/>
        </w:rPr>
        <w:t>在本公司个别财务报表中采用成本法核算；对具有共同控制或</w:t>
      </w:r>
      <w:r>
        <w:rPr/>
        <w:t> 重大影响的长期股权投资，采用权益法核算。</w:t>
      </w:r>
    </w:p>
    <w:p>
      <w:pPr>
        <w:spacing w:line="240" w:lineRule="auto" w:before="5"/>
        <w:rPr>
          <w:rFonts w:ascii="宋体" w:hAnsi="宋体" w:cs="宋体" w:eastAsia="宋体" w:hint="default"/>
          <w:sz w:val="15"/>
          <w:szCs w:val="15"/>
        </w:rPr>
      </w:pPr>
    </w:p>
    <w:p>
      <w:pPr>
        <w:pStyle w:val="BodyText"/>
        <w:spacing w:line="345" w:lineRule="auto"/>
        <w:ind w:left="1418" w:right="1271" w:firstLine="360"/>
        <w:jc w:val="both"/>
      </w:pPr>
      <w:r>
        <w:rPr>
          <w:spacing w:val="2"/>
        </w:rPr>
        <w:t>采用成本法时</w:t>
      </w:r>
      <w:r>
        <w:rPr>
          <w:rFonts w:ascii="Times New Roman" w:hAnsi="Times New Roman" w:cs="Times New Roman" w:eastAsia="Times New Roman" w:hint="default"/>
          <w:spacing w:val="2"/>
        </w:rPr>
        <w:t>,</w:t>
      </w:r>
      <w:r>
        <w:rPr>
          <w:spacing w:val="2"/>
        </w:rPr>
        <w:t>长期股权投资按初始投资成本计价</w:t>
      </w:r>
      <w:r>
        <w:rPr>
          <w:rFonts w:ascii="Times New Roman" w:hAnsi="Times New Roman" w:cs="Times New Roman" w:eastAsia="Times New Roman" w:hint="default"/>
          <w:spacing w:val="2"/>
        </w:rPr>
        <w:t>,</w:t>
      </w:r>
      <w:r>
        <w:rPr>
          <w:spacing w:val="2"/>
        </w:rPr>
        <w:t>除取得投资时实际支付的价款或对价中包含的已宣告但尚未发</w:t>
      </w:r>
      <w:r>
        <w:rPr/>
        <w:t> 放的现金股利或利润外</w:t>
      </w:r>
      <w:r>
        <w:rPr>
          <w:rFonts w:ascii="Times New Roman" w:hAnsi="Times New Roman" w:cs="Times New Roman" w:eastAsia="Times New Roman" w:hint="default"/>
        </w:rPr>
        <w:t>,</w:t>
      </w:r>
      <w:r>
        <w:rPr/>
        <w:t>按享有被投资单位宣告分派的现金股利或利润</w:t>
      </w:r>
      <w:r>
        <w:rPr>
          <w:rFonts w:ascii="Times New Roman" w:hAnsi="Times New Roman" w:cs="Times New Roman" w:eastAsia="Times New Roman" w:hint="default"/>
        </w:rPr>
        <w:t>,</w:t>
      </w:r>
      <w:r>
        <w:rPr/>
        <w:t>确认为当期投资收益</w:t>
      </w:r>
      <w:r>
        <w:rPr>
          <w:rFonts w:ascii="Times New Roman" w:hAnsi="Times New Roman" w:cs="Times New Roman" w:eastAsia="Times New Roman" w:hint="default"/>
        </w:rPr>
        <w:t>,</w:t>
      </w:r>
      <w:r>
        <w:rPr/>
        <w:t>并同时根据有关资产减值</w:t>
      </w:r>
      <w:r>
        <w:rPr>
          <w:spacing w:val="-21"/>
        </w:rPr>
        <w:t> </w:t>
      </w:r>
      <w:r>
        <w:rPr>
          <w:spacing w:val="-21"/>
        </w:rPr>
      </w:r>
      <w:r>
        <w:rPr/>
        <w:t>政策考虑长期投资是否减值。</w:t>
      </w:r>
    </w:p>
    <w:p>
      <w:pPr>
        <w:spacing w:line="240" w:lineRule="auto" w:before="5"/>
        <w:rPr>
          <w:rFonts w:ascii="宋体" w:hAnsi="宋体" w:cs="宋体" w:eastAsia="宋体" w:hint="default"/>
          <w:sz w:val="15"/>
          <w:szCs w:val="15"/>
        </w:rPr>
      </w:pPr>
    </w:p>
    <w:p>
      <w:pPr>
        <w:pStyle w:val="BodyText"/>
        <w:spacing w:line="357" w:lineRule="auto"/>
        <w:ind w:left="1418" w:right="1270" w:firstLine="360"/>
        <w:jc w:val="both"/>
      </w:pPr>
      <w:r>
        <w:rPr>
          <w:spacing w:val="2"/>
        </w:rPr>
        <w:t>采用权益法时</w:t>
      </w:r>
      <w:r>
        <w:rPr>
          <w:rFonts w:ascii="Times New Roman" w:hAnsi="Times New Roman" w:cs="Times New Roman" w:eastAsia="Times New Roman" w:hint="default"/>
          <w:spacing w:val="2"/>
        </w:rPr>
        <w:t>,</w:t>
      </w:r>
      <w:r>
        <w:rPr>
          <w:spacing w:val="2"/>
        </w:rPr>
        <w:t>长期股权投资的初始投资成本大于投资时应享有被投资单位可辨认净资产公允价值份额的</w:t>
      </w:r>
      <w:r>
        <w:rPr>
          <w:rFonts w:ascii="Times New Roman" w:hAnsi="Times New Roman" w:cs="Times New Roman" w:eastAsia="Times New Roman" w:hint="default"/>
          <w:spacing w:val="2"/>
        </w:rPr>
        <w:t>,</w:t>
      </w:r>
      <w:r>
        <w:rPr>
          <w:spacing w:val="2"/>
        </w:rPr>
        <w:t>归入长</w:t>
      </w:r>
      <w:r>
        <w:rPr/>
        <w:t> 期股权投资的初始投资成本；长期股权投资的初始投资成本小于投资时应享有被投资单位可辨认净资产公允价值份额</w:t>
      </w:r>
      <w:r>
        <w:rPr>
          <w:spacing w:val="-60"/>
        </w:rPr>
        <w:t> </w:t>
      </w:r>
      <w:r>
        <w:rPr>
          <w:spacing w:val="-60"/>
        </w:rPr>
      </w:r>
      <w:r>
        <w:rPr/>
        <w:t>的</w:t>
      </w:r>
      <w:r>
        <w:rPr>
          <w:rFonts w:ascii="Times New Roman" w:hAnsi="Times New Roman" w:cs="Times New Roman" w:eastAsia="Times New Roman" w:hint="default"/>
        </w:rPr>
        <w:t>,</w:t>
      </w:r>
      <w:r>
        <w:rPr/>
        <w:t>其差额计入当期损益</w:t>
      </w:r>
      <w:r>
        <w:rPr>
          <w:rFonts w:ascii="Times New Roman" w:hAnsi="Times New Roman" w:cs="Times New Roman" w:eastAsia="Times New Roman" w:hint="default"/>
        </w:rPr>
        <w:t>,</w:t>
      </w:r>
      <w:r>
        <w:rPr/>
        <w:t>同时调整长期股权投资的成本。</w:t>
      </w:r>
    </w:p>
    <w:p>
      <w:pPr>
        <w:spacing w:line="240" w:lineRule="auto" w:before="12"/>
        <w:rPr>
          <w:rFonts w:ascii="宋体" w:hAnsi="宋体" w:cs="宋体" w:eastAsia="宋体" w:hint="default"/>
          <w:sz w:val="12"/>
          <w:szCs w:val="12"/>
        </w:rPr>
      </w:pPr>
    </w:p>
    <w:p>
      <w:pPr>
        <w:pStyle w:val="BodyText"/>
        <w:spacing w:line="345" w:lineRule="auto"/>
        <w:ind w:left="1418" w:right="1271" w:firstLine="360"/>
        <w:jc w:val="both"/>
      </w:pPr>
      <w:r>
        <w:rPr/>
        <w:t>采用权益法时</w:t>
      </w:r>
      <w:r>
        <w:rPr>
          <w:rFonts w:ascii="Times New Roman" w:hAnsi="Times New Roman" w:cs="Times New Roman" w:eastAsia="Times New Roman" w:hint="default"/>
        </w:rPr>
        <w:t>,</w:t>
      </w:r>
      <w:r>
        <w:rPr/>
        <w:t>取得长期股权投资后</w:t>
      </w:r>
      <w:r>
        <w:rPr>
          <w:rFonts w:ascii="Times New Roman" w:hAnsi="Times New Roman" w:cs="Times New Roman" w:eastAsia="Times New Roman" w:hint="default"/>
        </w:rPr>
        <w:t>,</w:t>
      </w:r>
      <w:r>
        <w:rPr/>
        <w:t>按照应享有或应分担的被投资单位实现的净损益的份额</w:t>
      </w:r>
      <w:r>
        <w:rPr>
          <w:rFonts w:ascii="Times New Roman" w:hAnsi="Times New Roman" w:cs="Times New Roman" w:eastAsia="Times New Roman" w:hint="default"/>
        </w:rPr>
        <w:t>,</w:t>
      </w:r>
      <w:r>
        <w:rPr/>
        <w:t>确认投资损益并调整 </w:t>
      </w:r>
      <w:r>
        <w:rPr>
          <w:spacing w:val="-1"/>
        </w:rPr>
        <w:t>长期股权投资的账面价值。在确认应享有被投资单位净损益的份额时</w:t>
      </w:r>
      <w:r>
        <w:rPr>
          <w:rFonts w:ascii="Times New Roman" w:hAnsi="Times New Roman" w:cs="Times New Roman" w:eastAsia="Times New Roman" w:hint="default"/>
          <w:spacing w:val="-1"/>
        </w:rPr>
        <w:t>,</w:t>
      </w:r>
      <w:r>
        <w:rPr>
          <w:spacing w:val="-1"/>
        </w:rPr>
        <w:t>以取得投资时被投资单位各项可辨认资产等的公</w:t>
      </w:r>
    </w:p>
    <w:p>
      <w:pPr>
        <w:spacing w:after="0" w:line="345"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48" w:lineRule="auto"/>
        <w:ind w:left="1418" w:right="1269"/>
        <w:jc w:val="both"/>
      </w:pPr>
      <w:r>
        <w:rPr>
          <w:spacing w:val="2"/>
        </w:rPr>
        <w:t>允价值为基础</w:t>
      </w:r>
      <w:r>
        <w:rPr>
          <w:rFonts w:ascii="Times New Roman" w:hAnsi="Times New Roman" w:cs="Times New Roman" w:eastAsia="Times New Roman" w:hint="default"/>
          <w:spacing w:val="2"/>
        </w:rPr>
        <w:t>,</w:t>
      </w:r>
      <w:r>
        <w:rPr>
          <w:spacing w:val="2"/>
        </w:rPr>
        <w:t>按照本公司的会计政策及会计期间</w:t>
      </w:r>
      <w:r>
        <w:rPr>
          <w:rFonts w:ascii="Times New Roman" w:hAnsi="Times New Roman" w:cs="Times New Roman" w:eastAsia="Times New Roman" w:hint="default"/>
          <w:spacing w:val="2"/>
        </w:rPr>
        <w:t>,</w:t>
      </w:r>
      <w:r>
        <w:rPr>
          <w:spacing w:val="2"/>
        </w:rPr>
        <w:t>并抵销与联营企业及合营企业之间发生的内部交易损益按照持股比 </w:t>
      </w:r>
      <w:r>
        <w:rPr/>
        <w:t>例计算归属于投资企业的部分</w:t>
      </w:r>
      <w:r>
        <w:rPr>
          <w:rFonts w:ascii="Times New Roman" w:hAnsi="Times New Roman" w:cs="Times New Roman" w:eastAsia="Times New Roman" w:hint="default"/>
        </w:rPr>
        <w:t>(</w:t>
      </w:r>
      <w:r>
        <w:rPr/>
        <w:t>但内部交易损失属于资产减值损失的</w:t>
      </w:r>
      <w:r>
        <w:rPr>
          <w:rFonts w:ascii="Times New Roman" w:hAnsi="Times New Roman" w:cs="Times New Roman" w:eastAsia="Times New Roman" w:hint="default"/>
        </w:rPr>
        <w:t>,</w:t>
      </w:r>
      <w:r>
        <w:rPr/>
        <w:t>应全额确认</w:t>
      </w:r>
      <w:r>
        <w:rPr>
          <w:rFonts w:ascii="Times New Roman" w:hAnsi="Times New Roman" w:cs="Times New Roman" w:eastAsia="Times New Roman" w:hint="default"/>
        </w:rPr>
        <w:t>),</w:t>
      </w:r>
      <w:r>
        <w:rPr/>
        <w:t>对被投资单位的净利润进行调整后确 </w:t>
      </w:r>
      <w:r>
        <w:rPr>
          <w:spacing w:val="-1"/>
        </w:rPr>
        <w:t>认。按照被投资单位宣告分派的利润或现金股利计算应分得的部分</w:t>
      </w:r>
      <w:r>
        <w:rPr>
          <w:rFonts w:ascii="Times New Roman" w:hAnsi="Times New Roman" w:cs="Times New Roman" w:eastAsia="Times New Roman" w:hint="default"/>
          <w:spacing w:val="-1"/>
        </w:rPr>
        <w:t>,</w:t>
      </w:r>
      <w:r>
        <w:rPr>
          <w:spacing w:val="-1"/>
        </w:rPr>
        <w:t>相应减少长期股权投资的账面价值。本公司确认被</w:t>
      </w:r>
      <w:r>
        <w:rPr>
          <w:spacing w:val="-52"/>
        </w:rPr>
        <w:t> </w:t>
      </w:r>
      <w:r>
        <w:rPr>
          <w:spacing w:val="-52"/>
        </w:rPr>
      </w:r>
      <w:r>
        <w:rPr>
          <w:spacing w:val="2"/>
        </w:rPr>
        <w:t>投资单位发生的净亏损</w:t>
      </w:r>
      <w:r>
        <w:rPr>
          <w:rFonts w:ascii="Times New Roman" w:hAnsi="Times New Roman" w:cs="Times New Roman" w:eastAsia="Times New Roman" w:hint="default"/>
          <w:spacing w:val="2"/>
        </w:rPr>
        <w:t>,</w:t>
      </w:r>
      <w:r>
        <w:rPr>
          <w:spacing w:val="2"/>
        </w:rPr>
        <w:t>以长期股权投资的账面价值以及其他实质上构成对被投资单位净投资的长期权益减记至零为</w:t>
      </w:r>
      <w:r>
        <w:rPr>
          <w:spacing w:val="-49"/>
        </w:rPr>
        <w:t> </w:t>
      </w:r>
      <w:r>
        <w:rPr>
          <w:spacing w:val="-49"/>
        </w:rPr>
      </w:r>
      <w:r>
        <w:rPr>
          <w:spacing w:val="-2"/>
        </w:rPr>
        <w:t>限</w:t>
      </w:r>
      <w:r>
        <w:rPr>
          <w:rFonts w:ascii="Times New Roman" w:hAnsi="Times New Roman" w:cs="Times New Roman" w:eastAsia="Times New Roman" w:hint="default"/>
          <w:spacing w:val="-2"/>
        </w:rPr>
        <w:t>,</w:t>
      </w:r>
      <w:r>
        <w:rPr>
          <w:spacing w:val="-2"/>
        </w:rPr>
        <w:t>本公司负有承担额外损失义务的除外。对于被投资单位除净损益以外所有者权益的其他变动</w:t>
      </w:r>
      <w:r>
        <w:rPr>
          <w:rFonts w:ascii="Times New Roman" w:hAnsi="Times New Roman" w:cs="Times New Roman" w:eastAsia="Times New Roman" w:hint="default"/>
          <w:spacing w:val="-2"/>
        </w:rPr>
        <w:t>,</w:t>
      </w:r>
      <w:r>
        <w:rPr>
          <w:spacing w:val="-2"/>
        </w:rPr>
        <w:t>调整长期股权投资的账</w:t>
      </w:r>
      <w:r>
        <w:rPr>
          <w:spacing w:val="-44"/>
        </w:rPr>
        <w:t> </w:t>
      </w:r>
      <w:r>
        <w:rPr>
          <w:spacing w:val="-44"/>
        </w:rPr>
      </w:r>
      <w:r>
        <w:rPr/>
        <w:t>面价值并计入所有者权益。</w:t>
      </w:r>
    </w:p>
    <w:p>
      <w:pPr>
        <w:spacing w:line="240" w:lineRule="auto" w:before="3"/>
        <w:rPr>
          <w:rFonts w:ascii="宋体" w:hAnsi="宋体" w:cs="宋体" w:eastAsia="宋体" w:hint="default"/>
          <w:sz w:val="15"/>
          <w:szCs w:val="15"/>
        </w:rPr>
      </w:pPr>
    </w:p>
    <w:p>
      <w:pPr>
        <w:pStyle w:val="BodyText"/>
        <w:spacing w:line="240" w:lineRule="auto"/>
        <w:ind w:right="1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确定对被投资单位具有控制、重大影响的依据</w:t>
      </w:r>
    </w:p>
    <w:p>
      <w:pPr>
        <w:spacing w:line="240" w:lineRule="auto" w:before="5"/>
        <w:rPr>
          <w:rFonts w:ascii="宋体" w:hAnsi="宋体" w:cs="宋体" w:eastAsia="宋体" w:hint="default"/>
          <w:sz w:val="20"/>
          <w:szCs w:val="20"/>
        </w:rPr>
      </w:pPr>
    </w:p>
    <w:p>
      <w:pPr>
        <w:pStyle w:val="BodyText"/>
        <w:spacing w:line="367" w:lineRule="auto"/>
        <w:ind w:left="1418" w:right="1273" w:firstLine="360"/>
        <w:jc w:val="both"/>
      </w:pPr>
      <w:r>
        <w:rPr/>
        <w:t>控制，是指拥有对被投资方的权力，通过参与被投资方的相关活动而享有可变回报，并且有能力运用对被投资方 的权力影响回报金额；重大影响，是指投资方对被投资单位的财务和经营政策有参与决策的权力，但并不能够控制或</w:t>
      </w:r>
      <w:r>
        <w:rPr>
          <w:spacing w:val="-61"/>
        </w:rPr>
        <w:t> </w:t>
      </w:r>
      <w:r>
        <w:rPr>
          <w:spacing w:val="-61"/>
        </w:rPr>
      </w:r>
      <w:r>
        <w:rPr/>
        <w:t>者与其他方一起共同控制这些政策的制定。</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长期股权投资的处置</w:t>
      </w:r>
    </w:p>
    <w:p>
      <w:pPr>
        <w:pStyle w:val="BodyText"/>
        <w:spacing w:line="500" w:lineRule="atLeast" w:before="16"/>
        <w:ind w:right="1117"/>
        <w:jc w:val="left"/>
      </w:pP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部分处置对子公司的长期股权投资，但不丧失控制权的情形 部分处置对子公司的长期股权投资，但不丧失控制权时，将处置价款与处置投资对应的账面价值的差额确认为当</w:t>
      </w:r>
    </w:p>
    <w:p>
      <w:pPr>
        <w:pStyle w:val="BodyText"/>
        <w:spacing w:line="240" w:lineRule="auto" w:before="124"/>
        <w:ind w:left="1418" w:right="0"/>
        <w:jc w:val="both"/>
      </w:pPr>
      <w:r>
        <w:rPr/>
        <w:t>期投资收益。</w:t>
      </w:r>
    </w:p>
    <w:p>
      <w:pPr>
        <w:pStyle w:val="BodyText"/>
        <w:spacing w:line="500" w:lineRule="atLeast" w:before="29"/>
        <w:ind w:right="1117"/>
        <w:jc w:val="left"/>
      </w:pPr>
      <w:r>
        <w:rPr>
          <w:rFonts w:ascii="Times New Roman" w:hAnsi="Times New Roman" w:cs="Times New Roman" w:eastAsia="Times New Roman" w:hint="default"/>
        </w:rPr>
        <w:t>4.2</w:t>
      </w:r>
      <w:r>
        <w:rPr>
          <w:rFonts w:ascii="Times New Roman" w:hAnsi="Times New Roman" w:cs="Times New Roman" w:eastAsia="Times New Roman" w:hint="default"/>
          <w:spacing w:val="44"/>
        </w:rPr>
        <w:t> </w:t>
      </w:r>
      <w:r>
        <w:rPr/>
        <w:t>部分处置股权投资或其他原因丧失了对子公司控制权的情形 部分处置股权投资或其他原因丧失了对子公司控制权的，对于处置的股权，应结转与所售股权相对应的长期股权</w:t>
      </w:r>
    </w:p>
    <w:p>
      <w:pPr>
        <w:pStyle w:val="BodyText"/>
        <w:spacing w:line="367" w:lineRule="auto" w:before="125"/>
        <w:ind w:left="1418" w:right="1271"/>
        <w:jc w:val="both"/>
      </w:pPr>
      <w:r>
        <w:rPr>
          <w:spacing w:val="-3"/>
        </w:rPr>
        <w:t>投资的账面价值，出售所得价款与处置长期股权投资账面价值之间差额，确认为投资收益（损失）；同时，对于剩余股</w:t>
      </w:r>
      <w:r>
        <w:rPr>
          <w:spacing w:val="-81"/>
        </w:rPr>
        <w:t> </w:t>
      </w:r>
      <w:r>
        <w:rPr>
          <w:spacing w:val="-81"/>
        </w:rPr>
      </w:r>
      <w:r>
        <w:rPr/>
        <w:t>权，按其账面价值确认为长期股权投资或其它相关金融资产。处置后的剩余股权能够对子公司实施共同控制或重大影</w:t>
      </w:r>
      <w:r>
        <w:rPr>
          <w:spacing w:val="-63"/>
        </w:rPr>
        <w:t> </w:t>
      </w:r>
      <w:r>
        <w:rPr>
          <w:spacing w:val="-63"/>
        </w:rPr>
      </w:r>
      <w:r>
        <w:rPr/>
        <w:t>响的，应按有关成本法转为权益法的相关规定进行会计处理。</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3"/>
        </w:rPr>
        <w:t> </w:t>
      </w:r>
      <w:r>
        <w:rPr/>
        <w:t>减值测试方法及减值准备计提方法</w:t>
      </w:r>
    </w:p>
    <w:p>
      <w:pPr>
        <w:spacing w:line="240" w:lineRule="auto" w:before="5"/>
        <w:rPr>
          <w:rFonts w:ascii="宋体" w:hAnsi="宋体" w:cs="宋体" w:eastAsia="宋体" w:hint="default"/>
          <w:sz w:val="20"/>
          <w:szCs w:val="20"/>
        </w:rPr>
      </w:pPr>
    </w:p>
    <w:p>
      <w:pPr>
        <w:pStyle w:val="BodyText"/>
        <w:spacing w:line="367" w:lineRule="auto"/>
        <w:ind w:left="1418" w:right="1117" w:firstLine="360"/>
        <w:jc w:val="left"/>
      </w:pPr>
      <w:r>
        <w:rPr/>
        <w:t>对子公司、联营企业及合营企业的投资，在资产负债表日有客观证据表明其发生减值的，按照账面价值与可收回 金额的差额计提相应的减值准备。</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十六）投资性房地产" w:id="174"/>
      <w:bookmarkEnd w:id="174"/>
      <w:r>
        <w:rPr/>
      </w:r>
      <w:r>
        <w:rPr/>
        <w:t>（十六）投资性房地产</w:t>
      </w:r>
    </w:p>
    <w:p>
      <w:pPr>
        <w:spacing w:line="240" w:lineRule="auto" w:before="6"/>
        <w:rPr>
          <w:rFonts w:ascii="宋体" w:hAnsi="宋体" w:cs="宋体" w:eastAsia="宋体" w:hint="default"/>
          <w:sz w:val="21"/>
          <w:szCs w:val="21"/>
        </w:rPr>
      </w:pPr>
    </w:p>
    <w:p>
      <w:pPr>
        <w:pStyle w:val="BodyText"/>
        <w:spacing w:line="240" w:lineRule="auto"/>
        <w:ind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投资性房地产包括已出租的土地使用权、持有并准备增值后转让的土地使用权和已出租的建筑物。</w:t>
      </w:r>
    </w:p>
    <w:p>
      <w:pPr>
        <w:spacing w:line="240" w:lineRule="auto" w:before="5"/>
        <w:rPr>
          <w:rFonts w:ascii="宋体" w:hAnsi="宋体" w:cs="宋体" w:eastAsia="宋体" w:hint="default"/>
          <w:sz w:val="20"/>
          <w:szCs w:val="20"/>
        </w:rPr>
      </w:pPr>
    </w:p>
    <w:p>
      <w:pPr>
        <w:pStyle w:val="BodyText"/>
        <w:spacing w:line="357" w:lineRule="auto"/>
        <w:ind w:left="1418" w:right="1273"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投资性房地产按照成本进行初始计量，采用成本模式进行后续计量，并采用与固定资产和无形资产相同的方法 计提折旧或进行摊销。资产负债表日，有迹象表明投资性房地产发生减值的，按照账面价值与可收回金额的差额计提</w:t>
      </w:r>
      <w:r>
        <w:rPr>
          <w:spacing w:val="-63"/>
        </w:rPr>
        <w:t> </w:t>
      </w:r>
      <w:r>
        <w:rPr>
          <w:spacing w:val="-63"/>
        </w:rPr>
      </w:r>
      <w:r>
        <w:rPr/>
        <w:t>相应的减值准备。</w:t>
      </w:r>
    </w:p>
    <w:p>
      <w:pPr>
        <w:spacing w:line="240" w:lineRule="auto" w:before="9"/>
        <w:rPr>
          <w:rFonts w:ascii="宋体" w:hAnsi="宋体" w:cs="宋体" w:eastAsia="宋体" w:hint="default"/>
          <w:sz w:val="14"/>
          <w:szCs w:val="14"/>
        </w:rPr>
      </w:pPr>
    </w:p>
    <w:p>
      <w:pPr>
        <w:pStyle w:val="BodyText"/>
        <w:spacing w:line="240" w:lineRule="auto"/>
        <w:ind w:right="1117"/>
        <w:jc w:val="left"/>
      </w:pPr>
      <w:bookmarkStart w:name="（十七）固定资产" w:id="175"/>
      <w:bookmarkEnd w:id="175"/>
      <w:r>
        <w:rPr/>
      </w:r>
      <w:r>
        <w:rPr/>
        <w:t>（十七）固定资产</w:t>
      </w:r>
    </w:p>
    <w:p>
      <w:pPr>
        <w:spacing w:line="240" w:lineRule="auto" w:before="6"/>
        <w:rPr>
          <w:rFonts w:ascii="宋体" w:hAnsi="宋体" w:cs="宋体" w:eastAsia="宋体" w:hint="default"/>
          <w:sz w:val="21"/>
          <w:szCs w:val="21"/>
        </w:rPr>
      </w:pPr>
    </w:p>
    <w:p>
      <w:pPr>
        <w:pStyle w:val="BodyText"/>
        <w:spacing w:line="511" w:lineRule="auto"/>
        <w:ind w:right="164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固定资产确认条件、计价和折旧方法 固定资产是指为生产商品、提供劳务、出租或经营管理而持有的，使用年限超过一个会计年度的有形资产。 固定资产以取得时的实际成本入账，并从其达到预定可使用状态的次月起采用年限平均法计提折旧。</w:t>
      </w:r>
    </w:p>
    <w:p>
      <w:pPr>
        <w:spacing w:after="0" w:line="511"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各类固定资产的折旧方法</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2294"/>
        <w:gridCol w:w="2420"/>
        <w:gridCol w:w="2357"/>
        <w:gridCol w:w="2360"/>
      </w:tblGrid>
      <w:tr>
        <w:trPr>
          <w:trHeight w:val="272" w:hRule="exact"/>
        </w:trPr>
        <w:tc>
          <w:tcPr>
            <w:tcW w:w="2294" w:type="dxa"/>
            <w:tcBorders>
              <w:top w:val="nil" w:sz="6" w:space="0" w:color="auto"/>
              <w:left w:val="nil" w:sz="6" w:space="0" w:color="auto"/>
              <w:bottom w:val="single" w:sz="4" w:space="0" w:color="000000"/>
              <w:right w:val="nil" w:sz="6" w:space="0" w:color="auto"/>
            </w:tcBorders>
          </w:tcPr>
          <w:p>
            <w:pPr>
              <w:pStyle w:val="TableParagraph"/>
              <w:spacing w:line="180" w:lineRule="exact"/>
              <w:ind w:left="817" w:right="0"/>
              <w:jc w:val="left"/>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2420" w:type="dxa"/>
            <w:tcBorders>
              <w:top w:val="nil" w:sz="6" w:space="0" w:color="auto"/>
              <w:left w:val="nil" w:sz="6" w:space="0" w:color="auto"/>
              <w:bottom w:val="single" w:sz="4" w:space="0" w:color="000000"/>
              <w:right w:val="nil" w:sz="6" w:space="0" w:color="auto"/>
            </w:tcBorders>
          </w:tcPr>
          <w:p>
            <w:pPr>
              <w:pStyle w:val="TableParagraph"/>
              <w:spacing w:line="194" w:lineRule="exact"/>
              <w:ind w:left="609" w:right="0"/>
              <w:jc w:val="left"/>
              <w:rPr>
                <w:rFonts w:ascii="宋体" w:hAnsi="宋体" w:cs="宋体" w:eastAsia="宋体" w:hint="default"/>
                <w:sz w:val="18"/>
                <w:szCs w:val="18"/>
              </w:rPr>
            </w:pPr>
            <w:r>
              <w:rPr>
                <w:rFonts w:ascii="宋体" w:hAnsi="宋体" w:cs="宋体" w:eastAsia="宋体" w:hint="default"/>
                <w:b/>
                <w:bCs/>
                <w:sz w:val="18"/>
                <w:szCs w:val="18"/>
              </w:rPr>
              <w:t>净残值率（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35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使用年限（年）</w:t>
            </w:r>
            <w:r>
              <w:rPr>
                <w:rFonts w:ascii="宋体" w:hAnsi="宋体" w:cs="宋体" w:eastAsia="宋体" w:hint="default"/>
                <w:sz w:val="18"/>
                <w:szCs w:val="18"/>
              </w:rPr>
            </w:r>
          </w:p>
        </w:tc>
        <w:tc>
          <w:tcPr>
            <w:tcW w:w="2360"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3" w:hRule="exact"/>
        </w:trPr>
        <w:tc>
          <w:tcPr>
            <w:tcW w:w="229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20"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65"/>
              <w:jc w:val="center"/>
              <w:rPr>
                <w:rFonts w:ascii="Times New Roman" w:hAnsi="Times New Roman" w:cs="Times New Roman" w:eastAsia="Times New Roman" w:hint="default"/>
                <w:sz w:val="18"/>
                <w:szCs w:val="18"/>
              </w:rPr>
            </w:pPr>
            <w:r>
              <w:rPr>
                <w:rFonts w:ascii="Times New Roman"/>
                <w:sz w:val="18"/>
              </w:rPr>
              <w:t>3</w:t>
            </w:r>
          </w:p>
        </w:tc>
        <w:tc>
          <w:tcPr>
            <w:tcW w:w="235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20-40</w:t>
            </w:r>
          </w:p>
        </w:tc>
        <w:tc>
          <w:tcPr>
            <w:tcW w:w="2360"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2" w:right="0"/>
              <w:jc w:val="center"/>
              <w:rPr>
                <w:rFonts w:ascii="Times New Roman" w:hAnsi="Times New Roman" w:cs="Times New Roman" w:eastAsia="Times New Roman" w:hint="default"/>
                <w:sz w:val="18"/>
                <w:szCs w:val="18"/>
              </w:rPr>
            </w:pPr>
            <w:r>
              <w:rPr>
                <w:rFonts w:ascii="Times New Roman"/>
                <w:sz w:val="18"/>
              </w:rPr>
              <w:t>2.43-4.85</w:t>
            </w:r>
          </w:p>
        </w:tc>
      </w:tr>
      <w:tr>
        <w:trPr>
          <w:trHeight w:val="440"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5"/>
              <w:jc w:val="center"/>
              <w:rPr>
                <w:rFonts w:ascii="Times New Roman" w:hAnsi="Times New Roman" w:cs="Times New Roman" w:eastAsia="Times New Roman" w:hint="default"/>
                <w:sz w:val="18"/>
                <w:szCs w:val="18"/>
              </w:rPr>
            </w:pPr>
            <w:r>
              <w:rPr>
                <w:rFonts w:ascii="Times New Roman"/>
                <w:sz w:val="18"/>
              </w:rPr>
              <w:t>3</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5</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19.40</w:t>
            </w:r>
          </w:p>
        </w:tc>
      </w:tr>
      <w:tr>
        <w:trPr>
          <w:trHeight w:val="440"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5"/>
              <w:jc w:val="center"/>
              <w:rPr>
                <w:rFonts w:ascii="Times New Roman" w:hAnsi="Times New Roman" w:cs="Times New Roman" w:eastAsia="Times New Roman" w:hint="default"/>
                <w:sz w:val="18"/>
                <w:szCs w:val="18"/>
              </w:rPr>
            </w:pPr>
            <w:r>
              <w:rPr>
                <w:rFonts w:ascii="Times New Roman"/>
                <w:sz w:val="18"/>
              </w:rPr>
              <w:t>3-10</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4-5</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 w:right="0"/>
              <w:jc w:val="center"/>
              <w:rPr>
                <w:rFonts w:ascii="Times New Roman" w:hAnsi="Times New Roman" w:cs="Times New Roman" w:eastAsia="Times New Roman" w:hint="default"/>
                <w:sz w:val="18"/>
                <w:szCs w:val="18"/>
              </w:rPr>
            </w:pPr>
            <w:r>
              <w:rPr>
                <w:rFonts w:ascii="Times New Roman"/>
                <w:sz w:val="18"/>
              </w:rPr>
              <w:t>18.00-24.25</w:t>
            </w:r>
          </w:p>
        </w:tc>
      </w:tr>
      <w:tr>
        <w:trPr>
          <w:trHeight w:val="315"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5"/>
              <w:jc w:val="center"/>
              <w:rPr>
                <w:rFonts w:ascii="Times New Roman" w:hAnsi="Times New Roman" w:cs="Times New Roman" w:eastAsia="Times New Roman" w:hint="default"/>
                <w:sz w:val="18"/>
                <w:szCs w:val="18"/>
              </w:rPr>
            </w:pPr>
            <w:r>
              <w:rPr>
                <w:rFonts w:ascii="Times New Roman"/>
                <w:sz w:val="18"/>
              </w:rPr>
              <w:t>3-5</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3-5</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19.00-32.33</w:t>
            </w:r>
          </w:p>
        </w:tc>
      </w:tr>
    </w:tbl>
    <w:p>
      <w:pPr>
        <w:spacing w:line="240" w:lineRule="auto" w:before="11"/>
        <w:rPr>
          <w:rFonts w:ascii="宋体" w:hAnsi="宋体" w:cs="宋体" w:eastAsia="宋体" w:hint="default"/>
          <w:sz w:val="29"/>
          <w:szCs w:val="29"/>
        </w:rPr>
      </w:pPr>
    </w:p>
    <w:p>
      <w:pPr>
        <w:pStyle w:val="BodyText"/>
        <w:spacing w:line="511" w:lineRule="auto" w:before="44"/>
        <w:ind w:right="164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固定资产的减值测试方法、减值准备计提方法 资产负债表日，有迹象表明固定资产发生减值的，按照账面价值与可收回金额的差额计提相应的减值准备。 </w:t>
      </w: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融资租入固定资产的认定依据、计价方法</w:t>
      </w:r>
    </w:p>
    <w:p>
      <w:pPr>
        <w:pStyle w:val="BodyText"/>
        <w:spacing w:line="350" w:lineRule="auto" w:before="41"/>
        <w:ind w:left="1418" w:right="1270" w:firstLine="360"/>
        <w:jc w:val="both"/>
      </w:pPr>
      <w:r>
        <w:rPr>
          <w:spacing w:val="-6"/>
        </w:rPr>
        <w:t>符合下列一项或数项标准的，认定为融资租赁：（</w:t>
      </w:r>
      <w:r>
        <w:rPr>
          <w:rFonts w:ascii="Times New Roman" w:hAnsi="Times New Roman" w:cs="Times New Roman" w:eastAsia="Times New Roman" w:hint="default"/>
          <w:spacing w:val="-6"/>
        </w:rPr>
        <w:t>1</w:t>
      </w:r>
      <w:r>
        <w:rPr>
          <w:spacing w:val="-6"/>
        </w:rPr>
        <w:t>）</w:t>
      </w:r>
      <w:r>
        <w:rPr/>
        <w:t> </w:t>
      </w:r>
      <w:r>
        <w:rPr>
          <w:spacing w:val="-6"/>
        </w:rPr>
        <w:t>在租赁期届满时，租赁资产的所有权转移给承租人；（</w:t>
      </w:r>
      <w:r>
        <w:rPr>
          <w:rFonts w:ascii="Times New Roman" w:hAnsi="Times New Roman" w:cs="Times New Roman" w:eastAsia="Times New Roman" w:hint="default"/>
          <w:spacing w:val="-6"/>
        </w:rPr>
        <w:t>2</w:t>
      </w:r>
      <w:r>
        <w:rPr>
          <w:spacing w:val="-6"/>
        </w:rPr>
        <w:t>）</w:t>
      </w:r>
      <w:r>
        <w:rPr>
          <w:spacing w:val="-30"/>
        </w:rPr>
        <w:t> </w:t>
      </w:r>
      <w:r>
        <w:rPr/>
        <w:t>承</w:t>
      </w:r>
      <w:r>
        <w:rPr/>
        <w:t> 租人有购买租赁资产的选择权，所订立的购买价款预计将远低于行使选择权时租赁资产的公允价值，因而在租赁开始</w:t>
      </w:r>
      <w:r>
        <w:rPr>
          <w:spacing w:val="-63"/>
        </w:rPr>
        <w:t> </w:t>
      </w:r>
      <w:r>
        <w:rPr>
          <w:spacing w:val="-63"/>
        </w:rPr>
      </w:r>
      <w:r>
        <w:rPr>
          <w:spacing w:val="-5"/>
        </w:rPr>
        <w:t>日就可以合理确定承租人将会行使这种选择权；（</w:t>
      </w:r>
      <w:r>
        <w:rPr>
          <w:rFonts w:ascii="Times New Roman" w:hAnsi="Times New Roman" w:cs="Times New Roman" w:eastAsia="Times New Roman" w:hint="default"/>
          <w:spacing w:val="-5"/>
        </w:rPr>
        <w:t>3</w:t>
      </w:r>
      <w:r>
        <w:rPr>
          <w:spacing w:val="-5"/>
        </w:rPr>
        <w:t>）</w:t>
      </w:r>
      <w:r>
        <w:rPr>
          <w:spacing w:val="-4"/>
        </w:rPr>
        <w:t> </w:t>
      </w:r>
      <w:r>
        <w:rPr>
          <w:spacing w:val="-1"/>
        </w:rPr>
        <w:t>即使资产的所有权不转移，但租赁期占租赁资产使用寿命的大部</w:t>
      </w:r>
      <w:r>
        <w:rPr>
          <w:spacing w:val="-88"/>
        </w:rPr>
        <w:t> </w:t>
      </w:r>
      <w:r>
        <w:rPr>
          <w:spacing w:val="-88"/>
        </w:rPr>
      </w:r>
      <w:r>
        <w:rPr/>
        <w:t>分</w:t>
      </w:r>
      <w:r>
        <w:rPr>
          <w:spacing w:val="6"/>
        </w:rPr>
        <w:t> </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通常占租赁资产使用寿命的</w:t>
      </w:r>
      <w:r>
        <w:rPr>
          <w:spacing w:val="-43"/>
        </w:rPr>
        <w:t> </w:t>
      </w:r>
      <w:r>
        <w:rPr>
          <w:rFonts w:ascii="Times New Roman" w:hAnsi="Times New Roman" w:cs="Times New Roman" w:eastAsia="Times New Roman" w:hint="default"/>
          <w:spacing w:val="-1"/>
        </w:rPr>
        <w:t>75%</w:t>
      </w:r>
      <w:r>
        <w:rPr>
          <w:spacing w:val="-1"/>
        </w:rPr>
        <w:t>以上（含</w:t>
      </w:r>
      <w:r>
        <w:rPr>
          <w:spacing w:val="-43"/>
        </w:rPr>
        <w:t> </w:t>
      </w:r>
      <w:r>
        <w:rPr>
          <w:rFonts w:ascii="Times New Roman" w:hAnsi="Times New Roman" w:cs="Times New Roman" w:eastAsia="Times New Roman" w:hint="default"/>
          <w:spacing w:val="-12"/>
        </w:rPr>
        <w:t>75%</w:t>
      </w:r>
      <w:r>
        <w:rPr>
          <w:spacing w:val="-12"/>
        </w:rPr>
        <w:t>）</w:t>
      </w:r>
      <w:r>
        <w:rPr>
          <w:rFonts w:ascii="Times New Roman" w:hAnsi="Times New Roman" w:cs="Times New Roman" w:eastAsia="Times New Roman" w:hint="default"/>
          <w:spacing w:val="-12"/>
        </w:rPr>
        <w:t>]</w:t>
      </w:r>
      <w:r>
        <w:rPr>
          <w:spacing w:val="-12"/>
        </w:rPr>
        <w:t>；（</w:t>
      </w:r>
      <w:r>
        <w:rPr>
          <w:rFonts w:ascii="Times New Roman" w:hAnsi="Times New Roman" w:cs="Times New Roman" w:eastAsia="Times New Roman" w:hint="default"/>
          <w:spacing w:val="-12"/>
        </w:rPr>
        <w:t>4</w:t>
      </w:r>
      <w:r>
        <w:rPr>
          <w:spacing w:val="-12"/>
        </w:rPr>
        <w:t>）</w:t>
      </w:r>
      <w:r>
        <w:rPr>
          <w:spacing w:val="1"/>
        </w:rPr>
        <w:t> </w:t>
      </w:r>
      <w:r>
        <w:rPr>
          <w:spacing w:val="-1"/>
        </w:rPr>
        <w:t>承租人在租赁开始日的最低租赁付款额现值，几乎相当</w:t>
      </w:r>
      <w:r>
        <w:rPr/>
        <w:t> 于租赁开始日租赁资产公允价值 </w:t>
      </w:r>
      <w:r>
        <w:rPr>
          <w:rFonts w:ascii="Times New Roman" w:hAnsi="Times New Roman" w:cs="Times New Roman" w:eastAsia="Times New Roman" w:hint="default"/>
        </w:rPr>
        <w:t>[ 90%</w:t>
      </w:r>
      <w:r>
        <w:rPr/>
        <w:t>以上（含</w:t>
      </w:r>
      <w:r>
        <w:rPr>
          <w:spacing w:val="-71"/>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w:t>
      </w:r>
      <w:r>
        <w:rPr/>
        <w:t>；出租人在租赁开始日的最低租赁收款额现值，几乎相当于租 赁开始日租赁资产公允价值 </w:t>
      </w:r>
      <w:r>
        <w:rPr>
          <w:rFonts w:ascii="Times New Roman" w:hAnsi="Times New Roman" w:cs="Times New Roman" w:eastAsia="Times New Roman" w:hint="default"/>
        </w:rPr>
        <w:t>[ 90%</w:t>
      </w:r>
      <w:r>
        <w:rPr/>
        <w:t>以上（含 </w:t>
      </w:r>
      <w:r>
        <w:rPr>
          <w:rFonts w:ascii="Times New Roman" w:hAnsi="Times New Roman" w:cs="Times New Roman" w:eastAsia="Times New Roman" w:hint="default"/>
          <w:spacing w:val="-11"/>
        </w:rPr>
        <w:t>90%</w:t>
      </w:r>
      <w:r>
        <w:rPr>
          <w:spacing w:val="-11"/>
        </w:rPr>
        <w:t>）</w:t>
      </w:r>
      <w:r>
        <w:rPr>
          <w:rFonts w:ascii="Times New Roman" w:hAnsi="Times New Roman" w:cs="Times New Roman" w:eastAsia="Times New Roman" w:hint="default"/>
          <w:spacing w:val="-11"/>
        </w:rPr>
        <w:t>]</w:t>
      </w:r>
      <w:r>
        <w:rPr>
          <w:spacing w:val="-11"/>
        </w:rPr>
        <w:t>；（</w:t>
      </w:r>
      <w:r>
        <w:rPr>
          <w:rFonts w:ascii="Times New Roman" w:hAnsi="Times New Roman" w:cs="Times New Roman" w:eastAsia="Times New Roman" w:hint="default"/>
          <w:spacing w:val="-11"/>
        </w:rPr>
        <w:t>5</w:t>
      </w:r>
      <w:r>
        <w:rPr>
          <w:spacing w:val="-11"/>
        </w:rPr>
        <w:t>）</w:t>
      </w:r>
      <w:r>
        <w:rPr>
          <w:spacing w:val="-20"/>
        </w:rPr>
        <w:t> </w:t>
      </w:r>
      <w:r>
        <w:rPr/>
        <w:t>租赁资产性质特殊，如果不作较大改造，只有承租人才能 使用。</w:t>
      </w:r>
    </w:p>
    <w:p>
      <w:pPr>
        <w:spacing w:line="240" w:lineRule="auto" w:before="1"/>
        <w:rPr>
          <w:rFonts w:ascii="宋体" w:hAnsi="宋体" w:cs="宋体" w:eastAsia="宋体" w:hint="default"/>
          <w:sz w:val="15"/>
          <w:szCs w:val="15"/>
        </w:rPr>
      </w:pPr>
    </w:p>
    <w:p>
      <w:pPr>
        <w:pStyle w:val="BodyText"/>
        <w:spacing w:line="367" w:lineRule="auto"/>
        <w:ind w:left="1418" w:right="1117" w:firstLine="360"/>
        <w:jc w:val="left"/>
      </w:pPr>
      <w:r>
        <w:rPr/>
        <w:t>融资租入的固定资产，按租赁开始日租赁资产的公允价值与最低租赁付款额的现值中较低者入账，按自有固定资 产的折旧政策计提折旧。</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十八）在建工程" w:id="176"/>
      <w:bookmarkEnd w:id="176"/>
      <w:r>
        <w:rPr/>
      </w:r>
      <w:r>
        <w:rPr/>
        <w:t>（十八）在建工程</w:t>
      </w:r>
    </w:p>
    <w:p>
      <w:pPr>
        <w:spacing w:line="240" w:lineRule="auto" w:before="6"/>
        <w:rPr>
          <w:rFonts w:ascii="宋体" w:hAnsi="宋体" w:cs="宋体" w:eastAsia="宋体" w:hint="default"/>
          <w:sz w:val="21"/>
          <w:szCs w:val="21"/>
        </w:rPr>
      </w:pPr>
    </w:p>
    <w:p>
      <w:pPr>
        <w:pStyle w:val="BodyText"/>
        <w:spacing w:line="345" w:lineRule="auto"/>
        <w:ind w:left="1418" w:right="1256"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在建工程达到预定可使用状态时，按工程实际成本转入固定资产。已达到预定可使用状态但尚未办理竣工决算 的，先按估计价值转入固定资产，待办理竣工决算后再按实际成本调整原暂估价值，但不再调整原已计提的折旧。</w:t>
      </w:r>
    </w:p>
    <w:p>
      <w:pPr>
        <w:spacing w:line="240" w:lineRule="auto" w:before="5"/>
        <w:rPr>
          <w:rFonts w:ascii="宋体" w:hAnsi="宋体" w:cs="宋体" w:eastAsia="宋体" w:hint="default"/>
          <w:sz w:val="15"/>
          <w:szCs w:val="15"/>
        </w:rPr>
      </w:pPr>
    </w:p>
    <w:p>
      <w:pPr>
        <w:pStyle w:val="BodyText"/>
        <w:spacing w:line="240" w:lineRule="auto"/>
        <w:ind w:right="1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资产负债表日，有迹象表明在建工程发生减值的，按照账面价值与可收回金额的差额计提相应的减值准备。</w:t>
      </w:r>
    </w:p>
    <w:p>
      <w:pPr>
        <w:spacing w:line="240" w:lineRule="auto" w:before="5"/>
        <w:rPr>
          <w:rFonts w:ascii="宋体" w:hAnsi="宋体" w:cs="宋体" w:eastAsia="宋体" w:hint="default"/>
          <w:sz w:val="20"/>
          <w:szCs w:val="20"/>
        </w:rPr>
      </w:pPr>
    </w:p>
    <w:p>
      <w:pPr>
        <w:pStyle w:val="BodyText"/>
        <w:spacing w:line="240" w:lineRule="auto"/>
        <w:ind w:right="1117"/>
        <w:jc w:val="left"/>
      </w:pPr>
      <w:bookmarkStart w:name="（十九） 借款费用" w:id="177"/>
      <w:bookmarkEnd w:id="177"/>
      <w:r>
        <w:rPr/>
      </w:r>
      <w:r>
        <w:rPr/>
        <w:t>（十九） 借款费用</w:t>
      </w:r>
    </w:p>
    <w:p>
      <w:pPr>
        <w:pStyle w:val="BodyText"/>
        <w:spacing w:line="500" w:lineRule="atLeast" w:before="29"/>
        <w:ind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借款费用资本化的确认原则 本公司发生的借款费用，可直接归属于符合资本化条件的资产的购建或者生产的，予以资本化，计入相关资产成</w:t>
      </w:r>
    </w:p>
    <w:p>
      <w:pPr>
        <w:pStyle w:val="BodyText"/>
        <w:spacing w:line="240" w:lineRule="auto" w:before="124"/>
        <w:ind w:left="1418" w:right="1117"/>
        <w:jc w:val="left"/>
      </w:pPr>
      <w:r>
        <w:rPr/>
        <w:t>本；其他借款费用，在发生时确认为费用，计入当期损益。</w:t>
      </w:r>
    </w:p>
    <w:p>
      <w:pPr>
        <w:spacing w:line="240" w:lineRule="auto" w:before="6"/>
        <w:rPr>
          <w:rFonts w:ascii="宋体" w:hAnsi="宋体" w:cs="宋体" w:eastAsia="宋体" w:hint="default"/>
          <w:sz w:val="21"/>
          <w:szCs w:val="21"/>
        </w:rPr>
      </w:pPr>
    </w:p>
    <w:p>
      <w:pPr>
        <w:pStyle w:val="BodyText"/>
        <w:spacing w:line="240" w:lineRule="auto"/>
        <w:ind w:right="1117"/>
        <w:jc w:val="left"/>
      </w:pPr>
      <w:r>
        <w:rPr>
          <w:rFonts w:ascii="Times New Roman" w:hAnsi="Times New Roman" w:cs="Times New Roman" w:eastAsia="Times New Roman" w:hint="default"/>
        </w:rPr>
        <w:t>2</w:t>
      </w:r>
      <w:r>
        <w:rPr/>
        <w:t>．借款费用资本化期间</w:t>
      </w:r>
    </w:p>
    <w:p>
      <w:pPr>
        <w:spacing w:line="240" w:lineRule="auto" w:before="6"/>
        <w:rPr>
          <w:rFonts w:ascii="宋体" w:hAnsi="宋体" w:cs="宋体" w:eastAsia="宋体" w:hint="default"/>
          <w:sz w:val="20"/>
          <w:szCs w:val="20"/>
        </w:rPr>
      </w:pPr>
    </w:p>
    <w:p>
      <w:pPr>
        <w:pStyle w:val="BodyText"/>
        <w:spacing w:line="345" w:lineRule="auto"/>
        <w:ind w:left="1418" w:right="1117" w:firstLine="360"/>
        <w:jc w:val="left"/>
      </w:pPr>
      <w:r>
        <w:rPr/>
        <w:t>（</w:t>
      </w: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r>
        <w:rPr>
          <w:rFonts w:ascii="Times New Roman" w:hAnsi="Times New Roman" w:cs="Times New Roman" w:eastAsia="Times New Roman" w:hint="default"/>
        </w:rPr>
        <w:t>3</w:t>
      </w:r>
      <w:r>
        <w:rPr/>
        <w:t>）为使资 产达到预定可使用或可销售状态所必要的购建或者生产活动已经开始。</w:t>
      </w:r>
    </w:p>
    <w:p>
      <w:pPr>
        <w:spacing w:line="240" w:lineRule="auto" w:before="5"/>
        <w:rPr>
          <w:rFonts w:ascii="宋体" w:hAnsi="宋体" w:cs="宋体" w:eastAsia="宋体" w:hint="default"/>
          <w:sz w:val="15"/>
          <w:szCs w:val="15"/>
        </w:rPr>
      </w:pPr>
    </w:p>
    <w:p>
      <w:pPr>
        <w:pStyle w:val="BodyText"/>
        <w:spacing w:line="240" w:lineRule="auto"/>
        <w:ind w:right="1117"/>
        <w:jc w:val="left"/>
      </w:pPr>
      <w:r>
        <w:rPr/>
        <w:t>（</w:t>
      </w:r>
      <w:r>
        <w:rPr>
          <w:rFonts w:ascii="Times New Roman" w:hAnsi="Times New Roman" w:cs="Times New Roman" w:eastAsia="Times New Roman" w:hint="default"/>
        </w:rPr>
        <w:t>2</w:t>
      </w:r>
      <w:r>
        <w:rPr/>
        <w:t>）若符合资本化条件的资产在购建或者生产过程中发生非正常中断，并且中断时间连续超过</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3"/>
        </w:rPr>
        <w:t>个月，暂停借款</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418" w:right="0"/>
        <w:jc w:val="both"/>
      </w:pPr>
      <w:r>
        <w:rPr/>
        <w:t>费用的资本化；中断期间发生的借款费用确认为当期费用，直至资产的购建或者生产活动重新开始。</w:t>
      </w:r>
    </w:p>
    <w:p>
      <w:pPr>
        <w:spacing w:line="240" w:lineRule="auto" w:before="6"/>
        <w:rPr>
          <w:rFonts w:ascii="宋体" w:hAnsi="宋体" w:cs="宋体" w:eastAsia="宋体" w:hint="default"/>
          <w:sz w:val="21"/>
          <w:szCs w:val="21"/>
        </w:rPr>
      </w:pPr>
    </w:p>
    <w:p>
      <w:pPr>
        <w:pStyle w:val="BodyText"/>
        <w:spacing w:line="240" w:lineRule="auto"/>
        <w:ind w:right="1117"/>
        <w:jc w:val="left"/>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）当所购建或者生产符合资本化条件的资产达到预定可使用或可销售状态时，借款费用停止资本化。</w:t>
      </w:r>
    </w:p>
    <w:p>
      <w:pPr>
        <w:pStyle w:val="BodyText"/>
        <w:spacing w:line="500" w:lineRule="atLeast" w:before="16"/>
        <w:ind w:right="1117"/>
        <w:jc w:val="left"/>
      </w:pPr>
      <w:r>
        <w:rPr>
          <w:rFonts w:ascii="Times New Roman" w:hAnsi="Times New Roman" w:cs="Times New Roman" w:eastAsia="Times New Roman" w:hint="default"/>
        </w:rPr>
        <w:t>3</w:t>
      </w:r>
      <w:r>
        <w:rPr/>
        <w:t>．借款费用资本化金额 为购建或者生产符合资本化条件的资产而借入专门借款的，以专门借款当期实际发生的利息费用（包括按照实际</w:t>
      </w:r>
    </w:p>
    <w:p>
      <w:pPr>
        <w:pStyle w:val="BodyText"/>
        <w:spacing w:line="367" w:lineRule="auto" w:before="124"/>
        <w:ind w:left="1418" w:right="1275"/>
        <w:jc w:val="both"/>
      </w:pPr>
      <w:r>
        <w:rPr/>
        <w:t>利率法确定的折价或溢价的摊销），减去将尚未动用的借款资金存入银行取得的利息收入或进行暂时性投资取得的投</w:t>
      </w:r>
      <w:r>
        <w:rPr>
          <w:spacing w:val="-63"/>
        </w:rPr>
        <w:t> </w:t>
      </w:r>
      <w:r>
        <w:rPr>
          <w:spacing w:val="-63"/>
        </w:rPr>
      </w:r>
      <w:r>
        <w:rPr/>
        <w:t>资收益后的金额，确定应予资本化的利息金额；为购建或者生产符合资本化条件的资产占用了一般借款的，根据累计</w:t>
      </w:r>
      <w:r>
        <w:rPr>
          <w:spacing w:val="-63"/>
        </w:rPr>
        <w:t> </w:t>
      </w:r>
      <w:r>
        <w:rPr>
          <w:spacing w:val="-63"/>
        </w:rPr>
      </w:r>
      <w:r>
        <w:rPr/>
        <w:t>资产支出超过专门借款的资产支出加权平均数乘以占用一般借款的资本化率，计算确定一般借款应予资本化的利息金</w:t>
      </w:r>
      <w:r>
        <w:rPr>
          <w:spacing w:val="-63"/>
        </w:rPr>
        <w:t> </w:t>
      </w:r>
      <w:r>
        <w:rPr>
          <w:spacing w:val="-63"/>
        </w:rPr>
      </w:r>
      <w:r>
        <w:rPr/>
        <w:t>额。</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二十）无形资产" w:id="178"/>
      <w:bookmarkEnd w:id="178"/>
      <w:r>
        <w:rPr/>
      </w:r>
      <w:r>
        <w:rPr/>
        <w:t>（二十）无形资产</w:t>
      </w:r>
    </w:p>
    <w:p>
      <w:pPr>
        <w:spacing w:line="240" w:lineRule="auto" w:before="6"/>
        <w:rPr>
          <w:rFonts w:ascii="宋体" w:hAnsi="宋体" w:cs="宋体" w:eastAsia="宋体" w:hint="default"/>
          <w:sz w:val="21"/>
          <w:szCs w:val="21"/>
        </w:rPr>
      </w:pPr>
    </w:p>
    <w:p>
      <w:pPr>
        <w:pStyle w:val="BodyText"/>
        <w:spacing w:line="240" w:lineRule="auto"/>
        <w:ind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无形资产包括土地使用权、专利权及非专利技术等，按成本进行初始计量。</w:t>
      </w:r>
    </w:p>
    <w:p>
      <w:pPr>
        <w:spacing w:line="240" w:lineRule="auto" w:before="5"/>
        <w:rPr>
          <w:rFonts w:ascii="宋体" w:hAnsi="宋体" w:cs="宋体" w:eastAsia="宋体" w:hint="default"/>
          <w:sz w:val="20"/>
          <w:szCs w:val="20"/>
        </w:rPr>
      </w:pPr>
    </w:p>
    <w:p>
      <w:pPr>
        <w:pStyle w:val="BodyText"/>
        <w:spacing w:line="345" w:lineRule="auto"/>
        <w:ind w:left="1418" w:right="1075"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使用寿命有限的无形资产，在使用寿命内按照与该项无形资产有关的经济利益的预期实现方式系统合理地摊销， 无法可靠确定预期实现方式的，采用直线法摊销。具体年限如下：</w:t>
      </w:r>
    </w:p>
    <w:p>
      <w:pPr>
        <w:spacing w:line="240" w:lineRule="auto" w:before="9"/>
        <w:rPr>
          <w:rFonts w:ascii="宋体" w:hAnsi="宋体" w:cs="宋体" w:eastAsia="宋体" w:hint="default"/>
          <w:sz w:val="22"/>
          <w:szCs w:val="22"/>
        </w:rPr>
      </w:pPr>
    </w:p>
    <w:tbl>
      <w:tblPr>
        <w:tblW w:w="0" w:type="auto"/>
        <w:jc w:val="left"/>
        <w:tblInd w:w="1310" w:type="dxa"/>
        <w:tblLayout w:type="fixed"/>
        <w:tblCellMar>
          <w:top w:w="0" w:type="dxa"/>
          <w:left w:w="0" w:type="dxa"/>
          <w:bottom w:w="0" w:type="dxa"/>
          <w:right w:w="0" w:type="dxa"/>
        </w:tblCellMar>
        <w:tblLook w:val="01E0"/>
      </w:tblPr>
      <w:tblGrid>
        <w:gridCol w:w="4670"/>
        <w:gridCol w:w="4761"/>
      </w:tblGrid>
      <w:tr>
        <w:trPr>
          <w:trHeight w:val="272" w:hRule="exact"/>
        </w:trPr>
        <w:tc>
          <w:tcPr>
            <w:tcW w:w="4670" w:type="dxa"/>
            <w:tcBorders>
              <w:top w:val="nil" w:sz="6" w:space="0" w:color="auto"/>
              <w:left w:val="nil" w:sz="6" w:space="0" w:color="auto"/>
              <w:bottom w:val="single" w:sz="4" w:space="0" w:color="000000"/>
              <w:right w:val="nil" w:sz="6" w:space="0" w:color="auto"/>
            </w:tcBorders>
          </w:tcPr>
          <w:p>
            <w:pPr>
              <w:pStyle w:val="TableParagraph"/>
              <w:spacing w:line="180" w:lineRule="exact"/>
              <w:ind w:right="49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761" w:type="dxa"/>
            <w:tcBorders>
              <w:top w:val="nil" w:sz="6" w:space="0" w:color="auto"/>
              <w:left w:val="nil" w:sz="6" w:space="0" w:color="auto"/>
              <w:bottom w:val="single" w:sz="4" w:space="0" w:color="000000"/>
              <w:right w:val="nil" w:sz="6" w:space="0" w:color="auto"/>
            </w:tcBorders>
          </w:tcPr>
          <w:p>
            <w:pPr>
              <w:pStyle w:val="TableParagraph"/>
              <w:spacing w:line="180" w:lineRule="exact"/>
              <w:ind w:right="492"/>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432" w:hRule="exact"/>
        </w:trPr>
        <w:tc>
          <w:tcPr>
            <w:tcW w:w="467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图书著作权、版权、业务独家经营权等</w:t>
            </w:r>
          </w:p>
        </w:tc>
        <w:tc>
          <w:tcPr>
            <w:tcW w:w="476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92"/>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94" w:hRule="exact"/>
        </w:trPr>
        <w:tc>
          <w:tcPr>
            <w:tcW w:w="46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软件著作权及成套研发运营系统</w:t>
            </w:r>
          </w:p>
        </w:tc>
        <w:tc>
          <w:tcPr>
            <w:tcW w:w="47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9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8"/>
        <w:rPr>
          <w:rFonts w:ascii="宋体" w:hAnsi="宋体" w:cs="宋体" w:eastAsia="宋体" w:hint="default"/>
          <w:sz w:val="29"/>
          <w:szCs w:val="29"/>
        </w:rPr>
      </w:pPr>
    </w:p>
    <w:p>
      <w:pPr>
        <w:pStyle w:val="BodyText"/>
        <w:spacing w:line="357" w:lineRule="auto" w:before="44"/>
        <w:ind w:left="1418" w:right="1275" w:firstLine="360"/>
        <w:jc w:val="both"/>
      </w:pPr>
      <w:r>
        <w:rPr>
          <w:rFonts w:ascii="Times New Roman" w:hAnsi="Times New Roman" w:cs="Times New Roman" w:eastAsia="Times New Roman" w:hint="default"/>
        </w:rPr>
        <w:t>3</w:t>
      </w:r>
      <w:r>
        <w:rPr/>
        <w:t>．</w:t>
      </w:r>
      <w:r>
        <w:rPr>
          <w:spacing w:val="24"/>
        </w:rPr>
        <w:t> </w:t>
      </w:r>
      <w:r>
        <w:rPr/>
        <w:t>使用寿命确定的无形资产，在资产负债表日有迹象表明发生减值的，按照账面价值与可收回金额的差额计提</w:t>
      </w:r>
      <w:r>
        <w:rPr/>
        <w:t> 相应的减值准备；使用寿命不确定的无形资产和尚未达到可使用状态的无形资产，无论是否存在减值迹象，每年均进</w:t>
      </w:r>
      <w:r>
        <w:rPr>
          <w:spacing w:val="-63"/>
        </w:rPr>
        <w:t> </w:t>
      </w:r>
      <w:r>
        <w:rPr>
          <w:spacing w:val="-63"/>
        </w:rPr>
      </w:r>
      <w:r>
        <w:rPr/>
        <w:t>行减值测试。</w:t>
      </w:r>
    </w:p>
    <w:p>
      <w:pPr>
        <w:spacing w:line="240" w:lineRule="auto" w:before="9"/>
        <w:rPr>
          <w:rFonts w:ascii="宋体" w:hAnsi="宋体" w:cs="宋体" w:eastAsia="宋体" w:hint="default"/>
          <w:sz w:val="14"/>
          <w:szCs w:val="14"/>
        </w:rPr>
      </w:pPr>
    </w:p>
    <w:p>
      <w:pPr>
        <w:pStyle w:val="BodyText"/>
        <w:spacing w:line="345" w:lineRule="auto"/>
        <w:ind w:left="1418" w:right="1270"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内部研究开发项目研究阶段的支出，于发生时计入当期损益。内部研究开发项目开发阶段的支出，同时满足下 </w:t>
      </w:r>
      <w:r>
        <w:rPr>
          <w:spacing w:val="-3"/>
        </w:rPr>
        <w:t>列条件的，确认为无形资产：（</w:t>
      </w:r>
      <w:r>
        <w:rPr>
          <w:rFonts w:ascii="Times New Roman" w:hAnsi="Times New Roman" w:cs="Times New Roman" w:eastAsia="Times New Roman" w:hint="default"/>
          <w:spacing w:val="-3"/>
        </w:rPr>
        <w:t>1</w:t>
      </w:r>
      <w:r>
        <w:rPr>
          <w:spacing w:val="-3"/>
        </w:rPr>
        <w:t>）完成该无形资产以使其能够使用或出售在技术上具有可行性；（</w:t>
      </w:r>
      <w:r>
        <w:rPr>
          <w:rFonts w:ascii="Times New Roman" w:hAnsi="Times New Roman" w:cs="Times New Roman" w:eastAsia="Times New Roman" w:hint="default"/>
          <w:spacing w:val="-3"/>
        </w:rPr>
        <w:t>2</w:t>
      </w:r>
      <w:r>
        <w:rPr>
          <w:spacing w:val="-3"/>
        </w:rPr>
        <w:t>）具有完成该无形</w:t>
      </w:r>
      <w:r>
        <w:rPr>
          <w:spacing w:val="-81"/>
        </w:rPr>
        <w:t> </w:t>
      </w:r>
      <w:r>
        <w:rPr>
          <w:spacing w:val="-81"/>
        </w:rPr>
      </w:r>
      <w:r>
        <w:rPr>
          <w:spacing w:val="-2"/>
        </w:rPr>
        <w:t>资产并使用或出售的意图；（</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w:t>
      </w:r>
      <w:r>
        <w:rPr>
          <w:spacing w:val="-49"/>
        </w:rPr>
        <w:t> </w:t>
      </w:r>
      <w:r>
        <w:rPr>
          <w:spacing w:val="-49"/>
        </w:rPr>
      </w:r>
      <w:r>
        <w:rPr>
          <w:spacing w:val="-5"/>
        </w:rPr>
        <w:t>无形资产自身存在市场，无形资产将在内部使用的，能证明其有用性；（</w:t>
      </w:r>
      <w:r>
        <w:rPr>
          <w:rFonts w:ascii="Times New Roman" w:hAnsi="Times New Roman" w:cs="Times New Roman" w:eastAsia="Times New Roman" w:hint="default"/>
          <w:spacing w:val="-5"/>
        </w:rPr>
        <w:t>4</w:t>
      </w:r>
      <w:r>
        <w:rPr>
          <w:spacing w:val="-5"/>
        </w:rPr>
        <w:t>）有足够的技术、财务资源和其他资源支持，</w:t>
      </w:r>
      <w:r>
        <w:rPr>
          <w:spacing w:val="-62"/>
        </w:rPr>
        <w:t> </w:t>
      </w:r>
      <w:r>
        <w:rPr>
          <w:spacing w:val="-62"/>
        </w:rPr>
      </w:r>
      <w:r>
        <w:rPr>
          <w:spacing w:val="-5"/>
        </w:rPr>
        <w:t>以完成该无形资产的开发，并有能力使用或出售该无形资产；（</w:t>
      </w:r>
      <w:r>
        <w:rPr>
          <w:rFonts w:ascii="Times New Roman" w:hAnsi="Times New Roman" w:cs="Times New Roman" w:eastAsia="Times New Roman" w:hint="default"/>
          <w:spacing w:val="-5"/>
        </w:rPr>
        <w:t>5</w:t>
      </w:r>
      <w:r>
        <w:rPr>
          <w:spacing w:val="-5"/>
        </w:rPr>
        <w:t>）归属于该无形资产开发阶段的支出能够可靠地计量。</w:t>
      </w:r>
    </w:p>
    <w:p>
      <w:pPr>
        <w:spacing w:line="240" w:lineRule="auto" w:before="9"/>
        <w:rPr>
          <w:rFonts w:ascii="宋体" w:hAnsi="宋体" w:cs="宋体" w:eastAsia="宋体" w:hint="default"/>
          <w:sz w:val="13"/>
          <w:szCs w:val="13"/>
        </w:rPr>
      </w:pPr>
    </w:p>
    <w:p>
      <w:pPr>
        <w:pStyle w:val="BodyText"/>
        <w:spacing w:line="508" w:lineRule="auto"/>
        <w:ind w:right="1888"/>
        <w:jc w:val="left"/>
      </w:pPr>
      <w:r>
        <w:rPr/>
        <w:t>本公司内部研究开发项目划分研究阶段支出和开发阶段支出的具体标准： 内部研究开发项目开发阶段的支出，同时满足下列条件的，才能确认为无形资产：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、无形资产存在产生经济利益的方式；有能力完成该无形资产的开发；有能力使用或出售该无形资产； </w:t>
      </w:r>
      <w:r>
        <w:rPr>
          <w:rFonts w:ascii="Times New Roman" w:hAnsi="Times New Roman" w:cs="Times New Roman" w:eastAsia="Times New Roman" w:hint="default"/>
        </w:rPr>
        <w:t>D</w:t>
      </w:r>
      <w:r>
        <w:rPr/>
        <w:t>、归属于该无形资产开发阶段的支出能够可靠地计量。</w:t>
      </w:r>
    </w:p>
    <w:p>
      <w:pPr>
        <w:pStyle w:val="BodyText"/>
        <w:spacing w:line="240" w:lineRule="auto" w:before="43"/>
        <w:ind w:left="1868" w:right="1117"/>
        <w:jc w:val="left"/>
      </w:pPr>
      <w:r>
        <w:rPr>
          <w:rFonts w:ascii="Times New Roman" w:hAnsi="Times New Roman" w:cs="Times New Roman" w:eastAsia="Times New Roman" w:hint="default"/>
        </w:rPr>
        <w:t>5.</w:t>
      </w:r>
      <w:r>
        <w:rPr/>
        <w:t>发行权的初始计量和摊销</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45" w:lineRule="auto"/>
        <w:ind w:left="1418" w:right="1261" w:firstLine="360"/>
        <w:jc w:val="left"/>
      </w:pPr>
      <w:r>
        <w:rPr>
          <w:spacing w:val="-1"/>
        </w:rPr>
        <w:t>发行权是指作者授予本公司一定年限内（一般为</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5"/>
        </w:rPr>
        <w:t>年），在全球范围内华文简（繁）体版以图书形式独家寻找出版</w:t>
      </w:r>
      <w:r>
        <w:rPr/>
        <w:t> 社出版作者的作品及寻找发行商发行上述作品的权利。</w:t>
      </w:r>
    </w:p>
    <w:p>
      <w:pPr>
        <w:spacing w:line="240" w:lineRule="auto" w:before="5"/>
        <w:rPr>
          <w:rFonts w:ascii="宋体" w:hAnsi="宋体" w:cs="宋体" w:eastAsia="宋体" w:hint="default"/>
          <w:sz w:val="15"/>
          <w:szCs w:val="15"/>
        </w:rPr>
      </w:pPr>
    </w:p>
    <w:p>
      <w:pPr>
        <w:pStyle w:val="BodyText"/>
        <w:spacing w:line="367" w:lineRule="auto"/>
        <w:ind w:left="1418" w:right="1117" w:firstLine="360"/>
        <w:jc w:val="left"/>
      </w:pPr>
      <w:r>
        <w:rPr/>
        <w:t>发行权的计量成本按保底印量支付的版税金额确定，按照《图书出版合同》规定的保底印量进行摊销，超过保底 印量支付的版税直接计入当期成本。公式如下：</w:t>
      </w:r>
    </w:p>
    <w:p>
      <w:pPr>
        <w:spacing w:line="240" w:lineRule="auto" w:before="2"/>
        <w:rPr>
          <w:rFonts w:ascii="宋体" w:hAnsi="宋体" w:cs="宋体" w:eastAsia="宋体" w:hint="default"/>
          <w:sz w:val="14"/>
          <w:szCs w:val="14"/>
        </w:rPr>
      </w:pPr>
    </w:p>
    <w:p>
      <w:pPr>
        <w:pStyle w:val="BodyText"/>
        <w:spacing w:line="240" w:lineRule="auto"/>
        <w:ind w:right="1117"/>
        <w:jc w:val="left"/>
      </w:pPr>
      <w:r>
        <w:rPr/>
        <w:t>发行权本年度摊销金额</w:t>
      </w:r>
      <w:r>
        <w:rPr>
          <w:rFonts w:ascii="Times New Roman" w:hAnsi="Times New Roman" w:cs="Times New Roman" w:eastAsia="Times New Roman" w:hint="default"/>
        </w:rPr>
        <w:t>=</w:t>
      </w:r>
      <w:r>
        <w:rPr/>
        <w:t>（本年度实际印量</w:t>
      </w:r>
      <w:r>
        <w:rPr>
          <w:rFonts w:ascii="Times New Roman" w:hAnsi="Times New Roman" w:cs="Times New Roman" w:eastAsia="Times New Roman" w:hint="default"/>
        </w:rPr>
        <w:t>÷</w:t>
      </w:r>
      <w:r>
        <w:rPr/>
        <w:t>合同约定保底印量）</w:t>
      </w:r>
      <w:r>
        <w:rPr>
          <w:rFonts w:ascii="Times New Roman" w:hAnsi="Times New Roman" w:cs="Times New Roman" w:eastAsia="Times New Roman" w:hint="default"/>
        </w:rPr>
        <w:t>×</w:t>
      </w:r>
      <w:r>
        <w:rPr/>
        <w:t>发行权计量成本</w:t>
      </w:r>
    </w:p>
    <w:p>
      <w:pPr>
        <w:pStyle w:val="BodyText"/>
        <w:spacing w:line="516" w:lineRule="exact" w:before="64"/>
        <w:ind w:right="1117"/>
        <w:jc w:val="left"/>
      </w:pPr>
      <w:bookmarkStart w:name="（二十一）商誉" w:id="179"/>
      <w:bookmarkEnd w:id="179"/>
      <w:r>
        <w:rPr/>
      </w:r>
      <w:r>
        <w:rPr/>
        <w:t>（二十一）商誉 商誉为股权投资成本或非同一控制下企业合并成本超过应享有的或企业合并中取得的被投资单位或被购买方可辨</w:t>
      </w:r>
    </w:p>
    <w:p>
      <w:pPr>
        <w:pStyle w:val="BodyText"/>
        <w:spacing w:line="367" w:lineRule="auto" w:before="46"/>
        <w:ind w:left="1418" w:right="1275"/>
        <w:jc w:val="both"/>
      </w:pPr>
      <w:r>
        <w:rPr/>
        <w:t>认净资产于取得日或购买日的公允价值份额的差额。与子公司有关的商誉在合并财务报表上单独列示，与联营企业和</w:t>
      </w:r>
      <w:r>
        <w:rPr>
          <w:spacing w:val="-63"/>
        </w:rPr>
        <w:t> </w:t>
      </w:r>
      <w:r>
        <w:rPr>
          <w:spacing w:val="-63"/>
        </w:rPr>
      </w:r>
      <w:r>
        <w:rPr/>
        <w:t>合营企业有关的商誉，包含在长期股权投资的账面价值中。公司企业合并所形成的商誉，无论是否存在减值迹象，均</w:t>
      </w:r>
      <w:r>
        <w:rPr>
          <w:spacing w:val="-63"/>
        </w:rPr>
        <w:t> </w:t>
      </w:r>
      <w:r>
        <w:rPr>
          <w:spacing w:val="-63"/>
        </w:rPr>
      </w:r>
      <w:r>
        <w:rPr/>
        <w:t>在每年年末进行减值测试。</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二十二）长期待摊费用" w:id="180"/>
      <w:bookmarkEnd w:id="180"/>
      <w:r>
        <w:rPr/>
      </w:r>
      <w:r>
        <w:rPr/>
        <w:t>（二十二）长期待摊费用</w:t>
      </w:r>
    </w:p>
    <w:p>
      <w:pPr>
        <w:spacing w:line="240" w:lineRule="auto" w:before="6"/>
        <w:rPr>
          <w:rFonts w:ascii="宋体" w:hAnsi="宋体" w:cs="宋体" w:eastAsia="宋体" w:hint="default"/>
          <w:sz w:val="21"/>
          <w:szCs w:val="21"/>
        </w:rPr>
      </w:pPr>
    </w:p>
    <w:p>
      <w:pPr>
        <w:pStyle w:val="BodyText"/>
        <w:spacing w:line="367" w:lineRule="auto"/>
        <w:ind w:left="1418" w:right="1117" w:firstLine="360"/>
        <w:jc w:val="left"/>
      </w:pPr>
      <w:r>
        <w:rPr/>
        <w:t>长期待摊费用按实际发生额入账，在受益期或规定的期限内分期平均摊销。如果长期待摊的费用项目不能使以后 会计期间受益则将尚未摊销的该项目的摊余价值全部转入当期损益。</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二十三）职工薪酬" w:id="181"/>
      <w:bookmarkEnd w:id="181"/>
      <w:r>
        <w:rPr/>
      </w:r>
      <w:r>
        <w:rPr/>
        <w:t>（二十三）职工薪酬</w:t>
      </w:r>
    </w:p>
    <w:p>
      <w:pPr>
        <w:spacing w:line="240" w:lineRule="auto" w:before="6"/>
        <w:rPr>
          <w:rFonts w:ascii="宋体" w:hAnsi="宋体" w:cs="宋体" w:eastAsia="宋体" w:hint="default"/>
          <w:sz w:val="21"/>
          <w:szCs w:val="21"/>
        </w:rPr>
      </w:pPr>
    </w:p>
    <w:p>
      <w:pPr>
        <w:pStyle w:val="BodyText"/>
        <w:spacing w:line="357" w:lineRule="auto"/>
        <w:ind w:left="1418" w:right="1272" w:firstLine="360"/>
        <w:jc w:val="both"/>
      </w:pPr>
      <w:r>
        <w:rPr>
          <w:spacing w:val="-1"/>
        </w:rPr>
        <w:t>职工薪酬</w:t>
      </w:r>
      <w:r>
        <w:rPr>
          <w:rFonts w:ascii="Times New Roman" w:hAnsi="Times New Roman" w:cs="Times New Roman" w:eastAsia="Times New Roman" w:hint="default"/>
          <w:spacing w:val="-1"/>
        </w:rPr>
        <w:t>,</w:t>
      </w:r>
      <w:r>
        <w:rPr>
          <w:spacing w:val="-1"/>
        </w:rPr>
        <w:t>是指本公司为获得职工提供的服务或解除劳动关系而给予的除股份支付以外各种形式的报酬或补偿。职</w:t>
      </w:r>
      <w:r>
        <w:rPr/>
        <w:t> 工薪酬包括短期薪酬、离职后福利、辞退福利和其他长期职工福利。本公司提供给职工配偶、子女、受赡养人、已故</w:t>
      </w:r>
      <w:r>
        <w:rPr>
          <w:spacing w:val="-63"/>
        </w:rPr>
        <w:t> </w:t>
      </w:r>
      <w:r>
        <w:rPr>
          <w:spacing w:val="-63"/>
        </w:rPr>
      </w:r>
      <w:r>
        <w:rPr/>
        <w:t>员工遗属及其他受益人等的福利，也属于职工薪酬。</w:t>
      </w:r>
    </w:p>
    <w:p>
      <w:pPr>
        <w:spacing w:line="240" w:lineRule="auto" w:before="9"/>
        <w:rPr>
          <w:rFonts w:ascii="宋体" w:hAnsi="宋体" w:cs="宋体" w:eastAsia="宋体" w:hint="default"/>
          <w:sz w:val="14"/>
          <w:szCs w:val="14"/>
        </w:rPr>
      </w:pPr>
    </w:p>
    <w:p>
      <w:pPr>
        <w:pStyle w:val="BodyText"/>
        <w:spacing w:line="240" w:lineRule="auto"/>
        <w:ind w:left="1838" w:right="1117"/>
        <w:jc w:val="left"/>
      </w:pPr>
      <w:r>
        <w:rPr>
          <w:rFonts w:ascii="Times New Roman" w:hAnsi="Times New Roman" w:cs="Times New Roman" w:eastAsia="Times New Roman" w:hint="default"/>
        </w:rPr>
        <w:t>1.</w:t>
      </w:r>
      <w:r>
        <w:rPr/>
        <w:t>短期薪酬</w:t>
      </w:r>
    </w:p>
    <w:p>
      <w:pPr>
        <w:spacing w:line="240" w:lineRule="auto" w:before="5"/>
        <w:rPr>
          <w:rFonts w:ascii="宋体" w:hAnsi="宋体" w:cs="宋体" w:eastAsia="宋体" w:hint="default"/>
          <w:sz w:val="20"/>
          <w:szCs w:val="20"/>
        </w:rPr>
      </w:pPr>
    </w:p>
    <w:p>
      <w:pPr>
        <w:pStyle w:val="BodyText"/>
        <w:spacing w:line="367" w:lineRule="auto"/>
        <w:ind w:left="1418" w:right="1258" w:firstLine="360"/>
        <w:jc w:val="left"/>
      </w:pPr>
      <w:r>
        <w:rPr>
          <w:spacing w:val="-3"/>
        </w:rPr>
        <w:t>本公司在职工提供服务的会计期间，将实际发生的短期薪酬确认为负债，并计入当期损益或相关资产成本。其中，</w:t>
      </w:r>
      <w:r>
        <w:rPr/>
        <w:t> 非货币性福利按照公允价值计量。</w:t>
      </w:r>
    </w:p>
    <w:p>
      <w:pPr>
        <w:spacing w:line="240" w:lineRule="auto" w:before="2"/>
        <w:rPr>
          <w:rFonts w:ascii="宋体" w:hAnsi="宋体" w:cs="宋体" w:eastAsia="宋体" w:hint="default"/>
          <w:sz w:val="14"/>
          <w:szCs w:val="14"/>
        </w:rPr>
      </w:pPr>
    </w:p>
    <w:p>
      <w:pPr>
        <w:pStyle w:val="BodyText"/>
        <w:spacing w:line="240" w:lineRule="auto"/>
        <w:ind w:left="1838" w:right="1117"/>
        <w:jc w:val="left"/>
      </w:pPr>
      <w:r>
        <w:rPr>
          <w:rFonts w:ascii="Times New Roman" w:hAnsi="Times New Roman" w:cs="Times New Roman" w:eastAsia="Times New Roman" w:hint="default"/>
        </w:rPr>
        <w:t>2.</w:t>
      </w:r>
      <w:r>
        <w:rPr/>
        <w:t>辞退福利</w:t>
      </w:r>
    </w:p>
    <w:p>
      <w:pPr>
        <w:spacing w:line="240" w:lineRule="auto" w:before="5"/>
        <w:rPr>
          <w:rFonts w:ascii="宋体" w:hAnsi="宋体" w:cs="宋体" w:eastAsia="宋体" w:hint="default"/>
          <w:sz w:val="20"/>
          <w:szCs w:val="20"/>
        </w:rPr>
      </w:pPr>
    </w:p>
    <w:p>
      <w:pPr>
        <w:pStyle w:val="BodyText"/>
        <w:spacing w:line="367" w:lineRule="auto"/>
        <w:ind w:left="1418" w:right="1270" w:firstLine="360"/>
        <w:jc w:val="both"/>
      </w:pPr>
      <w:r>
        <w:rPr/>
        <w:t>本公司在职工劳动合同到期之前解除与职工的劳动关系、或者为鼓励职工自愿接受裁减而提出给予补偿，在本公 司不能单方面撤回解除劳动关系计划或裁减建议时和确认与涉及支付辞退福利的重组相关的成本费用时两者孰早日，</w:t>
      </w:r>
      <w:r>
        <w:rPr>
          <w:spacing w:val="-63"/>
        </w:rPr>
        <w:t> </w:t>
      </w:r>
      <w:r>
        <w:rPr>
          <w:spacing w:val="-63"/>
        </w:rPr>
      </w:r>
      <w:r>
        <w:rPr/>
        <w:t>确认因解除与职工的劳动关系给予补偿而产生的负债，同时计入当期损益。</w:t>
      </w:r>
    </w:p>
    <w:p>
      <w:pPr>
        <w:spacing w:line="240" w:lineRule="auto" w:before="2"/>
        <w:rPr>
          <w:rFonts w:ascii="宋体" w:hAnsi="宋体" w:cs="宋体" w:eastAsia="宋体" w:hint="default"/>
          <w:sz w:val="14"/>
          <w:szCs w:val="14"/>
        </w:rPr>
      </w:pPr>
    </w:p>
    <w:p>
      <w:pPr>
        <w:pStyle w:val="BodyText"/>
        <w:spacing w:line="240" w:lineRule="auto"/>
        <w:ind w:left="1838" w:right="1117"/>
        <w:jc w:val="left"/>
      </w:pPr>
      <w:r>
        <w:rPr>
          <w:rFonts w:ascii="Times New Roman" w:hAnsi="Times New Roman" w:cs="Times New Roman" w:eastAsia="Times New Roman" w:hint="default"/>
        </w:rPr>
        <w:t>3.</w:t>
      </w:r>
      <w:r>
        <w:rPr/>
        <w:t>设定提存计划</w:t>
      </w:r>
    </w:p>
    <w:p>
      <w:pPr>
        <w:spacing w:line="240" w:lineRule="auto" w:before="5"/>
        <w:rPr>
          <w:rFonts w:ascii="宋体" w:hAnsi="宋体" w:cs="宋体" w:eastAsia="宋体" w:hint="default"/>
          <w:sz w:val="20"/>
          <w:szCs w:val="20"/>
        </w:rPr>
      </w:pPr>
    </w:p>
    <w:p>
      <w:pPr>
        <w:pStyle w:val="BodyText"/>
        <w:spacing w:line="367" w:lineRule="auto"/>
        <w:ind w:left="1418" w:right="1274" w:firstLine="360"/>
        <w:jc w:val="both"/>
      </w:pPr>
      <w:r>
        <w:rPr/>
        <w:t>本公司职工参加了由当地劳动和社会保障部门组织实施的社会基本养老保险。本公司以当地规定的社会基本养老 保险缴纳基数和比例，按月向当地社会基本养老保险经办机构缴纳养老保险费。职工退休后，当地劳动及社会保障部</w:t>
      </w:r>
      <w:r>
        <w:rPr>
          <w:spacing w:val="-63"/>
        </w:rPr>
        <w:t> </w:t>
      </w:r>
      <w:r>
        <w:rPr>
          <w:spacing w:val="-63"/>
        </w:rPr>
      </w:r>
      <w:r>
        <w:rPr/>
        <w:t>门有责任向已退休员工支付社会基本养老金。本公司在职工提供服务的会计期间，将根据上述社保规定计算应缴纳的</w:t>
      </w:r>
      <w:r>
        <w:rPr>
          <w:spacing w:val="-63"/>
        </w:rPr>
        <w:t> </w:t>
      </w:r>
      <w:r>
        <w:rPr>
          <w:spacing w:val="-63"/>
        </w:rPr>
      </w:r>
      <w:r>
        <w:rPr/>
        <w:t>金额确认为负债，并计入当期损益或相关资产成本。</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二十四）预计负债" w:id="182"/>
      <w:bookmarkEnd w:id="182"/>
      <w:r>
        <w:rPr/>
      </w:r>
      <w:r>
        <w:rPr/>
        <w:t>（二十四）预计负债</w:t>
      </w:r>
    </w:p>
    <w:p>
      <w:pPr>
        <w:spacing w:line="240" w:lineRule="auto" w:before="10"/>
        <w:rPr>
          <w:rFonts w:ascii="宋体" w:hAnsi="宋体" w:cs="宋体" w:eastAsia="宋体" w:hint="default"/>
          <w:sz w:val="20"/>
          <w:szCs w:val="20"/>
        </w:rPr>
      </w:pPr>
    </w:p>
    <w:p>
      <w:pPr>
        <w:pStyle w:val="BodyText"/>
        <w:spacing w:line="240" w:lineRule="auto"/>
        <w:ind w:right="1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因对外提供担保、诉讼事项、产品质量保证、亏损合同等或有事项形成的义务成为本公司承担的现时义务，履</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right="1117" w:hanging="361"/>
        <w:jc w:val="left"/>
      </w:pPr>
      <w:r>
        <w:rPr/>
        <w:t>行该义务很可能导致经济利益流出本公司，且该义务的金额能够可靠的计量时，本公司将该项义务确认为预计负债。</w:t>
      </w:r>
    </w:p>
    <w:p>
      <w:pPr>
        <w:spacing w:line="240" w:lineRule="auto" w:before="9"/>
        <w:rPr>
          <w:rFonts w:ascii="宋体" w:hAnsi="宋体" w:cs="宋体" w:eastAsia="宋体" w:hint="default"/>
          <w:sz w:val="20"/>
          <w:szCs w:val="20"/>
        </w:rPr>
      </w:pPr>
    </w:p>
    <w:p>
      <w:pPr>
        <w:pStyle w:val="BodyText"/>
        <w:spacing w:line="336" w:lineRule="auto"/>
        <w:ind w:left="1418" w:right="1255"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本公司按照履行相关现时义务所需支出的最佳估计数对预计负债进行初始计量，并在资产负债表日对预计负债 的账面价值进行复核。</w:t>
      </w:r>
    </w:p>
    <w:p>
      <w:pPr>
        <w:spacing w:line="240" w:lineRule="auto" w:before="11"/>
        <w:rPr>
          <w:rFonts w:ascii="宋体" w:hAnsi="宋体" w:cs="宋体" w:eastAsia="宋体" w:hint="default"/>
          <w:sz w:val="15"/>
          <w:szCs w:val="15"/>
        </w:rPr>
      </w:pPr>
    </w:p>
    <w:p>
      <w:pPr>
        <w:pStyle w:val="BodyText"/>
        <w:spacing w:line="240" w:lineRule="auto"/>
        <w:ind w:right="1117"/>
        <w:jc w:val="left"/>
      </w:pPr>
      <w:bookmarkStart w:name="（二十五）股份支付" w:id="183"/>
      <w:bookmarkEnd w:id="183"/>
      <w:r>
        <w:rPr/>
      </w:r>
      <w:r>
        <w:rPr/>
        <w:t>（二十五）股份支付</w:t>
      </w:r>
    </w:p>
    <w:p>
      <w:pPr>
        <w:spacing w:line="240" w:lineRule="auto" w:before="10"/>
        <w:rPr>
          <w:rFonts w:ascii="宋体" w:hAnsi="宋体" w:cs="宋体" w:eastAsia="宋体" w:hint="default"/>
          <w:sz w:val="20"/>
          <w:szCs w:val="20"/>
        </w:rPr>
      </w:pPr>
    </w:p>
    <w:p>
      <w:pPr>
        <w:pStyle w:val="BodyText"/>
        <w:spacing w:line="501" w:lineRule="auto"/>
        <w:ind w:right="578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股份支付的种类 包括以权益结算的股份支付和以现金结算的股份支付。 </w:t>
      </w: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权益工具公允价值的确定方法</w:t>
      </w:r>
    </w:p>
    <w:p>
      <w:pPr>
        <w:pStyle w:val="BodyText"/>
        <w:spacing w:line="240" w:lineRule="auto" w:before="40"/>
        <w:ind w:right="1117"/>
        <w:jc w:val="left"/>
      </w:pPr>
      <w:r>
        <w:rPr/>
        <w:t>（</w:t>
      </w:r>
      <w:r>
        <w:rPr>
          <w:rFonts w:ascii="Times New Roman" w:hAnsi="Times New Roman" w:cs="Times New Roman" w:eastAsia="Times New Roman" w:hint="default"/>
        </w:rPr>
        <w:t>1</w:t>
      </w:r>
      <w:r>
        <w:rPr/>
        <w:t>）存在活跃市场的，按照活跃市场中的报价确定。</w:t>
      </w:r>
    </w:p>
    <w:p>
      <w:pPr>
        <w:spacing w:line="240" w:lineRule="auto" w:before="9"/>
        <w:rPr>
          <w:rFonts w:ascii="宋体" w:hAnsi="宋体" w:cs="宋体" w:eastAsia="宋体" w:hint="default"/>
          <w:sz w:val="19"/>
          <w:szCs w:val="19"/>
        </w:rPr>
      </w:pPr>
    </w:p>
    <w:p>
      <w:pPr>
        <w:pStyle w:val="BodyText"/>
        <w:spacing w:line="336" w:lineRule="auto"/>
        <w:ind w:left="1418" w:right="1117" w:firstLine="360"/>
        <w:jc w:val="left"/>
      </w:pPr>
      <w:r>
        <w:rPr>
          <w:spacing w:val="-2"/>
        </w:rPr>
        <w:t>（</w:t>
      </w:r>
      <w:r>
        <w:rPr>
          <w:rFonts w:ascii="Times New Roman" w:hAnsi="Times New Roman" w:cs="Times New Roman" w:eastAsia="Times New Roman" w:hint="default"/>
          <w:spacing w:val="-2"/>
        </w:rPr>
        <w:t>2</w:t>
      </w:r>
      <w:r>
        <w:rPr>
          <w:spacing w:val="-2"/>
        </w:rPr>
        <w:t>）不存在活跃市场的，采用估值技术确定，包括参考熟悉情况并自愿交易的各方最近进行的市场交易中使用的</w:t>
      </w:r>
      <w:r>
        <w:rPr/>
        <w:t> 价格、参照实质上相同的其他金融工具的当前公允价值、现金流量折现法和期权定价模型等。</w:t>
      </w:r>
    </w:p>
    <w:p>
      <w:pPr>
        <w:spacing w:line="240" w:lineRule="auto" w:before="3"/>
        <w:rPr>
          <w:rFonts w:ascii="宋体" w:hAnsi="宋体" w:cs="宋体" w:eastAsia="宋体" w:hint="default"/>
          <w:sz w:val="15"/>
          <w:szCs w:val="15"/>
        </w:rPr>
      </w:pPr>
    </w:p>
    <w:p>
      <w:pPr>
        <w:pStyle w:val="BodyText"/>
        <w:spacing w:line="501" w:lineRule="auto"/>
        <w:ind w:right="56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确认可行权权益工具最佳估计的依据 根据最新取得的可行权职工数变动等后续信息进行估计。 </w:t>
      </w:r>
      <w:r>
        <w:rPr>
          <w:rFonts w:ascii="Times New Roman" w:hAnsi="Times New Roman" w:cs="Times New Roman" w:eastAsia="Times New Roman" w:hint="default"/>
        </w:rPr>
        <w:t>4.</w:t>
      </w:r>
      <w:r>
        <w:rPr>
          <w:rFonts w:ascii="Times New Roman" w:hAnsi="Times New Roman" w:cs="Times New Roman" w:eastAsia="Times New Roman" w:hint="default"/>
          <w:spacing w:val="43"/>
        </w:rPr>
        <w:t> </w:t>
      </w:r>
      <w:r>
        <w:rPr/>
        <w:t>实施、修改、终止股份支付计划的相关会计处理</w:t>
      </w:r>
    </w:p>
    <w:p>
      <w:pPr>
        <w:pStyle w:val="BodyText"/>
        <w:spacing w:line="240" w:lineRule="auto" w:before="40"/>
        <w:ind w:right="1117"/>
        <w:jc w:val="left"/>
      </w:pPr>
      <w:r>
        <w:rPr/>
        <w:t>（</w:t>
      </w:r>
      <w:r>
        <w:rPr>
          <w:rFonts w:ascii="Times New Roman" w:hAnsi="Times New Roman" w:cs="Times New Roman" w:eastAsia="Times New Roman" w:hint="default"/>
        </w:rPr>
        <w:t>1</w:t>
      </w:r>
      <w:r>
        <w:rPr/>
        <w:t>）以权益结算的股份支付</w:t>
      </w:r>
    </w:p>
    <w:p>
      <w:pPr>
        <w:spacing w:line="240" w:lineRule="auto" w:before="9"/>
        <w:rPr>
          <w:rFonts w:ascii="宋体" w:hAnsi="宋体" w:cs="宋体" w:eastAsia="宋体" w:hint="default"/>
          <w:sz w:val="19"/>
          <w:szCs w:val="19"/>
        </w:rPr>
      </w:pPr>
    </w:p>
    <w:p>
      <w:pPr>
        <w:pStyle w:val="BodyText"/>
        <w:spacing w:line="357" w:lineRule="auto"/>
        <w:ind w:left="1418" w:right="1274" w:firstLine="360"/>
        <w:jc w:val="both"/>
      </w:pPr>
      <w:r>
        <w:rPr/>
        <w:t>授予后立即可行权的换取职工服务的以权益结算的股份支付，在授予日按照权益工具的公允价值计入相关成本或 费用，相应调整资本公积。完成等待期内的服务或达到规定业绩条件才可行权的换取职工服务的以权益结算的股份支</w:t>
      </w:r>
      <w:r>
        <w:rPr>
          <w:spacing w:val="-63"/>
        </w:rPr>
        <w:t> </w:t>
      </w:r>
      <w:r>
        <w:rPr>
          <w:spacing w:val="-63"/>
        </w:rPr>
      </w:r>
      <w:r>
        <w:rPr/>
        <w:t>付，在等待期内的每个资产负债表日，以对可行权权益工具数量的最佳估计为基础，按权益工具授予日的公允价值，</w:t>
      </w:r>
      <w:r>
        <w:rPr>
          <w:spacing w:val="-63"/>
        </w:rPr>
        <w:t> </w:t>
      </w:r>
      <w:r>
        <w:rPr>
          <w:spacing w:val="-63"/>
        </w:rPr>
      </w:r>
      <w:r>
        <w:rPr/>
        <w:t>将当期取得的服务计入相关成本或费用，相应调整资本公积。</w:t>
      </w:r>
    </w:p>
    <w:p>
      <w:pPr>
        <w:spacing w:line="240" w:lineRule="auto" w:before="11"/>
        <w:rPr>
          <w:rFonts w:ascii="宋体" w:hAnsi="宋体" w:cs="宋体" w:eastAsia="宋体" w:hint="default"/>
          <w:sz w:val="13"/>
          <w:szCs w:val="13"/>
        </w:rPr>
      </w:pPr>
    </w:p>
    <w:p>
      <w:pPr>
        <w:pStyle w:val="BodyText"/>
        <w:spacing w:line="357" w:lineRule="auto"/>
        <w:ind w:left="1418" w:right="1274" w:firstLine="360"/>
        <w:jc w:val="both"/>
      </w:pPr>
      <w:r>
        <w:rPr/>
        <w:t>换取其他方服务的权益结算的股份支付，如果其他方服务的公允价值能够可靠计量的，按照其他方服务在取得日 的公允价值计量；如果其他方服务的公允价值不能可靠计量，但权益工具的公允价值能够可靠计量的，按照权益工具</w:t>
      </w:r>
      <w:r>
        <w:rPr>
          <w:spacing w:val="-63"/>
        </w:rPr>
        <w:t> </w:t>
      </w:r>
      <w:r>
        <w:rPr>
          <w:spacing w:val="-63"/>
        </w:rPr>
      </w:r>
      <w:r>
        <w:rPr/>
        <w:t>在服务取得日的公允价值计量，计入相关成本或费用，相应增加所有者权益。</w:t>
      </w:r>
    </w:p>
    <w:p>
      <w:pPr>
        <w:spacing w:line="240" w:lineRule="auto" w:before="7"/>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2</w:t>
      </w:r>
      <w:r>
        <w:rPr/>
        <w:t>）以现金结算的股份支付</w:t>
      </w:r>
    </w:p>
    <w:p>
      <w:pPr>
        <w:spacing w:line="240" w:lineRule="auto" w:before="5"/>
        <w:rPr>
          <w:rFonts w:ascii="宋体" w:hAnsi="宋体" w:cs="宋体" w:eastAsia="宋体" w:hint="default"/>
          <w:sz w:val="20"/>
          <w:szCs w:val="20"/>
        </w:rPr>
      </w:pPr>
    </w:p>
    <w:p>
      <w:pPr>
        <w:pStyle w:val="BodyText"/>
        <w:spacing w:line="367" w:lineRule="auto"/>
        <w:ind w:left="1418" w:right="1274" w:firstLine="360"/>
        <w:jc w:val="both"/>
      </w:pPr>
      <w:r>
        <w:rPr/>
        <w:t>授予后立即可行权的换取职工服务的以现金结算的股份支付，在授予日按本公司承担负债的公允价值计入相关成 本或费用，相应增加负债。完成等待期内的服务或达到规定业绩条件才可行权的换取职工服务的以现金结算的股份支</w:t>
      </w:r>
      <w:r>
        <w:rPr>
          <w:spacing w:val="-63"/>
        </w:rPr>
        <w:t> </w:t>
      </w:r>
      <w:r>
        <w:rPr>
          <w:spacing w:val="-63"/>
        </w:rPr>
      </w:r>
      <w:r>
        <w:rPr/>
        <w:t>付，在等待期内的每个资产负债表日，以对可行权情况的最佳估计为基础，按本公司承担负债的公允价值，将当期取</w:t>
      </w:r>
      <w:r>
        <w:rPr>
          <w:spacing w:val="-63"/>
        </w:rPr>
        <w:t> </w:t>
      </w:r>
      <w:r>
        <w:rPr>
          <w:spacing w:val="-63"/>
        </w:rPr>
      </w:r>
      <w:r>
        <w:rPr/>
        <w:t>得的服务计入相关成本或费用和相应的负债。</w:t>
      </w:r>
    </w:p>
    <w:p>
      <w:pPr>
        <w:spacing w:line="240" w:lineRule="auto" w:before="2"/>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3</w:t>
      </w:r>
      <w:r>
        <w:rPr/>
        <w:t>）修改、终止股份支付计划</w:t>
      </w:r>
    </w:p>
    <w:p>
      <w:pPr>
        <w:spacing w:line="240" w:lineRule="auto" w:before="5"/>
        <w:rPr>
          <w:rFonts w:ascii="宋体" w:hAnsi="宋体" w:cs="宋体" w:eastAsia="宋体" w:hint="default"/>
          <w:sz w:val="20"/>
          <w:szCs w:val="20"/>
        </w:rPr>
      </w:pPr>
    </w:p>
    <w:p>
      <w:pPr>
        <w:pStyle w:val="BodyText"/>
        <w:spacing w:line="367" w:lineRule="auto"/>
        <w:ind w:left="1418" w:right="1117" w:firstLine="360"/>
        <w:jc w:val="left"/>
      </w:pPr>
      <w:r>
        <w:rPr>
          <w:spacing w:val="-2"/>
        </w:rPr>
        <w:t>如果修改增加了所授予的权益工具的公允价值，本公司按照权益工具公允价值的增加相应地确认取得服务的增加；</w:t>
      </w:r>
      <w:r>
        <w:rPr/>
        <w:t> 如果修改增加了所授予的权益工具的数量，本公司将增加的权益工具的公允价值相应地确认为取得服务的增加；如果</w:t>
      </w:r>
      <w:r>
        <w:rPr>
          <w:spacing w:val="-63"/>
        </w:rPr>
        <w:t> </w:t>
      </w:r>
      <w:r>
        <w:rPr>
          <w:spacing w:val="-63"/>
        </w:rPr>
      </w:r>
      <w:r>
        <w:rPr/>
        <w:t>本公司按照有利于职工的方式修改可行权条件，公司在处理可行权条件时，考虑修改后的可行权条件。</w:t>
      </w:r>
    </w:p>
    <w:p>
      <w:pPr>
        <w:spacing w:line="240" w:lineRule="auto" w:before="2"/>
        <w:rPr>
          <w:rFonts w:ascii="宋体" w:hAnsi="宋体" w:cs="宋体" w:eastAsia="宋体" w:hint="default"/>
          <w:sz w:val="14"/>
          <w:szCs w:val="14"/>
        </w:rPr>
      </w:pPr>
    </w:p>
    <w:p>
      <w:pPr>
        <w:pStyle w:val="BodyText"/>
        <w:spacing w:line="240" w:lineRule="auto"/>
        <w:ind w:right="1117"/>
        <w:jc w:val="left"/>
      </w:pPr>
      <w:r>
        <w:rPr/>
        <w:t>如果修改减少了授予的权益工具的公允价值，本公司继续以权益工具在授予日的公允价值为基础，确认取得服务</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ind w:left="1418" w:right="1275"/>
        <w:jc w:val="both"/>
      </w:pPr>
      <w:r>
        <w:rPr/>
        <w:t>的金额，而不考虑权益工具公允价值的减少；如果修改减少了授予的权益工具的数量，本公司将减少部分作为已授予</w:t>
      </w:r>
      <w:r>
        <w:rPr>
          <w:spacing w:val="-63"/>
        </w:rPr>
        <w:t> </w:t>
      </w:r>
      <w:r>
        <w:rPr>
          <w:spacing w:val="-63"/>
        </w:rPr>
      </w:r>
      <w:r>
        <w:rPr/>
        <w:t>的权益工具的取消来进行处理；如果以不利于职工的方式修改了可行权条件，在处理可行权条件时，不考虑修改后的</w:t>
      </w:r>
      <w:r>
        <w:rPr>
          <w:spacing w:val="-63"/>
        </w:rPr>
        <w:t> </w:t>
      </w:r>
      <w:r>
        <w:rPr>
          <w:spacing w:val="-63"/>
        </w:rPr>
      </w:r>
      <w:r>
        <w:rPr/>
        <w:t>可行权条件。</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如果本公司在等待期内取消了所授予的权益工具或结算了所授予的权益工具（因未满足可行权条件而被取消的除 外），则将取消或结算作为加速可行权处理，立即确认原本在剩余等待期内确认的金额。</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二十六）收入" w:id="184"/>
      <w:bookmarkEnd w:id="184"/>
      <w:r>
        <w:rPr/>
      </w:r>
      <w:r>
        <w:rPr/>
        <w:t>（二十六）收入</w:t>
      </w:r>
    </w:p>
    <w:p>
      <w:pPr>
        <w:pStyle w:val="BodyText"/>
        <w:spacing w:line="510" w:lineRule="atLeast" w:before="19"/>
        <w:ind w:right="1117"/>
        <w:jc w:val="left"/>
      </w:pPr>
      <w:r>
        <w:rPr>
          <w:rFonts w:ascii="Times New Roman" w:hAnsi="Times New Roman" w:cs="Times New Roman" w:eastAsia="Times New Roman" w:hint="default"/>
        </w:rPr>
        <w:t>1. </w:t>
      </w:r>
      <w:r>
        <w:rPr/>
        <w:t>销售商品 销售商品收入在同时满足下列条件时予以确认：（</w:t>
      </w:r>
      <w:r>
        <w:rPr>
          <w:rFonts w:ascii="Times New Roman" w:hAnsi="Times New Roman" w:cs="Times New Roman" w:eastAsia="Times New Roman" w:hint="default"/>
        </w:rPr>
        <w:t>1</w:t>
      </w:r>
      <w:r>
        <w:rPr/>
        <w:t>）将商品所有权上的主要风险和报酬转移给购货方；（</w:t>
      </w:r>
      <w:r>
        <w:rPr>
          <w:rFonts w:ascii="Times New Roman" w:hAnsi="Times New Roman" w:cs="Times New Roman" w:eastAsia="Times New Roman" w:hint="default"/>
        </w:rPr>
        <w:t>2</w:t>
      </w:r>
      <w:r>
        <w:rPr/>
        <w:t>）不</w:t>
      </w:r>
    </w:p>
    <w:p>
      <w:pPr>
        <w:pStyle w:val="BodyText"/>
        <w:spacing w:line="240" w:lineRule="auto" w:before="111"/>
        <w:ind w:left="1418" w:right="0"/>
        <w:jc w:val="both"/>
      </w:pPr>
      <w:r>
        <w:rPr/>
        <w:t>再保留通常与所有权相联系的继续管理权，也不再对已售出的商品实施有效控制；（</w:t>
      </w:r>
      <w:r>
        <w:rPr>
          <w:rFonts w:ascii="Times New Roman" w:hAnsi="Times New Roman" w:cs="Times New Roman" w:eastAsia="Times New Roman" w:hint="default"/>
        </w:rPr>
        <w:t>3</w:t>
      </w:r>
      <w:r>
        <w:rPr/>
        <w:t>）收入的金额能够可靠地计量；</w:t>
      </w:r>
    </w:p>
    <w:p>
      <w:pPr>
        <w:pStyle w:val="BodyText"/>
        <w:spacing w:line="240" w:lineRule="auto" w:before="111"/>
        <w:ind w:left="1418" w:right="0"/>
        <w:jc w:val="both"/>
      </w:pPr>
      <w:r>
        <w:rPr/>
        <w:t>（</w:t>
      </w:r>
      <w:r>
        <w:rPr>
          <w:rFonts w:ascii="Times New Roman" w:hAnsi="Times New Roman" w:cs="Times New Roman" w:eastAsia="Times New Roman" w:hint="default"/>
        </w:rPr>
        <w:t>4</w:t>
      </w:r>
      <w:r>
        <w:rPr/>
        <w:t>）相关的经济利益很可能流入；（</w:t>
      </w:r>
      <w:r>
        <w:rPr>
          <w:rFonts w:ascii="Times New Roman" w:hAnsi="Times New Roman" w:cs="Times New Roman" w:eastAsia="Times New Roman" w:hint="default"/>
        </w:rPr>
        <w:t>5</w:t>
      </w:r>
      <w:r>
        <w:rPr/>
        <w:t>） 相关的已发生或将发生的成本能够可靠地计量。</w:t>
      </w:r>
    </w:p>
    <w:p>
      <w:pPr>
        <w:spacing w:line="240" w:lineRule="auto" w:before="5"/>
        <w:rPr>
          <w:rFonts w:ascii="宋体" w:hAnsi="宋体" w:cs="宋体" w:eastAsia="宋体" w:hint="default"/>
          <w:sz w:val="20"/>
          <w:szCs w:val="20"/>
        </w:rPr>
      </w:pPr>
    </w:p>
    <w:p>
      <w:pPr>
        <w:pStyle w:val="BodyText"/>
        <w:spacing w:line="367" w:lineRule="auto"/>
        <w:ind w:left="1418" w:right="1272" w:firstLine="360"/>
        <w:jc w:val="both"/>
      </w:pPr>
      <w:r>
        <w:rPr/>
        <w:t>公司图书发行收入按照销售渠道的不同，主要分为系统销售、经销、政府采购（含管配、职教、农村书屋）和图 书推广四类，其中系统销售、政府采购、部分经销图书无销售退回条件，发出商品后已将商品所有权上的主要风险或</w:t>
      </w:r>
      <w:r>
        <w:rPr>
          <w:spacing w:val="-63"/>
        </w:rPr>
        <w:t> </w:t>
      </w:r>
      <w:r>
        <w:rPr>
          <w:spacing w:val="-63"/>
        </w:rPr>
      </w:r>
      <w:r>
        <w:rPr/>
        <w:t>报酬转移给购货方，不再对该商品实施继续管理权和实际控制权，相关的收入已经取得或取得了收款的凭据，且与销</w:t>
      </w:r>
      <w:r>
        <w:rPr>
          <w:spacing w:val="-61"/>
        </w:rPr>
        <w:t> </w:t>
      </w:r>
      <w:r>
        <w:rPr>
          <w:spacing w:val="-61"/>
        </w:rPr>
      </w:r>
      <w:r>
        <w:rPr/>
        <w:t>售该商品有关的成本能够可靠地计量时，确认商品销售收入的实现。经销图书中合同约定附有销售退回条件的部分，</w:t>
      </w:r>
      <w:r>
        <w:rPr>
          <w:spacing w:val="-63"/>
        </w:rPr>
        <w:t> </w:t>
      </w:r>
      <w:r>
        <w:rPr>
          <w:spacing w:val="-63"/>
        </w:rPr>
      </w:r>
      <w:r>
        <w:rPr/>
        <w:t>退货期满时确认销售收入实现。</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图书推广系公司与出版社合作，公司将策划好的图书交出版社出版发行，公司为出版发行的图书开拓市场，出版 社将图书销售收入扣除相应的印制成本和出版社的管理费用后的剩余部分支付给公司，公司在与出版社结算开票时确</w:t>
      </w:r>
      <w:r>
        <w:rPr>
          <w:spacing w:val="-63"/>
        </w:rPr>
        <w:t> </w:t>
      </w:r>
      <w:r>
        <w:rPr>
          <w:spacing w:val="-63"/>
        </w:rPr>
      </w:r>
      <w:r>
        <w:rPr/>
        <w:t>认为图书推广收入。</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公司版税收入是指公司向出版社提供已编辑完成的文稿及设计图片等向出版社收取的费用，通常在图书出版后与 出版社结算确认收入。</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2.  </w:t>
      </w:r>
      <w:r>
        <w:rPr/>
        <w:t>提供劳务</w:t>
      </w:r>
    </w:p>
    <w:p>
      <w:pPr>
        <w:spacing w:line="240" w:lineRule="auto" w:before="3"/>
        <w:rPr>
          <w:rFonts w:ascii="宋体" w:hAnsi="宋体" w:cs="宋体" w:eastAsia="宋体" w:hint="default"/>
          <w:sz w:val="19"/>
          <w:szCs w:val="19"/>
        </w:rPr>
      </w:pPr>
    </w:p>
    <w:p>
      <w:pPr>
        <w:pStyle w:val="BodyText"/>
        <w:spacing w:line="345" w:lineRule="auto"/>
        <w:ind w:left="1418" w:right="1274" w:firstLine="360"/>
        <w:jc w:val="both"/>
      </w:pPr>
      <w:r>
        <w:rPr/>
        <w:t>提供劳务交易的结果在资产负债表日能够可靠估计的（同时满足收入的金额能够可靠地计量、相关经济利益很可 能流入、交易的完工进度能够可靠地确定、交易中已发生和将发生的成本能够可靠地计量），采用完工百分比法确认</w:t>
      </w:r>
      <w:r>
        <w:rPr>
          <w:spacing w:val="-63"/>
        </w:rPr>
        <w:t> </w:t>
      </w:r>
      <w:r>
        <w:rPr>
          <w:spacing w:val="-63"/>
        </w:rPr>
      </w:r>
      <w:r>
        <w:rPr/>
        <w:t>提供劳务的收入，并按已经发生的成本占估计总成本的比例确定提供劳务交易的完工进度。提供劳务交易的结果在资</w:t>
      </w:r>
      <w:r>
        <w:rPr>
          <w:spacing w:val="-63"/>
        </w:rPr>
        <w:t> </w:t>
      </w:r>
      <w:r>
        <w:rPr>
          <w:spacing w:val="-63"/>
        </w:rPr>
      </w:r>
      <w:r>
        <w:rPr/>
        <w:t>产负债表日不能够可靠估计的，若已经发生的劳务成本预计能够得到补偿，按已经发生的劳务成本金额确认提供劳务</w:t>
      </w:r>
      <w:r>
        <w:rPr>
          <w:spacing w:val="-63"/>
        </w:rPr>
        <w:t> </w:t>
      </w:r>
      <w:r>
        <w:rPr>
          <w:spacing w:val="-63"/>
        </w:rPr>
      </w:r>
      <w:r>
        <w:rPr/>
        <w:t>收入，并按相同金额结转劳务成本；若已经发生的劳务成本预计不能够得到补偿，将已经发生的劳务成本计入当期损</w:t>
      </w:r>
      <w:r>
        <w:rPr>
          <w:spacing w:val="-63"/>
        </w:rPr>
        <w:t> </w:t>
      </w:r>
      <w:r>
        <w:rPr>
          <w:spacing w:val="-63"/>
        </w:rPr>
      </w:r>
      <w:r>
        <w:rPr/>
        <w:t>益，不确认劳务收入。</w:t>
      </w:r>
    </w:p>
    <w:p>
      <w:pPr>
        <w:spacing w:line="240" w:lineRule="auto" w:before="11"/>
        <w:rPr>
          <w:rFonts w:ascii="宋体" w:hAnsi="宋体" w:cs="宋体" w:eastAsia="宋体" w:hint="default"/>
          <w:sz w:val="13"/>
          <w:szCs w:val="13"/>
        </w:rPr>
      </w:pPr>
    </w:p>
    <w:p>
      <w:pPr>
        <w:pStyle w:val="BodyText"/>
        <w:spacing w:line="240" w:lineRule="auto"/>
        <w:ind w:right="1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让渡资产使用权</w:t>
      </w:r>
    </w:p>
    <w:p>
      <w:pPr>
        <w:spacing w:line="240" w:lineRule="auto" w:before="11"/>
        <w:rPr>
          <w:rFonts w:ascii="宋体" w:hAnsi="宋体" w:cs="宋体" w:eastAsia="宋体" w:hint="default"/>
          <w:sz w:val="18"/>
          <w:szCs w:val="18"/>
        </w:rPr>
      </w:pPr>
    </w:p>
    <w:p>
      <w:pPr>
        <w:pStyle w:val="BodyText"/>
        <w:spacing w:line="348" w:lineRule="auto"/>
        <w:ind w:left="1418" w:right="1272" w:firstLine="360"/>
        <w:jc w:val="both"/>
      </w:pPr>
      <w:r>
        <w:rPr>
          <w:spacing w:val="-3"/>
        </w:rPr>
        <w:t>让渡资产使用权在同时满足相关的经济利益很可能流入、收入金额能够可靠计量时，确认让渡资产使用权的收入。</w:t>
      </w:r>
      <w:r>
        <w:rPr/>
        <w:t> 利息收入按照他人使用本公司货币资金的时间和实际利率计算确定；使用费收入按有关合同或协议约定的收费时间和</w:t>
      </w:r>
      <w:r>
        <w:rPr>
          <w:spacing w:val="-63"/>
        </w:rPr>
        <w:t> </w:t>
      </w:r>
      <w:r>
        <w:rPr>
          <w:spacing w:val="-63"/>
        </w:rPr>
      </w:r>
      <w:r>
        <w:rPr/>
        <w:t>方法计算确定。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spacing w:line="240" w:lineRule="auto"/>
        <w:ind w:right="1117"/>
        <w:jc w:val="left"/>
      </w:pPr>
      <w:r>
        <w:rPr>
          <w:rFonts w:ascii="Times New Roman" w:hAnsi="Times New Roman" w:cs="Times New Roman" w:eastAsia="Times New Roman" w:hint="default"/>
        </w:rPr>
        <w:t>4.</w:t>
      </w:r>
      <w:r>
        <w:rPr/>
        <w:t>游戏收入的确认</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ind w:left="1418" w:right="1274" w:firstLine="360"/>
        <w:jc w:val="both"/>
      </w:pPr>
      <w:r>
        <w:rPr/>
        <w:t>公司游戏产品主要采用按虚拟道具收费模式。虚拟道具收费模式是指游戏为玩家提供网络游戏的免费下载和免费 游戏娱乐体验，而游戏的收益则来自于游戏内虚拟道具的销售。游戏玩家注册一个游戏账户后，即可参与游戏而无须</w:t>
      </w:r>
      <w:r>
        <w:rPr>
          <w:spacing w:val="-63"/>
        </w:rPr>
        <w:t> </w:t>
      </w:r>
      <w:r>
        <w:rPr>
          <w:spacing w:val="-63"/>
        </w:rPr>
      </w:r>
      <w:r>
        <w:rPr/>
        <w:t>支付任何费用，若玩家希望进一步加强游戏体验，则需付费购买游戏中的虚拟道具。公司的运营模式分为自主运营、</w:t>
      </w:r>
      <w:r>
        <w:rPr>
          <w:spacing w:val="-62"/>
        </w:rPr>
        <w:t> </w:t>
      </w:r>
      <w:r>
        <w:rPr>
          <w:spacing w:val="-62"/>
        </w:rPr>
      </w:r>
      <w:r>
        <w:rPr/>
        <w:t>与游戏运营商合作运营（包括：联合运营、授权运营、代理运营）及受托开发游戏业务。</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A</w:t>
      </w:r>
      <w:r>
        <w:rPr/>
        <w:t>、自主运营模式收入确认</w:t>
      </w:r>
    </w:p>
    <w:p>
      <w:pPr>
        <w:spacing w:line="240" w:lineRule="auto" w:before="5"/>
        <w:rPr>
          <w:rFonts w:ascii="宋体" w:hAnsi="宋体" w:cs="宋体" w:eastAsia="宋体" w:hint="default"/>
          <w:sz w:val="20"/>
          <w:szCs w:val="20"/>
        </w:rPr>
      </w:pPr>
    </w:p>
    <w:p>
      <w:pPr>
        <w:pStyle w:val="BodyText"/>
        <w:spacing w:line="367" w:lineRule="auto"/>
        <w:ind w:left="1418" w:right="1274" w:firstLine="360"/>
        <w:jc w:val="both"/>
      </w:pPr>
      <w:r>
        <w:rPr/>
        <w:t>公司自主运营模式是通过将自主研发或独家代理的游戏推广获得自有用户，公司负责游戏全部运营环节的一种运 营模式。</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在自主运营模式下，游戏玩家直接通过公司官方网站注册游戏账号，直接通过公司所提供的充值渠道进行充值而 获得游戏内的虚拟货币。公司既可以利用自己官方网站的影响力进行游戏推广，也可以通过其他方式进行推广，推广</w:t>
      </w:r>
      <w:r>
        <w:rPr>
          <w:spacing w:val="-63"/>
        </w:rPr>
        <w:t> </w:t>
      </w:r>
      <w:r>
        <w:rPr>
          <w:spacing w:val="-63"/>
        </w:rPr>
      </w:r>
      <w:r>
        <w:rPr/>
        <w:t>所获得的游戏玩家均直接在公司自有平台注册账号并登录游戏，无需通过游戏推广服务商的账号登录游戏。玩家在进</w:t>
      </w:r>
      <w:r>
        <w:rPr>
          <w:spacing w:val="-62"/>
        </w:rPr>
        <w:t> </w:t>
      </w:r>
      <w:r>
        <w:rPr>
          <w:spacing w:val="-62"/>
        </w:rPr>
      </w:r>
      <w:r>
        <w:rPr/>
        <w:t>行游戏时，直接通过公司所提供的充值渠道进行充值获得游戏内的虚拟货币，公司在游戏玩家实际充值并消费时确认</w:t>
      </w:r>
      <w:r>
        <w:rPr>
          <w:spacing w:val="-63"/>
        </w:rPr>
        <w:t> </w:t>
      </w:r>
      <w:r>
        <w:rPr>
          <w:spacing w:val="-63"/>
        </w:rPr>
      </w:r>
      <w:r>
        <w:rPr/>
        <w:t>为营业收入。</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B</w:t>
      </w:r>
      <w:r>
        <w:rPr/>
        <w:t>、联合运营模式收入确认</w:t>
      </w:r>
    </w:p>
    <w:p>
      <w:pPr>
        <w:spacing w:line="240" w:lineRule="auto" w:before="5"/>
        <w:rPr>
          <w:rFonts w:ascii="宋体" w:hAnsi="宋体" w:cs="宋体" w:eastAsia="宋体" w:hint="default"/>
          <w:sz w:val="20"/>
          <w:szCs w:val="20"/>
        </w:rPr>
      </w:pPr>
    </w:p>
    <w:p>
      <w:pPr>
        <w:pStyle w:val="BodyText"/>
        <w:spacing w:line="367" w:lineRule="auto"/>
        <w:ind w:left="1418" w:right="1274" w:firstLine="360"/>
        <w:jc w:val="both"/>
      </w:pPr>
      <w:r>
        <w:rPr/>
        <w:t>联合运营是指公司将自主开发的网络游戏或公司独家代理的网络游戏通过授权给多个游戏运营商运营，不同的运 营商针对各自发展的用户采用独立的用户管理系统或支付系统，联合运营商与版权拥有方之间分享游戏运营收益。一</w:t>
      </w:r>
      <w:r>
        <w:rPr>
          <w:spacing w:val="-63"/>
        </w:rPr>
        <w:t> </w:t>
      </w:r>
      <w:r>
        <w:rPr>
          <w:spacing w:val="-63"/>
        </w:rPr>
      </w:r>
      <w:r>
        <w:rPr/>
        <w:t>般而言联合运营商不需要向版权拥有方支付初始授权金，只需要按照协议约定的分成比例支付运营收入分成。具体的</w:t>
      </w:r>
      <w:r>
        <w:rPr>
          <w:spacing w:val="-63"/>
        </w:rPr>
        <w:t> </w:t>
      </w:r>
      <w:r>
        <w:rPr>
          <w:spacing w:val="-63"/>
        </w:rPr>
      </w:r>
      <w:r>
        <w:rPr/>
        <w:t>合作模式由双方协商，一般由游戏开发商负责技术维护和游戏更新，而游戏运营商则负责市场推广及用户注册、充值</w:t>
      </w:r>
      <w:r>
        <w:rPr>
          <w:spacing w:val="-63"/>
        </w:rPr>
        <w:t> </w:t>
      </w:r>
      <w:r>
        <w:rPr>
          <w:spacing w:val="-63"/>
        </w:rPr>
      </w:r>
      <w:r>
        <w:rPr/>
        <w:t>渠道搭建。</w:t>
      </w:r>
    </w:p>
    <w:p>
      <w:pPr>
        <w:spacing w:line="240" w:lineRule="auto" w:before="2"/>
        <w:rPr>
          <w:rFonts w:ascii="宋体" w:hAnsi="宋体" w:cs="宋体" w:eastAsia="宋体" w:hint="default"/>
          <w:sz w:val="14"/>
          <w:szCs w:val="14"/>
        </w:rPr>
      </w:pPr>
    </w:p>
    <w:p>
      <w:pPr>
        <w:pStyle w:val="BodyText"/>
        <w:spacing w:line="364" w:lineRule="auto"/>
        <w:ind w:left="1418" w:right="1271" w:firstLine="270"/>
        <w:jc w:val="both"/>
      </w:pPr>
      <w:r>
        <w:rPr>
          <w:spacing w:val="-2"/>
        </w:rPr>
        <w:t>公司与游戏运营商将游戏玩家实际充值的金额扣除渠道费后按协议约定的比例计算分成，在双方核对数据确认无误</w:t>
      </w:r>
      <w:r>
        <w:rPr/>
        <w:t> 后，公司根据游戏币消耗金额与协议约定的分成比例计算确认营业收入。</w:t>
      </w:r>
    </w:p>
    <w:p>
      <w:pPr>
        <w:pStyle w:val="BodyText"/>
        <w:spacing w:line="240" w:lineRule="auto" w:before="82"/>
        <w:ind w:right="1117"/>
        <w:jc w:val="left"/>
      </w:pPr>
      <w:r>
        <w:rPr>
          <w:rFonts w:ascii="Times New Roman" w:hAnsi="Times New Roman" w:cs="Times New Roman" w:eastAsia="Times New Roman" w:hint="default"/>
        </w:rPr>
        <w:t>C</w:t>
      </w:r>
      <w:r>
        <w:rPr/>
        <w:t>、授权运营模式收入确认</w:t>
      </w:r>
    </w:p>
    <w:p>
      <w:pPr>
        <w:spacing w:line="240" w:lineRule="auto" w:before="5"/>
        <w:rPr>
          <w:rFonts w:ascii="宋体" w:hAnsi="宋体" w:cs="宋体" w:eastAsia="宋体" w:hint="default"/>
          <w:sz w:val="20"/>
          <w:szCs w:val="20"/>
        </w:rPr>
      </w:pPr>
    </w:p>
    <w:p>
      <w:pPr>
        <w:pStyle w:val="BodyText"/>
        <w:spacing w:line="367" w:lineRule="auto"/>
        <w:ind w:left="1418" w:right="1274" w:firstLine="360"/>
        <w:jc w:val="both"/>
      </w:pPr>
      <w:r>
        <w:rPr/>
        <w:t>授权运营是指公司将自主研发的游戏以独家代理的方式授权其他游戏运营商在特定区域运营游戏，由游戏运营商 承担主要运营责任，负责服务器的架设、支付渠道的建设及维护、市场推广、客户服务等活动，游戏研发商提供版本</w:t>
      </w:r>
      <w:r>
        <w:rPr>
          <w:spacing w:val="-63"/>
        </w:rPr>
        <w:t> </w:t>
      </w:r>
      <w:r>
        <w:rPr>
          <w:spacing w:val="-63"/>
        </w:rPr>
      </w:r>
      <w:r>
        <w:rPr/>
        <w:t>更新及部分客户服务。游戏运营商通过向游戏玩家提供道具销售等增值服务的方式获取运营收入，游戏研发商通过向</w:t>
      </w:r>
      <w:r>
        <w:rPr>
          <w:spacing w:val="-63"/>
        </w:rPr>
        <w:t> </w:t>
      </w:r>
      <w:r>
        <w:rPr>
          <w:spacing w:val="-63"/>
        </w:rPr>
      </w:r>
      <w:r>
        <w:rPr/>
        <w:t>游戏运营商收取游戏版权金及游戏充值分成款作为运营收入。</w:t>
      </w:r>
    </w:p>
    <w:p>
      <w:pPr>
        <w:spacing w:line="240" w:lineRule="auto" w:before="2"/>
        <w:rPr>
          <w:rFonts w:ascii="宋体" w:hAnsi="宋体" w:cs="宋体" w:eastAsia="宋体" w:hint="default"/>
          <w:sz w:val="14"/>
          <w:szCs w:val="14"/>
        </w:rPr>
      </w:pPr>
    </w:p>
    <w:p>
      <w:pPr>
        <w:pStyle w:val="BodyText"/>
        <w:spacing w:line="367" w:lineRule="auto"/>
        <w:ind w:left="1418" w:right="1270" w:firstLine="270"/>
        <w:jc w:val="both"/>
      </w:pPr>
      <w:r>
        <w:rPr>
          <w:spacing w:val="-2"/>
        </w:rPr>
        <w:t>在这种合作模式下，公司与游戏运营商将游戏玩家实际充值的金额按协议约定的比例计算分成，在双方核对数据确</w:t>
      </w:r>
      <w:r>
        <w:rPr/>
        <w:t> 认无误后，公司确认营业收入。</w:t>
      </w:r>
    </w:p>
    <w:p>
      <w:pPr>
        <w:pStyle w:val="BodyText"/>
        <w:spacing w:line="367" w:lineRule="auto" w:before="29"/>
        <w:ind w:left="1418" w:right="1181" w:firstLine="270"/>
        <w:jc w:val="both"/>
      </w:pPr>
      <w:r>
        <w:rPr/>
        <w:t>在这种合作模式下，如约定将公司自主研发的游戏授权其他运营商在某个区域进行运营，同时约定授权期限，并向 </w:t>
      </w:r>
      <w:r>
        <w:rPr>
          <w:spacing w:val="-2"/>
        </w:rPr>
        <w:t>运营商收取游戏授权金，则公司将应取得的游戏授权金按照协议约定达成条件在授权期限内分期摊销确认授权金收入。</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D</w:t>
      </w:r>
      <w:r>
        <w:rPr/>
        <w:t>、代理运营模式收入确认</w:t>
      </w:r>
    </w:p>
    <w:p>
      <w:pPr>
        <w:spacing w:line="240" w:lineRule="auto" w:before="6"/>
        <w:rPr>
          <w:rFonts w:ascii="宋体" w:hAnsi="宋体" w:cs="宋体" w:eastAsia="宋体" w:hint="default"/>
          <w:sz w:val="20"/>
          <w:szCs w:val="20"/>
        </w:rPr>
      </w:pPr>
    </w:p>
    <w:p>
      <w:pPr>
        <w:pStyle w:val="BodyText"/>
        <w:spacing w:line="367" w:lineRule="auto"/>
        <w:ind w:left="1418" w:right="1274" w:firstLine="360"/>
        <w:jc w:val="both"/>
      </w:pPr>
      <w:r>
        <w:rPr/>
        <w:t>公司以非独家代理的方式代理其他游戏开发商研发的游戏，该模式下公司主要承担游戏发行和推广责任，发行和 推广包括自有平台和其他合作渠道平台资源进行代理游戏的推广，并获取玩家充值，公司提供的是发行和推广服务，</w:t>
      </w:r>
      <w:r>
        <w:rPr>
          <w:spacing w:val="-63"/>
        </w:rPr>
        <w:t> </w:t>
      </w:r>
      <w:r>
        <w:rPr>
          <w:spacing w:val="-63"/>
        </w:rPr>
      </w:r>
      <w:r>
        <w:rPr/>
        <w:t>因此在自有平台发行收入在收款账号收到玩家充值时确认联合代理运营收入，与其他合作渠道平台的玩家充值收入，</w:t>
      </w:r>
      <w:r>
        <w:rPr>
          <w:spacing w:val="-63"/>
        </w:rPr>
        <w:t> </w:t>
      </w:r>
      <w:r>
        <w:rPr>
          <w:spacing w:val="-63"/>
        </w:rPr>
      </w:r>
      <w:r>
        <w:rPr/>
        <w:t>在与合作渠道平台公司对账一致，获取结算单后确认联合代理运营收入。</w:t>
      </w:r>
    </w:p>
    <w:p>
      <w:pPr>
        <w:spacing w:after="0" w:line="367"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E</w:t>
      </w:r>
      <w:r>
        <w:rPr/>
        <w:t>、受托开发游戏业务</w:t>
      </w:r>
    </w:p>
    <w:p>
      <w:pPr>
        <w:spacing w:line="240" w:lineRule="auto" w:before="5"/>
        <w:rPr>
          <w:rFonts w:ascii="宋体" w:hAnsi="宋体" w:cs="宋体" w:eastAsia="宋体" w:hint="default"/>
          <w:sz w:val="20"/>
          <w:szCs w:val="20"/>
        </w:rPr>
      </w:pPr>
    </w:p>
    <w:p>
      <w:pPr>
        <w:pStyle w:val="BodyText"/>
        <w:spacing w:line="367" w:lineRule="auto"/>
        <w:ind w:left="1418" w:right="1273" w:firstLine="270"/>
        <w:jc w:val="both"/>
      </w:pPr>
      <w:r>
        <w:rPr>
          <w:spacing w:val="-2"/>
        </w:rPr>
        <w:t>公司接受其他方委托进行游戏业务的研发，并收取开发游戏收入，根据合同约定的交付条件，在公司受托开发游戏</w:t>
      </w:r>
      <w:r>
        <w:rPr/>
        <w:t> 业务满足约定交付条件，并收到对方确认验收合格的签收单后确认收入。</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二十七）政府补助" w:id="185"/>
      <w:bookmarkEnd w:id="185"/>
      <w:r>
        <w:rPr/>
      </w:r>
      <w:r>
        <w:rPr/>
        <w:t>（二十七）政府补助</w:t>
      </w:r>
    </w:p>
    <w:p>
      <w:pPr>
        <w:spacing w:line="240" w:lineRule="auto" w:before="6"/>
        <w:rPr>
          <w:rFonts w:ascii="宋体" w:hAnsi="宋体" w:cs="宋体" w:eastAsia="宋体" w:hint="default"/>
          <w:sz w:val="21"/>
          <w:szCs w:val="21"/>
        </w:rPr>
      </w:pPr>
    </w:p>
    <w:p>
      <w:pPr>
        <w:pStyle w:val="BodyText"/>
        <w:spacing w:line="240" w:lineRule="auto"/>
        <w:ind w:right="1117"/>
        <w:jc w:val="left"/>
      </w:pPr>
      <w:r>
        <w:rPr>
          <w:rFonts w:ascii="Times New Roman" w:hAnsi="Times New Roman" w:cs="Times New Roman" w:eastAsia="Times New Roman" w:hint="default"/>
        </w:rPr>
        <w:t>1.</w:t>
      </w:r>
      <w:r>
        <w:rPr/>
        <w:t>政府补助包括与资产相关的政府补助和与收益相关的政府补助。</w:t>
      </w:r>
    </w:p>
    <w:p>
      <w:pPr>
        <w:spacing w:line="240" w:lineRule="auto" w:before="5"/>
        <w:rPr>
          <w:rFonts w:ascii="宋体" w:hAnsi="宋体" w:cs="宋体" w:eastAsia="宋体" w:hint="default"/>
          <w:sz w:val="20"/>
          <w:szCs w:val="20"/>
        </w:rPr>
      </w:pPr>
    </w:p>
    <w:p>
      <w:pPr>
        <w:pStyle w:val="BodyText"/>
        <w:spacing w:line="345" w:lineRule="auto"/>
        <w:ind w:left="1418" w:right="1281" w:firstLine="360"/>
        <w:jc w:val="both"/>
      </w:pPr>
      <w:r>
        <w:rPr>
          <w:rFonts w:ascii="Times New Roman" w:hAnsi="Times New Roman" w:cs="Times New Roman" w:eastAsia="Times New Roman" w:hint="default"/>
        </w:rPr>
        <w:t>2.</w:t>
      </w:r>
      <w:r>
        <w:rPr/>
        <w:t>政府补助为货币性资产的，按照收到或应收的金额计量；政府补助为非货币性资产的，按照公允价值计量，公 允价值不能可靠取得的，按照名义金额计量。</w:t>
      </w:r>
    </w:p>
    <w:p>
      <w:pPr>
        <w:spacing w:line="240" w:lineRule="auto" w:before="5"/>
        <w:rPr>
          <w:rFonts w:ascii="宋体" w:hAnsi="宋体" w:cs="宋体" w:eastAsia="宋体" w:hint="default"/>
          <w:sz w:val="15"/>
          <w:szCs w:val="15"/>
        </w:rPr>
      </w:pPr>
    </w:p>
    <w:p>
      <w:pPr>
        <w:pStyle w:val="BodyText"/>
        <w:spacing w:line="240" w:lineRule="auto"/>
        <w:ind w:right="1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政府补助采用总额法：</w:t>
      </w:r>
    </w:p>
    <w:p>
      <w:pPr>
        <w:spacing w:line="240" w:lineRule="auto" w:before="5"/>
        <w:rPr>
          <w:rFonts w:ascii="宋体" w:hAnsi="宋体" w:cs="宋体" w:eastAsia="宋体" w:hint="default"/>
          <w:sz w:val="20"/>
          <w:szCs w:val="20"/>
        </w:rPr>
      </w:pPr>
    </w:p>
    <w:p>
      <w:pPr>
        <w:pStyle w:val="BodyText"/>
        <w:spacing w:line="357" w:lineRule="auto"/>
        <w:ind w:left="1418" w:right="1270" w:firstLine="360"/>
        <w:jc w:val="both"/>
      </w:pPr>
      <w:r>
        <w:rPr>
          <w:spacing w:val="-2"/>
        </w:rPr>
        <w:t>（</w:t>
      </w:r>
      <w:r>
        <w:rPr>
          <w:rFonts w:ascii="Times New Roman" w:hAnsi="Times New Roman" w:cs="Times New Roman" w:eastAsia="Times New Roman" w:hint="default"/>
          <w:spacing w:val="-2"/>
        </w:rPr>
        <w:t>1</w:t>
      </w:r>
      <w:r>
        <w:rPr>
          <w:spacing w:val="-2"/>
        </w:rPr>
        <w:t>）与资产相关的政府补助，确认为递延收益，在相关资产使用寿命内按照合理、系统的方法分期计入损益。相</w:t>
      </w:r>
      <w:r>
        <w:rPr/>
        <w:t> 关资产在使用寿命结束前被出售、转让、报废或发生毁损的，将尚未分配的相关递延收益余额转入资产处置当期的损</w:t>
      </w:r>
      <w:r>
        <w:rPr>
          <w:spacing w:val="-63"/>
        </w:rPr>
        <w:t> </w:t>
      </w:r>
      <w:r>
        <w:rPr>
          <w:spacing w:val="-63"/>
        </w:rPr>
      </w:r>
      <w:r>
        <w:rPr/>
        <w:t>益。</w:t>
      </w:r>
    </w:p>
    <w:p>
      <w:pPr>
        <w:spacing w:line="240" w:lineRule="auto" w:before="9"/>
        <w:rPr>
          <w:rFonts w:ascii="宋体" w:hAnsi="宋体" w:cs="宋体" w:eastAsia="宋体" w:hint="default"/>
          <w:sz w:val="14"/>
          <w:szCs w:val="14"/>
        </w:rPr>
      </w:pPr>
    </w:p>
    <w:p>
      <w:pPr>
        <w:pStyle w:val="BodyText"/>
        <w:spacing w:line="345" w:lineRule="auto"/>
        <w:ind w:left="1418" w:right="1271" w:firstLine="360"/>
        <w:jc w:val="both"/>
      </w:pPr>
      <w:r>
        <w:rPr>
          <w:spacing w:val="-5"/>
        </w:rPr>
        <w:t>（</w:t>
      </w:r>
      <w:r>
        <w:rPr>
          <w:rFonts w:ascii="Times New Roman" w:hAnsi="Times New Roman" w:cs="Times New Roman" w:eastAsia="Times New Roman" w:hint="default"/>
          <w:spacing w:val="-5"/>
        </w:rPr>
        <w:t>2</w:t>
      </w:r>
      <w:r>
        <w:rPr>
          <w:spacing w:val="-5"/>
        </w:rPr>
        <w:t>）与收益相关的政府补助，用于补偿以后期间的相关费用或损失的，确认为递延收益，在确认相关费用的期间，</w:t>
      </w:r>
      <w:r>
        <w:rPr/>
        <w:t> 计入当期损益；用于补偿已发生的相关费用或损失的，直接计入当期损益。</w:t>
      </w:r>
    </w:p>
    <w:p>
      <w:pPr>
        <w:spacing w:line="240" w:lineRule="auto" w:before="5"/>
        <w:rPr>
          <w:rFonts w:ascii="宋体" w:hAnsi="宋体" w:cs="宋体" w:eastAsia="宋体" w:hint="default"/>
          <w:sz w:val="15"/>
          <w:szCs w:val="15"/>
        </w:rPr>
      </w:pPr>
    </w:p>
    <w:p>
      <w:pPr>
        <w:pStyle w:val="BodyText"/>
        <w:spacing w:line="345" w:lineRule="auto"/>
        <w:ind w:left="1418" w:right="1281" w:firstLine="360"/>
        <w:jc w:val="both"/>
      </w:pPr>
      <w:r>
        <w:rPr>
          <w:rFonts w:ascii="Times New Roman" w:hAnsi="Times New Roman" w:cs="Times New Roman" w:eastAsia="Times New Roman" w:hint="default"/>
        </w:rPr>
        <w:t>4.</w:t>
      </w:r>
      <w:r>
        <w:rPr/>
        <w:t>对于同时包含与资产相关部分和与收益相关部分的政府补助，区分不同部分分别进行会计处理；难以区分的， 整体归类为与收益相关的政府补助。</w:t>
      </w:r>
    </w:p>
    <w:p>
      <w:pPr>
        <w:spacing w:line="240" w:lineRule="auto" w:before="5"/>
        <w:rPr>
          <w:rFonts w:ascii="宋体" w:hAnsi="宋体" w:cs="宋体" w:eastAsia="宋体" w:hint="default"/>
          <w:sz w:val="15"/>
          <w:szCs w:val="15"/>
        </w:rPr>
      </w:pPr>
    </w:p>
    <w:p>
      <w:pPr>
        <w:pStyle w:val="BodyText"/>
        <w:spacing w:line="345" w:lineRule="auto"/>
        <w:ind w:left="1418" w:right="1281" w:firstLine="360"/>
        <w:jc w:val="both"/>
      </w:pPr>
      <w:r>
        <w:rPr>
          <w:rFonts w:ascii="Times New Roman" w:hAnsi="Times New Roman" w:cs="Times New Roman" w:eastAsia="Times New Roman" w:hint="default"/>
        </w:rPr>
        <w:t>5.</w:t>
      </w:r>
      <w:r>
        <w:rPr/>
        <w:t>本公司将与本公司日常活动相关的政府补助按照经济业务实质计入其他收益；将与本公司日常活动无关的政府 补助，计入营业外收支。</w:t>
      </w:r>
    </w:p>
    <w:p>
      <w:pPr>
        <w:spacing w:line="240" w:lineRule="auto" w:before="5"/>
        <w:rPr>
          <w:rFonts w:ascii="宋体" w:hAnsi="宋体" w:cs="宋体" w:eastAsia="宋体" w:hint="default"/>
          <w:sz w:val="15"/>
          <w:szCs w:val="15"/>
        </w:rPr>
      </w:pPr>
    </w:p>
    <w:p>
      <w:pPr>
        <w:pStyle w:val="BodyText"/>
        <w:spacing w:line="345" w:lineRule="auto"/>
        <w:ind w:left="1418" w:right="1281" w:firstLine="360"/>
        <w:jc w:val="both"/>
      </w:pPr>
      <w:r>
        <w:rPr>
          <w:rFonts w:ascii="Times New Roman" w:hAnsi="Times New Roman" w:cs="Times New Roman" w:eastAsia="Times New Roman" w:hint="default"/>
        </w:rPr>
        <w:t>6.</w:t>
      </w:r>
      <w:r>
        <w:rPr/>
        <w:t>本公司将取得的政策性优惠贷款贴息按照财政将贴息资金拨付给贷款银行和财政将贴息资金直接拨付给本公司 两种情况处理：</w:t>
      </w:r>
    </w:p>
    <w:p>
      <w:pPr>
        <w:spacing w:line="240" w:lineRule="auto" w:before="5"/>
        <w:rPr>
          <w:rFonts w:ascii="宋体" w:hAnsi="宋体" w:cs="宋体" w:eastAsia="宋体" w:hint="default"/>
          <w:sz w:val="15"/>
          <w:szCs w:val="15"/>
        </w:rPr>
      </w:pPr>
    </w:p>
    <w:p>
      <w:pPr>
        <w:pStyle w:val="BodyText"/>
        <w:spacing w:line="345" w:lineRule="auto"/>
        <w:ind w:left="1418" w:right="1273" w:firstLine="360"/>
        <w:jc w:val="both"/>
      </w:pPr>
      <w:r>
        <w:rPr>
          <w:spacing w:val="-2"/>
        </w:rPr>
        <w:t>（</w:t>
      </w:r>
      <w:r>
        <w:rPr>
          <w:rFonts w:ascii="Times New Roman" w:hAnsi="Times New Roman" w:cs="Times New Roman" w:eastAsia="Times New Roman" w:hint="default"/>
          <w:spacing w:val="-2"/>
        </w:rPr>
        <w:t>1</w:t>
      </w:r>
      <w:r>
        <w:rPr>
          <w:spacing w:val="-2"/>
        </w:rPr>
        <w:t>）财政将贴息资金拨付给贷款银行，由贷款银行以政策性优惠利率向本公司提供贷款的，本公司以实际收到的</w:t>
      </w:r>
      <w:r>
        <w:rPr/>
        <w:t> 借款金额作为借款的入账价值，按照借款本金和该政策性优惠利率计算相关借款费用。</w:t>
      </w:r>
    </w:p>
    <w:p>
      <w:pPr>
        <w:spacing w:line="240" w:lineRule="auto" w:before="2"/>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20"/>
          <w:szCs w:val="20"/>
        </w:rPr>
      </w:pPr>
    </w:p>
    <w:p>
      <w:pPr>
        <w:pStyle w:val="BodyText"/>
        <w:spacing w:line="240" w:lineRule="auto"/>
        <w:ind w:right="1117"/>
        <w:jc w:val="left"/>
      </w:pPr>
      <w:bookmarkStart w:name="（二十八）递延所得税资产和递延所得税负债" w:id="186"/>
      <w:bookmarkEnd w:id="186"/>
      <w:r>
        <w:rPr/>
      </w:r>
      <w:r>
        <w:rPr/>
        <w:t>（二十八）递延所得税资产和递延所得税负债</w:t>
      </w:r>
    </w:p>
    <w:p>
      <w:pPr>
        <w:spacing w:line="240" w:lineRule="auto" w:before="3"/>
        <w:rPr>
          <w:rFonts w:ascii="宋体" w:hAnsi="宋体" w:cs="宋体" w:eastAsia="宋体" w:hint="default"/>
          <w:sz w:val="20"/>
          <w:szCs w:val="20"/>
        </w:rPr>
      </w:pPr>
    </w:p>
    <w:p>
      <w:pPr>
        <w:pStyle w:val="BodyText"/>
        <w:spacing w:line="336" w:lineRule="auto"/>
        <w:ind w:left="1418" w:right="1271"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根据资产、负债的账面价值与其计税基础之间的差额（未作为资产和负债确认的项目按照税法规定可以确定其 计税基础的，该计税基础与其账面数之间的差额），按照预期收回该资产或清偿该负债期间的适用税率计算确认递延</w:t>
      </w:r>
      <w:r>
        <w:rPr>
          <w:spacing w:val="-63"/>
        </w:rPr>
        <w:t> </w:t>
      </w:r>
      <w:r>
        <w:rPr>
          <w:spacing w:val="-63"/>
        </w:rPr>
      </w:r>
      <w:r>
        <w:rPr/>
        <w:t>所得税资产或递延所得税负债。</w:t>
      </w:r>
    </w:p>
    <w:p>
      <w:pPr>
        <w:spacing w:line="240" w:lineRule="auto" w:before="7"/>
        <w:rPr>
          <w:rFonts w:ascii="宋体" w:hAnsi="宋体" w:cs="宋体" w:eastAsia="宋体" w:hint="default"/>
          <w:sz w:val="15"/>
          <w:szCs w:val="15"/>
        </w:rPr>
      </w:pPr>
    </w:p>
    <w:p>
      <w:pPr>
        <w:pStyle w:val="BodyText"/>
        <w:spacing w:line="357" w:lineRule="auto"/>
        <w:ind w:left="1418" w:right="1273"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确认递延所得税资产以很可能取得用来抵扣可抵扣暂时性差异的应纳税所得额为限。资产负债表日，有确凿证 据表明未来期间很可能获得足够的应纳税所得额用来抵扣可抵扣暂时性差异的，确认以前会计期间未确认的递延所得</w:t>
      </w:r>
      <w:r>
        <w:rPr>
          <w:spacing w:val="-63"/>
        </w:rPr>
        <w:t> </w:t>
      </w:r>
      <w:r>
        <w:rPr>
          <w:spacing w:val="-63"/>
        </w:rPr>
      </w:r>
      <w:r>
        <w:rPr/>
        <w:t>税资产。</w:t>
      </w:r>
    </w:p>
    <w:p>
      <w:pPr>
        <w:spacing w:line="240" w:lineRule="auto" w:before="9"/>
        <w:rPr>
          <w:rFonts w:ascii="宋体" w:hAnsi="宋体" w:cs="宋体" w:eastAsia="宋体" w:hint="default"/>
          <w:sz w:val="14"/>
          <w:szCs w:val="14"/>
        </w:rPr>
      </w:pPr>
    </w:p>
    <w:p>
      <w:pPr>
        <w:pStyle w:val="BodyText"/>
        <w:spacing w:line="357" w:lineRule="auto"/>
        <w:ind w:left="1418" w:right="1273"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资产负债表日，对递延所得税资产的账面价值进行复核，如果未来期间很可能无法获得足够的应纳税所得额用 以抵扣递延所得税资产的利益，则减记递延所得税资产的账面价值。在很可能获得足够的应纳税所得额时，转回减记</w:t>
      </w:r>
      <w:r>
        <w:rPr>
          <w:spacing w:val="-63"/>
        </w:rPr>
        <w:t> </w:t>
      </w:r>
      <w:r>
        <w:rPr>
          <w:spacing w:val="-63"/>
        </w:rPr>
      </w:r>
      <w:r>
        <w:rPr/>
        <w:t>的金额。</w:t>
      </w:r>
    </w:p>
    <w:p>
      <w:pPr>
        <w:spacing w:after="0" w:line="357"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45" w:lineRule="auto"/>
        <w:ind w:left="1418" w:right="1271" w:firstLine="36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8"/>
        </w:rPr>
        <w:t> </w:t>
      </w:r>
      <w:r>
        <w:rPr>
          <w:spacing w:val="-3"/>
        </w:rPr>
        <w:t>本公司当期所得税和递延所得税作为所得税费用或收益计入当期损益，但不包括下列情况产生的所得税：（</w:t>
      </w:r>
      <w:r>
        <w:rPr>
          <w:rFonts w:ascii="Times New Roman" w:hAnsi="Times New Roman" w:cs="Times New Roman" w:eastAsia="Times New Roman" w:hint="default"/>
          <w:spacing w:val="-3"/>
        </w:rPr>
        <w:t>1</w:t>
      </w:r>
      <w:r>
        <w:rPr>
          <w:spacing w:val="-3"/>
        </w:rPr>
        <w:t>）</w:t>
      </w:r>
      <w:r>
        <w:rPr/>
        <w:t> 企业合并；（</w:t>
      </w:r>
      <w:r>
        <w:rPr>
          <w:rFonts w:ascii="Times New Roman" w:hAnsi="Times New Roman" w:cs="Times New Roman" w:eastAsia="Times New Roman" w:hint="default"/>
        </w:rPr>
        <w:t>2</w:t>
      </w:r>
      <w:r>
        <w:rPr/>
        <w:t>）直接在所有者权益中确认的交易或者事项。</w:t>
      </w:r>
    </w:p>
    <w:p>
      <w:pPr>
        <w:spacing w:line="240" w:lineRule="auto" w:before="9"/>
        <w:rPr>
          <w:rFonts w:ascii="宋体" w:hAnsi="宋体" w:cs="宋体" w:eastAsia="宋体" w:hint="default"/>
          <w:sz w:val="13"/>
          <w:szCs w:val="13"/>
        </w:rPr>
      </w:pPr>
    </w:p>
    <w:p>
      <w:pPr>
        <w:pStyle w:val="BodyText"/>
        <w:spacing w:line="240" w:lineRule="auto"/>
        <w:ind w:right="1117"/>
        <w:jc w:val="left"/>
      </w:pPr>
      <w:bookmarkStart w:name="（二十九）经营租赁、融资租赁" w:id="187"/>
      <w:bookmarkEnd w:id="187"/>
      <w:r>
        <w:rPr/>
      </w:r>
      <w:r>
        <w:rPr/>
        <w:t>（二十九）经营租赁、融资租赁</w:t>
      </w:r>
    </w:p>
    <w:p>
      <w:pPr>
        <w:pStyle w:val="BodyText"/>
        <w:tabs>
          <w:tab w:pos="2198" w:val="left" w:leader="none"/>
        </w:tabs>
        <w:spacing w:line="500" w:lineRule="atLeast" w:before="30"/>
        <w:ind w:right="1274"/>
        <w:jc w:val="left"/>
      </w:pPr>
      <w:r>
        <w:rPr>
          <w:rFonts w:ascii="Times New Roman" w:hAnsi="Times New Roman" w:cs="Times New Roman" w:eastAsia="Times New Roman" w:hint="default"/>
        </w:rPr>
        <w:t>1.</w:t>
        <w:tab/>
      </w:r>
      <w:r>
        <w:rPr/>
        <w:t>经营租赁 本公司为承租人时，在租赁期内各个期间按照直线法将租金计入相关资产成本或确认为当期损益，发生的初始直</w:t>
      </w:r>
    </w:p>
    <w:p>
      <w:pPr>
        <w:pStyle w:val="BodyText"/>
        <w:spacing w:line="240" w:lineRule="auto" w:before="124"/>
        <w:ind w:left="1418" w:right="1117"/>
        <w:jc w:val="left"/>
      </w:pPr>
      <w:r>
        <w:rPr/>
        <w:t>接费用，直接计入当期损益。或有租金在实际发生时计入当期损益。</w:t>
      </w:r>
    </w:p>
    <w:p>
      <w:pPr>
        <w:spacing w:line="240" w:lineRule="auto" w:before="6"/>
        <w:rPr>
          <w:rFonts w:ascii="宋体" w:hAnsi="宋体" w:cs="宋体" w:eastAsia="宋体" w:hint="default"/>
          <w:sz w:val="21"/>
          <w:szCs w:val="21"/>
        </w:rPr>
      </w:pPr>
    </w:p>
    <w:p>
      <w:pPr>
        <w:pStyle w:val="BodyText"/>
        <w:spacing w:line="367" w:lineRule="auto"/>
        <w:ind w:left="1418" w:right="1274" w:firstLine="360"/>
        <w:jc w:val="both"/>
      </w:pPr>
      <w:r>
        <w:rPr/>
        <w:t>本公司为出租人时，在租赁期内各个期间按照直线法将租金确认为当期损益，发生的初始直接费用，除金额较大 的予以资本化并分期计入损益外，均直接计入当期损益。或有租金在实际发生时计入当期损益。</w:t>
      </w:r>
    </w:p>
    <w:p>
      <w:pPr>
        <w:spacing w:line="240" w:lineRule="auto" w:before="2"/>
        <w:rPr>
          <w:rFonts w:ascii="宋体" w:hAnsi="宋体" w:cs="宋体" w:eastAsia="宋体" w:hint="default"/>
          <w:sz w:val="14"/>
          <w:szCs w:val="14"/>
        </w:rPr>
      </w:pPr>
    </w:p>
    <w:p>
      <w:pPr>
        <w:pStyle w:val="BodyText"/>
        <w:tabs>
          <w:tab w:pos="2198" w:val="left" w:leader="none"/>
        </w:tabs>
        <w:spacing w:line="240" w:lineRule="auto"/>
        <w:ind w:right="1117"/>
        <w:jc w:val="left"/>
      </w:pPr>
      <w:r>
        <w:rPr>
          <w:rFonts w:ascii="Times New Roman" w:hAnsi="Times New Roman" w:cs="Times New Roman" w:eastAsia="Times New Roman" w:hint="default"/>
        </w:rPr>
        <w:t>2.</w:t>
        <w:tab/>
      </w:r>
      <w:r>
        <w:rPr/>
        <w:t>融资租赁</w:t>
      </w:r>
    </w:p>
    <w:p>
      <w:pPr>
        <w:spacing w:line="240" w:lineRule="auto" w:before="5"/>
        <w:rPr>
          <w:rFonts w:ascii="宋体" w:hAnsi="宋体" w:cs="宋体" w:eastAsia="宋体" w:hint="default"/>
          <w:sz w:val="20"/>
          <w:szCs w:val="20"/>
        </w:rPr>
      </w:pPr>
    </w:p>
    <w:p>
      <w:pPr>
        <w:pStyle w:val="BodyText"/>
        <w:spacing w:line="367" w:lineRule="auto"/>
        <w:ind w:left="1418" w:right="1305" w:firstLine="360"/>
        <w:jc w:val="both"/>
      </w:pPr>
      <w:r>
        <w:rPr/>
        <w:t>本公司为承租人时，在租赁期开始日，本公司以租赁开始日租赁资产公允价值与最低租赁付款额现值中两者较低 者作为租入资产的入账价值，将最低租赁付款额作为长期应付款的入账价值，其差额为未确认融资费用，发生的初始 直接费用，计入租赁资产价值。在租赁期各个期间，采用实际利率法计算确认当期的融资费用。</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本公司为出租人时，在租赁期开始日，本公司以租赁开始日最低租赁收款额与初始直接费用之和作为应收融资租 赁款的入账价值，同时记录未担保余值；将最低租赁收款额、初始直接费用及未担保余值之和与其现值之和的差额确</w:t>
      </w:r>
      <w:r>
        <w:rPr>
          <w:spacing w:val="-63"/>
        </w:rPr>
        <w:t> </w:t>
      </w:r>
      <w:r>
        <w:rPr>
          <w:spacing w:val="-63"/>
        </w:rPr>
      </w:r>
      <w:r>
        <w:rPr/>
        <w:t>认为未实现融资收益。在租赁期各个期间，采用实际利率法计算确认当期的融资收入。</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三十）回购股份" w:id="188"/>
      <w:bookmarkEnd w:id="188"/>
      <w:r>
        <w:rPr/>
      </w:r>
      <w:r>
        <w:rPr/>
        <w:t>（三十）回购股份</w:t>
      </w:r>
    </w:p>
    <w:p>
      <w:pPr>
        <w:spacing w:line="240" w:lineRule="auto" w:before="6"/>
        <w:rPr>
          <w:rFonts w:ascii="宋体" w:hAnsi="宋体" w:cs="宋体" w:eastAsia="宋体" w:hint="default"/>
          <w:sz w:val="21"/>
          <w:szCs w:val="21"/>
        </w:rPr>
      </w:pPr>
    </w:p>
    <w:p>
      <w:pPr>
        <w:pStyle w:val="BodyText"/>
        <w:spacing w:line="367" w:lineRule="auto"/>
        <w:ind w:left="1418" w:right="1274" w:firstLine="360"/>
        <w:jc w:val="both"/>
      </w:pPr>
      <w:r>
        <w:rPr/>
        <w:t>因减少注册资本或奖励职工等原因收购本公司或本公司所属子公司股份的，按实际支付的金额作为库存股处理， 同时进行备查登记。如果将回购的股份注销，则将按注销股票面值和注销股数计算的股票面值总额与实际回购所支付</w:t>
      </w:r>
      <w:r>
        <w:rPr>
          <w:spacing w:val="-63"/>
        </w:rPr>
        <w:t> </w:t>
      </w:r>
      <w:r>
        <w:rPr>
          <w:spacing w:val="-63"/>
        </w:rPr>
      </w:r>
      <w:r>
        <w:rPr/>
        <w:t>的金额之间的差额冲减资本公积，资本公积不足冲减的，冲减留存收益；如果将回购的股份奖励给本公司职工属于以</w:t>
      </w:r>
      <w:r>
        <w:rPr>
          <w:spacing w:val="-63"/>
        </w:rPr>
        <w:t> </w:t>
      </w:r>
      <w:r>
        <w:rPr>
          <w:spacing w:val="-63"/>
        </w:rPr>
      </w:r>
      <w:r>
        <w:rPr/>
        <w:t>权益结算的股份支付，于职工行权购买本公司或本公司所属子公司股份收到价款时，转销交付职工的库存股成本和等</w:t>
      </w:r>
      <w:r>
        <w:rPr>
          <w:spacing w:val="-63"/>
        </w:rPr>
        <w:t> </w:t>
      </w:r>
      <w:r>
        <w:rPr>
          <w:spacing w:val="-63"/>
        </w:rPr>
      </w:r>
      <w:r>
        <w:rPr/>
        <w:t>待期内资本公积（其他资本公积）累计金额，同时，按照其差额调整资本公积（资本溢价或股本溢价）。</w:t>
      </w:r>
    </w:p>
    <w:p>
      <w:pPr>
        <w:spacing w:line="240" w:lineRule="auto" w:before="2"/>
        <w:rPr>
          <w:rFonts w:ascii="宋体" w:hAnsi="宋体" w:cs="宋体" w:eastAsia="宋体" w:hint="default"/>
          <w:sz w:val="14"/>
          <w:szCs w:val="14"/>
        </w:rPr>
      </w:pPr>
    </w:p>
    <w:p>
      <w:pPr>
        <w:pStyle w:val="BodyText"/>
        <w:spacing w:line="240" w:lineRule="auto"/>
        <w:ind w:right="1117"/>
        <w:jc w:val="left"/>
      </w:pPr>
      <w:bookmarkStart w:name="（三十一）分部报告" w:id="189"/>
      <w:bookmarkEnd w:id="189"/>
      <w:r>
        <w:rPr/>
      </w:r>
      <w:r>
        <w:rPr/>
        <w:t>（三十一）分部报告</w:t>
      </w:r>
    </w:p>
    <w:p>
      <w:pPr>
        <w:spacing w:line="240" w:lineRule="auto" w:before="6"/>
        <w:rPr>
          <w:rFonts w:ascii="宋体" w:hAnsi="宋体" w:cs="宋体" w:eastAsia="宋体" w:hint="default"/>
          <w:sz w:val="21"/>
          <w:szCs w:val="21"/>
        </w:rPr>
      </w:pPr>
    </w:p>
    <w:p>
      <w:pPr>
        <w:pStyle w:val="BodyText"/>
        <w:spacing w:line="367" w:lineRule="auto"/>
        <w:ind w:left="1418" w:right="1274" w:firstLine="360"/>
        <w:jc w:val="both"/>
      </w:pPr>
      <w:r>
        <w:rPr/>
        <w:t>本公司以内部组织结构、管理要求、内部报告制度为依据确定经营分部，以经营分部为基础确定报告分部并披露 分部信息。</w:t>
      </w:r>
    </w:p>
    <w:p>
      <w:pPr>
        <w:spacing w:line="240" w:lineRule="auto" w:before="2"/>
        <w:rPr>
          <w:rFonts w:ascii="宋体" w:hAnsi="宋体" w:cs="宋体" w:eastAsia="宋体" w:hint="default"/>
          <w:sz w:val="14"/>
          <w:szCs w:val="14"/>
        </w:rPr>
      </w:pPr>
    </w:p>
    <w:p>
      <w:pPr>
        <w:pStyle w:val="BodyText"/>
        <w:spacing w:line="352" w:lineRule="auto"/>
        <w:ind w:left="1418" w:right="1269" w:firstLine="360"/>
        <w:jc w:val="both"/>
      </w:pPr>
      <w:r>
        <w:rPr>
          <w:spacing w:val="-1"/>
        </w:rPr>
        <w:t>经营分部是指本公司内同时满足下列条件的组成部分：</w:t>
      </w:r>
      <w:r>
        <w:rPr>
          <w:rFonts w:ascii="Times New Roman" w:hAnsi="Times New Roman" w:cs="Times New Roman" w:eastAsia="Times New Roman" w:hint="default"/>
          <w:spacing w:val="-1"/>
        </w:rPr>
        <w:t>(1)</w:t>
      </w:r>
      <w:r>
        <w:rPr>
          <w:spacing w:val="-1"/>
        </w:rPr>
        <w:t>该组成部分能够在日常活动中产生收入、发生费用；</w:t>
      </w:r>
      <w:r>
        <w:rPr>
          <w:rFonts w:ascii="Times New Roman" w:hAnsi="Times New Roman" w:cs="Times New Roman" w:eastAsia="Times New Roman" w:hint="default"/>
          <w:spacing w:val="-1"/>
        </w:rPr>
        <w:t>(2)</w:t>
      </w:r>
      <w:r>
        <w:rPr>
          <w:rFonts w:ascii="Times New Roman" w:hAnsi="Times New Roman" w:cs="Times New Roman" w:eastAsia="Times New Roman" w:hint="default"/>
        </w:rPr>
        <w:t> </w:t>
      </w:r>
      <w:r>
        <w:rPr/>
        <w:t>本公司管理层能够定期评价该组成部分的经营成果，以决定向其配置资源、评价其业绩；</w:t>
      </w:r>
      <w:r>
        <w:rPr>
          <w:rFonts w:ascii="Times New Roman" w:hAnsi="Times New Roman" w:cs="Times New Roman" w:eastAsia="Times New Roman" w:hint="default"/>
        </w:rPr>
        <w:t>(3)</w:t>
      </w:r>
      <w:r>
        <w:rPr/>
        <w:t>本公司能够取得该组成部</w:t>
      </w:r>
      <w:r>
        <w:rPr>
          <w:spacing w:val="-87"/>
        </w:rPr>
        <w:t> </w:t>
      </w:r>
      <w:r>
        <w:rPr>
          <w:spacing w:val="-87"/>
        </w:rPr>
      </w:r>
      <w:r>
        <w:rPr/>
        <w:t>分的财务状况、经营成果和现金流量等有关会计信息。两个或多个经营分部具有相似的经济特征，并且满足一定条件</w:t>
      </w:r>
      <w:r>
        <w:rPr>
          <w:spacing w:val="-63"/>
        </w:rPr>
        <w:t> </w:t>
      </w:r>
      <w:r>
        <w:rPr>
          <w:spacing w:val="-63"/>
        </w:rPr>
      </w:r>
      <w:r>
        <w:rPr/>
        <w:t>的，则可合并为一个经营分部。</w:t>
      </w:r>
    </w:p>
    <w:p>
      <w:pPr>
        <w:spacing w:line="240" w:lineRule="auto" w:before="7"/>
        <w:rPr>
          <w:rFonts w:ascii="宋体" w:hAnsi="宋体" w:cs="宋体" w:eastAsia="宋体" w:hint="default"/>
          <w:sz w:val="21"/>
          <w:szCs w:val="21"/>
        </w:rPr>
      </w:pPr>
    </w:p>
    <w:p>
      <w:pPr>
        <w:pStyle w:val="Heading2"/>
        <w:spacing w:line="240" w:lineRule="auto"/>
        <w:ind w:left="1901" w:right="1117"/>
        <w:jc w:val="left"/>
        <w:rPr>
          <w:rFonts w:ascii="黑体" w:hAnsi="黑体" w:cs="黑体" w:eastAsia="黑体" w:hint="default"/>
          <w:b w:val="0"/>
          <w:bCs w:val="0"/>
        </w:rPr>
      </w:pPr>
      <w:bookmarkStart w:name="四、税项" w:id="190"/>
      <w:bookmarkEnd w:id="190"/>
      <w:r>
        <w:rPr>
          <w:b w:val="0"/>
          <w:bCs w:val="0"/>
        </w:rPr>
      </w:r>
      <w:r>
        <w:rPr>
          <w:rFonts w:ascii="黑体" w:hAnsi="黑体" w:cs="黑体" w:eastAsia="黑体" w:hint="default"/>
        </w:rPr>
        <w:t>四、税项</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spacing w:line="240" w:lineRule="auto"/>
        <w:ind w:right="1117"/>
        <w:jc w:val="left"/>
      </w:pPr>
      <w:r>
        <w:rPr/>
        <w:pict>
          <v:group style="position:absolute;margin-left:64.559998pt;margin-top:43.931721pt;width:472.75pt;height:.5pt;mso-position-horizontal-relative:page;mso-position-vertical-relative:paragraph;z-index:-947176" coordorigin="1291,879" coordsize="9455,10">
            <v:group style="position:absolute;left:1296;top:883;width:3028;height:2" coordorigin="1296,883" coordsize="3028,2">
              <v:shape style="position:absolute;left:1296;top:883;width:3028;height:2" coordorigin="1296,883" coordsize="3028,0" path="m1296,883l4324,883e" filled="false" stroked="true" strokeweight=".48pt" strokecolor="#000000">
                <v:path arrowok="t"/>
              </v:shape>
            </v:group>
            <v:group style="position:absolute;left:4310;top:883;width:10;height:2" coordorigin="4310,883" coordsize="10,2">
              <v:shape style="position:absolute;left:4310;top:883;width:10;height:2" coordorigin="4310,883" coordsize="10,0" path="m4310,883l4319,883e" filled="false" stroked="true" strokeweight=".48pt" strokecolor="#000000">
                <v:path arrowok="t"/>
              </v:shape>
            </v:group>
            <v:group style="position:absolute;left:4319;top:883;width:3548;height:2" coordorigin="4319,883" coordsize="3548,2">
              <v:shape style="position:absolute;left:4319;top:883;width:3548;height:2" coordorigin="4319,883" coordsize="3548,0" path="m4319,883l7867,883e" filled="false" stroked="true" strokeweight=".48pt" strokecolor="#000000">
                <v:path arrowok="t"/>
              </v:shape>
            </v:group>
            <v:group style="position:absolute;left:7852;top:883;width:10;height:2" coordorigin="7852,883" coordsize="10,2">
              <v:shape style="position:absolute;left:7852;top:883;width:10;height:2" coordorigin="7852,883" coordsize="10,0" path="m7852,883l7862,883e" filled="false" stroked="true" strokeweight=".48pt" strokecolor="#000000">
                <v:path arrowok="t"/>
              </v:shape>
            </v:group>
            <v:group style="position:absolute;left:7862;top:883;width:2880;height:2" coordorigin="7862,883" coordsize="2880,2">
              <v:shape style="position:absolute;left:7862;top:883;width:2880;height:2" coordorigin="7862,883" coordsize="2880,0" path="m7862,883l10741,883e" filled="false" stroked="true" strokeweight=".48pt" strokecolor="#000000">
                <v:path arrowok="t"/>
              </v:shape>
            </v:group>
            <w10:wrap type="none"/>
          </v:group>
        </w:pict>
      </w:r>
      <w:r>
        <w:rPr/>
        <w:t>（一） 主要税种及税率</w:t>
      </w:r>
    </w:p>
    <w:p>
      <w:pPr>
        <w:spacing w:line="240" w:lineRule="auto" w:before="9"/>
        <w:rPr>
          <w:rFonts w:ascii="宋体" w:hAnsi="宋体" w:cs="宋体" w:eastAsia="宋体" w:hint="default"/>
          <w:sz w:val="28"/>
          <w:szCs w:val="28"/>
        </w:rPr>
      </w:pPr>
    </w:p>
    <w:tbl>
      <w:tblPr>
        <w:tblW w:w="0" w:type="auto"/>
        <w:jc w:val="left"/>
        <w:tblInd w:w="2345" w:type="dxa"/>
        <w:tblLayout w:type="fixed"/>
        <w:tblCellMar>
          <w:top w:w="0" w:type="dxa"/>
          <w:left w:w="0" w:type="dxa"/>
          <w:bottom w:w="0" w:type="dxa"/>
          <w:right w:w="0" w:type="dxa"/>
        </w:tblCellMar>
        <w:tblLook w:val="01E0"/>
      </w:tblPr>
      <w:tblGrid>
        <w:gridCol w:w="1997"/>
        <w:gridCol w:w="3469"/>
        <w:gridCol w:w="1963"/>
      </w:tblGrid>
      <w:tr>
        <w:trPr>
          <w:trHeight w:val="272" w:hRule="exact"/>
        </w:trPr>
        <w:tc>
          <w:tcPr>
            <w:tcW w:w="199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90"/>
                <w:sz w:val="18"/>
                <w:szCs w:val="18"/>
              </w:rPr>
              <w:t> </w:t>
            </w:r>
            <w:r>
              <w:rPr>
                <w:rFonts w:ascii="宋体" w:hAnsi="宋体" w:cs="宋体" w:eastAsia="宋体" w:hint="default"/>
                <w:b/>
                <w:bCs/>
                <w:sz w:val="18"/>
                <w:szCs w:val="18"/>
              </w:rPr>
              <w:t>种</w:t>
            </w:r>
            <w:r>
              <w:rPr>
                <w:rFonts w:ascii="宋体" w:hAnsi="宋体" w:cs="宋体" w:eastAsia="宋体" w:hint="default"/>
                <w:sz w:val="18"/>
                <w:szCs w:val="18"/>
              </w:rPr>
            </w:r>
          </w:p>
        </w:tc>
        <w:tc>
          <w:tcPr>
            <w:tcW w:w="3469" w:type="dxa"/>
            <w:tcBorders>
              <w:top w:val="nil" w:sz="6" w:space="0" w:color="auto"/>
              <w:left w:val="nil" w:sz="6" w:space="0" w:color="auto"/>
              <w:bottom w:val="nil" w:sz="6" w:space="0" w:color="auto"/>
              <w:right w:val="nil" w:sz="6" w:space="0" w:color="auto"/>
            </w:tcBorders>
          </w:tcPr>
          <w:p>
            <w:pPr>
              <w:pStyle w:val="TableParagraph"/>
              <w:spacing w:line="180" w:lineRule="exact"/>
              <w:ind w:left="34" w:right="0"/>
              <w:jc w:val="center"/>
              <w:rPr>
                <w:rFonts w:ascii="宋体" w:hAnsi="宋体" w:cs="宋体" w:eastAsia="宋体" w:hint="default"/>
                <w:sz w:val="18"/>
                <w:szCs w:val="18"/>
              </w:rPr>
            </w:pPr>
            <w:r>
              <w:rPr>
                <w:rFonts w:ascii="宋体" w:hAnsi="宋体" w:cs="宋体" w:eastAsia="宋体" w:hint="default"/>
                <w:b/>
                <w:bCs/>
                <w:sz w:val="18"/>
                <w:szCs w:val="18"/>
              </w:rPr>
              <w:t>计 税 依</w:t>
            </w:r>
            <w:r>
              <w:rPr>
                <w:rFonts w:ascii="宋体" w:hAnsi="宋体" w:cs="宋体" w:eastAsia="宋体" w:hint="default"/>
                <w:b/>
                <w:bCs/>
                <w:spacing w:val="-3"/>
                <w:sz w:val="18"/>
                <w:szCs w:val="18"/>
              </w:rPr>
              <w:t> </w:t>
            </w:r>
            <w:r>
              <w:rPr>
                <w:rFonts w:ascii="宋体" w:hAnsi="宋体" w:cs="宋体" w:eastAsia="宋体" w:hint="default"/>
                <w:b/>
                <w:bCs/>
                <w:sz w:val="18"/>
                <w:szCs w:val="18"/>
              </w:rPr>
              <w:t>据</w:t>
            </w:r>
            <w:r>
              <w:rPr>
                <w:rFonts w:ascii="宋体" w:hAnsi="宋体" w:cs="宋体" w:eastAsia="宋体" w:hint="default"/>
                <w:sz w:val="18"/>
                <w:szCs w:val="18"/>
              </w:rPr>
            </w:r>
          </w:p>
        </w:tc>
        <w:tc>
          <w:tcPr>
            <w:tcW w:w="1963" w:type="dxa"/>
            <w:tcBorders>
              <w:top w:val="nil" w:sz="6" w:space="0" w:color="auto"/>
              <w:left w:val="nil" w:sz="6" w:space="0" w:color="auto"/>
              <w:bottom w:val="nil" w:sz="6" w:space="0" w:color="auto"/>
              <w:right w:val="nil" w:sz="6" w:space="0" w:color="auto"/>
            </w:tcBorders>
          </w:tcPr>
          <w:p>
            <w:pPr>
              <w:pStyle w:val="TableParagraph"/>
              <w:spacing w:line="180" w:lineRule="exact"/>
              <w:ind w:left="1220" w:right="0"/>
              <w:jc w:val="left"/>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b/>
                <w:bCs/>
                <w:spacing w:val="90"/>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2784"/>
        <w:gridCol w:w="3772"/>
        <w:gridCol w:w="2874"/>
      </w:tblGrid>
      <w:tr>
        <w:trPr>
          <w:trHeight w:val="493" w:hRule="exact"/>
        </w:trPr>
        <w:tc>
          <w:tcPr>
            <w:tcW w:w="278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77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36"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287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免征、</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1161"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772" w:type="dxa"/>
            <w:tcBorders>
              <w:top w:val="nil" w:sz="6" w:space="0" w:color="auto"/>
              <w:left w:val="nil" w:sz="6" w:space="0" w:color="auto"/>
              <w:bottom w:val="nil" w:sz="6" w:space="0" w:color="auto"/>
              <w:right w:val="nil" w:sz="6" w:space="0" w:color="auto"/>
            </w:tcBorders>
          </w:tcPr>
          <w:p>
            <w:pPr>
              <w:pStyle w:val="TableParagraph"/>
              <w:spacing w:line="348" w:lineRule="auto" w:before="69"/>
              <w:ind w:left="336" w:right="107"/>
              <w:jc w:val="both"/>
              <w:rPr>
                <w:rFonts w:ascii="宋体" w:hAnsi="宋体" w:cs="宋体" w:eastAsia="宋体" w:hint="default"/>
                <w:sz w:val="18"/>
                <w:szCs w:val="18"/>
              </w:rPr>
            </w:pPr>
            <w:r>
              <w:rPr>
                <w:rFonts w:ascii="宋体" w:hAnsi="宋体" w:cs="宋体" w:eastAsia="宋体" w:hint="default"/>
                <w:spacing w:val="-5"/>
                <w:sz w:val="18"/>
                <w:szCs w:val="18"/>
              </w:rPr>
              <w:t>从价计征的，按房产原值一次减除</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后余 值的</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计缴；从租计征的，按租金收入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按税法规定执行</w:t>
            </w:r>
          </w:p>
        </w:tc>
      </w:tr>
      <w:tr>
        <w:trPr>
          <w:trHeight w:val="440"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6"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40"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教育费附加及地方教育费附加</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6"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5%</w:t>
            </w:r>
          </w:p>
        </w:tc>
      </w:tr>
      <w:tr>
        <w:trPr>
          <w:trHeight w:val="315" w:hRule="exact"/>
        </w:trPr>
        <w:tc>
          <w:tcPr>
            <w:tcW w:w="27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免税、</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bl>
    <w:p>
      <w:pPr>
        <w:spacing w:line="240" w:lineRule="auto" w:before="11"/>
        <w:rPr>
          <w:rFonts w:ascii="宋体" w:hAnsi="宋体" w:cs="宋体" w:eastAsia="宋体" w:hint="default"/>
          <w:sz w:val="29"/>
          <w:szCs w:val="29"/>
        </w:rPr>
      </w:pPr>
    </w:p>
    <w:p>
      <w:pPr>
        <w:pStyle w:val="BodyText"/>
        <w:spacing w:line="345" w:lineRule="auto" w:before="44"/>
        <w:ind w:left="1418" w:right="1272" w:firstLine="360"/>
        <w:jc w:val="both"/>
      </w:pPr>
      <w:r>
        <w:rPr/>
        <w:t>注</w:t>
      </w:r>
      <w:r>
        <w:rPr>
          <w:spacing w:val="-40"/>
        </w:rPr>
        <w:t> </w:t>
      </w:r>
      <w:r>
        <w:rPr>
          <w:rFonts w:ascii="Times New Roman" w:hAnsi="Times New Roman" w:cs="Times New Roman" w:eastAsia="Times New Roman" w:hint="default"/>
        </w:rPr>
        <w:t>1</w:t>
      </w:r>
      <w:r>
        <w:rPr/>
        <w:t>：本期图书销售收入免征增值税；期刊收入按销售商品或提供劳务的增值额计缴增值税，</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日前 税率为</w:t>
      </w:r>
      <w:r>
        <w:rPr>
          <w:spacing w:val="-47"/>
        </w:rPr>
        <w:t> </w:t>
      </w:r>
      <w:r>
        <w:rPr>
          <w:rFonts w:ascii="Times New Roman" w:hAnsi="Times New Roman" w:cs="Times New Roman" w:eastAsia="Times New Roman" w:hint="default"/>
        </w:rPr>
        <w:t>13%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日起税率为</w:t>
      </w:r>
      <w:r>
        <w:rPr>
          <w:spacing w:val="-47"/>
        </w:rPr>
        <w:t> </w:t>
      </w:r>
      <w:r>
        <w:rPr>
          <w:rFonts w:ascii="Times New Roman" w:hAnsi="Times New Roman" w:cs="Times New Roman" w:eastAsia="Times New Roman" w:hint="default"/>
        </w:rPr>
        <w:t>11%</w:t>
      </w:r>
      <w:r>
        <w:rPr/>
        <w:t>；其他货物销售收入增值税税率为</w:t>
      </w:r>
      <w:r>
        <w:rPr>
          <w:spacing w:val="-47"/>
        </w:rPr>
        <w:t> </w:t>
      </w:r>
      <w:r>
        <w:rPr>
          <w:rFonts w:ascii="Times New Roman" w:hAnsi="Times New Roman" w:cs="Times New Roman" w:eastAsia="Times New Roman" w:hint="default"/>
        </w:rPr>
        <w:t>17%</w:t>
      </w:r>
      <w:r>
        <w:rPr/>
        <w:t>。</w:t>
      </w:r>
    </w:p>
    <w:p>
      <w:pPr>
        <w:spacing w:line="240" w:lineRule="auto" w:before="9"/>
        <w:rPr>
          <w:rFonts w:ascii="宋体" w:hAnsi="宋体" w:cs="宋体" w:eastAsia="宋体" w:hint="default"/>
          <w:sz w:val="13"/>
          <w:szCs w:val="13"/>
        </w:rPr>
      </w:pPr>
    </w:p>
    <w:p>
      <w:pPr>
        <w:pStyle w:val="BodyText"/>
        <w:spacing w:line="240" w:lineRule="auto"/>
        <w:ind w:right="0"/>
        <w:jc w:val="left"/>
      </w:pPr>
      <w:r>
        <w:rPr/>
        <w:t>根据《财政部国家税务总局关于在全国开展交通运输业和部分现代服务业营业税改征增值税试点税收政策的通知》</w:t>
      </w:r>
    </w:p>
    <w:p>
      <w:pPr>
        <w:pStyle w:val="BodyText"/>
        <w:spacing w:line="345" w:lineRule="auto" w:before="124"/>
        <w:ind w:left="1418" w:right="1270"/>
        <w:jc w:val="both"/>
      </w:pPr>
      <w:r>
        <w:rPr>
          <w:spacing w:val="-1"/>
        </w:rPr>
        <w:t>（财税〔</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37</w:t>
      </w:r>
      <w:r>
        <w:rPr>
          <w:rFonts w:ascii="Times New Roman" w:hAnsi="Times New Roman" w:cs="Times New Roman" w:eastAsia="Times New Roman" w:hint="default"/>
          <w:spacing w:val="9"/>
        </w:rPr>
        <w:t> </w:t>
      </w:r>
      <w:r>
        <w:rPr>
          <w:spacing w:val="-4"/>
        </w:rPr>
        <w:t>号），本公司图书推广劳务收入缴纳增值税，适应增值税税率为</w:t>
      </w:r>
      <w:r>
        <w:rPr>
          <w:spacing w:val="-36"/>
        </w:rPr>
        <w:t> </w:t>
      </w:r>
      <w:r>
        <w:rPr>
          <w:rFonts w:ascii="Times New Roman" w:hAnsi="Times New Roman" w:cs="Times New Roman" w:eastAsia="Times New Roman" w:hint="default"/>
          <w:spacing w:val="-1"/>
        </w:rPr>
        <w:t>6%</w:t>
      </w:r>
      <w:r>
        <w:rPr>
          <w:spacing w:val="-1"/>
        </w:rPr>
        <w:t>；本公司取得的文化创意及数字</w:t>
      </w:r>
      <w:r>
        <w:rPr>
          <w:spacing w:val="-88"/>
        </w:rPr>
        <w:t> </w:t>
      </w:r>
      <w:r>
        <w:rPr>
          <w:spacing w:val="-88"/>
        </w:rPr>
      </w:r>
      <w:r>
        <w:rPr/>
        <w:t>信息服务收入缴纳增值税，适应增值税税率为</w:t>
      </w:r>
      <w:r>
        <w:rPr>
          <w:spacing w:val="-45"/>
        </w:rPr>
        <w:t> </w:t>
      </w:r>
      <w:r>
        <w:rPr>
          <w:rFonts w:ascii="Times New Roman" w:hAnsi="Times New Roman" w:cs="Times New Roman" w:eastAsia="Times New Roman" w:hint="default"/>
        </w:rPr>
        <w:t>6%</w:t>
      </w:r>
      <w:r>
        <w:rPr/>
        <w:t>；</w:t>
      </w:r>
    </w:p>
    <w:p>
      <w:pPr>
        <w:spacing w:line="240" w:lineRule="auto" w:before="9"/>
        <w:rPr>
          <w:rFonts w:ascii="宋体" w:hAnsi="宋体" w:cs="宋体" w:eastAsia="宋体" w:hint="default"/>
          <w:sz w:val="13"/>
          <w:szCs w:val="13"/>
        </w:rPr>
      </w:pPr>
    </w:p>
    <w:p>
      <w:pPr>
        <w:pStyle w:val="BodyText"/>
        <w:spacing w:line="352" w:lineRule="auto"/>
        <w:ind w:left="1418" w:right="1271" w:firstLine="360"/>
        <w:jc w:val="both"/>
      </w:pPr>
      <w:r>
        <w:rPr/>
        <w:t>注 </w:t>
      </w:r>
      <w:r>
        <w:rPr>
          <w:rFonts w:ascii="Times New Roman" w:hAnsi="Times New Roman" w:cs="Times New Roman" w:eastAsia="Times New Roman" w:hint="default"/>
        </w:rPr>
        <w:t>2</w:t>
      </w:r>
      <w:r>
        <w:rPr/>
        <w:t>：根据《财政部国家税务总局关于在北京等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省市开展交通运输业和部分现代服务业营业税改征增值税试点 </w:t>
      </w:r>
      <w:r>
        <w:rPr>
          <w:spacing w:val="-8"/>
        </w:rPr>
        <w:t>的通知》（财税〔</w:t>
      </w:r>
      <w:r>
        <w:rPr>
          <w:rFonts w:ascii="Times New Roman" w:hAnsi="Times New Roman" w:cs="Times New Roman" w:eastAsia="Times New Roman" w:hint="default"/>
          <w:spacing w:val="-8"/>
        </w:rPr>
        <w:t>2012</w:t>
      </w:r>
      <w:r>
        <w:rPr>
          <w:spacing w:val="-8"/>
        </w:rPr>
        <w:t>〕</w:t>
      </w:r>
      <w:r>
        <w:rPr>
          <w:rFonts w:ascii="Times New Roman" w:hAnsi="Times New Roman" w:cs="Times New Roman" w:eastAsia="Times New Roman" w:hint="default"/>
          <w:spacing w:val="-8"/>
        </w:rPr>
        <w:t>71</w:t>
      </w:r>
      <w:r>
        <w:rPr>
          <w:rFonts w:ascii="Times New Roman" w:hAnsi="Times New Roman" w:cs="Times New Roman" w:eastAsia="Times New Roman" w:hint="default"/>
        </w:rPr>
        <w:t> </w:t>
      </w:r>
      <w:r>
        <w:rPr>
          <w:spacing w:val="-2"/>
        </w:rPr>
        <w:t>号）及《交通运输业和部分现代服务业营业税改征增值税试点实施办法》</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111</w:t>
      </w:r>
      <w:r>
        <w:rPr>
          <w:rFonts w:ascii="Times New Roman" w:hAnsi="Times New Roman" w:cs="Times New Roman" w:eastAsia="Times New Roman" w:hint="default"/>
          <w:spacing w:val="-10"/>
        </w:rPr>
        <w:t> </w:t>
      </w:r>
      <w:r>
        <w:rPr/>
        <w:t>号）的相关规定，本公司之子公司北京神奇时代网络有限公司、广州游爱网络技术有限公司的信息技术服务收入适用</w:t>
      </w:r>
      <w:r>
        <w:rPr>
          <w:spacing w:val="-63"/>
        </w:rPr>
        <w:t> </w:t>
      </w:r>
      <w:r>
        <w:rPr>
          <w:spacing w:val="-63"/>
        </w:rPr>
      </w:r>
      <w:r>
        <w:rPr>
          <w:rFonts w:ascii="Times New Roman" w:hAnsi="Times New Roman" w:cs="Times New Roman" w:eastAsia="Times New Roman" w:hint="default"/>
        </w:rPr>
        <w:t>6%</w:t>
      </w:r>
      <w:r>
        <w:rPr/>
        <w:t>的增值税率。</w:t>
      </w:r>
    </w:p>
    <w:p>
      <w:pPr>
        <w:spacing w:line="240" w:lineRule="auto" w:before="3"/>
        <w:rPr>
          <w:rFonts w:ascii="宋体" w:hAnsi="宋体" w:cs="宋体" w:eastAsia="宋体" w:hint="default"/>
          <w:sz w:val="13"/>
          <w:szCs w:val="13"/>
        </w:rPr>
      </w:pPr>
    </w:p>
    <w:p>
      <w:pPr>
        <w:pStyle w:val="BodyText"/>
        <w:spacing w:line="367" w:lineRule="auto"/>
        <w:ind w:left="1418" w:right="1274" w:firstLine="360"/>
        <w:jc w:val="both"/>
      </w:pPr>
      <w:r>
        <w:rPr/>
        <w:t>由于本公司之孙公司神奇时代信息技术（天津）有限公司成立之日在天津市实施营业税改征增值税试点日之后， 自该公司成立之日起的信息技术服务收入适用</w:t>
      </w:r>
      <w:r>
        <w:rPr>
          <w:spacing w:val="-45"/>
        </w:rPr>
        <w:t> </w:t>
      </w:r>
      <w:r>
        <w:rPr>
          <w:rFonts w:ascii="Times New Roman" w:hAnsi="Times New Roman" w:cs="Times New Roman" w:eastAsia="Times New Roman" w:hint="default"/>
        </w:rPr>
        <w:t>6%</w:t>
      </w:r>
      <w:r>
        <w:rPr/>
        <w:t>的增值税。</w:t>
      </w:r>
    </w:p>
    <w:p>
      <w:pPr>
        <w:pStyle w:val="BodyText"/>
        <w:spacing w:line="240" w:lineRule="auto" w:before="161"/>
        <w:ind w:right="1117"/>
        <w:jc w:val="left"/>
      </w:pPr>
      <w:r>
        <w:rPr/>
        <w:t>注</w:t>
      </w:r>
      <w:r>
        <w:rPr>
          <w:spacing w:val="-46"/>
        </w:rPr>
        <w:t> </w:t>
      </w:r>
      <w:r>
        <w:rPr>
          <w:rFonts w:ascii="Times New Roman" w:hAnsi="Times New Roman" w:cs="Times New Roman" w:eastAsia="Times New Roman" w:hint="default"/>
        </w:rPr>
        <w:t>3</w:t>
      </w:r>
      <w:r>
        <w:rPr/>
        <w:t>：本公司香港子公司均适应于香港税制，利得税税率为</w:t>
      </w:r>
      <w:r>
        <w:rPr>
          <w:spacing w:val="-46"/>
        </w:rPr>
        <w:t> </w:t>
      </w:r>
      <w:r>
        <w:rPr>
          <w:rFonts w:ascii="Times New Roman" w:hAnsi="Times New Roman" w:cs="Times New Roman" w:eastAsia="Times New Roman" w:hint="default"/>
        </w:rPr>
        <w:t>16.5%</w:t>
      </w:r>
      <w:r>
        <w:rPr/>
        <w:t>。</w:t>
      </w:r>
    </w:p>
    <w:p>
      <w:pPr>
        <w:spacing w:line="240" w:lineRule="auto" w:before="5"/>
        <w:rPr>
          <w:rFonts w:ascii="宋体" w:hAnsi="宋体" w:cs="宋体" w:eastAsia="宋体" w:hint="default"/>
          <w:sz w:val="20"/>
          <w:szCs w:val="20"/>
        </w:rPr>
      </w:pPr>
    </w:p>
    <w:p>
      <w:pPr>
        <w:pStyle w:val="BodyText"/>
        <w:spacing w:line="240" w:lineRule="auto"/>
        <w:ind w:right="1117"/>
        <w:jc w:val="left"/>
      </w:pPr>
      <w:r>
        <w:rPr/>
        <w:t>（二） 重要税收优惠政策及其依据</w:t>
      </w:r>
    </w:p>
    <w:p>
      <w:pPr>
        <w:spacing w:line="240" w:lineRule="auto" w:before="6"/>
        <w:rPr>
          <w:rFonts w:ascii="宋体" w:hAnsi="宋体" w:cs="宋体" w:eastAsia="宋体" w:hint="default"/>
          <w:sz w:val="21"/>
          <w:szCs w:val="21"/>
        </w:rPr>
      </w:pPr>
    </w:p>
    <w:p>
      <w:pPr>
        <w:pStyle w:val="BodyText"/>
        <w:spacing w:line="345" w:lineRule="auto"/>
        <w:ind w:left="1418" w:right="1264" w:firstLine="360"/>
        <w:jc w:val="both"/>
      </w:pPr>
      <w:r>
        <w:rPr>
          <w:rFonts w:ascii="Times New Roman" w:hAnsi="Times New Roman" w:cs="Times New Roman" w:eastAsia="Times New Roman" w:hint="default"/>
        </w:rPr>
        <w:t>1. </w:t>
      </w:r>
      <w:r>
        <w:rPr>
          <w:spacing w:val="3"/>
        </w:rPr>
        <w:t>本公司之子公司北京神奇时代网络有限公司于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3"/>
        </w:rPr>
        <w:t>日再次被认定为高新技术企业</w:t>
      </w:r>
      <w:r>
        <w:rPr>
          <w:rFonts w:ascii="Times New Roman" w:hAnsi="Times New Roman" w:cs="Times New Roman" w:eastAsia="Times New Roman" w:hint="default"/>
          <w:spacing w:val="3"/>
        </w:rPr>
        <w:t>(</w:t>
      </w:r>
      <w:r>
        <w:rPr>
          <w:spacing w:val="3"/>
        </w:rPr>
        <w:t>证书编号：</w:t>
      </w:r>
      <w:r>
        <w:rPr>
          <w:spacing w:val="4"/>
        </w:rPr>
        <w:t> </w:t>
      </w:r>
      <w:r>
        <w:rPr>
          <w:rFonts w:ascii="Times New Roman" w:hAnsi="Times New Roman" w:cs="Times New Roman" w:eastAsia="Times New Roman" w:hint="default"/>
          <w:spacing w:val="-5"/>
        </w:rPr>
        <w:t>GR201711000103)</w:t>
      </w:r>
      <w:r>
        <w:rPr>
          <w:spacing w:val="-5"/>
        </w:rPr>
        <w:t>，有效期三年。根据《中华人民共和国所得税法》规定，公司享受高新技术企业所得税优惠政策。</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2019 </w:t>
      </w:r>
      <w:r>
        <w:rPr/>
        <w:t>年按</w:t>
      </w:r>
      <w:r>
        <w:rPr>
          <w:spacing w:val="-47"/>
        </w:rPr>
        <w:t> </w:t>
      </w:r>
      <w:r>
        <w:rPr>
          <w:rFonts w:ascii="Times New Roman" w:hAnsi="Times New Roman" w:cs="Times New Roman" w:eastAsia="Times New Roman" w:hint="default"/>
        </w:rPr>
        <w:t>15%</w:t>
      </w:r>
      <w:r>
        <w:rPr/>
        <w:t>税率计缴企业所得税。</w:t>
      </w:r>
    </w:p>
    <w:p>
      <w:pPr>
        <w:spacing w:line="240" w:lineRule="auto" w:before="9"/>
        <w:rPr>
          <w:rFonts w:ascii="宋体" w:hAnsi="宋体" w:cs="宋体" w:eastAsia="宋体" w:hint="default"/>
          <w:sz w:val="13"/>
          <w:szCs w:val="13"/>
        </w:rPr>
      </w:pPr>
    </w:p>
    <w:p>
      <w:pPr>
        <w:pStyle w:val="BodyText"/>
        <w:spacing w:line="240" w:lineRule="auto"/>
        <w:ind w:right="1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13"/>
        </w:rPr>
        <w:t> </w:t>
      </w:r>
      <w:r>
        <w:rPr/>
        <w:t>日财政部国家税务总局联合发布了《关于延续宣传文化增值税和营业税优惠政策的通知》</w:t>
      </w:r>
      <w:r>
        <w:rPr>
          <w:rFonts w:ascii="Times New Roman" w:hAnsi="Times New Roman" w:cs="Times New Roman" w:eastAsia="Times New Roman" w:hint="default"/>
        </w:rPr>
        <w:t>(</w:t>
      </w:r>
      <w:r>
        <w:rPr/>
        <w:t>财税</w:t>
      </w:r>
    </w:p>
    <w:p>
      <w:pPr>
        <w:pStyle w:val="BodyText"/>
        <w:spacing w:line="240" w:lineRule="auto" w:before="109"/>
        <w:ind w:left="1418" w:right="0"/>
        <w:jc w:val="both"/>
      </w:pPr>
      <w:r>
        <w:rPr>
          <w:rFonts w:ascii="Times New Roman" w:hAnsi="Times New Roman" w:cs="Times New Roman" w:eastAsia="Times New Roman" w:hint="default"/>
        </w:rPr>
        <w:t>[2013]87</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，根据该通知第二条规定自</w:t>
      </w:r>
      <w:r>
        <w:rPr>
          <w:spacing w:val="-3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日起至</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日，免征图书批发、零售环节增值税。</w:t>
      </w:r>
    </w:p>
    <w:p>
      <w:pPr>
        <w:spacing w:line="240" w:lineRule="auto" w:before="5"/>
        <w:rPr>
          <w:rFonts w:ascii="宋体" w:hAnsi="宋体" w:cs="宋体" w:eastAsia="宋体" w:hint="default"/>
          <w:sz w:val="12"/>
          <w:szCs w:val="12"/>
        </w:rPr>
      </w:pPr>
    </w:p>
    <w:p>
      <w:pPr>
        <w:pStyle w:val="BodyText"/>
        <w:spacing w:line="240" w:lineRule="auto"/>
        <w:ind w:right="1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根据国家税务总局</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日发布的关于发布《营业税改征增值税跨境应税行为增值税免税管理办法（试</w:t>
      </w:r>
    </w:p>
    <w:p>
      <w:pPr>
        <w:pStyle w:val="BodyText"/>
        <w:spacing w:line="345" w:lineRule="auto" w:before="111"/>
        <w:ind w:left="1418" w:right="1271"/>
        <w:jc w:val="both"/>
      </w:pPr>
      <w:r>
        <w:rPr>
          <w:spacing w:val="-6"/>
        </w:rPr>
        <w:t>行）》的公告（国家税务总局公告</w:t>
      </w:r>
      <w:r>
        <w:rPr>
          <w:spacing w:val="-3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spacing w:val="-1"/>
        </w:rPr>
        <w:t>年第</w:t>
      </w:r>
      <w:r>
        <w:rPr>
          <w:spacing w:val="-36"/>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spacing w:val="-3"/>
        </w:rPr>
        <w:t>号），公司及其属于软件企业的下属子公司跨境应税行为取得的收入免</w:t>
      </w:r>
      <w:r>
        <w:rPr/>
        <w:t> 征增值税。</w:t>
      </w:r>
    </w:p>
    <w:p>
      <w:pPr>
        <w:pStyle w:val="BodyText"/>
        <w:spacing w:line="240" w:lineRule="auto" w:before="95"/>
        <w:ind w:right="0"/>
        <w:jc w:val="left"/>
      </w:pPr>
      <w:r>
        <w:rPr>
          <w:rFonts w:ascii="Times New Roman" w:hAnsi="Times New Roman" w:cs="Times New Roman" w:eastAsia="Times New Roman" w:hint="default"/>
        </w:rPr>
        <w:t>4.  </w:t>
      </w:r>
      <w:r>
        <w:rPr/>
        <w:t>根</w:t>
      </w:r>
      <w:r>
        <w:rPr>
          <w:spacing w:val="-71"/>
        </w:rPr>
        <w:t>据</w:t>
      </w:r>
      <w:r>
        <w:rPr/>
        <w:t>《财政部</w:t>
      </w:r>
      <w:r>
        <w:rPr>
          <w:spacing w:val="-71"/>
        </w:rPr>
        <w:t>、</w:t>
      </w:r>
      <w:r>
        <w:rPr/>
        <w:t>国家税务总局关于进一步鼓励软件产业和集成电路产业发展企业所得税政策的通知</w:t>
      </w:r>
      <w:r>
        <w:rPr>
          <w:spacing w:val="-161"/>
        </w:rPr>
        <w:t>》</w:t>
      </w:r>
      <w:r>
        <w:rPr/>
        <w:t>（财</w:t>
      </w:r>
      <w:r>
        <w:rPr>
          <w:spacing w:val="-71"/>
        </w:rPr>
        <w:t>税</w:t>
      </w:r>
      <w:r>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2</w:t>
      </w:r>
      <w:r>
        <w:rPr/>
        <w:t>〕</w:t>
      </w:r>
    </w:p>
    <w:p>
      <w:pPr>
        <w:pStyle w:val="BodyText"/>
        <w:spacing w:line="345" w:lineRule="auto" w:before="111"/>
        <w:ind w:left="1418" w:right="1270"/>
        <w:jc w:val="both"/>
      </w:pP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号）第三条规定：</w:t>
      </w:r>
      <w:r>
        <w:rPr>
          <w:rFonts w:ascii="Times New Roman" w:hAnsi="Times New Roman" w:cs="Times New Roman" w:eastAsia="Times New Roman" w:hint="default"/>
        </w:rPr>
        <w:t>“</w:t>
      </w:r>
      <w:r>
        <w:rPr/>
        <w:t>我国境内新办的集成电路设计企业和符合条件的软件企业，经认定后，在</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w:t>
      </w:r>
      <w:r>
        <w:rPr>
          <w:spacing w:val="1"/>
        </w:rPr>
        <w:t> </w:t>
      </w:r>
      <w:r>
        <w:rPr/>
        <w:t>自获利年度起计算优惠期，第一年至第二年免征企业所得税，第三年至第五年按照</w:t>
      </w:r>
      <w:r>
        <w:rPr>
          <w:spacing w:val="-26"/>
        </w:rPr>
        <w:t> </w:t>
      </w:r>
      <w:r>
        <w:rPr>
          <w:rFonts w:ascii="Times New Roman" w:hAnsi="Times New Roman" w:cs="Times New Roman" w:eastAsia="Times New Roman" w:hint="default"/>
        </w:rPr>
        <w:t>25%</w:t>
      </w:r>
      <w:r>
        <w:rPr/>
        <w:t>的法定税率减半征收企业所得 税，并享受至期满为止。</w:t>
      </w:r>
      <w:r>
        <w:rPr>
          <w:rFonts w:ascii="Times New Roman" w:hAnsi="Times New Roman" w:cs="Times New Roman" w:eastAsia="Times New Roman" w:hint="default"/>
        </w:rPr>
        <w:t>”</w:t>
      </w:r>
      <w:r>
        <w:rPr/>
        <w:t>公司之子公司广州游爱于</w:t>
      </w:r>
      <w:r>
        <w:rPr>
          <w:spacing w:val="-3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月被认定为软件企业，自获利年度</w:t>
      </w:r>
      <w:r>
        <w:rPr>
          <w:spacing w:val="-3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年起，两年内 免征企业所得税，三年内减半征收，广州游爱</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年度、</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年度免征企业所得税，</w:t>
      </w:r>
      <w:r>
        <w:rPr>
          <w:rFonts w:ascii="Times New Roman" w:hAnsi="Times New Roman" w:cs="Times New Roman" w:eastAsia="Times New Roman" w:hint="default"/>
        </w:rPr>
        <w:t>2015-2017</w:t>
      </w:r>
      <w:r>
        <w:rPr>
          <w:rFonts w:ascii="Times New Roman" w:hAnsi="Times New Roman" w:cs="Times New Roman" w:eastAsia="Times New Roman" w:hint="default"/>
          <w:spacing w:val="-10"/>
        </w:rPr>
        <w:t> </w:t>
      </w:r>
      <w:r>
        <w:rPr/>
        <w:t>年按照</w:t>
      </w:r>
      <w:r>
        <w:rPr>
          <w:spacing w:val="-55"/>
        </w:rPr>
        <w:t> </w:t>
      </w:r>
      <w:r>
        <w:rPr>
          <w:rFonts w:ascii="Times New Roman" w:hAnsi="Times New Roman" w:cs="Times New Roman" w:eastAsia="Times New Roman" w:hint="default"/>
        </w:rPr>
        <w:t>25%</w:t>
      </w:r>
      <w:r>
        <w:rPr/>
        <w:t>的法定税</w:t>
      </w:r>
    </w:p>
    <w:p>
      <w:pPr>
        <w:spacing w:after="0" w:line="345"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418" w:right="0"/>
        <w:jc w:val="both"/>
      </w:pPr>
      <w:r>
        <w:rPr/>
        <w:t>率减半征收企业所得税；公司之孙公司上海游爱之星信息科技有限公司于</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月被认定为软件企业，自获利年度</w:t>
      </w:r>
    </w:p>
    <w:p>
      <w:pPr>
        <w:pStyle w:val="BodyText"/>
        <w:spacing w:line="240" w:lineRule="auto" w:before="111"/>
        <w:ind w:left="1418" w:right="0"/>
        <w:jc w:val="both"/>
        <w:rPr>
          <w:rFonts w:ascii="Times New Roman" w:hAnsi="Times New Roman" w:cs="Times New Roman" w:eastAsia="Times New Roman" w:hint="default"/>
        </w:rPr>
      </w:pPr>
      <w:r>
        <w:rPr/>
        <w:t>起，两年内免征企业所得税，三年内减半征收，上海游爱之星信息科技有限公司 </w:t>
      </w:r>
      <w:r>
        <w:rPr>
          <w:rFonts w:ascii="Times New Roman" w:hAnsi="Times New Roman" w:cs="Times New Roman" w:eastAsia="Times New Roman" w:hint="default"/>
        </w:rPr>
        <w:t>2015 </w:t>
      </w:r>
      <w:r>
        <w:rPr/>
        <w:t>年开始获利，</w:t>
      </w:r>
      <w:r>
        <w:rPr>
          <w:rFonts w:ascii="Times New Roman" w:hAnsi="Times New Roman" w:cs="Times New Roman" w:eastAsia="Times New Roman" w:hint="default"/>
        </w:rPr>
        <w:t>2015 </w:t>
      </w:r>
      <w:r>
        <w:rPr/>
        <w:t>年度和</w:t>
      </w:r>
      <w:r>
        <w:rPr>
          <w:spacing w:val="-56"/>
        </w:rPr>
        <w:t> </w:t>
      </w:r>
      <w:r>
        <w:rPr>
          <w:rFonts w:ascii="Times New Roman" w:hAnsi="Times New Roman" w:cs="Times New Roman" w:eastAsia="Times New Roman" w:hint="default"/>
        </w:rPr>
        <w:t>2016</w:t>
      </w:r>
    </w:p>
    <w:p>
      <w:pPr>
        <w:pStyle w:val="BodyText"/>
        <w:spacing w:line="240" w:lineRule="auto" w:before="111"/>
        <w:ind w:left="1418" w:right="0"/>
        <w:jc w:val="both"/>
      </w:pPr>
      <w:r>
        <w:rPr/>
        <w:t>年度免征企业所得税，</w:t>
      </w:r>
      <w:r>
        <w:rPr>
          <w:rFonts w:ascii="Times New Roman" w:hAnsi="Times New Roman" w:cs="Times New Roman" w:eastAsia="Times New Roman" w:hint="default"/>
        </w:rPr>
        <w:t>2017-2019 </w:t>
      </w:r>
      <w:r>
        <w:rPr/>
        <w:t>年按照</w:t>
      </w:r>
      <w:r>
        <w:rPr>
          <w:spacing w:val="-46"/>
        </w:rPr>
        <w:t> </w:t>
      </w:r>
      <w:r>
        <w:rPr>
          <w:rFonts w:ascii="Times New Roman" w:hAnsi="Times New Roman" w:cs="Times New Roman" w:eastAsia="Times New Roman" w:hint="default"/>
        </w:rPr>
        <w:t>25%</w:t>
      </w:r>
      <w:r>
        <w:rPr/>
        <w:t>的法定税率减半征收企业所得税。</w:t>
      </w:r>
    </w:p>
    <w:p>
      <w:pPr>
        <w:spacing w:line="240" w:lineRule="auto" w:before="6"/>
        <w:rPr>
          <w:rFonts w:ascii="宋体" w:hAnsi="宋体" w:cs="宋体" w:eastAsia="宋体" w:hint="default"/>
          <w:sz w:val="20"/>
          <w:szCs w:val="20"/>
        </w:rPr>
      </w:pPr>
    </w:p>
    <w:p>
      <w:pPr>
        <w:pStyle w:val="BodyText"/>
        <w:spacing w:line="240" w:lineRule="auto"/>
        <w:ind w:right="1117"/>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4"/>
        </w:rPr>
        <w:t> </w:t>
      </w:r>
      <w:r>
        <w:rPr>
          <w:spacing w:val="3"/>
        </w:rPr>
        <w:t>依据《财</w:t>
      </w:r>
      <w:r>
        <w:rPr>
          <w:spacing w:val="2"/>
        </w:rPr>
        <w:t>政</w:t>
      </w:r>
      <w:r>
        <w:rPr/>
        <w:t>部</w:t>
      </w:r>
      <w:r>
        <w:rPr>
          <w:spacing w:val="7"/>
        </w:rPr>
        <w:t> </w:t>
      </w:r>
      <w:r>
        <w:rPr>
          <w:spacing w:val="3"/>
        </w:rPr>
        <w:t>国家税务</w:t>
      </w:r>
      <w:r>
        <w:rPr>
          <w:spacing w:val="2"/>
        </w:rPr>
        <w:t>总</w:t>
      </w:r>
      <w:r>
        <w:rPr>
          <w:spacing w:val="3"/>
        </w:rPr>
        <w:t>局关于新疆喀什霍尔果斯两个特殊经济开发区</w:t>
      </w:r>
      <w:r>
        <w:rPr>
          <w:spacing w:val="8"/>
        </w:rPr>
        <w:t>企</w:t>
      </w:r>
      <w:r>
        <w:rPr>
          <w:spacing w:val="3"/>
        </w:rPr>
        <w:t>业所得税优惠政策的通知</w:t>
      </w:r>
      <w:r>
        <w:rPr>
          <w:spacing w:val="-87"/>
        </w:rPr>
        <w:t>》</w:t>
      </w:r>
      <w:r>
        <w:rPr>
          <w:spacing w:val="3"/>
        </w:rPr>
        <w:t>（</w:t>
      </w:r>
      <w:r>
        <w:rPr>
          <w:spacing w:val="2"/>
        </w:rPr>
        <w:t>财</w:t>
      </w:r>
      <w:r>
        <w:rPr/>
        <w:t>税</w:t>
      </w:r>
    </w:p>
    <w:p>
      <w:pPr>
        <w:pStyle w:val="BodyText"/>
        <w:spacing w:line="357" w:lineRule="auto" w:before="111"/>
        <w:ind w:left="1418" w:right="1271"/>
        <w:jc w:val="both"/>
        <w:rPr>
          <w:rFonts w:ascii="Times New Roman" w:hAnsi="Times New Roman" w:cs="Times New Roman" w:eastAsia="Times New Roman" w:hint="default"/>
        </w:rPr>
      </w:pPr>
      <w:r>
        <w:rPr>
          <w:rFonts w:ascii="Times New Roman" w:hAnsi="Times New Roman" w:cs="Times New Roman" w:eastAsia="Times New Roman" w:hint="default"/>
        </w:rPr>
        <w:t>[2011]112 </w:t>
      </w:r>
      <w:r>
        <w:rPr/>
        <w:t>号）规定，</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2020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日，对在新疆喀什、霍尔果斯两个特殊经济开发区内新办的</w:t>
      </w:r>
      <w:r>
        <w:rPr>
          <w:w w:val="99"/>
        </w:rPr>
        <w:t> </w:t>
      </w:r>
      <w:r>
        <w:rPr>
          <w:spacing w:val="-3"/>
          <w:w w:val="99"/>
        </w:rPr>
        <w:t>属于《新疆困难地区重点鼓励发展产业企业所得税优惠目录》（以下简称《目录》）范围内的企业，自取得第一笔生产</w:t>
      </w:r>
      <w:r>
        <w:rPr>
          <w:spacing w:val="-88"/>
          <w:w w:val="99"/>
        </w:rPr>
        <w:t> </w:t>
      </w:r>
      <w:r>
        <w:rPr>
          <w:spacing w:val="-88"/>
          <w:w w:val="99"/>
        </w:rPr>
      </w:r>
      <w:r>
        <w:rPr/>
        <w:t>经营收入所属纳税年度起，五年内免征企业所得税。公司之孙公司霍尔果斯游爱网络技术有限公司所得税优惠于</w:t>
      </w:r>
      <w:r>
        <w:rPr>
          <w:spacing w:val="-58"/>
        </w:rPr>
        <w:t> </w:t>
      </w:r>
      <w:r>
        <w:rPr>
          <w:rFonts w:ascii="Times New Roman" w:hAnsi="Times New Roman" w:cs="Times New Roman" w:eastAsia="Times New Roman" w:hint="default"/>
        </w:rPr>
        <w:t>2017</w:t>
      </w:r>
    </w:p>
    <w:p>
      <w:pPr>
        <w:pStyle w:val="BodyText"/>
        <w:spacing w:line="240" w:lineRule="auto" w:before="13"/>
        <w:ind w:left="1418" w:right="0"/>
        <w:jc w:val="both"/>
      </w:pP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日向霍尔果斯经济开发区国家税务局申请备案同意，自</w:t>
      </w:r>
      <w:r>
        <w:rPr>
          <w:spacing w:val="-46"/>
        </w:rPr>
        <w:t> </w:t>
      </w:r>
      <w:r>
        <w:rPr>
          <w:rFonts w:ascii="Times New Roman" w:hAnsi="Times New Roman" w:cs="Times New Roman" w:eastAsia="Times New Roman" w:hint="default"/>
        </w:rPr>
        <w:t>2017 </w:t>
      </w:r>
      <w:r>
        <w:rPr/>
        <w:t>年起五年内免征企业所得税。</w:t>
      </w:r>
    </w:p>
    <w:p>
      <w:pPr>
        <w:spacing w:line="240" w:lineRule="auto" w:before="13"/>
        <w:rPr>
          <w:rFonts w:ascii="宋体" w:hAnsi="宋体" w:cs="宋体" w:eastAsia="宋体" w:hint="default"/>
          <w:sz w:val="26"/>
          <w:szCs w:val="26"/>
        </w:rPr>
      </w:pPr>
    </w:p>
    <w:p>
      <w:pPr>
        <w:pStyle w:val="Heading2"/>
        <w:spacing w:line="240" w:lineRule="auto"/>
        <w:ind w:left="179" w:right="2502"/>
        <w:jc w:val="center"/>
        <w:rPr>
          <w:rFonts w:ascii="黑体" w:hAnsi="黑体" w:cs="黑体" w:eastAsia="黑体" w:hint="default"/>
          <w:b w:val="0"/>
          <w:bCs w:val="0"/>
        </w:rPr>
      </w:pPr>
      <w:bookmarkStart w:name="五、会计政策和会计估计变更以及前期差错更正的说明" w:id="191"/>
      <w:bookmarkEnd w:id="191"/>
      <w:r>
        <w:rPr>
          <w:b w:val="0"/>
          <w:bCs w:val="0"/>
        </w:rPr>
      </w:r>
      <w:r>
        <w:rPr>
          <w:rFonts w:ascii="黑体" w:hAnsi="黑体" w:cs="黑体" w:eastAsia="黑体" w:hint="default"/>
        </w:rPr>
        <w:t>五、会计政策和会计估计变更以及前期差错更正的说明</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right="1117"/>
        <w:jc w:val="left"/>
      </w:pPr>
      <w:r>
        <w:rPr>
          <w:rFonts w:ascii="Times New Roman" w:hAnsi="Times New Roman" w:cs="Times New Roman" w:eastAsia="Times New Roman" w:hint="default"/>
        </w:rPr>
        <w:t>1.</w:t>
      </w:r>
      <w:r>
        <w:rPr/>
        <w:t>会计政策的变更</w:t>
      </w:r>
    </w:p>
    <w:p>
      <w:pPr>
        <w:spacing w:line="240" w:lineRule="auto" w:before="8"/>
        <w:rPr>
          <w:rFonts w:ascii="宋体" w:hAnsi="宋体" w:cs="宋体" w:eastAsia="宋体" w:hint="default"/>
          <w:sz w:val="21"/>
          <w:szCs w:val="21"/>
        </w:rPr>
      </w:pPr>
    </w:p>
    <w:p>
      <w:pPr>
        <w:pStyle w:val="BodyText"/>
        <w:spacing w:line="240" w:lineRule="auto"/>
        <w:ind w:right="1117"/>
        <w:jc w:val="left"/>
      </w:pPr>
      <w:r>
        <w:rPr>
          <w:spacing w:val="-8"/>
        </w:rPr>
        <w:t>（</w:t>
      </w:r>
      <w:r>
        <w:rPr>
          <w:rFonts w:ascii="Times New Roman" w:hAnsi="Times New Roman" w:cs="Times New Roman" w:eastAsia="Times New Roman" w:hint="default"/>
          <w:spacing w:val="-8"/>
        </w:rPr>
        <w:t>1</w:t>
      </w:r>
      <w:r>
        <w:rPr>
          <w:spacing w:val="-8"/>
        </w:rPr>
        <w:t>）本公司于</w:t>
      </w:r>
      <w:r>
        <w:rPr>
          <w:spacing w:val="-44"/>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5"/>
        </w:rPr>
        <w:t>日董事会会议批准，自</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12 </w:t>
      </w:r>
      <w:r>
        <w:rPr>
          <w:spacing w:val="-5"/>
        </w:rPr>
        <w:t>日采用《企业会计准则第</w:t>
      </w:r>
      <w:r>
        <w:rPr>
          <w:spacing w:val="-45"/>
        </w:rPr>
        <w:t>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政府补助》</w:t>
      </w:r>
    </w:p>
    <w:p>
      <w:pPr>
        <w:pStyle w:val="BodyText"/>
        <w:spacing w:line="240" w:lineRule="auto" w:before="131"/>
        <w:ind w:left="1418" w:right="0"/>
        <w:jc w:val="both"/>
      </w:pP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号）相关规定，采用未来适用法处理。会计政策变更导致影响如下：</w:t>
      </w:r>
    </w:p>
    <w:p>
      <w:pPr>
        <w:spacing w:line="240" w:lineRule="auto" w:before="12"/>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856"/>
        <w:gridCol w:w="5575"/>
      </w:tblGrid>
      <w:tr>
        <w:trPr>
          <w:trHeight w:val="272" w:hRule="exact"/>
        </w:trPr>
        <w:tc>
          <w:tcPr>
            <w:tcW w:w="3856" w:type="dxa"/>
            <w:tcBorders>
              <w:top w:val="nil" w:sz="6" w:space="0" w:color="auto"/>
              <w:left w:val="nil" w:sz="6" w:space="0" w:color="auto"/>
              <w:bottom w:val="single" w:sz="4" w:space="0" w:color="000000"/>
              <w:right w:val="nil" w:sz="6" w:space="0" w:color="auto"/>
            </w:tcBorders>
          </w:tcPr>
          <w:p>
            <w:pPr>
              <w:pStyle w:val="TableParagraph"/>
              <w:spacing w:line="180" w:lineRule="exact"/>
              <w:ind w:left="874"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5575" w:type="dxa"/>
            <w:tcBorders>
              <w:top w:val="nil" w:sz="6" w:space="0" w:color="auto"/>
              <w:left w:val="nil" w:sz="6" w:space="0" w:color="auto"/>
              <w:bottom w:val="single" w:sz="4" w:space="0" w:color="000000"/>
              <w:right w:val="nil" w:sz="6" w:space="0" w:color="auto"/>
            </w:tcBorders>
          </w:tcPr>
          <w:p>
            <w:pPr>
              <w:pStyle w:val="TableParagraph"/>
              <w:spacing w:line="180" w:lineRule="exact"/>
              <w:ind w:left="1641"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768" w:hRule="exact"/>
        </w:trPr>
        <w:tc>
          <w:tcPr>
            <w:tcW w:w="3856" w:type="dxa"/>
            <w:tcBorders>
              <w:top w:val="single" w:sz="4" w:space="0" w:color="000000"/>
              <w:left w:val="nil" w:sz="6" w:space="0" w:color="auto"/>
              <w:bottom w:val="nil" w:sz="6" w:space="0" w:color="auto"/>
              <w:right w:val="nil" w:sz="6" w:space="0" w:color="auto"/>
            </w:tcBorders>
          </w:tcPr>
          <w:p>
            <w:pPr>
              <w:pStyle w:val="TableParagraph"/>
              <w:spacing w:line="340" w:lineRule="atLeast" w:before="47"/>
              <w:ind w:left="108" w:right="165"/>
              <w:jc w:val="left"/>
              <w:rPr>
                <w:rFonts w:ascii="宋体" w:hAnsi="宋体" w:cs="宋体" w:eastAsia="宋体" w:hint="default"/>
                <w:sz w:val="18"/>
                <w:szCs w:val="18"/>
              </w:rPr>
            </w:pPr>
            <w:r>
              <w:rPr>
                <w:rFonts w:ascii="宋体" w:hAnsi="宋体" w:cs="宋体" w:eastAsia="宋体" w:hint="default"/>
                <w:sz w:val="18"/>
                <w:szCs w:val="18"/>
              </w:rPr>
              <w:t>将与日常活动相关的政府补助计入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科目核算</w:t>
            </w:r>
          </w:p>
        </w:tc>
        <w:tc>
          <w:tcPr>
            <w:tcW w:w="557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67" w:right="0"/>
              <w:jc w:val="left"/>
              <w:rPr>
                <w:rFonts w:ascii="宋体" w:hAnsi="宋体" w:cs="宋体" w:eastAsia="宋体" w:hint="default"/>
                <w:sz w:val="18"/>
                <w:szCs w:val="18"/>
              </w:rPr>
            </w:pPr>
            <w:r>
              <w:rPr>
                <w:rFonts w:ascii="宋体" w:hAnsi="宋体" w:cs="宋体" w:eastAsia="宋体" w:hint="default"/>
                <w:sz w:val="18"/>
                <w:szCs w:val="18"/>
              </w:rPr>
              <w:t>合并利润表：增加其他收益本期金额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8,433,333.33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51"/>
              <w:ind w:left="167" w:right="0"/>
              <w:jc w:val="left"/>
              <w:rPr>
                <w:rFonts w:ascii="宋体" w:hAnsi="宋体" w:cs="宋体" w:eastAsia="宋体" w:hint="default"/>
                <w:sz w:val="18"/>
                <w:szCs w:val="18"/>
              </w:rPr>
            </w:pPr>
            <w:r>
              <w:rPr>
                <w:rFonts w:ascii="宋体" w:hAnsi="宋体" w:cs="宋体" w:eastAsia="宋体" w:hint="default"/>
                <w:sz w:val="18"/>
                <w:szCs w:val="18"/>
              </w:rPr>
              <w:t>母公司利润表：增加其他收益本期金额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1,003,333.33 </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2</w:t>
      </w:r>
      <w:r>
        <w:rPr/>
        <w:t>）本公司自</w:t>
      </w:r>
      <w:r>
        <w:rPr>
          <w:spacing w:val="-3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29"/>
        </w:rPr>
        <w:t>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月</w:t>
      </w:r>
      <w:r>
        <w:rPr>
          <w:spacing w:val="-30"/>
        </w:rPr>
        <w:t> </w:t>
      </w:r>
      <w:r>
        <w:rPr>
          <w:rFonts w:ascii="Times New Roman" w:hAnsi="Times New Roman" w:cs="Times New Roman" w:eastAsia="Times New Roman" w:hint="default"/>
        </w:rPr>
        <w:t>28</w:t>
      </w:r>
      <w:r>
        <w:rPr>
          <w:rFonts w:ascii="Times New Roman" w:hAnsi="Times New Roman" w:cs="Times New Roman" w:eastAsia="Times New Roman" w:hint="default"/>
          <w:spacing w:val="15"/>
        </w:rPr>
        <w:t> </w:t>
      </w:r>
      <w:r>
        <w:rPr/>
        <w:t>日采用《企业会计准则第</w:t>
      </w:r>
      <w:r>
        <w:rPr>
          <w:spacing w:val="-30"/>
        </w:rPr>
        <w:t> </w:t>
      </w:r>
      <w:r>
        <w:rPr>
          <w:rFonts w:ascii="Times New Roman" w:hAnsi="Times New Roman" w:cs="Times New Roman" w:eastAsia="Times New Roman" w:hint="default"/>
        </w:rPr>
        <w:t>42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持有待售的非流动资产、处置组及终止经营》</w:t>
      </w:r>
    </w:p>
    <w:p>
      <w:pPr>
        <w:pStyle w:val="BodyText"/>
        <w:spacing w:line="240" w:lineRule="auto" w:before="130"/>
        <w:ind w:left="1400" w:right="2502"/>
        <w:jc w:val="center"/>
      </w:pP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号）相关规定，采用未来适用法处理。该项会计政策变更对本期财务报表无影响。</w:t>
      </w:r>
    </w:p>
    <w:p>
      <w:pPr>
        <w:spacing w:line="240" w:lineRule="auto" w:before="12"/>
        <w:rPr>
          <w:rFonts w:ascii="宋体" w:hAnsi="宋体" w:cs="宋体" w:eastAsia="宋体" w:hint="default"/>
          <w:sz w:val="21"/>
          <w:szCs w:val="21"/>
        </w:rPr>
      </w:pPr>
    </w:p>
    <w:p>
      <w:pPr>
        <w:pStyle w:val="BodyText"/>
        <w:spacing w:line="367" w:lineRule="auto"/>
        <w:ind w:left="1418" w:right="1264" w:firstLine="360"/>
        <w:jc w:val="left"/>
      </w:pPr>
      <w:r>
        <w:rPr>
          <w:spacing w:val="-3"/>
        </w:rPr>
        <w:t>（</w:t>
      </w:r>
      <w:r>
        <w:rPr>
          <w:rFonts w:ascii="Times New Roman" w:hAnsi="Times New Roman" w:cs="Times New Roman" w:eastAsia="Times New Roman" w:hint="default"/>
          <w:spacing w:val="-3"/>
        </w:rPr>
        <w:t>3</w:t>
      </w:r>
      <w:r>
        <w:rPr>
          <w:spacing w:val="-3"/>
        </w:rPr>
        <w:t>）本公司自</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5"/>
        </w:rPr>
        <w:t>日采用财政部《关于修订印发一般企业财务报表格式的通知》（财会〔</w:t>
      </w:r>
      <w:r>
        <w:rPr>
          <w:rFonts w:ascii="Times New Roman" w:hAnsi="Times New Roman" w:cs="Times New Roman" w:eastAsia="Times New Roman" w:hint="default"/>
          <w:spacing w:val="-5"/>
        </w:rPr>
        <w:t>2017</w:t>
      </w:r>
      <w:r>
        <w:rPr>
          <w:spacing w:val="-5"/>
        </w:rPr>
        <w:t>〕</w:t>
      </w:r>
      <w:r>
        <w:rPr>
          <w:rFonts w:ascii="Times New Roman" w:hAnsi="Times New Roman" w:cs="Times New Roman" w:eastAsia="Times New Roman" w:hint="default"/>
          <w:spacing w:val="-5"/>
        </w:rPr>
        <w:t>30</w:t>
      </w:r>
      <w:r>
        <w:rPr>
          <w:rFonts w:ascii="Times New Roman" w:hAnsi="Times New Roman" w:cs="Times New Roman" w:eastAsia="Times New Roman" w:hint="default"/>
          <w:spacing w:val="1"/>
        </w:rPr>
        <w:t> </w:t>
      </w:r>
      <w:r>
        <w:rPr/>
        <w:t>号） 相关规定。该项会计政策变更对本期财务报表无影响。</w:t>
      </w:r>
    </w:p>
    <w:p>
      <w:pPr>
        <w:spacing w:line="240" w:lineRule="auto" w:before="5"/>
        <w:rPr>
          <w:rFonts w:ascii="宋体" w:hAnsi="宋体" w:cs="宋体" w:eastAsia="宋体" w:hint="default"/>
          <w:sz w:val="14"/>
          <w:szCs w:val="14"/>
        </w:rPr>
      </w:pPr>
    </w:p>
    <w:p>
      <w:pPr>
        <w:pStyle w:val="BodyText"/>
        <w:spacing w:line="506" w:lineRule="auto"/>
        <w:ind w:right="7228"/>
        <w:jc w:val="left"/>
      </w:pPr>
      <w:r>
        <w:rPr>
          <w:rFonts w:ascii="Times New Roman" w:hAnsi="Times New Roman" w:cs="Times New Roman" w:eastAsia="Times New Roman" w:hint="default"/>
        </w:rPr>
        <w:t>2.</w:t>
      </w:r>
      <w:r>
        <w:rPr/>
        <w:t>会计估计的变更 报告期内公司无重要会计估计变更。 </w:t>
      </w:r>
      <w:r>
        <w:rPr>
          <w:rFonts w:ascii="Times New Roman" w:hAnsi="Times New Roman" w:cs="Times New Roman" w:eastAsia="Times New Roman" w:hint="default"/>
        </w:rPr>
        <w:t>3.</w:t>
      </w:r>
      <w:r>
        <w:rPr/>
        <w:t>前期会计差错更正 报告期内公司无重要会计差错更正。</w:t>
      </w:r>
    </w:p>
    <w:p>
      <w:pPr>
        <w:spacing w:line="240" w:lineRule="auto" w:before="10"/>
        <w:rPr>
          <w:rFonts w:ascii="宋体" w:hAnsi="宋体" w:cs="宋体" w:eastAsia="宋体" w:hint="default"/>
          <w:sz w:val="12"/>
          <w:szCs w:val="12"/>
        </w:rPr>
      </w:pPr>
    </w:p>
    <w:p>
      <w:pPr>
        <w:pStyle w:val="Heading2"/>
        <w:spacing w:line="240" w:lineRule="auto"/>
        <w:ind w:left="1901" w:right="1117"/>
        <w:jc w:val="left"/>
        <w:rPr>
          <w:rFonts w:ascii="黑体" w:hAnsi="黑体" w:cs="黑体" w:eastAsia="黑体" w:hint="default"/>
          <w:b w:val="0"/>
          <w:bCs w:val="0"/>
        </w:rPr>
      </w:pPr>
      <w:bookmarkStart w:name="六、合并财务报表主要项目注释" w:id="192"/>
      <w:bookmarkEnd w:id="192"/>
      <w:r>
        <w:rPr>
          <w:b w:val="0"/>
          <w:bCs w:val="0"/>
        </w:rPr>
      </w:r>
      <w:r>
        <w:rPr>
          <w:rFonts w:ascii="黑体" w:hAnsi="黑体" w:cs="黑体" w:eastAsia="黑体" w:hint="default"/>
        </w:rPr>
        <w:t>六、合并财务报表主要项目注释</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right="1117"/>
        <w:jc w:val="left"/>
      </w:pPr>
      <w:r>
        <w:rPr/>
        <w:t>说明：期初指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日，期末指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日，上期指</w:t>
      </w:r>
      <w:r>
        <w:rPr>
          <w:rFonts w:ascii="Times New Roman" w:hAnsi="Times New Roman" w:cs="Times New Roman" w:eastAsia="Times New Roman" w:hint="default"/>
        </w:rPr>
        <w:t>2016</w:t>
      </w:r>
      <w:r>
        <w:rPr/>
        <w:t>年度，本期指</w:t>
      </w:r>
      <w:r>
        <w:rPr>
          <w:rFonts w:ascii="Times New Roman" w:hAnsi="Times New Roman" w:cs="Times New Roman" w:eastAsia="Times New Roman" w:hint="default"/>
        </w:rPr>
        <w:t>2017</w:t>
      </w:r>
      <w:r>
        <w:rPr/>
        <w:t>年度。</w:t>
      </w:r>
    </w:p>
    <w:p>
      <w:pPr>
        <w:spacing w:line="240" w:lineRule="auto" w:before="5"/>
        <w:rPr>
          <w:rFonts w:ascii="宋体" w:hAnsi="宋体" w:cs="宋体" w:eastAsia="宋体" w:hint="default"/>
          <w:sz w:val="20"/>
          <w:szCs w:val="20"/>
        </w:rPr>
      </w:pPr>
    </w:p>
    <w:p>
      <w:pPr>
        <w:pStyle w:val="BodyText"/>
        <w:spacing w:line="240" w:lineRule="auto"/>
        <w:ind w:right="1117"/>
        <w:jc w:val="left"/>
      </w:pPr>
      <w:bookmarkStart w:name="1.货币资金" w:id="193"/>
      <w:bookmarkEnd w:id="193"/>
      <w:r>
        <w:rPr/>
      </w:r>
      <w:r>
        <w:rPr>
          <w:rFonts w:ascii="Times New Roman" w:hAnsi="Times New Roman" w:cs="Times New Roman" w:eastAsia="Times New Roman" w:hint="default"/>
        </w:rPr>
        <w:t>1.</w:t>
      </w:r>
      <w:r>
        <w:rPr/>
        <w:t>货币资金</w:t>
      </w:r>
    </w:p>
    <w:p>
      <w:pPr>
        <w:spacing w:line="240" w:lineRule="auto" w:before="6"/>
        <w:rPr>
          <w:rFonts w:ascii="宋体" w:hAnsi="宋体" w:cs="宋体" w:eastAsia="宋体" w:hint="default"/>
          <w:sz w:val="20"/>
          <w:szCs w:val="20"/>
        </w:rPr>
      </w:pPr>
    </w:p>
    <w:p>
      <w:pPr>
        <w:pStyle w:val="BodyText"/>
        <w:spacing w:line="240" w:lineRule="auto"/>
        <w:ind w:right="1117"/>
        <w:jc w:val="left"/>
      </w:pPr>
      <w:r>
        <w:rPr/>
        <w:pict>
          <v:group style="position:absolute;margin-left:64.559998pt;margin-top:43.931721pt;width:472.75pt;height:.5pt;mso-position-horizontal-relative:page;mso-position-vertical-relative:paragraph;z-index:-947152" coordorigin="1291,879" coordsize="9455,10">
            <v:group style="position:absolute;left:1296;top:883;width:3157;height:2" coordorigin="1296,883" coordsize="3157,2">
              <v:shape style="position:absolute;left:1296;top:883;width:3157;height:2" coordorigin="1296,883" coordsize="3157,0" path="m1296,883l4452,883e" filled="false" stroked="true" strokeweight=".48pt" strokecolor="#000000">
                <v:path arrowok="t"/>
              </v:shape>
            </v:group>
            <v:group style="position:absolute;left:4438;top:883;width:10;height:2" coordorigin="4438,883" coordsize="10,2">
              <v:shape style="position:absolute;left:4438;top:883;width:10;height:2" coordorigin="4438,883" coordsize="10,0" path="m4438,883l4448,883e" filled="false" stroked="true" strokeweight=".48pt" strokecolor="#000000">
                <v:path arrowok="t"/>
              </v:shape>
            </v:group>
            <v:group style="position:absolute;left:4448;top:883;width:3150;height:2" coordorigin="4448,883" coordsize="3150,2">
              <v:shape style="position:absolute;left:4448;top:883;width:3150;height:2" coordorigin="4448,883" coordsize="3150,0" path="m4448,883l7597,883e" filled="false" stroked="true" strokeweight=".48pt" strokecolor="#000000">
                <v:path arrowok="t"/>
              </v:shape>
            </v:group>
            <v:group style="position:absolute;left:7582;top:883;width:10;height:2" coordorigin="7582,883" coordsize="10,2">
              <v:shape style="position:absolute;left:7582;top:883;width:10;height:2" coordorigin="7582,883" coordsize="10,0" path="m7582,883l7592,883e" filled="false" stroked="true" strokeweight=".48pt" strokecolor="#000000">
                <v:path arrowok="t"/>
              </v:shape>
            </v:group>
            <v:group style="position:absolute;left:7592;top:883;width:3150;height:2" coordorigin="7592,883" coordsize="3150,2">
              <v:shape style="position:absolute;left:7592;top:883;width:3150;height:2" coordorigin="7592,883" coordsize="3150,0" path="m7592,883l10741,883e" filled="false" stroked="true" strokeweight=".48pt" strokecolor="#000000">
                <v:path arrowok="t"/>
              </v:shape>
            </v:group>
            <w10:wrap type="none"/>
          </v:group>
        </w:pict>
      </w:r>
      <w:r>
        <w:rPr/>
        <w:t>（</w:t>
      </w:r>
      <w:r>
        <w:rPr>
          <w:rFonts w:ascii="Times New Roman" w:hAnsi="Times New Roman" w:cs="Times New Roman" w:eastAsia="Times New Roman" w:hint="default"/>
        </w:rPr>
        <w:t>1</w:t>
      </w:r>
      <w:r>
        <w:rPr/>
        <w:t>）分类列示</w:t>
      </w:r>
    </w:p>
    <w:p>
      <w:pPr>
        <w:spacing w:line="240" w:lineRule="auto" w:before="9"/>
        <w:rPr>
          <w:rFonts w:ascii="宋体" w:hAnsi="宋体" w:cs="宋体" w:eastAsia="宋体" w:hint="default"/>
          <w:sz w:val="27"/>
          <w:szCs w:val="27"/>
        </w:rPr>
      </w:pPr>
    </w:p>
    <w:tbl>
      <w:tblPr>
        <w:tblW w:w="0" w:type="auto"/>
        <w:jc w:val="left"/>
        <w:tblInd w:w="2410" w:type="dxa"/>
        <w:tblLayout w:type="fixed"/>
        <w:tblCellMar>
          <w:top w:w="0" w:type="dxa"/>
          <w:left w:w="0" w:type="dxa"/>
          <w:bottom w:w="0" w:type="dxa"/>
          <w:right w:w="0" w:type="dxa"/>
        </w:tblCellMar>
        <w:tblLook w:val="01E0"/>
      </w:tblPr>
      <w:tblGrid>
        <w:gridCol w:w="1998"/>
        <w:gridCol w:w="3189"/>
        <w:gridCol w:w="2133"/>
      </w:tblGrid>
      <w:tr>
        <w:trPr>
          <w:trHeight w:val="272"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89" w:type="dxa"/>
            <w:tcBorders>
              <w:top w:val="nil" w:sz="6" w:space="0" w:color="auto"/>
              <w:left w:val="nil" w:sz="6" w:space="0" w:color="auto"/>
              <w:bottom w:val="nil" w:sz="6" w:space="0" w:color="auto"/>
              <w:right w:val="nil" w:sz="6" w:space="0" w:color="auto"/>
            </w:tcBorders>
          </w:tcPr>
          <w:p>
            <w:pPr>
              <w:pStyle w:val="TableParagraph"/>
              <w:spacing w:line="180" w:lineRule="exact"/>
              <w:ind w:left="4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133" w:type="dxa"/>
            <w:tcBorders>
              <w:top w:val="nil" w:sz="6" w:space="0" w:color="auto"/>
              <w:left w:val="nil" w:sz="6" w:space="0" w:color="auto"/>
              <w:bottom w:val="nil" w:sz="6" w:space="0" w:color="auto"/>
              <w:right w:val="nil" w:sz="6" w:space="0" w:color="auto"/>
            </w:tcBorders>
          </w:tcPr>
          <w:p>
            <w:pPr>
              <w:pStyle w:val="TableParagraph"/>
              <w:spacing w:line="180" w:lineRule="exact"/>
              <w:ind w:left="121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2997"/>
        <w:gridCol w:w="3267"/>
        <w:gridCol w:w="3167"/>
      </w:tblGrid>
      <w:tr>
        <w:trPr>
          <w:trHeight w:val="272" w:hRule="exact"/>
        </w:trPr>
        <w:tc>
          <w:tcPr>
            <w:tcW w:w="2997" w:type="dxa"/>
            <w:tcBorders>
              <w:top w:val="nil" w:sz="6" w:space="0" w:color="auto"/>
              <w:left w:val="nil" w:sz="6" w:space="0" w:color="auto"/>
              <w:bottom w:val="single" w:sz="4" w:space="0" w:color="000000"/>
              <w:right w:val="nil" w:sz="6" w:space="0" w:color="auto"/>
            </w:tcBorders>
          </w:tcPr>
          <w:p>
            <w:pPr>
              <w:pStyle w:val="TableParagraph"/>
              <w:spacing w:line="180" w:lineRule="exact"/>
              <w:ind w:right="1152"/>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67" w:type="dxa"/>
            <w:tcBorders>
              <w:top w:val="nil" w:sz="6" w:space="0" w:color="auto"/>
              <w:left w:val="nil" w:sz="6" w:space="0" w:color="auto"/>
              <w:bottom w:val="single" w:sz="4" w:space="0" w:color="000000"/>
              <w:right w:val="nil" w:sz="6" w:space="0" w:color="auto"/>
            </w:tcBorders>
          </w:tcPr>
          <w:p>
            <w:pPr>
              <w:pStyle w:val="TableParagraph"/>
              <w:spacing w:line="180" w:lineRule="exact"/>
              <w:ind w:left="167"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67" w:type="dxa"/>
            <w:tcBorders>
              <w:top w:val="nil" w:sz="6" w:space="0" w:color="auto"/>
              <w:left w:val="nil" w:sz="6" w:space="0" w:color="auto"/>
              <w:bottom w:val="single" w:sz="4" w:space="0" w:color="000000"/>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299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26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962"/>
              <w:jc w:val="right"/>
              <w:rPr>
                <w:rFonts w:ascii="Times New Roman" w:hAnsi="Times New Roman" w:cs="Times New Roman" w:eastAsia="Times New Roman" w:hint="default"/>
                <w:sz w:val="18"/>
                <w:szCs w:val="18"/>
              </w:rPr>
            </w:pPr>
            <w:r>
              <w:rPr>
                <w:rFonts w:ascii="Times New Roman"/>
                <w:sz w:val="18"/>
              </w:rPr>
              <w:t>181,221.52</w:t>
            </w:r>
          </w:p>
        </w:tc>
        <w:tc>
          <w:tcPr>
            <w:tcW w:w="316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940"/>
              <w:jc w:val="right"/>
              <w:rPr>
                <w:rFonts w:ascii="Times New Roman" w:hAnsi="Times New Roman" w:cs="Times New Roman" w:eastAsia="Times New Roman" w:hint="default"/>
                <w:sz w:val="18"/>
                <w:szCs w:val="18"/>
              </w:rPr>
            </w:pPr>
            <w:r>
              <w:rPr>
                <w:rFonts w:ascii="Times New Roman"/>
                <w:spacing w:val="-1"/>
                <w:sz w:val="18"/>
              </w:rPr>
              <w:t>169,937.86</w:t>
            </w:r>
          </w:p>
        </w:tc>
      </w:tr>
      <w:tr>
        <w:trPr>
          <w:trHeight w:val="440" w:hRule="exact"/>
        </w:trPr>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5"/>
              <w:jc w:val="right"/>
              <w:rPr>
                <w:rFonts w:ascii="Times New Roman" w:hAnsi="Times New Roman" w:cs="Times New Roman" w:eastAsia="Times New Roman" w:hint="default"/>
                <w:sz w:val="18"/>
                <w:szCs w:val="18"/>
              </w:rPr>
            </w:pPr>
            <w:r>
              <w:rPr>
                <w:rFonts w:ascii="Times New Roman"/>
                <w:spacing w:val="-1"/>
                <w:sz w:val="18"/>
              </w:rPr>
              <w:t>955,391,324.63</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41"/>
              <w:jc w:val="right"/>
              <w:rPr>
                <w:rFonts w:ascii="Times New Roman" w:hAnsi="Times New Roman" w:cs="Times New Roman" w:eastAsia="Times New Roman" w:hint="default"/>
                <w:sz w:val="18"/>
                <w:szCs w:val="18"/>
              </w:rPr>
            </w:pPr>
            <w:r>
              <w:rPr>
                <w:rFonts w:ascii="Times New Roman"/>
                <w:spacing w:val="-1"/>
                <w:sz w:val="18"/>
              </w:rPr>
              <w:t>1,483,267,479.99</w:t>
            </w:r>
          </w:p>
        </w:tc>
      </w:tr>
      <w:tr>
        <w:trPr>
          <w:trHeight w:val="440" w:hRule="exact"/>
        </w:trPr>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5"/>
              <w:jc w:val="right"/>
              <w:rPr>
                <w:rFonts w:ascii="Times New Roman" w:hAnsi="Times New Roman" w:cs="Times New Roman" w:eastAsia="Times New Roman" w:hint="default"/>
                <w:sz w:val="18"/>
                <w:szCs w:val="18"/>
              </w:rPr>
            </w:pPr>
            <w:r>
              <w:rPr>
                <w:rFonts w:ascii="Times New Roman"/>
                <w:spacing w:val="-1"/>
                <w:sz w:val="18"/>
              </w:rPr>
              <w:t>29,468,795.00</w:t>
            </w:r>
          </w:p>
        </w:tc>
        <w:tc>
          <w:tcPr>
            <w:tcW w:w="3167" w:type="dxa"/>
            <w:tcBorders>
              <w:top w:val="nil" w:sz="6" w:space="0" w:color="auto"/>
              <w:left w:val="nil" w:sz="6" w:space="0" w:color="auto"/>
              <w:bottom w:val="nil" w:sz="6" w:space="0" w:color="auto"/>
              <w:right w:val="nil" w:sz="6" w:space="0" w:color="auto"/>
            </w:tcBorders>
          </w:tcPr>
          <w:p>
            <w:pPr/>
          </w:p>
        </w:tc>
      </w:tr>
      <w:tr>
        <w:trPr>
          <w:trHeight w:val="315" w:hRule="exact"/>
        </w:trPr>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53"/>
              <w:jc w:val="right"/>
              <w:rPr>
                <w:rFonts w:ascii="宋体" w:hAnsi="宋体" w:cs="宋体" w:eastAsia="宋体" w:hint="default"/>
                <w:sz w:val="18"/>
                <w:szCs w:val="18"/>
              </w:rPr>
            </w:pPr>
            <w:r>
              <w:rPr>
                <w:rFonts w:ascii="宋体" w:hAnsi="宋体" w:cs="宋体" w:eastAsia="宋体" w:hint="default"/>
                <w:sz w:val="18"/>
                <w:szCs w:val="18"/>
              </w:rPr>
              <w:t>合  计</w:t>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985,041,341.15</w:t>
            </w:r>
            <w:r>
              <w:rPr>
                <w:rFonts w:ascii="Times New Roman"/>
                <w:spacing w:val="-1"/>
                <w:sz w:val="18"/>
              </w:rPr>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4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1,483,437,417.85</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）期末不存在抵押、质押、冻结等对使用有限制款项。</w:t>
      </w:r>
    </w:p>
    <w:p>
      <w:pPr>
        <w:spacing w:line="240" w:lineRule="auto" w:before="5"/>
        <w:rPr>
          <w:rFonts w:ascii="宋体" w:hAnsi="宋体" w:cs="宋体" w:eastAsia="宋体" w:hint="default"/>
          <w:sz w:val="20"/>
          <w:szCs w:val="20"/>
        </w:rPr>
      </w:pPr>
    </w:p>
    <w:p>
      <w:pPr>
        <w:pStyle w:val="BodyText"/>
        <w:spacing w:line="240" w:lineRule="auto"/>
        <w:ind w:right="1117"/>
        <w:jc w:val="left"/>
      </w:pPr>
      <w:r>
        <w:rPr>
          <w:spacing w:val="5"/>
        </w:rPr>
        <w:t>（</w:t>
      </w:r>
      <w:r>
        <w:rPr>
          <w:rFonts w:ascii="Times New Roman" w:hAnsi="Times New Roman" w:cs="Times New Roman" w:eastAsia="Times New Roman" w:hint="default"/>
          <w:spacing w:val="5"/>
        </w:rPr>
        <w:t>3</w:t>
      </w:r>
      <w:r>
        <w:rPr>
          <w:spacing w:val="5"/>
        </w:rPr>
        <w:t>）期末存放在境外的款项为人民币</w:t>
      </w:r>
      <w:r>
        <w:rPr>
          <w:rFonts w:ascii="Times New Roman" w:hAnsi="Times New Roman" w:cs="Times New Roman" w:eastAsia="Times New Roman" w:hint="default"/>
          <w:spacing w:val="5"/>
        </w:rPr>
        <w:t>187,389.69</w:t>
      </w:r>
      <w:r>
        <w:rPr>
          <w:spacing w:val="5"/>
        </w:rPr>
        <w:t>元；美元</w:t>
      </w:r>
      <w:r>
        <w:rPr>
          <w:rFonts w:ascii="Times New Roman" w:hAnsi="Times New Roman" w:cs="Times New Roman" w:eastAsia="Times New Roman" w:hint="default"/>
          <w:spacing w:val="5"/>
        </w:rPr>
        <w:t>1,930,787.81</w:t>
      </w:r>
      <w:r>
        <w:rPr>
          <w:spacing w:val="5"/>
        </w:rPr>
        <w:t>元，折合人民币</w:t>
      </w:r>
      <w:r>
        <w:rPr>
          <w:rFonts w:ascii="Times New Roman" w:hAnsi="Times New Roman" w:cs="Times New Roman" w:eastAsia="Times New Roman" w:hint="default"/>
          <w:spacing w:val="5"/>
        </w:rPr>
        <w:t>12,616,153.69</w:t>
      </w:r>
      <w:r>
        <w:rPr>
          <w:spacing w:val="5"/>
        </w:rPr>
        <w:t>元；港币</w:t>
      </w:r>
      <w:r>
        <w:rPr/>
      </w:r>
    </w:p>
    <w:p>
      <w:pPr>
        <w:pStyle w:val="BodyText"/>
        <w:spacing w:line="240" w:lineRule="auto" w:before="111"/>
        <w:ind w:left="1418" w:right="1117"/>
        <w:jc w:val="left"/>
      </w:pPr>
      <w:r>
        <w:rPr>
          <w:rFonts w:ascii="Times New Roman" w:hAnsi="Times New Roman" w:cs="Times New Roman" w:eastAsia="Times New Roman" w:hint="default"/>
        </w:rPr>
        <w:t>155,665.22</w:t>
      </w:r>
      <w:r>
        <w:rPr/>
        <w:t>元，折合人民币</w:t>
      </w:r>
      <w:r>
        <w:rPr>
          <w:rFonts w:ascii="Times New Roman" w:hAnsi="Times New Roman" w:cs="Times New Roman" w:eastAsia="Times New Roman" w:hint="default"/>
        </w:rPr>
        <w:t>130,122.11</w:t>
      </w:r>
      <w:r>
        <w:rPr/>
        <w:t>元。</w:t>
      </w:r>
    </w:p>
    <w:p>
      <w:pPr>
        <w:spacing w:line="240" w:lineRule="auto" w:before="13"/>
        <w:rPr>
          <w:rFonts w:ascii="宋体" w:hAnsi="宋体" w:cs="宋体" w:eastAsia="宋体" w:hint="default"/>
          <w:sz w:val="16"/>
          <w:szCs w:val="16"/>
        </w:rPr>
      </w:pPr>
    </w:p>
    <w:tbl>
      <w:tblPr>
        <w:tblW w:w="0" w:type="auto"/>
        <w:jc w:val="left"/>
        <w:tblInd w:w="1310" w:type="dxa"/>
        <w:tblLayout w:type="fixed"/>
        <w:tblCellMar>
          <w:top w:w="0" w:type="dxa"/>
          <w:left w:w="0" w:type="dxa"/>
          <w:bottom w:w="0" w:type="dxa"/>
          <w:right w:w="0" w:type="dxa"/>
        </w:tblCellMar>
        <w:tblLook w:val="01E0"/>
      </w:tblPr>
      <w:tblGrid>
        <w:gridCol w:w="6069"/>
        <w:gridCol w:w="2114"/>
        <w:gridCol w:w="1248"/>
      </w:tblGrid>
      <w:tr>
        <w:trPr>
          <w:trHeight w:val="2034" w:hRule="exact"/>
        </w:trPr>
        <w:tc>
          <w:tcPr>
            <w:tcW w:w="60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）期末无存放在境外且资金汇回受到限制的款项。</w:t>
            </w: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）期末银行定期存款余额为</w:t>
            </w:r>
            <w:r>
              <w:rPr>
                <w:rFonts w:ascii="Times New Roman" w:hAnsi="Times New Roman" w:cs="Times New Roman" w:eastAsia="Times New Roman" w:hint="default"/>
                <w:sz w:val="18"/>
                <w:szCs w:val="18"/>
              </w:rPr>
              <w:t>47,000,000.00</w:t>
            </w:r>
            <w:r>
              <w:rPr>
                <w:rFonts w:ascii="宋体" w:hAnsi="宋体" w:cs="宋体" w:eastAsia="宋体" w:hint="default"/>
                <w:sz w:val="18"/>
                <w:szCs w:val="18"/>
              </w:rPr>
              <w:t>元。</w:t>
            </w: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18"/>
                <w:szCs w:val="18"/>
              </w:rPr>
            </w:pPr>
            <w:bookmarkStart w:name="2.应收账款" w:id="194"/>
            <w:bookmarkEnd w:id="194"/>
            <w:r>
              <w:rPr/>
            </w:r>
            <w:r>
              <w:rPr>
                <w:rFonts w:ascii="Times New Roman" w:hAnsi="Times New Roman" w:cs="Times New Roman" w:eastAsia="Times New Roman" w:hint="default"/>
                <w:sz w:val="18"/>
                <w:szCs w:val="18"/>
              </w:rPr>
              <w:t>2.</w:t>
            </w:r>
            <w:r>
              <w:rPr>
                <w:rFonts w:ascii="宋体" w:hAnsi="宋体" w:cs="宋体" w:eastAsia="宋体" w:hint="default"/>
                <w:sz w:val="18"/>
                <w:szCs w:val="18"/>
              </w:rPr>
              <w:t>应收账款</w:t>
            </w: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tc>
        <w:tc>
          <w:tcPr>
            <w:tcW w:w="2114" w:type="dxa"/>
            <w:tcBorders>
              <w:top w:val="nil" w:sz="6" w:space="0" w:color="auto"/>
              <w:left w:val="nil" w:sz="6" w:space="0" w:color="auto"/>
              <w:bottom w:val="nil" w:sz="6" w:space="0" w:color="auto"/>
              <w:right w:val="nil" w:sz="6" w:space="0" w:color="auto"/>
            </w:tcBorders>
          </w:tcPr>
          <w:p>
            <w:pPr/>
          </w:p>
        </w:tc>
        <w:tc>
          <w:tcPr>
            <w:tcW w:w="1248" w:type="dxa"/>
            <w:vMerge w:val="restart"/>
            <w:tcBorders>
              <w:top w:val="nil" w:sz="6" w:space="0" w:color="auto"/>
              <w:left w:val="nil" w:sz="6" w:space="0" w:color="auto"/>
              <w:right w:val="nil" w:sz="6" w:space="0" w:color="auto"/>
            </w:tcBorders>
          </w:tcPr>
          <w:p>
            <w:pPr/>
          </w:p>
        </w:tc>
      </w:tr>
      <w:tr>
        <w:trPr>
          <w:trHeight w:val="501" w:hRule="exact"/>
        </w:trPr>
        <w:tc>
          <w:tcPr>
            <w:tcW w:w="6069"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248" w:type="dxa"/>
            <w:vMerge/>
            <w:tcBorders>
              <w:left w:val="nil" w:sz="6" w:space="0" w:color="auto"/>
              <w:right w:val="nil" w:sz="6" w:space="0" w:color="auto"/>
            </w:tcBorders>
          </w:tcPr>
          <w:p>
            <w:pPr/>
          </w:p>
        </w:tc>
      </w:tr>
      <w:tr>
        <w:trPr>
          <w:trHeight w:val="320" w:hRule="exact"/>
        </w:trPr>
        <w:tc>
          <w:tcPr>
            <w:tcW w:w="606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20"/>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9"/>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248" w:type="dxa"/>
            <w:vMerge/>
            <w:tcBorders>
              <w:left w:val="nil" w:sz="6" w:space="0" w:color="auto"/>
              <w:right w:val="nil" w:sz="6" w:space="0" w:color="auto"/>
            </w:tcBorders>
          </w:tcPr>
          <w:p>
            <w:pPr/>
          </w:p>
        </w:tc>
      </w:tr>
      <w:tr>
        <w:trPr>
          <w:trHeight w:val="205" w:hRule="exact"/>
        </w:trPr>
        <w:tc>
          <w:tcPr>
            <w:tcW w:w="6069" w:type="dxa"/>
            <w:tcBorders>
              <w:top w:val="nil" w:sz="6" w:space="0" w:color="auto"/>
              <w:left w:val="nil" w:sz="6" w:space="0" w:color="auto"/>
              <w:bottom w:val="nil" w:sz="6" w:space="0" w:color="auto"/>
              <w:right w:val="nil" w:sz="6" w:space="0" w:color="auto"/>
            </w:tcBorders>
          </w:tcPr>
          <w:p>
            <w:pPr>
              <w:pStyle w:val="TableParagraph"/>
              <w:spacing w:line="165" w:lineRule="exact"/>
              <w:ind w:left="1619" w:right="0"/>
              <w:jc w:val="left"/>
              <w:rPr>
                <w:rFonts w:ascii="宋体" w:hAnsi="宋体" w:cs="宋体" w:eastAsia="宋体" w:hint="default"/>
                <w:sz w:val="15"/>
                <w:szCs w:val="15"/>
              </w:rPr>
            </w:pPr>
            <w:r>
              <w:rPr>
                <w:rFonts w:ascii="宋体" w:hAnsi="宋体" w:cs="宋体" w:eastAsia="宋体" w:hint="default"/>
                <w:b/>
                <w:bCs/>
                <w:sz w:val="15"/>
                <w:szCs w:val="15"/>
              </w:rPr>
              <w:t>类</w:t>
            </w:r>
            <w:r>
              <w:rPr>
                <w:rFonts w:ascii="宋体" w:hAnsi="宋体" w:cs="宋体" w:eastAsia="宋体" w:hint="default"/>
                <w:b/>
                <w:bCs/>
                <w:spacing w:val="72"/>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tc>
        <w:tc>
          <w:tcPr>
            <w:tcW w:w="2114" w:type="dxa"/>
            <w:tcBorders>
              <w:top w:val="nil" w:sz="6" w:space="0" w:color="auto"/>
              <w:left w:val="nil" w:sz="6" w:space="0" w:color="auto"/>
              <w:bottom w:val="nil" w:sz="6" w:space="0" w:color="auto"/>
              <w:right w:val="nil" w:sz="6" w:space="0" w:color="auto"/>
            </w:tcBorders>
          </w:tcPr>
          <w:p>
            <w:pPr/>
          </w:p>
        </w:tc>
        <w:tc>
          <w:tcPr>
            <w:tcW w:w="1248" w:type="dxa"/>
            <w:vMerge/>
            <w:tcBorders>
              <w:left w:val="nil" w:sz="6" w:space="0" w:color="auto"/>
              <w:bottom w:val="nil" w:sz="6" w:space="0" w:color="auto"/>
              <w:right w:val="nil" w:sz="6" w:space="0" w:color="auto"/>
            </w:tcBorders>
          </w:tcPr>
          <w:p>
            <w:pPr/>
          </w:p>
        </w:tc>
      </w:tr>
      <w:tr>
        <w:trPr>
          <w:trHeight w:val="256" w:hRule="exact"/>
        </w:trPr>
        <w:tc>
          <w:tcPr>
            <w:tcW w:w="6069"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9"/>
              <w:jc w:val="right"/>
              <w:rPr>
                <w:rFonts w:ascii="宋体" w:hAnsi="宋体" w:cs="宋体" w:eastAsia="宋体" w:hint="default"/>
                <w:sz w:val="15"/>
                <w:szCs w:val="15"/>
              </w:rPr>
            </w:pPr>
            <w:r>
              <w:rPr>
                <w:rFonts w:ascii="宋体" w:hAnsi="宋体" w:cs="宋体" w:eastAsia="宋体" w:hint="default"/>
                <w:b/>
                <w:bCs/>
                <w:w w:val="95"/>
                <w:sz w:val="15"/>
                <w:szCs w:val="15"/>
              </w:rPr>
              <w:t>计提比例</w:t>
            </w:r>
            <w:r>
              <w:rPr>
                <w:rFonts w:ascii="宋体" w:hAnsi="宋体" w:cs="宋体" w:eastAsia="宋体" w:hint="default"/>
                <w:sz w:val="15"/>
                <w:szCs w:val="15"/>
              </w:rPr>
            </w:r>
          </w:p>
        </w:tc>
        <w:tc>
          <w:tcPr>
            <w:tcW w:w="1248" w:type="dxa"/>
            <w:tcBorders>
              <w:top w:val="nil" w:sz="6" w:space="0" w:color="auto"/>
              <w:left w:val="nil" w:sz="6" w:space="0" w:color="auto"/>
              <w:bottom w:val="nil" w:sz="6" w:space="0" w:color="auto"/>
              <w:right w:val="nil" w:sz="6" w:space="0" w:color="auto"/>
            </w:tcBorders>
          </w:tcPr>
          <w:p>
            <w:pPr>
              <w:pStyle w:val="TableParagraph"/>
              <w:spacing w:line="190" w:lineRule="exact"/>
              <w:ind w:left="326" w:right="0"/>
              <w:jc w:val="left"/>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r>
      <w:tr>
        <w:trPr>
          <w:trHeight w:val="445" w:hRule="exact"/>
        </w:trPr>
        <w:tc>
          <w:tcPr>
            <w:tcW w:w="6069" w:type="dxa"/>
            <w:tcBorders>
              <w:top w:val="nil" w:sz="6" w:space="0" w:color="auto"/>
              <w:left w:val="nil" w:sz="6" w:space="0" w:color="auto"/>
              <w:bottom w:val="single" w:sz="8" w:space="0" w:color="000000"/>
              <w:right w:val="nil" w:sz="6" w:space="0" w:color="auto"/>
            </w:tcBorders>
          </w:tcPr>
          <w:p>
            <w:pPr>
              <w:pStyle w:val="TableParagraph"/>
              <w:tabs>
                <w:tab w:pos="929" w:val="left" w:leader="none"/>
              </w:tabs>
              <w:spacing w:line="176" w:lineRule="exact"/>
              <w:ind w:right="185"/>
              <w:jc w:val="right"/>
              <w:rPr>
                <w:rFonts w:ascii="宋体" w:hAnsi="宋体" w:cs="宋体" w:eastAsia="宋体" w:hint="default"/>
                <w:sz w:val="15"/>
                <w:szCs w:val="15"/>
              </w:rPr>
            </w:pPr>
            <w:r>
              <w:rPr>
                <w:rFonts w:ascii="宋体" w:hAnsi="宋体" w:cs="宋体" w:eastAsia="宋体" w:hint="default"/>
                <w:b/>
                <w:bCs/>
                <w:w w:val="95"/>
                <w:sz w:val="15"/>
                <w:szCs w:val="15"/>
              </w:rPr>
              <w:t>金额</w:t>
              <w:tab/>
              <w:t>比例（</w:t>
            </w:r>
            <w:r>
              <w:rPr>
                <w:rFonts w:ascii="Times New Roman" w:hAnsi="Times New Roman" w:cs="Times New Roman" w:eastAsia="Times New Roman" w:hint="default"/>
                <w:b/>
                <w:bCs/>
                <w:w w:val="95"/>
                <w:sz w:val="15"/>
                <w:szCs w:val="15"/>
              </w:rPr>
              <w:t>%</w:t>
            </w:r>
            <w:r>
              <w:rPr>
                <w:rFonts w:ascii="宋体" w:hAnsi="宋体" w:cs="宋体" w:eastAsia="宋体" w:hint="default"/>
                <w:b/>
                <w:bCs/>
                <w:w w:val="95"/>
                <w:sz w:val="15"/>
                <w:szCs w:val="15"/>
              </w:rPr>
              <w:t>）</w:t>
            </w:r>
            <w:r>
              <w:rPr>
                <w:rFonts w:ascii="宋体" w:hAnsi="宋体" w:cs="宋体" w:eastAsia="宋体" w:hint="default"/>
                <w:sz w:val="15"/>
                <w:szCs w:val="15"/>
              </w:rPr>
            </w:r>
          </w:p>
        </w:tc>
        <w:tc>
          <w:tcPr>
            <w:tcW w:w="2114" w:type="dxa"/>
            <w:tcBorders>
              <w:top w:val="nil" w:sz="6" w:space="0" w:color="auto"/>
              <w:left w:val="nil" w:sz="6" w:space="0" w:color="auto"/>
              <w:bottom w:val="single" w:sz="8" w:space="0" w:color="000000"/>
              <w:right w:val="nil" w:sz="6" w:space="0" w:color="auto"/>
            </w:tcBorders>
          </w:tcPr>
          <w:p>
            <w:pPr>
              <w:pStyle w:val="TableParagraph"/>
              <w:spacing w:line="157" w:lineRule="exact"/>
              <w:ind w:left="365"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pStyle w:val="TableParagraph"/>
              <w:spacing w:line="199" w:lineRule="exact"/>
              <w:ind w:left="1385"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248" w:type="dxa"/>
            <w:tcBorders>
              <w:top w:val="nil" w:sz="6" w:space="0" w:color="auto"/>
              <w:left w:val="nil" w:sz="6" w:space="0" w:color="auto"/>
              <w:bottom w:val="single" w:sz="8" w:space="0" w:color="000000"/>
              <w:right w:val="nil" w:sz="6" w:space="0" w:color="auto"/>
            </w:tcBorders>
          </w:tcPr>
          <w:p>
            <w:pPr/>
          </w:p>
        </w:tc>
      </w:tr>
      <w:tr>
        <w:trPr>
          <w:trHeight w:val="509" w:hRule="exact"/>
        </w:trPr>
        <w:tc>
          <w:tcPr>
            <w:tcW w:w="6069" w:type="dxa"/>
            <w:tcBorders>
              <w:top w:val="single" w:sz="8" w:space="0" w:color="000000"/>
              <w:left w:val="nil" w:sz="6" w:space="0" w:color="auto"/>
              <w:bottom w:val="nil" w:sz="6" w:space="0" w:color="auto"/>
              <w:right w:val="nil" w:sz="6" w:space="0" w:color="auto"/>
            </w:tcBorders>
          </w:tcPr>
          <w:p>
            <w:pPr>
              <w:pStyle w:val="TableParagraph"/>
              <w:tabs>
                <w:tab w:pos="4120" w:val="left" w:leader="none"/>
                <w:tab w:pos="5637" w:val="right" w:leader="none"/>
              </w:tabs>
              <w:spacing w:line="240" w:lineRule="auto" w:before="153"/>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单项金额重大并单独计提坏账准备的应收账款</w:t>
              <w:tab/>
            </w:r>
            <w:r>
              <w:rPr>
                <w:rFonts w:ascii="Times New Roman" w:hAnsi="Times New Roman" w:cs="Times New Roman" w:eastAsia="Times New Roman" w:hint="default"/>
                <w:sz w:val="15"/>
                <w:szCs w:val="15"/>
              </w:rPr>
              <w:t>3,748,118.40</w:t>
              <w:tab/>
              <w:t>1.30</w:t>
            </w:r>
          </w:p>
        </w:tc>
        <w:tc>
          <w:tcPr>
            <w:tcW w:w="2114"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1442" w:val="left" w:leader="none"/>
              </w:tabs>
              <w:spacing w:line="240" w:lineRule="auto"/>
              <w:ind w:left="210" w:right="0"/>
              <w:jc w:val="left"/>
              <w:rPr>
                <w:rFonts w:ascii="Times New Roman" w:hAnsi="Times New Roman" w:cs="Times New Roman" w:eastAsia="Times New Roman" w:hint="default"/>
                <w:sz w:val="15"/>
                <w:szCs w:val="15"/>
              </w:rPr>
            </w:pPr>
            <w:r>
              <w:rPr>
                <w:rFonts w:ascii="Times New Roman"/>
                <w:spacing w:val="-1"/>
                <w:sz w:val="15"/>
              </w:rPr>
              <w:t>1,711,526.94</w:t>
              <w:tab/>
              <w:t>45.66</w:t>
            </w:r>
          </w:p>
        </w:tc>
        <w:tc>
          <w:tcPr>
            <w:tcW w:w="1248"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2,036,591.46</w:t>
            </w:r>
          </w:p>
        </w:tc>
      </w:tr>
      <w:tr>
        <w:trPr>
          <w:trHeight w:val="436" w:hRule="exact"/>
        </w:trPr>
        <w:tc>
          <w:tcPr>
            <w:tcW w:w="606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2114"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r>
      <w:tr>
        <w:trPr>
          <w:trHeight w:val="444" w:hRule="exact"/>
        </w:trPr>
        <w:tc>
          <w:tcPr>
            <w:tcW w:w="6069" w:type="dxa"/>
            <w:tcBorders>
              <w:top w:val="nil" w:sz="6" w:space="0" w:color="auto"/>
              <w:left w:val="nil" w:sz="6" w:space="0" w:color="auto"/>
              <w:bottom w:val="nil" w:sz="6" w:space="0" w:color="auto"/>
              <w:right w:val="nil" w:sz="6" w:space="0" w:color="auto"/>
            </w:tcBorders>
          </w:tcPr>
          <w:p>
            <w:pPr>
              <w:pStyle w:val="TableParagraph"/>
              <w:tabs>
                <w:tab w:pos="4039" w:val="left" w:leader="none"/>
                <w:tab w:pos="5674" w:val="right" w:leader="none"/>
              </w:tabs>
              <w:spacing w:line="240" w:lineRule="auto" w:before="98"/>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tab/>
              <w:t>97,801,179.43</w:t>
              <w:tab/>
              <w:t>34.03</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tabs>
                <w:tab w:pos="1479" w:val="left" w:leader="none"/>
              </w:tabs>
              <w:spacing w:line="240" w:lineRule="auto"/>
              <w:ind w:left="205" w:right="0"/>
              <w:jc w:val="left"/>
              <w:rPr>
                <w:rFonts w:ascii="Times New Roman" w:hAnsi="Times New Roman" w:cs="Times New Roman" w:eastAsia="Times New Roman" w:hint="default"/>
                <w:sz w:val="15"/>
                <w:szCs w:val="15"/>
              </w:rPr>
            </w:pPr>
            <w:r>
              <w:rPr>
                <w:rFonts w:ascii="Times New Roman"/>
                <w:spacing w:val="-1"/>
                <w:sz w:val="15"/>
              </w:rPr>
              <w:t>1,702,871.23</w:t>
              <w:tab/>
            </w:r>
            <w:r>
              <w:rPr>
                <w:rFonts w:ascii="Times New Roman"/>
                <w:sz w:val="15"/>
              </w:rPr>
              <w:t>1.74</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96,098,308.20</w:t>
            </w:r>
          </w:p>
        </w:tc>
      </w:tr>
      <w:tr>
        <w:trPr>
          <w:trHeight w:val="440" w:hRule="exact"/>
        </w:trPr>
        <w:tc>
          <w:tcPr>
            <w:tcW w:w="6069" w:type="dxa"/>
            <w:tcBorders>
              <w:top w:val="nil" w:sz="6" w:space="0" w:color="auto"/>
              <w:left w:val="nil" w:sz="6" w:space="0" w:color="auto"/>
              <w:bottom w:val="nil" w:sz="6" w:space="0" w:color="auto"/>
              <w:right w:val="nil" w:sz="6" w:space="0" w:color="auto"/>
            </w:tcBorders>
          </w:tcPr>
          <w:p>
            <w:pPr>
              <w:pStyle w:val="TableParagraph"/>
              <w:tabs>
                <w:tab w:pos="3965" w:val="left" w:leader="none"/>
                <w:tab w:pos="5674" w:val="right" w:leader="none"/>
              </w:tabs>
              <w:spacing w:line="240" w:lineRule="auto" w:before="95"/>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tab/>
              <w:t>185,746,164.34</w:t>
              <w:tab/>
              <w:t>64.64</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479" w:val="left" w:leader="none"/>
              </w:tabs>
              <w:spacing w:line="240" w:lineRule="auto"/>
              <w:ind w:left="205" w:right="0"/>
              <w:jc w:val="left"/>
              <w:rPr>
                <w:rFonts w:ascii="Times New Roman" w:hAnsi="Times New Roman" w:cs="Times New Roman" w:eastAsia="Times New Roman" w:hint="default"/>
                <w:sz w:val="15"/>
                <w:szCs w:val="15"/>
              </w:rPr>
            </w:pPr>
            <w:r>
              <w:rPr>
                <w:rFonts w:ascii="Times New Roman"/>
                <w:spacing w:val="-1"/>
                <w:sz w:val="15"/>
              </w:rPr>
              <w:t>9,654,714.04</w:t>
              <w:tab/>
            </w:r>
            <w:r>
              <w:rPr>
                <w:rFonts w:ascii="Times New Roman"/>
                <w:sz w:val="15"/>
              </w:rPr>
              <w:t>5.20</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176,091,450.30</w:t>
            </w:r>
          </w:p>
        </w:tc>
      </w:tr>
      <w:tr>
        <w:trPr>
          <w:trHeight w:val="440" w:hRule="exact"/>
        </w:trPr>
        <w:tc>
          <w:tcPr>
            <w:tcW w:w="6069" w:type="dxa"/>
            <w:tcBorders>
              <w:top w:val="nil" w:sz="6" w:space="0" w:color="auto"/>
              <w:left w:val="nil" w:sz="6" w:space="0" w:color="auto"/>
              <w:bottom w:val="nil" w:sz="6" w:space="0" w:color="auto"/>
              <w:right w:val="nil" w:sz="6" w:space="0" w:color="auto"/>
            </w:tcBorders>
          </w:tcPr>
          <w:p>
            <w:pPr>
              <w:pStyle w:val="TableParagraph"/>
              <w:tabs>
                <w:tab w:pos="3965" w:val="left" w:leader="none"/>
                <w:tab w:pos="5674" w:val="right" w:leader="none"/>
              </w:tabs>
              <w:spacing w:line="240" w:lineRule="auto" w:before="95"/>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组合小计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283,547,343.77</w:t>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u w:val="single" w:color="000000"/>
              </w:rPr>
              <w:t>98.67</w:t>
            </w:r>
            <w:r>
              <w:rPr>
                <w:rFonts w:ascii="Times New Roman" w:hAnsi="Times New Roman" w:cs="Times New Roman" w:eastAsia="Times New Roman" w:hint="default"/>
                <w:sz w:val="15"/>
                <w:szCs w:val="15"/>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479" w:val="left" w:leader="none"/>
              </w:tabs>
              <w:spacing w:line="240" w:lineRule="auto"/>
              <w:ind w:left="136" w:right="0"/>
              <w:jc w:val="lef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11,357,585.27</w:t>
            </w:r>
            <w:r>
              <w:rPr>
                <w:rFonts w:ascii="Times New Roman"/>
                <w:spacing w:val="-1"/>
                <w:sz w:val="15"/>
              </w:rPr>
              <w:tab/>
            </w:r>
            <w:r>
              <w:rPr>
                <w:rFonts w:ascii="Times New Roman"/>
                <w:sz w:val="15"/>
                <w:u w:val="single" w:color="000000"/>
              </w:rPr>
              <w:t>4.01</w:t>
            </w:r>
            <w:r>
              <w:rPr>
                <w:rFonts w:ascii="Times New Roman"/>
                <w:sz w:val="15"/>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272,189,758.50</w:t>
            </w:r>
            <w:r>
              <w:rPr>
                <w:rFonts w:ascii="Times New Roman"/>
                <w:spacing w:val="-1"/>
                <w:sz w:val="15"/>
              </w:rPr>
            </w:r>
          </w:p>
        </w:tc>
      </w:tr>
      <w:tr>
        <w:trPr>
          <w:trHeight w:val="440" w:hRule="exact"/>
        </w:trPr>
        <w:tc>
          <w:tcPr>
            <w:tcW w:w="6069" w:type="dxa"/>
            <w:tcBorders>
              <w:top w:val="nil" w:sz="6" w:space="0" w:color="auto"/>
              <w:left w:val="nil" w:sz="6" w:space="0" w:color="auto"/>
              <w:bottom w:val="nil" w:sz="6" w:space="0" w:color="auto"/>
              <w:right w:val="nil" w:sz="6" w:space="0" w:color="auto"/>
            </w:tcBorders>
          </w:tcPr>
          <w:p>
            <w:pPr>
              <w:pStyle w:val="TableParagraph"/>
              <w:tabs>
                <w:tab w:pos="4302" w:val="left" w:leader="none"/>
                <w:tab w:pos="5637" w:val="right" w:leader="none"/>
              </w:tabs>
              <w:spacing w:line="240" w:lineRule="auto" w:before="94"/>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单项金额不重大但单独计提坏账准备的应收账款</w:t>
              <w:tab/>
            </w:r>
            <w:r>
              <w:rPr>
                <w:rFonts w:ascii="Times New Roman" w:hAnsi="Times New Roman" w:cs="Times New Roman" w:eastAsia="Times New Roman" w:hint="default"/>
                <w:sz w:val="15"/>
                <w:szCs w:val="15"/>
              </w:rPr>
              <w:t>95,747.45</w:t>
              <w:tab/>
              <w:t>0.03</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498" w:val="left" w:leader="none"/>
              </w:tabs>
              <w:spacing w:line="240" w:lineRule="auto"/>
              <w:ind w:left="392" w:right="0"/>
              <w:jc w:val="left"/>
              <w:rPr>
                <w:rFonts w:ascii="Times New Roman" w:hAnsi="Times New Roman" w:cs="Times New Roman" w:eastAsia="Times New Roman" w:hint="default"/>
                <w:sz w:val="15"/>
                <w:szCs w:val="15"/>
              </w:rPr>
            </w:pPr>
            <w:r>
              <w:rPr>
                <w:rFonts w:ascii="Times New Roman"/>
                <w:spacing w:val="-1"/>
                <w:sz w:val="15"/>
              </w:rPr>
              <w:t>95,747.45</w:t>
              <w:tab/>
              <w:t>100</w:t>
            </w:r>
          </w:p>
        </w:tc>
        <w:tc>
          <w:tcPr>
            <w:tcW w:w="1248" w:type="dxa"/>
            <w:tcBorders>
              <w:top w:val="nil" w:sz="6" w:space="0" w:color="auto"/>
              <w:left w:val="nil" w:sz="6" w:space="0" w:color="auto"/>
              <w:bottom w:val="nil" w:sz="6" w:space="0" w:color="auto"/>
              <w:right w:val="nil" w:sz="6" w:space="0" w:color="auto"/>
            </w:tcBorders>
          </w:tcPr>
          <w:p>
            <w:pPr/>
          </w:p>
        </w:tc>
      </w:tr>
      <w:tr>
        <w:trPr>
          <w:trHeight w:val="548" w:hRule="exact"/>
        </w:trPr>
        <w:tc>
          <w:tcPr>
            <w:tcW w:w="6069" w:type="dxa"/>
            <w:tcBorders>
              <w:top w:val="nil" w:sz="6" w:space="0" w:color="auto"/>
              <w:left w:val="nil" w:sz="6" w:space="0" w:color="auto"/>
              <w:bottom w:val="nil" w:sz="6" w:space="0" w:color="auto"/>
              <w:right w:val="nil" w:sz="6" w:space="0" w:color="auto"/>
            </w:tcBorders>
          </w:tcPr>
          <w:p>
            <w:pPr>
              <w:pStyle w:val="TableParagraph"/>
              <w:tabs>
                <w:tab w:pos="3965" w:val="left" w:leader="none"/>
                <w:tab w:pos="5618" w:val="right" w:leader="none"/>
              </w:tabs>
              <w:spacing w:line="240" w:lineRule="auto" w:before="95"/>
              <w:ind w:left="162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thick" w:color="000000"/>
              </w:rPr>
              <w:t>287,391,209.62</w:t>
            </w:r>
            <w:r>
              <w:rPr>
                <w:rFonts w:ascii="Times New Roman" w:hAnsi="Times New Roman" w:cs="Times New Roman" w:eastAsia="Times New Roman" w:hint="default"/>
                <w:sz w:val="15"/>
                <w:szCs w:val="15"/>
              </w:rPr>
              <w:tab/>
            </w:r>
            <w:r>
              <w:rPr>
                <w:rFonts w:ascii="Times New Roman" w:hAnsi="Times New Roman" w:cs="Times New Roman" w:eastAsia="Times New Roman" w:hint="default"/>
                <w:sz w:val="15"/>
                <w:szCs w:val="15"/>
                <w:u w:val="thick" w:color="000000"/>
              </w:rPr>
              <w:t>100</w:t>
            </w:r>
            <w:r>
              <w:rPr>
                <w:rFonts w:ascii="Times New Roman" w:hAnsi="Times New Roman" w:cs="Times New Roman" w:eastAsia="Times New Roman" w:hint="default"/>
                <w:sz w:val="15"/>
                <w:szCs w:val="15"/>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13,164,859.66</w:t>
            </w:r>
            <w:r>
              <w:rPr>
                <w:rFonts w:ascii="Times New Roman"/>
                <w:sz w:val="15"/>
              </w:rPr>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274,226,349.96</w:t>
            </w:r>
            <w:r>
              <w:rPr>
                <w:rFonts w:ascii="Times New Roman"/>
                <w:spacing w:val="-1"/>
                <w:sz w:val="15"/>
              </w:rPr>
            </w:r>
          </w:p>
        </w:tc>
      </w:tr>
      <w:tr>
        <w:trPr>
          <w:trHeight w:val="629" w:hRule="exact"/>
        </w:trPr>
        <w:tc>
          <w:tcPr>
            <w:tcW w:w="60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接下表：</w:t>
            </w:r>
          </w:p>
        </w:tc>
        <w:tc>
          <w:tcPr>
            <w:tcW w:w="2114"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r>
      <w:tr>
        <w:trPr>
          <w:trHeight w:val="505" w:hRule="exact"/>
        </w:trPr>
        <w:tc>
          <w:tcPr>
            <w:tcW w:w="6069"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7"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248" w:type="dxa"/>
            <w:tcBorders>
              <w:top w:val="nil" w:sz="6" w:space="0" w:color="auto"/>
              <w:left w:val="nil" w:sz="6" w:space="0" w:color="auto"/>
              <w:bottom w:val="nil" w:sz="6" w:space="0" w:color="auto"/>
              <w:right w:val="nil" w:sz="6" w:space="0" w:color="auto"/>
            </w:tcBorders>
          </w:tcPr>
          <w:p>
            <w:pPr/>
          </w:p>
        </w:tc>
      </w:tr>
      <w:tr>
        <w:trPr>
          <w:trHeight w:val="320" w:hRule="exact"/>
        </w:trPr>
        <w:tc>
          <w:tcPr>
            <w:tcW w:w="606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97"/>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689"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248" w:type="dxa"/>
            <w:tcBorders>
              <w:top w:val="nil" w:sz="6" w:space="0" w:color="auto"/>
              <w:left w:val="nil" w:sz="6" w:space="0" w:color="auto"/>
              <w:bottom w:val="nil" w:sz="6" w:space="0" w:color="auto"/>
              <w:right w:val="nil" w:sz="6" w:space="0" w:color="auto"/>
            </w:tcBorders>
          </w:tcPr>
          <w:p>
            <w:pPr/>
          </w:p>
        </w:tc>
      </w:tr>
      <w:tr>
        <w:trPr>
          <w:trHeight w:val="205" w:hRule="exact"/>
        </w:trPr>
        <w:tc>
          <w:tcPr>
            <w:tcW w:w="6069" w:type="dxa"/>
            <w:tcBorders>
              <w:top w:val="nil" w:sz="6" w:space="0" w:color="auto"/>
              <w:left w:val="nil" w:sz="6" w:space="0" w:color="auto"/>
              <w:bottom w:val="nil" w:sz="6" w:space="0" w:color="auto"/>
              <w:right w:val="nil" w:sz="6" w:space="0" w:color="auto"/>
            </w:tcBorders>
          </w:tcPr>
          <w:p>
            <w:pPr>
              <w:pStyle w:val="TableParagraph"/>
              <w:spacing w:line="165" w:lineRule="exact"/>
              <w:ind w:left="1656" w:right="0"/>
              <w:jc w:val="left"/>
              <w:rPr>
                <w:rFonts w:ascii="宋体" w:hAnsi="宋体" w:cs="宋体" w:eastAsia="宋体" w:hint="default"/>
                <w:sz w:val="15"/>
                <w:szCs w:val="15"/>
              </w:rPr>
            </w:pPr>
            <w:r>
              <w:rPr>
                <w:rFonts w:ascii="宋体" w:hAnsi="宋体" w:cs="宋体" w:eastAsia="宋体" w:hint="default"/>
                <w:b/>
                <w:bCs/>
                <w:sz w:val="15"/>
                <w:szCs w:val="15"/>
              </w:rPr>
              <w:t>类</w:t>
            </w:r>
            <w:r>
              <w:rPr>
                <w:rFonts w:ascii="宋体" w:hAnsi="宋体" w:cs="宋体" w:eastAsia="宋体" w:hint="default"/>
                <w:b/>
                <w:bCs/>
                <w:spacing w:val="72"/>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tc>
        <w:tc>
          <w:tcPr>
            <w:tcW w:w="2114"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r>
      <w:tr>
        <w:trPr>
          <w:trHeight w:val="256" w:hRule="exact"/>
        </w:trPr>
        <w:tc>
          <w:tcPr>
            <w:tcW w:w="6069"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1"/>
              <w:jc w:val="right"/>
              <w:rPr>
                <w:rFonts w:ascii="宋体" w:hAnsi="宋体" w:cs="宋体" w:eastAsia="宋体" w:hint="default"/>
                <w:sz w:val="15"/>
                <w:szCs w:val="15"/>
              </w:rPr>
            </w:pPr>
            <w:r>
              <w:rPr>
                <w:rFonts w:ascii="宋体" w:hAnsi="宋体" w:cs="宋体" w:eastAsia="宋体" w:hint="default"/>
                <w:b/>
                <w:bCs/>
                <w:w w:val="95"/>
                <w:sz w:val="15"/>
                <w:szCs w:val="15"/>
              </w:rPr>
              <w:t>计提比例</w:t>
            </w:r>
            <w:r>
              <w:rPr>
                <w:rFonts w:ascii="宋体" w:hAnsi="宋体" w:cs="宋体" w:eastAsia="宋体" w:hint="default"/>
                <w:sz w:val="15"/>
                <w:szCs w:val="15"/>
              </w:rPr>
            </w:r>
          </w:p>
        </w:tc>
        <w:tc>
          <w:tcPr>
            <w:tcW w:w="1248" w:type="dxa"/>
            <w:tcBorders>
              <w:top w:val="nil" w:sz="6" w:space="0" w:color="auto"/>
              <w:left w:val="nil" w:sz="6" w:space="0" w:color="auto"/>
              <w:bottom w:val="nil" w:sz="6" w:space="0" w:color="auto"/>
              <w:right w:val="nil" w:sz="6" w:space="0" w:color="auto"/>
            </w:tcBorders>
          </w:tcPr>
          <w:p>
            <w:pPr>
              <w:pStyle w:val="TableParagraph"/>
              <w:spacing w:line="190" w:lineRule="exact"/>
              <w:ind w:left="304" w:right="0"/>
              <w:jc w:val="left"/>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r>
      <w:tr>
        <w:trPr>
          <w:trHeight w:val="445" w:hRule="exact"/>
        </w:trPr>
        <w:tc>
          <w:tcPr>
            <w:tcW w:w="6069" w:type="dxa"/>
            <w:tcBorders>
              <w:top w:val="nil" w:sz="6" w:space="0" w:color="auto"/>
              <w:left w:val="nil" w:sz="6" w:space="0" w:color="auto"/>
              <w:bottom w:val="single" w:sz="8" w:space="0" w:color="000000"/>
              <w:right w:val="nil" w:sz="6" w:space="0" w:color="auto"/>
            </w:tcBorders>
          </w:tcPr>
          <w:p>
            <w:pPr>
              <w:pStyle w:val="TableParagraph"/>
              <w:tabs>
                <w:tab w:pos="933" w:val="left" w:leader="none"/>
              </w:tabs>
              <w:spacing w:line="176" w:lineRule="exact"/>
              <w:ind w:right="128"/>
              <w:jc w:val="right"/>
              <w:rPr>
                <w:rFonts w:ascii="宋体" w:hAnsi="宋体" w:cs="宋体" w:eastAsia="宋体" w:hint="default"/>
                <w:sz w:val="15"/>
                <w:szCs w:val="15"/>
              </w:rPr>
            </w:pPr>
            <w:r>
              <w:rPr>
                <w:rFonts w:ascii="宋体" w:hAnsi="宋体" w:cs="宋体" w:eastAsia="宋体" w:hint="default"/>
                <w:b/>
                <w:bCs/>
                <w:w w:val="95"/>
                <w:sz w:val="15"/>
                <w:szCs w:val="15"/>
              </w:rPr>
              <w:t>金额</w:t>
              <w:tab/>
            </w:r>
            <w:r>
              <w:rPr>
                <w:rFonts w:ascii="宋体" w:hAnsi="宋体" w:cs="宋体" w:eastAsia="宋体" w:hint="default"/>
                <w:b/>
                <w:bCs/>
                <w:spacing w:val="-8"/>
                <w:sz w:val="15"/>
                <w:szCs w:val="15"/>
              </w:rPr>
              <w:t>比例（</w:t>
            </w:r>
            <w:r>
              <w:rPr>
                <w:rFonts w:ascii="Times New Roman" w:hAnsi="Times New Roman" w:cs="Times New Roman" w:eastAsia="Times New Roman" w:hint="default"/>
                <w:b/>
                <w:bCs/>
                <w:spacing w:val="-8"/>
                <w:sz w:val="15"/>
                <w:szCs w:val="15"/>
              </w:rPr>
              <w:t>%</w:t>
            </w:r>
            <w:r>
              <w:rPr>
                <w:rFonts w:ascii="宋体" w:hAnsi="宋体" w:cs="宋体" w:eastAsia="宋体" w:hint="default"/>
                <w:b/>
                <w:bCs/>
                <w:spacing w:val="-8"/>
                <w:sz w:val="15"/>
                <w:szCs w:val="15"/>
              </w:rPr>
              <w:t>）</w:t>
            </w:r>
            <w:r>
              <w:rPr>
                <w:rFonts w:ascii="宋体" w:hAnsi="宋体" w:cs="宋体" w:eastAsia="宋体" w:hint="default"/>
                <w:spacing w:val="-8"/>
                <w:sz w:val="15"/>
                <w:szCs w:val="15"/>
              </w:rPr>
            </w:r>
          </w:p>
        </w:tc>
        <w:tc>
          <w:tcPr>
            <w:tcW w:w="2114" w:type="dxa"/>
            <w:tcBorders>
              <w:top w:val="nil" w:sz="6" w:space="0" w:color="auto"/>
              <w:left w:val="nil" w:sz="6" w:space="0" w:color="auto"/>
              <w:bottom w:val="single" w:sz="8" w:space="0" w:color="000000"/>
              <w:right w:val="nil" w:sz="6" w:space="0" w:color="auto"/>
            </w:tcBorders>
          </w:tcPr>
          <w:p>
            <w:pPr>
              <w:pStyle w:val="TableParagraph"/>
              <w:spacing w:line="157" w:lineRule="exact"/>
              <w:ind w:left="330"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pStyle w:val="TableParagraph"/>
              <w:spacing w:line="199" w:lineRule="exact"/>
              <w:ind w:left="1343"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248" w:type="dxa"/>
            <w:tcBorders>
              <w:top w:val="nil" w:sz="6" w:space="0" w:color="auto"/>
              <w:left w:val="nil" w:sz="6" w:space="0" w:color="auto"/>
              <w:bottom w:val="single" w:sz="8" w:space="0" w:color="000000"/>
              <w:right w:val="nil" w:sz="6" w:space="0" w:color="auto"/>
            </w:tcBorders>
          </w:tcPr>
          <w:p>
            <w:pPr/>
          </w:p>
        </w:tc>
      </w:tr>
      <w:tr>
        <w:trPr>
          <w:trHeight w:val="468" w:hRule="exact"/>
        </w:trPr>
        <w:tc>
          <w:tcPr>
            <w:tcW w:w="6069" w:type="dxa"/>
            <w:tcBorders>
              <w:top w:val="single" w:sz="8" w:space="0" w:color="000000"/>
              <w:left w:val="nil" w:sz="6" w:space="0" w:color="auto"/>
              <w:bottom w:val="nil" w:sz="6" w:space="0" w:color="auto"/>
              <w:right w:val="nil" w:sz="6" w:space="0" w:color="auto"/>
            </w:tcBorders>
          </w:tcPr>
          <w:p>
            <w:pPr>
              <w:pStyle w:val="TableParagraph"/>
              <w:tabs>
                <w:tab w:pos="4218" w:val="left" w:leader="none"/>
                <w:tab w:pos="5674" w:val="right" w:leader="none"/>
              </w:tabs>
              <w:spacing w:line="240" w:lineRule="auto" w:before="153"/>
              <w:ind w:left="10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单项金额重大并单独计提坏账准备的应收账款</w:t>
              <w:tab/>
            </w:r>
            <w:r>
              <w:rPr>
                <w:rFonts w:ascii="Times New Roman" w:hAnsi="Times New Roman" w:cs="Times New Roman" w:eastAsia="Times New Roman" w:hint="default"/>
                <w:sz w:val="15"/>
                <w:szCs w:val="15"/>
              </w:rPr>
              <w:t>3,758,823.00</w:t>
              <w:tab/>
              <w:t>1.64</w:t>
            </w:r>
          </w:p>
        </w:tc>
        <w:tc>
          <w:tcPr>
            <w:tcW w:w="2114"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1400" w:val="left" w:leader="none"/>
              </w:tabs>
              <w:spacing w:line="240" w:lineRule="auto"/>
              <w:ind w:left="163" w:right="0"/>
              <w:jc w:val="left"/>
              <w:rPr>
                <w:rFonts w:ascii="Times New Roman" w:hAnsi="Times New Roman" w:cs="Times New Roman" w:eastAsia="Times New Roman" w:hint="default"/>
                <w:sz w:val="15"/>
                <w:szCs w:val="15"/>
              </w:rPr>
            </w:pPr>
            <w:r>
              <w:rPr>
                <w:rFonts w:ascii="Times New Roman"/>
                <w:spacing w:val="-1"/>
                <w:sz w:val="15"/>
              </w:rPr>
              <w:t>1,302,044.27</w:t>
              <w:tab/>
              <w:t>34.64</w:t>
            </w:r>
          </w:p>
        </w:tc>
        <w:tc>
          <w:tcPr>
            <w:tcW w:w="1248"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2,456,778.73</w:t>
            </w:r>
          </w:p>
        </w:tc>
      </w:tr>
    </w:tbl>
    <w:p>
      <w:pPr>
        <w:spacing w:after="0" w:line="240" w:lineRule="auto"/>
        <w:jc w:val="right"/>
        <w:rPr>
          <w:rFonts w:ascii="Times New Roman" w:hAnsi="Times New Roman" w:cs="Times New Roman" w:eastAsia="Times New Roman" w:hint="default"/>
          <w:sz w:val="15"/>
          <w:szCs w:val="15"/>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218" w:type="dxa"/>
        <w:tblLayout w:type="fixed"/>
        <w:tblCellMar>
          <w:top w:w="0" w:type="dxa"/>
          <w:left w:w="0" w:type="dxa"/>
          <w:bottom w:w="0" w:type="dxa"/>
          <w:right w:w="0" w:type="dxa"/>
        </w:tblCellMar>
        <w:tblLook w:val="01E0"/>
      </w:tblPr>
      <w:tblGrid>
        <w:gridCol w:w="3755"/>
        <w:gridCol w:w="1527"/>
        <w:gridCol w:w="744"/>
        <w:gridCol w:w="1329"/>
        <w:gridCol w:w="814"/>
        <w:gridCol w:w="1446"/>
      </w:tblGrid>
      <w:tr>
        <w:trPr>
          <w:trHeight w:val="295"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150" w:lineRule="exact"/>
              <w:ind w:left="200"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1527"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nil" w:sz="6" w:space="0" w:color="auto"/>
              <w:right w:val="nil" w:sz="6" w:space="0" w:color="auto"/>
            </w:tcBorders>
          </w:tcPr>
          <w:p>
            <w:pPr/>
          </w:p>
        </w:tc>
        <w:tc>
          <w:tcPr>
            <w:tcW w:w="1329"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r>
      <w:tr>
        <w:trPr>
          <w:trHeight w:val="444"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pacing w:val="-1"/>
                <w:sz w:val="15"/>
              </w:rPr>
              <w:t>63,283,124.38</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sz w:val="15"/>
              </w:rPr>
              <w:t>27.49</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41"/>
              <w:jc w:val="right"/>
              <w:rPr>
                <w:rFonts w:ascii="Times New Roman" w:hAnsi="Times New Roman" w:cs="Times New Roman" w:eastAsia="Times New Roman" w:hint="default"/>
                <w:sz w:val="15"/>
                <w:szCs w:val="15"/>
              </w:rPr>
            </w:pPr>
            <w:r>
              <w:rPr>
                <w:rFonts w:ascii="Times New Roman"/>
                <w:spacing w:val="-1"/>
                <w:sz w:val="15"/>
              </w:rPr>
              <w:t>1,071,656.00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t>1.69</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62,211,468.38</w:t>
            </w:r>
          </w:p>
        </w:tc>
      </w:tr>
      <w:tr>
        <w:trPr>
          <w:trHeight w:val="440"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pacing w:val="-1"/>
                <w:sz w:val="15"/>
              </w:rPr>
              <w:t>162,996,444.58</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sz w:val="15"/>
              </w:rPr>
              <w:t>70.83</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41"/>
              <w:jc w:val="right"/>
              <w:rPr>
                <w:rFonts w:ascii="Times New Roman" w:hAnsi="Times New Roman" w:cs="Times New Roman" w:eastAsia="Times New Roman" w:hint="default"/>
                <w:sz w:val="15"/>
                <w:szCs w:val="15"/>
              </w:rPr>
            </w:pPr>
            <w:r>
              <w:rPr>
                <w:rFonts w:ascii="Times New Roman"/>
                <w:spacing w:val="-1"/>
                <w:sz w:val="15"/>
              </w:rPr>
              <w:t>8,283,487.60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t>5.08</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pacing w:val="-1"/>
                <w:sz w:val="15"/>
              </w:rPr>
              <w:t>154,712,956.98</w:t>
            </w:r>
          </w:p>
        </w:tc>
      </w:tr>
      <w:tr>
        <w:trPr>
          <w:trHeight w:val="441"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226,279,568.96</w:t>
            </w:r>
            <w:r>
              <w:rPr>
                <w:rFonts w:ascii="Times New Roman"/>
                <w:spacing w:val="-1"/>
                <w:sz w:val="15"/>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84"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98.32</w:t>
            </w:r>
            <w:r>
              <w:rPr>
                <w:rFonts w:ascii="Times New Roman"/>
                <w:sz w:val="15"/>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4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9,355,143.60</w:t>
            </w:r>
            <w:r>
              <w:rPr>
                <w:rFonts w:ascii="Times New Roman"/>
                <w:spacing w:val="-1"/>
                <w:sz w:val="15"/>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4.13</w:t>
            </w:r>
            <w:r>
              <w:rPr>
                <w:rFonts w:ascii="Times New Roman"/>
                <w:sz w:val="15"/>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216,924,425.36</w:t>
            </w:r>
            <w:r>
              <w:rPr>
                <w:rFonts w:ascii="Times New Roman"/>
                <w:spacing w:val="-1"/>
                <w:sz w:val="15"/>
              </w:rPr>
            </w:r>
          </w:p>
        </w:tc>
      </w:tr>
      <w:tr>
        <w:trPr>
          <w:trHeight w:val="440"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单项金额不重大但单独计提坏账准备的应收账款</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pacing w:val="-1"/>
                <w:sz w:val="15"/>
              </w:rPr>
              <w:t>98,413.44</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21" w:right="0"/>
              <w:jc w:val="left"/>
              <w:rPr>
                <w:rFonts w:ascii="Times New Roman" w:hAnsi="Times New Roman" w:cs="Times New Roman" w:eastAsia="Times New Roman" w:hint="default"/>
                <w:sz w:val="15"/>
                <w:szCs w:val="15"/>
              </w:rPr>
            </w:pPr>
            <w:r>
              <w:rPr>
                <w:rFonts w:ascii="Times New Roman"/>
                <w:sz w:val="15"/>
              </w:rPr>
              <w:t>0.04</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41"/>
              <w:jc w:val="right"/>
              <w:rPr>
                <w:rFonts w:ascii="Times New Roman" w:hAnsi="Times New Roman" w:cs="Times New Roman" w:eastAsia="Times New Roman" w:hint="default"/>
                <w:sz w:val="15"/>
                <w:szCs w:val="15"/>
              </w:rPr>
            </w:pPr>
            <w:r>
              <w:rPr>
                <w:rFonts w:ascii="Times New Roman"/>
                <w:spacing w:val="-1"/>
                <w:sz w:val="15"/>
              </w:rPr>
              <w:t>98,413.44</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62" w:right="0"/>
              <w:jc w:val="left"/>
              <w:rPr>
                <w:rFonts w:ascii="Times New Roman" w:hAnsi="Times New Roman" w:cs="Times New Roman" w:eastAsia="Times New Roman" w:hint="default"/>
                <w:sz w:val="15"/>
                <w:szCs w:val="15"/>
              </w:rPr>
            </w:pPr>
            <w:r>
              <w:rPr>
                <w:rFonts w:ascii="Times New Roman"/>
                <w:sz w:val="15"/>
              </w:rPr>
              <w:t>100</w:t>
            </w:r>
          </w:p>
        </w:tc>
        <w:tc>
          <w:tcPr>
            <w:tcW w:w="1446" w:type="dxa"/>
            <w:tcBorders>
              <w:top w:val="nil" w:sz="6" w:space="0" w:color="auto"/>
              <w:left w:val="nil" w:sz="6" w:space="0" w:color="auto"/>
              <w:bottom w:val="nil" w:sz="6" w:space="0" w:color="auto"/>
              <w:right w:val="nil" w:sz="6" w:space="0" w:color="auto"/>
            </w:tcBorders>
          </w:tcPr>
          <w:p>
            <w:pPr/>
          </w:p>
        </w:tc>
      </w:tr>
      <w:tr>
        <w:trPr>
          <w:trHeight w:val="299" w:hRule="exact"/>
        </w:trPr>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2"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230,136,805.40</w:t>
            </w:r>
            <w:r>
              <w:rPr>
                <w:rFonts w:ascii="Times New Roman"/>
                <w:spacing w:val="-1"/>
                <w:sz w:val="15"/>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4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4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10,755,601.31</w:t>
            </w:r>
            <w:r>
              <w:rPr>
                <w:rFonts w:ascii="Times New Roman"/>
                <w:spacing w:val="-1"/>
                <w:sz w:val="15"/>
              </w:rPr>
            </w:r>
          </w:p>
        </w:tc>
        <w:tc>
          <w:tcPr>
            <w:tcW w:w="814"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219,381,204.09</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2</w:t>
      </w:r>
      <w:r>
        <w:rPr/>
        <w:t>）单项金额重大并单项计提坏账准备的应收账款</w:t>
      </w:r>
    </w:p>
    <w:p>
      <w:pPr>
        <w:spacing w:line="240" w:lineRule="auto" w:before="8"/>
        <w:rPr>
          <w:rFonts w:ascii="宋体" w:hAnsi="宋体" w:cs="宋体" w:eastAsia="宋体" w:hint="default"/>
          <w:sz w:val="29"/>
          <w:szCs w:val="29"/>
        </w:rPr>
      </w:pPr>
    </w:p>
    <w:tbl>
      <w:tblPr>
        <w:tblW w:w="0" w:type="auto"/>
        <w:jc w:val="left"/>
        <w:tblInd w:w="1310" w:type="dxa"/>
        <w:tblLayout w:type="fixed"/>
        <w:tblCellMar>
          <w:top w:w="0" w:type="dxa"/>
          <w:left w:w="0" w:type="dxa"/>
          <w:bottom w:w="0" w:type="dxa"/>
          <w:right w:w="0" w:type="dxa"/>
        </w:tblCellMar>
        <w:tblLook w:val="01E0"/>
      </w:tblPr>
      <w:tblGrid>
        <w:gridCol w:w="2660"/>
        <w:gridCol w:w="1544"/>
        <w:gridCol w:w="1756"/>
        <w:gridCol w:w="1534"/>
        <w:gridCol w:w="1936"/>
      </w:tblGrid>
      <w:tr>
        <w:trPr>
          <w:trHeight w:val="247" w:hRule="exact"/>
        </w:trPr>
        <w:tc>
          <w:tcPr>
            <w:tcW w:w="2660" w:type="dxa"/>
            <w:tcBorders>
              <w:top w:val="nil" w:sz="6" w:space="0" w:color="auto"/>
              <w:left w:val="nil" w:sz="6" w:space="0" w:color="auto"/>
              <w:bottom w:val="single" w:sz="4" w:space="0" w:color="000000"/>
              <w:right w:val="nil" w:sz="6" w:space="0" w:color="auto"/>
            </w:tcBorders>
          </w:tcPr>
          <w:p>
            <w:pPr>
              <w:pStyle w:val="TableParagraph"/>
              <w:spacing w:line="150" w:lineRule="exact"/>
              <w:ind w:left="38" w:right="0"/>
              <w:jc w:val="center"/>
              <w:rPr>
                <w:rFonts w:ascii="宋体" w:hAnsi="宋体" w:cs="宋体" w:eastAsia="宋体" w:hint="default"/>
                <w:sz w:val="15"/>
                <w:szCs w:val="15"/>
              </w:rPr>
            </w:pPr>
            <w:r>
              <w:rPr>
                <w:rFonts w:ascii="宋体" w:hAnsi="宋体" w:cs="宋体" w:eastAsia="宋体" w:hint="default"/>
                <w:b/>
                <w:bCs/>
                <w:sz w:val="15"/>
                <w:szCs w:val="15"/>
              </w:rPr>
              <w:t>单位名称</w:t>
            </w:r>
            <w:r>
              <w:rPr>
                <w:rFonts w:ascii="宋体" w:hAnsi="宋体" w:cs="宋体" w:eastAsia="宋体" w:hint="default"/>
                <w:sz w:val="15"/>
                <w:szCs w:val="15"/>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150" w:lineRule="exact"/>
              <w:ind w:left="141"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756" w:type="dxa"/>
            <w:tcBorders>
              <w:top w:val="nil" w:sz="6" w:space="0" w:color="auto"/>
              <w:left w:val="nil" w:sz="6" w:space="0" w:color="auto"/>
              <w:bottom w:val="single" w:sz="4" w:space="0" w:color="000000"/>
              <w:right w:val="nil" w:sz="6" w:space="0" w:color="auto"/>
            </w:tcBorders>
          </w:tcPr>
          <w:p>
            <w:pPr>
              <w:pStyle w:val="TableParagraph"/>
              <w:spacing w:line="150" w:lineRule="exact"/>
              <w:ind w:left="67" w:right="0"/>
              <w:jc w:val="center"/>
              <w:rPr>
                <w:rFonts w:ascii="宋体" w:hAnsi="宋体" w:cs="宋体" w:eastAsia="宋体" w:hint="default"/>
                <w:sz w:val="15"/>
                <w:szCs w:val="15"/>
              </w:rPr>
            </w:pPr>
            <w:r>
              <w:rPr>
                <w:rFonts w:ascii="宋体" w:hAnsi="宋体" w:cs="宋体" w:eastAsia="宋体" w:hint="default"/>
                <w:b/>
                <w:bCs/>
                <w:sz w:val="15"/>
                <w:szCs w:val="15"/>
              </w:rPr>
              <w:t>坏账准备期末余额</w:t>
            </w:r>
            <w:r>
              <w:rPr>
                <w:rFonts w:ascii="宋体" w:hAnsi="宋体" w:cs="宋体" w:eastAsia="宋体" w:hint="default"/>
                <w:sz w:val="15"/>
                <w:szCs w:val="15"/>
              </w:rPr>
            </w:r>
          </w:p>
        </w:tc>
        <w:tc>
          <w:tcPr>
            <w:tcW w:w="1534" w:type="dxa"/>
            <w:tcBorders>
              <w:top w:val="nil" w:sz="6" w:space="0" w:color="auto"/>
              <w:left w:val="nil" w:sz="6" w:space="0" w:color="auto"/>
              <w:bottom w:val="single" w:sz="4" w:space="0" w:color="000000"/>
              <w:right w:val="nil" w:sz="6" w:space="0" w:color="auto"/>
            </w:tcBorders>
          </w:tcPr>
          <w:p>
            <w:pPr>
              <w:pStyle w:val="TableParagraph"/>
              <w:spacing w:line="161" w:lineRule="exact"/>
              <w:ind w:left="2" w:right="0"/>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936" w:type="dxa"/>
            <w:tcBorders>
              <w:top w:val="nil" w:sz="6" w:space="0" w:color="auto"/>
              <w:left w:val="nil" w:sz="6" w:space="0" w:color="auto"/>
              <w:bottom w:val="single" w:sz="4" w:space="0" w:color="000000"/>
              <w:right w:val="nil" w:sz="6" w:space="0" w:color="auto"/>
            </w:tcBorders>
          </w:tcPr>
          <w:p>
            <w:pPr>
              <w:pStyle w:val="TableParagraph"/>
              <w:spacing w:line="150" w:lineRule="exact"/>
              <w:ind w:left="42" w:right="0"/>
              <w:jc w:val="center"/>
              <w:rPr>
                <w:rFonts w:ascii="宋体" w:hAnsi="宋体" w:cs="宋体" w:eastAsia="宋体" w:hint="default"/>
                <w:sz w:val="15"/>
                <w:szCs w:val="15"/>
              </w:rPr>
            </w:pPr>
            <w:r>
              <w:rPr>
                <w:rFonts w:ascii="宋体" w:hAnsi="宋体" w:cs="宋体" w:eastAsia="宋体" w:hint="default"/>
                <w:b/>
                <w:bCs/>
                <w:sz w:val="15"/>
                <w:szCs w:val="15"/>
              </w:rPr>
              <w:t>计提理由</w:t>
            </w:r>
            <w:r>
              <w:rPr>
                <w:rFonts w:ascii="宋体" w:hAnsi="宋体" w:cs="宋体" w:eastAsia="宋体" w:hint="default"/>
                <w:sz w:val="15"/>
                <w:szCs w:val="15"/>
              </w:rPr>
            </w:r>
          </w:p>
        </w:tc>
      </w:tr>
      <w:tr>
        <w:trPr>
          <w:trHeight w:val="503" w:hRule="exact"/>
        </w:trPr>
        <w:tc>
          <w:tcPr>
            <w:tcW w:w="266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深圳时代首游互动科技有限公司</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2" w:right="0"/>
              <w:jc w:val="center"/>
              <w:rPr>
                <w:rFonts w:ascii="Times New Roman" w:hAnsi="Times New Roman" w:cs="Times New Roman" w:eastAsia="Times New Roman" w:hint="default"/>
                <w:sz w:val="15"/>
                <w:szCs w:val="15"/>
              </w:rPr>
            </w:pPr>
            <w:r>
              <w:rPr>
                <w:rFonts w:ascii="Times New Roman"/>
                <w:sz w:val="15"/>
              </w:rPr>
              <w:t>3,748,118.40</w:t>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5"/>
                <w:szCs w:val="15"/>
              </w:rPr>
            </w:pPr>
            <w:r>
              <w:rPr>
                <w:rFonts w:ascii="Times New Roman"/>
                <w:sz w:val="15"/>
              </w:rPr>
              <w:t>1,711,526.94</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45.66</w:t>
            </w: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2" w:right="0"/>
              <w:jc w:val="center"/>
              <w:rPr>
                <w:rFonts w:ascii="宋体" w:hAnsi="宋体" w:cs="宋体" w:eastAsia="宋体" w:hint="default"/>
                <w:sz w:val="15"/>
                <w:szCs w:val="15"/>
              </w:rPr>
            </w:pPr>
            <w:r>
              <w:rPr>
                <w:rFonts w:ascii="宋体" w:hAnsi="宋体" w:cs="宋体" w:eastAsia="宋体" w:hint="default"/>
                <w:sz w:val="15"/>
                <w:szCs w:val="15"/>
              </w:rPr>
              <w:t>到结算期经催款未收回</w:t>
            </w:r>
          </w:p>
        </w:tc>
      </w:tr>
      <w:tr>
        <w:trPr>
          <w:trHeight w:val="299"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2"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3,748,118.40</w:t>
            </w:r>
            <w:r>
              <w:rPr>
                <w:rFonts w:ascii="Times New Roman"/>
                <w:sz w:val="15"/>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67"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1,711,526.94</w:t>
            </w:r>
            <w:r>
              <w:rPr>
                <w:rFonts w:ascii="Times New Roman"/>
                <w:sz w:val="15"/>
              </w:rPr>
            </w:r>
          </w:p>
        </w:tc>
        <w:tc>
          <w:tcPr>
            <w:tcW w:w="1534"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3</w:t>
      </w:r>
      <w:r>
        <w:rPr/>
        <w:t>）组合</w:t>
      </w:r>
      <w:r>
        <w:rPr>
          <w:rFonts w:ascii="Times New Roman" w:hAnsi="Times New Roman" w:cs="Times New Roman" w:eastAsia="Times New Roman" w:hint="default"/>
        </w:rPr>
        <w:t>1</w:t>
      </w:r>
      <w:r>
        <w:rPr/>
        <w:t>中，按账龄分析法计提坏账准备的应收账款</w:t>
      </w:r>
    </w:p>
    <w:p>
      <w:pPr>
        <w:spacing w:line="240" w:lineRule="auto" w:before="13"/>
        <w:rPr>
          <w:rFonts w:ascii="宋体" w:hAnsi="宋体" w:cs="宋体" w:eastAsia="宋体" w:hint="default"/>
          <w:sz w:val="21"/>
          <w:szCs w:val="21"/>
        </w:rPr>
      </w:pPr>
    </w:p>
    <w:p>
      <w:pPr>
        <w:tabs>
          <w:tab w:pos="8413" w:val="left" w:leader="none"/>
        </w:tabs>
        <w:spacing w:before="53"/>
        <w:ind w:left="4493" w:right="1117" w:firstLine="0"/>
        <w:jc w:val="left"/>
        <w:rPr>
          <w:rFonts w:ascii="宋体" w:hAnsi="宋体" w:cs="宋体" w:eastAsia="宋体" w:hint="default"/>
          <w:sz w:val="15"/>
          <w:szCs w:val="15"/>
        </w:rPr>
      </w:pPr>
      <w:r>
        <w:rPr>
          <w:rFonts w:ascii="宋体" w:hAnsi="宋体" w:cs="宋体" w:eastAsia="宋体" w:hint="default"/>
          <w:b/>
          <w:bCs/>
          <w:w w:val="95"/>
          <w:sz w:val="15"/>
          <w:szCs w:val="15"/>
        </w:rPr>
        <w:t>期末余额</w:t>
        <w:tab/>
      </w:r>
      <w:r>
        <w:rPr>
          <w:rFonts w:ascii="宋体" w:hAnsi="宋体" w:cs="宋体" w:eastAsia="宋体" w:hint="default"/>
          <w:b/>
          <w:bCs/>
          <w:sz w:val="15"/>
          <w:szCs w:val="15"/>
        </w:rPr>
        <w:t>期初余额</w:t>
      </w:r>
      <w:r>
        <w:rPr>
          <w:rFonts w:ascii="宋体" w:hAnsi="宋体" w:cs="宋体" w:eastAsia="宋体" w:hint="default"/>
          <w:sz w:val="15"/>
          <w:szCs w:val="15"/>
        </w:rPr>
      </w:r>
    </w:p>
    <w:p>
      <w:pPr>
        <w:spacing w:line="240" w:lineRule="auto" w:before="6"/>
        <w:rPr>
          <w:rFonts w:ascii="宋体" w:hAnsi="宋体" w:cs="宋体" w:eastAsia="宋体" w:hint="default"/>
          <w:b/>
          <w:bCs/>
          <w:sz w:val="11"/>
          <w:szCs w:val="11"/>
        </w:rPr>
      </w:pPr>
    </w:p>
    <w:tbl>
      <w:tblPr>
        <w:tblW w:w="0" w:type="auto"/>
        <w:jc w:val="left"/>
        <w:tblInd w:w="1310" w:type="dxa"/>
        <w:tblLayout w:type="fixed"/>
        <w:tblCellMar>
          <w:top w:w="0" w:type="dxa"/>
          <w:left w:w="0" w:type="dxa"/>
          <w:bottom w:w="0" w:type="dxa"/>
          <w:right w:w="0" w:type="dxa"/>
        </w:tblCellMar>
        <w:tblLook w:val="01E0"/>
      </w:tblPr>
      <w:tblGrid>
        <w:gridCol w:w="1605"/>
        <w:gridCol w:w="1167"/>
        <w:gridCol w:w="728"/>
        <w:gridCol w:w="1055"/>
        <w:gridCol w:w="918"/>
        <w:gridCol w:w="1200"/>
        <w:gridCol w:w="811"/>
        <w:gridCol w:w="1144"/>
        <w:gridCol w:w="803"/>
      </w:tblGrid>
      <w:tr>
        <w:trPr>
          <w:trHeight w:val="746" w:hRule="exact"/>
        </w:trPr>
        <w:tc>
          <w:tcPr>
            <w:tcW w:w="160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2"/>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16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28"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94"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918"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09"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39"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811"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204"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4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803"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07" w:right="0" w:firstLine="67"/>
              <w:jc w:val="left"/>
              <w:rPr>
                <w:rFonts w:ascii="宋体" w:hAnsi="宋体" w:cs="宋体" w:eastAsia="宋体" w:hint="default"/>
                <w:sz w:val="15"/>
                <w:szCs w:val="15"/>
              </w:rPr>
            </w:pPr>
            <w:r>
              <w:rPr>
                <w:rFonts w:ascii="宋体" w:hAnsi="宋体" w:cs="宋体" w:eastAsia="宋体" w:hint="default"/>
                <w:b/>
                <w:bCs/>
                <w:sz w:val="15"/>
                <w:szCs w:val="15"/>
              </w:rPr>
              <w:t>计提比</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b/>
                <w:bCs/>
                <w:sz w:val="15"/>
                <w:szCs w:val="15"/>
              </w:rPr>
              <w:t>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504" w:hRule="exact"/>
        </w:trPr>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16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92,147,407.73</w:t>
            </w:r>
          </w:p>
        </w:tc>
        <w:tc>
          <w:tcPr>
            <w:tcW w:w="72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76" w:right="0"/>
              <w:jc w:val="left"/>
              <w:rPr>
                <w:rFonts w:ascii="Times New Roman" w:hAnsi="Times New Roman" w:cs="Times New Roman" w:eastAsia="Times New Roman" w:hint="default"/>
                <w:sz w:val="15"/>
                <w:szCs w:val="15"/>
              </w:rPr>
            </w:pPr>
            <w:r>
              <w:rPr>
                <w:rFonts w:ascii="Times New Roman"/>
                <w:sz w:val="15"/>
              </w:rPr>
              <w:t>94.22</w:t>
            </w:r>
          </w:p>
        </w:tc>
        <w:tc>
          <w:tcPr>
            <w:tcW w:w="105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921,474.06</w:t>
            </w:r>
          </w:p>
        </w:tc>
        <w:tc>
          <w:tcPr>
            <w:tcW w:w="91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79" w:right="0"/>
              <w:jc w:val="left"/>
              <w:rPr>
                <w:rFonts w:ascii="Times New Roman" w:hAnsi="Times New Roman" w:cs="Times New Roman" w:eastAsia="Times New Roman" w:hint="default"/>
                <w:sz w:val="15"/>
                <w:szCs w:val="15"/>
              </w:rPr>
            </w:pPr>
            <w:r>
              <w:rPr>
                <w:rFonts w:ascii="Times New Roman"/>
                <w:sz w:val="15"/>
              </w:rPr>
              <w:t>1.00</w:t>
            </w: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07" w:right="0"/>
              <w:jc w:val="left"/>
              <w:rPr>
                <w:rFonts w:ascii="Times New Roman" w:hAnsi="Times New Roman" w:cs="Times New Roman" w:eastAsia="Times New Roman" w:hint="default"/>
                <w:sz w:val="15"/>
                <w:szCs w:val="15"/>
              </w:rPr>
            </w:pPr>
            <w:r>
              <w:rPr>
                <w:rFonts w:ascii="Times New Roman"/>
                <w:sz w:val="15"/>
              </w:rPr>
              <w:t>61,047,432.60</w:t>
            </w:r>
          </w:p>
        </w:tc>
        <w:tc>
          <w:tcPr>
            <w:tcW w:w="81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86" w:right="0"/>
              <w:jc w:val="left"/>
              <w:rPr>
                <w:rFonts w:ascii="Times New Roman" w:hAnsi="Times New Roman" w:cs="Times New Roman" w:eastAsia="Times New Roman" w:hint="default"/>
                <w:sz w:val="15"/>
                <w:szCs w:val="15"/>
              </w:rPr>
            </w:pPr>
            <w:r>
              <w:rPr>
                <w:rFonts w:ascii="Times New Roman"/>
                <w:sz w:val="15"/>
              </w:rPr>
              <w:t>96.47</w:t>
            </w:r>
          </w:p>
        </w:tc>
        <w:tc>
          <w:tcPr>
            <w:tcW w:w="114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610,474.32</w:t>
            </w:r>
          </w:p>
        </w:tc>
        <w:tc>
          <w:tcPr>
            <w:tcW w:w="80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r>
      <w:tr>
        <w:trPr>
          <w:trHeight w:val="440"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4,686,196.45</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14" w:right="0"/>
              <w:jc w:val="left"/>
              <w:rPr>
                <w:rFonts w:ascii="Times New Roman" w:hAnsi="Times New Roman" w:cs="Times New Roman" w:eastAsia="Times New Roman" w:hint="default"/>
                <w:sz w:val="15"/>
                <w:szCs w:val="15"/>
              </w:rPr>
            </w:pPr>
            <w:r>
              <w:rPr>
                <w:rFonts w:ascii="Times New Roman"/>
                <w:sz w:val="15"/>
              </w:rPr>
              <w:t>4.79</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234,309.84</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79" w:right="0"/>
              <w:jc w:val="left"/>
              <w:rPr>
                <w:rFonts w:ascii="Times New Roman" w:hAnsi="Times New Roman" w:cs="Times New Roman" w:eastAsia="Times New Roman" w:hint="default"/>
                <w:sz w:val="15"/>
                <w:szCs w:val="15"/>
              </w:rPr>
            </w:pPr>
            <w:r>
              <w:rPr>
                <w:rFonts w:ascii="Times New Roman"/>
                <w:sz w:val="15"/>
              </w:rPr>
              <w:t>5.00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1,654,026.68</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2.61</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82,701.33</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5.00</w:t>
            </w:r>
          </w:p>
        </w:tc>
      </w:tr>
      <w:tr>
        <w:trPr>
          <w:trHeight w:val="440"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600,697.03</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14" w:right="0"/>
              <w:jc w:val="left"/>
              <w:rPr>
                <w:rFonts w:ascii="Times New Roman" w:hAnsi="Times New Roman" w:cs="Times New Roman" w:eastAsia="Times New Roman" w:hint="default"/>
                <w:sz w:val="15"/>
                <w:szCs w:val="15"/>
              </w:rPr>
            </w:pPr>
            <w:r>
              <w:rPr>
                <w:rFonts w:ascii="Times New Roman"/>
                <w:sz w:val="15"/>
              </w:rPr>
              <w:t>0.61</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180,209.11</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Times New Roman"/>
                <w:sz w:val="15"/>
              </w:rPr>
              <w:t>30.00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290,263.93</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0.46</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87,079.18</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30.00</w:t>
            </w:r>
          </w:p>
        </w:tc>
      </w:tr>
      <w:tr>
        <w:trPr>
          <w:trHeight w:val="440"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366,878.22</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14" w:right="0"/>
              <w:jc w:val="left"/>
              <w:rPr>
                <w:rFonts w:ascii="Times New Roman" w:hAnsi="Times New Roman" w:cs="Times New Roman" w:eastAsia="Times New Roman" w:hint="default"/>
                <w:sz w:val="15"/>
                <w:szCs w:val="15"/>
              </w:rPr>
            </w:pPr>
            <w:r>
              <w:rPr>
                <w:rFonts w:ascii="Times New Roman"/>
                <w:sz w:val="15"/>
              </w:rPr>
              <w:t>0.38</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366,878.22</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03" w:right="0"/>
              <w:jc w:val="left"/>
              <w:rPr>
                <w:rFonts w:ascii="Times New Roman" w:hAnsi="Times New Roman" w:cs="Times New Roman" w:eastAsia="Times New Roman" w:hint="default"/>
                <w:sz w:val="15"/>
                <w:szCs w:val="15"/>
              </w:rPr>
            </w:pPr>
            <w:r>
              <w:rPr>
                <w:rFonts w:ascii="Times New Roman"/>
                <w:sz w:val="15"/>
              </w:rPr>
              <w:t>100.00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291,401.17</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0.46</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291,401.17</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100.00</w:t>
            </w:r>
          </w:p>
        </w:tc>
      </w:tr>
      <w:tr>
        <w:trPr>
          <w:trHeight w:val="399"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97,801,179.43</w:t>
            </w:r>
            <w:r>
              <w:rPr>
                <w:rFonts w:ascii="Times New Roman"/>
                <w:spacing w:val="-1"/>
                <w:sz w:val="15"/>
              </w:rPr>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3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1,702,871.23</w:t>
            </w:r>
            <w:r>
              <w:rPr>
                <w:rFonts w:ascii="Times New Roman"/>
                <w:spacing w:val="-1"/>
                <w:sz w:val="15"/>
              </w:rPr>
            </w:r>
          </w:p>
        </w:tc>
        <w:tc>
          <w:tcPr>
            <w:tcW w:w="91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07"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63,283,124.38</w:t>
            </w:r>
            <w:r>
              <w:rPr>
                <w:rFonts w:ascii="Times New Roman"/>
                <w:sz w:val="15"/>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42"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1,071,656.00</w:t>
            </w:r>
          </w:p>
        </w:tc>
        <w:tc>
          <w:tcPr>
            <w:tcW w:w="803"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b/>
          <w:bCs/>
          <w:sz w:val="22"/>
          <w:szCs w:val="22"/>
        </w:rPr>
      </w:pPr>
    </w:p>
    <w:p>
      <w:pPr>
        <w:pStyle w:val="BodyText"/>
        <w:spacing w:line="240" w:lineRule="auto" w:before="44"/>
        <w:ind w:right="1117"/>
        <w:jc w:val="left"/>
      </w:pPr>
      <w:r>
        <w:rPr/>
        <w:t>（</w:t>
      </w:r>
      <w:r>
        <w:rPr>
          <w:rFonts w:ascii="Times New Roman" w:hAnsi="Times New Roman" w:cs="Times New Roman" w:eastAsia="Times New Roman" w:hint="default"/>
        </w:rPr>
        <w:t>4</w:t>
      </w:r>
      <w:r>
        <w:rPr/>
        <w:t>）组合</w:t>
      </w:r>
      <w:r>
        <w:rPr>
          <w:rFonts w:ascii="Times New Roman" w:hAnsi="Times New Roman" w:cs="Times New Roman" w:eastAsia="Times New Roman" w:hint="default"/>
        </w:rPr>
        <w:t>2</w:t>
      </w:r>
      <w:r>
        <w:rPr/>
        <w:t>中，按账龄分析法计提坏账准备的应收账款</w:t>
      </w:r>
    </w:p>
    <w:p>
      <w:pPr>
        <w:spacing w:line="240" w:lineRule="auto" w:before="13"/>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1617"/>
        <w:gridCol w:w="1259"/>
        <w:gridCol w:w="1814"/>
        <w:gridCol w:w="882"/>
        <w:gridCol w:w="1219"/>
        <w:gridCol w:w="1796"/>
        <w:gridCol w:w="843"/>
      </w:tblGrid>
      <w:tr>
        <w:trPr>
          <w:trHeight w:val="705"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2"/>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259"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3"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2"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40"/>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219"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2"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r>
      <w:tr>
        <w:trPr>
          <w:trHeight w:val="442" w:hRule="exact"/>
        </w:trPr>
        <w:tc>
          <w:tcPr>
            <w:tcW w:w="1617" w:type="dxa"/>
            <w:tcBorders>
              <w:top w:val="nil" w:sz="6" w:space="0" w:color="auto"/>
              <w:left w:val="nil" w:sz="6" w:space="0" w:color="auto"/>
              <w:bottom w:val="single" w:sz="4" w:space="0" w:color="000000"/>
              <w:right w:val="nil" w:sz="6" w:space="0" w:color="auto"/>
            </w:tcBorders>
          </w:tcPr>
          <w:p>
            <w:pPr/>
          </w:p>
        </w:tc>
        <w:tc>
          <w:tcPr>
            <w:tcW w:w="1259" w:type="dxa"/>
            <w:tcBorders>
              <w:top w:val="nil" w:sz="6" w:space="0" w:color="auto"/>
              <w:left w:val="nil" w:sz="6" w:space="0" w:color="auto"/>
              <w:bottom w:val="single" w:sz="4" w:space="0" w:color="000000"/>
              <w:right w:val="nil" w:sz="6" w:space="0" w:color="auto"/>
            </w:tcBorders>
          </w:tcPr>
          <w:p>
            <w:pPr>
              <w:pStyle w:val="TableParagraph"/>
              <w:spacing w:line="165" w:lineRule="exact"/>
              <w:ind w:left="320"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814" w:type="dxa"/>
            <w:tcBorders>
              <w:top w:val="nil" w:sz="6" w:space="0" w:color="auto"/>
              <w:left w:val="nil" w:sz="6" w:space="0" w:color="auto"/>
              <w:bottom w:val="single" w:sz="4" w:space="0" w:color="000000"/>
              <w:right w:val="nil" w:sz="6" w:space="0" w:color="auto"/>
            </w:tcBorders>
          </w:tcPr>
          <w:p>
            <w:pPr>
              <w:pStyle w:val="TableParagraph"/>
              <w:spacing w:line="157" w:lineRule="exact"/>
              <w:ind w:left="963"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pStyle w:val="TableParagraph"/>
              <w:spacing w:line="199" w:lineRule="exact"/>
              <w:ind w:left="126"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8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41"/>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219" w:type="dxa"/>
            <w:tcBorders>
              <w:top w:val="nil" w:sz="6" w:space="0" w:color="auto"/>
              <w:left w:val="nil" w:sz="6" w:space="0" w:color="auto"/>
              <w:bottom w:val="single" w:sz="4" w:space="0" w:color="000000"/>
              <w:right w:val="nil" w:sz="6" w:space="0" w:color="auto"/>
            </w:tcBorders>
          </w:tcPr>
          <w:p>
            <w:pPr>
              <w:pStyle w:val="TableParagraph"/>
              <w:spacing w:line="165" w:lineRule="exact"/>
              <w:ind w:left="285"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796" w:type="dxa"/>
            <w:tcBorders>
              <w:top w:val="nil" w:sz="6" w:space="0" w:color="auto"/>
              <w:left w:val="nil" w:sz="6" w:space="0" w:color="auto"/>
              <w:bottom w:val="single" w:sz="4" w:space="0" w:color="000000"/>
              <w:right w:val="nil" w:sz="6" w:space="0" w:color="auto"/>
            </w:tcBorders>
          </w:tcPr>
          <w:p>
            <w:pPr>
              <w:pStyle w:val="TableParagraph"/>
              <w:spacing w:line="157" w:lineRule="exact"/>
              <w:ind w:left="943"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pStyle w:val="TableParagraph"/>
              <w:spacing w:line="199" w:lineRule="exact"/>
              <w:ind w:left="120"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84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503" w:hRule="exact"/>
        </w:trPr>
        <w:tc>
          <w:tcPr>
            <w:tcW w:w="161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5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179,323,140.04</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723" w:val="left" w:leader="none"/>
              </w:tabs>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96.54</w:t>
              <w:tab/>
              <w:t>8,966,156.98</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1"/>
              <w:jc w:val="center"/>
              <w:rPr>
                <w:rFonts w:ascii="Times New Roman" w:hAnsi="Times New Roman" w:cs="Times New Roman" w:eastAsia="Times New Roman" w:hint="default"/>
                <w:sz w:val="15"/>
                <w:szCs w:val="15"/>
              </w:rPr>
            </w:pPr>
            <w:r>
              <w:rPr>
                <w:rFonts w:ascii="Times New Roman"/>
                <w:sz w:val="15"/>
              </w:rPr>
              <w:t>5.00</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160,361,023.31</w:t>
            </w: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tabs>
                <w:tab w:pos="775" w:val="left" w:leader="none"/>
              </w:tabs>
              <w:spacing w:line="240" w:lineRule="auto"/>
              <w:ind w:left="60" w:right="0"/>
              <w:jc w:val="center"/>
              <w:rPr>
                <w:rFonts w:ascii="Times New Roman" w:hAnsi="Times New Roman" w:cs="Times New Roman" w:eastAsia="Times New Roman" w:hint="default"/>
                <w:sz w:val="15"/>
                <w:szCs w:val="15"/>
              </w:rPr>
            </w:pPr>
            <w:r>
              <w:rPr>
                <w:rFonts w:ascii="Times New Roman"/>
                <w:spacing w:val="-1"/>
                <w:sz w:val="15"/>
              </w:rPr>
              <w:t>98.38</w:t>
              <w:tab/>
              <w:t>8,018,051.17</w:t>
            </w:r>
          </w:p>
        </w:tc>
        <w:tc>
          <w:tcPr>
            <w:tcW w:w="84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
              <w:jc w:val="center"/>
              <w:rPr>
                <w:rFonts w:ascii="Times New Roman" w:hAnsi="Times New Roman" w:cs="Times New Roman" w:eastAsia="Times New Roman" w:hint="default"/>
                <w:sz w:val="15"/>
                <w:szCs w:val="15"/>
              </w:rPr>
            </w:pPr>
            <w:r>
              <w:rPr>
                <w:rFonts w:ascii="Times New Roman"/>
                <w:sz w:val="15"/>
              </w:rPr>
              <w:t>5.00</w:t>
            </w:r>
          </w:p>
        </w:tc>
      </w:tr>
      <w:tr>
        <w:trPr>
          <w:trHeight w:val="440"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6,307,387.75</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799" w:val="left" w:leader="none"/>
              </w:tabs>
              <w:spacing w:line="240" w:lineRule="auto"/>
              <w:ind w:right="116"/>
              <w:jc w:val="right"/>
              <w:rPr>
                <w:rFonts w:ascii="Times New Roman" w:hAnsi="Times New Roman" w:cs="Times New Roman" w:eastAsia="Times New Roman" w:hint="default"/>
                <w:sz w:val="15"/>
                <w:szCs w:val="15"/>
              </w:rPr>
            </w:pPr>
            <w:r>
              <w:rPr>
                <w:rFonts w:ascii="Times New Roman"/>
                <w:sz w:val="15"/>
              </w:rPr>
              <w:t>3.40</w:t>
              <w:tab/>
            </w:r>
            <w:r>
              <w:rPr>
                <w:rFonts w:ascii="Times New Roman"/>
                <w:spacing w:val="-1"/>
                <w:sz w:val="15"/>
              </w:rPr>
              <w:t>630,738.78</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0"/>
              <w:jc w:val="center"/>
              <w:rPr>
                <w:rFonts w:ascii="Times New Roman" w:hAnsi="Times New Roman" w:cs="Times New Roman" w:eastAsia="Times New Roman" w:hint="default"/>
                <w:sz w:val="15"/>
                <w:szCs w:val="15"/>
              </w:rPr>
            </w:pPr>
            <w:r>
              <w:rPr>
                <w:rFonts w:ascii="Times New Roman"/>
                <w:sz w:val="15"/>
              </w:rPr>
              <w:t>10.00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2,630,685.52</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888" w:val="left" w:leader="none"/>
              </w:tabs>
              <w:spacing w:line="240" w:lineRule="auto"/>
              <w:ind w:left="97" w:right="0"/>
              <w:jc w:val="center"/>
              <w:rPr>
                <w:rFonts w:ascii="Times New Roman" w:hAnsi="Times New Roman" w:cs="Times New Roman" w:eastAsia="Times New Roman" w:hint="default"/>
                <w:sz w:val="15"/>
                <w:szCs w:val="15"/>
              </w:rPr>
            </w:pPr>
            <w:r>
              <w:rPr>
                <w:rFonts w:ascii="Times New Roman"/>
                <w:sz w:val="15"/>
              </w:rPr>
              <w:t>1.61</w:t>
              <w:tab/>
              <w:t>263,068.55</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7"/>
              <w:jc w:val="center"/>
              <w:rPr>
                <w:rFonts w:ascii="Times New Roman" w:hAnsi="Times New Roman" w:cs="Times New Roman" w:eastAsia="Times New Roman" w:hint="default"/>
                <w:sz w:val="15"/>
                <w:szCs w:val="15"/>
              </w:rPr>
            </w:pPr>
            <w:r>
              <w:rPr>
                <w:rFonts w:ascii="Times New Roman"/>
                <w:sz w:val="15"/>
              </w:rPr>
              <w:t>10.00</w:t>
            </w:r>
          </w:p>
        </w:tc>
      </w:tr>
      <w:tr>
        <w:trPr>
          <w:trHeight w:val="440"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115,636.55</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873" w:val="left" w:leader="none"/>
              </w:tabs>
              <w:spacing w:line="240" w:lineRule="auto"/>
              <w:ind w:right="117"/>
              <w:jc w:val="right"/>
              <w:rPr>
                <w:rFonts w:ascii="Times New Roman" w:hAnsi="Times New Roman" w:cs="Times New Roman" w:eastAsia="Times New Roman" w:hint="default"/>
                <w:sz w:val="15"/>
                <w:szCs w:val="15"/>
              </w:rPr>
            </w:pPr>
            <w:r>
              <w:rPr>
                <w:rFonts w:ascii="Times New Roman"/>
                <w:sz w:val="15"/>
              </w:rPr>
              <w:t>0.06</w:t>
              <w:tab/>
            </w:r>
            <w:r>
              <w:rPr>
                <w:rFonts w:ascii="Times New Roman"/>
                <w:spacing w:val="-1"/>
                <w:sz w:val="15"/>
              </w:rPr>
              <w:t>57,818.28</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0"/>
              <w:jc w:val="center"/>
              <w:rPr>
                <w:rFonts w:ascii="Times New Roman" w:hAnsi="Times New Roman" w:cs="Times New Roman" w:eastAsia="Times New Roman" w:hint="default"/>
                <w:sz w:val="15"/>
                <w:szCs w:val="15"/>
              </w:rPr>
            </w:pPr>
            <w:r>
              <w:rPr>
                <w:rFonts w:ascii="Times New Roman"/>
                <w:sz w:val="15"/>
              </w:rPr>
              <w:t>50.00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4,735.75</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038" w:val="left" w:leader="none"/>
              </w:tabs>
              <w:spacing w:line="240" w:lineRule="auto"/>
              <w:ind w:left="97" w:right="0"/>
              <w:jc w:val="center"/>
              <w:rPr>
                <w:rFonts w:ascii="Times New Roman" w:hAnsi="Times New Roman" w:cs="Times New Roman" w:eastAsia="Times New Roman" w:hint="default"/>
                <w:sz w:val="15"/>
                <w:szCs w:val="15"/>
              </w:rPr>
            </w:pPr>
            <w:r>
              <w:rPr>
                <w:rFonts w:ascii="Times New Roman"/>
                <w:sz w:val="15"/>
              </w:rPr>
              <w:t>0.01</w:t>
              <w:tab/>
              <w:t>2,367.88</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7"/>
              <w:jc w:val="center"/>
              <w:rPr>
                <w:rFonts w:ascii="Times New Roman" w:hAnsi="Times New Roman" w:cs="Times New Roman" w:eastAsia="Times New Roman" w:hint="default"/>
                <w:sz w:val="15"/>
                <w:szCs w:val="15"/>
              </w:rPr>
            </w:pPr>
            <w:r>
              <w:rPr>
                <w:rFonts w:ascii="Times New Roman"/>
                <w:sz w:val="15"/>
              </w:rPr>
              <w:t>50.00</w:t>
            </w:r>
          </w:p>
        </w:tc>
      </w:tr>
      <w:tr>
        <w:trPr>
          <w:trHeight w:val="400"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185,746,164.34</w:t>
            </w:r>
            <w:r>
              <w:rPr>
                <w:rFonts w:ascii="Times New Roman"/>
                <w:spacing w:val="-1"/>
                <w:sz w:val="15"/>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667" w:val="left" w:leader="none"/>
              </w:tabs>
              <w:spacing w:line="240" w:lineRule="auto"/>
              <w:ind w:right="11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tab/>
            </w:r>
            <w:r>
              <w:rPr>
                <w:rFonts w:ascii="Times New Roman"/>
                <w:spacing w:val="-1"/>
                <w:sz w:val="15"/>
                <w:u w:val="thick" w:color="000000"/>
              </w:rPr>
              <w:t>9,654,714.04</w:t>
            </w:r>
            <w:r>
              <w:rPr>
                <w:rFonts w:ascii="Times New Roman"/>
                <w:spacing w:val="-1"/>
                <w:sz w:val="15"/>
              </w:rPr>
            </w:r>
          </w:p>
        </w:tc>
        <w:tc>
          <w:tcPr>
            <w:tcW w:w="882"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162,996,444.58</w:t>
            </w:r>
            <w:r>
              <w:rPr>
                <w:rFonts w:ascii="Times New Roman"/>
                <w:spacing w:val="-1"/>
                <w:sz w:val="15"/>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775" w:val="left" w:leader="none"/>
              </w:tabs>
              <w:spacing w:line="240" w:lineRule="auto"/>
              <w:ind w:left="116" w:right="0"/>
              <w:jc w:val="center"/>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tab/>
            </w:r>
            <w:r>
              <w:rPr>
                <w:rFonts w:ascii="Times New Roman"/>
                <w:spacing w:val="-1"/>
                <w:sz w:val="15"/>
                <w:u w:val="thick" w:color="000000"/>
              </w:rPr>
              <w:t>8,283,487.60</w:t>
            </w:r>
            <w:r>
              <w:rPr>
                <w:rFonts w:ascii="Times New Roman"/>
                <w:spacing w:val="-1"/>
                <w:sz w:val="15"/>
              </w:rPr>
            </w:r>
          </w:p>
        </w:tc>
        <w:tc>
          <w:tcPr>
            <w:tcW w:w="843"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22"/>
          <w:szCs w:val="22"/>
        </w:rPr>
      </w:pPr>
    </w:p>
    <w:p>
      <w:pPr>
        <w:pStyle w:val="BodyText"/>
        <w:spacing w:line="240" w:lineRule="auto" w:before="44"/>
        <w:ind w:right="1117"/>
        <w:jc w:val="left"/>
      </w:pPr>
      <w:r>
        <w:rPr/>
        <w:t>（</w:t>
      </w:r>
      <w:r>
        <w:rPr>
          <w:rFonts w:ascii="Times New Roman" w:hAnsi="Times New Roman" w:cs="Times New Roman" w:eastAsia="Times New Roman" w:hint="default"/>
        </w:rPr>
        <w:t>5</w:t>
      </w:r>
      <w:r>
        <w:rPr/>
        <w:t>）本期计提、收回或转回的坏账准备情况</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4794"/>
        <w:gridCol w:w="4636"/>
      </w:tblGrid>
      <w:tr>
        <w:trPr>
          <w:trHeight w:val="272" w:hRule="exact"/>
        </w:trPr>
        <w:tc>
          <w:tcPr>
            <w:tcW w:w="4794" w:type="dxa"/>
            <w:tcBorders>
              <w:top w:val="nil" w:sz="6" w:space="0" w:color="auto"/>
              <w:left w:val="nil" w:sz="6" w:space="0" w:color="auto"/>
              <w:bottom w:val="single" w:sz="4" w:space="0" w:color="000000"/>
              <w:right w:val="nil" w:sz="6" w:space="0" w:color="auto"/>
            </w:tcBorders>
          </w:tcPr>
          <w:p>
            <w:pPr>
              <w:pStyle w:val="TableParagraph"/>
              <w:spacing w:line="180" w:lineRule="exact"/>
              <w:ind w:right="78"/>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636" w:type="dxa"/>
            <w:tcBorders>
              <w:top w:val="nil" w:sz="6" w:space="0" w:color="auto"/>
              <w:left w:val="nil" w:sz="6" w:space="0" w:color="auto"/>
              <w:bottom w:val="single" w:sz="4" w:space="0" w:color="000000"/>
              <w:right w:val="nil" w:sz="6" w:space="0" w:color="auto"/>
            </w:tcBorders>
          </w:tcPr>
          <w:p>
            <w:pPr>
              <w:pStyle w:val="TableParagraph"/>
              <w:spacing w:line="180" w:lineRule="exact"/>
              <w:ind w:right="7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93" w:hRule="exact"/>
        </w:trPr>
        <w:tc>
          <w:tcPr>
            <w:tcW w:w="479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63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76"/>
              <w:jc w:val="center"/>
              <w:rPr>
                <w:rFonts w:ascii="Times New Roman" w:hAnsi="Times New Roman" w:cs="Times New Roman" w:eastAsia="Times New Roman" w:hint="default"/>
                <w:sz w:val="18"/>
                <w:szCs w:val="18"/>
              </w:rPr>
            </w:pPr>
            <w:r>
              <w:rPr>
                <w:rFonts w:ascii="Times New Roman"/>
                <w:sz w:val="18"/>
              </w:rPr>
              <w:t>2,423,037.77</w:t>
            </w:r>
          </w:p>
        </w:tc>
      </w:tr>
      <w:tr>
        <w:trPr>
          <w:trHeight w:val="305" w:hRule="exact"/>
        </w:trPr>
        <w:tc>
          <w:tcPr>
            <w:tcW w:w="47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46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7"/>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6</w:t>
      </w:r>
      <w:r>
        <w:rPr/>
        <w:t>）本期无实际核销的应收账款。</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7</w:t>
      </w:r>
      <w:r>
        <w:rPr/>
        <w:t>）期末应收账款金额前五名情况</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421"/>
        <w:gridCol w:w="1972"/>
        <w:gridCol w:w="1887"/>
        <w:gridCol w:w="2151"/>
      </w:tblGrid>
      <w:tr>
        <w:trPr>
          <w:trHeight w:val="636" w:hRule="exact"/>
        </w:trPr>
        <w:tc>
          <w:tcPr>
            <w:tcW w:w="3421"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right="132"/>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72"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right="86"/>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87" w:type="dxa"/>
            <w:tcBorders>
              <w:top w:val="nil" w:sz="6" w:space="0" w:color="auto"/>
              <w:left w:val="nil" w:sz="6" w:space="0" w:color="auto"/>
              <w:bottom w:val="single" w:sz="8" w:space="0" w:color="000000"/>
              <w:right w:val="nil" w:sz="6" w:space="0" w:color="auto"/>
            </w:tcBorders>
          </w:tcPr>
          <w:p>
            <w:pPr>
              <w:pStyle w:val="TableParagraph"/>
              <w:spacing w:line="180" w:lineRule="exact"/>
              <w:ind w:left="368" w:right="0" w:hanging="45"/>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spacing w:line="240" w:lineRule="auto" w:before="124"/>
              <w:ind w:left="368" w:right="0"/>
              <w:jc w:val="left"/>
              <w:rPr>
                <w:rFonts w:ascii="宋体" w:hAnsi="宋体" w:cs="宋体" w:eastAsia="宋体"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51"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299"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499" w:hRule="exact"/>
        </w:trPr>
        <w:tc>
          <w:tcPr>
            <w:tcW w:w="342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上海晋展网络科技有限公司</w:t>
            </w:r>
          </w:p>
        </w:tc>
        <w:tc>
          <w:tcPr>
            <w:tcW w:w="1972"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322"/>
              <w:jc w:val="right"/>
              <w:rPr>
                <w:rFonts w:ascii="Times New Roman" w:hAnsi="Times New Roman" w:cs="Times New Roman" w:eastAsia="Times New Roman" w:hint="default"/>
                <w:sz w:val="18"/>
                <w:szCs w:val="18"/>
              </w:rPr>
            </w:pPr>
            <w:r>
              <w:rPr>
                <w:rFonts w:ascii="Times New Roman"/>
                <w:spacing w:val="-1"/>
                <w:sz w:val="18"/>
              </w:rPr>
              <w:t>21,087,840.00</w:t>
            </w:r>
          </w:p>
        </w:tc>
        <w:tc>
          <w:tcPr>
            <w:tcW w:w="1887"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753" w:right="0"/>
              <w:jc w:val="left"/>
              <w:rPr>
                <w:rFonts w:ascii="Times New Roman" w:hAnsi="Times New Roman" w:cs="Times New Roman" w:eastAsia="Times New Roman" w:hint="default"/>
                <w:sz w:val="18"/>
                <w:szCs w:val="18"/>
              </w:rPr>
            </w:pPr>
            <w:r>
              <w:rPr>
                <w:rFonts w:ascii="Times New Roman"/>
                <w:sz w:val="18"/>
              </w:rPr>
              <w:t>7.34</w:t>
            </w:r>
          </w:p>
        </w:tc>
        <w:tc>
          <w:tcPr>
            <w:tcW w:w="2151"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656" w:right="0"/>
              <w:jc w:val="left"/>
              <w:rPr>
                <w:rFonts w:ascii="Times New Roman" w:hAnsi="Times New Roman" w:cs="Times New Roman" w:eastAsia="Times New Roman" w:hint="default"/>
                <w:sz w:val="18"/>
                <w:szCs w:val="18"/>
              </w:rPr>
            </w:pPr>
            <w:r>
              <w:rPr>
                <w:rFonts w:ascii="Times New Roman"/>
                <w:sz w:val="18"/>
              </w:rPr>
              <w:t>1,054,392.00</w:t>
            </w:r>
          </w:p>
        </w:tc>
      </w:tr>
      <w:tr>
        <w:trPr>
          <w:trHeight w:val="440"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成都麟游互动科技有限公司</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2"/>
              <w:jc w:val="right"/>
              <w:rPr>
                <w:rFonts w:ascii="Times New Roman" w:hAnsi="Times New Roman" w:cs="Times New Roman" w:eastAsia="Times New Roman" w:hint="default"/>
                <w:sz w:val="18"/>
                <w:szCs w:val="18"/>
              </w:rPr>
            </w:pPr>
            <w:r>
              <w:rPr>
                <w:rFonts w:ascii="Times New Roman"/>
                <w:spacing w:val="-1"/>
                <w:sz w:val="18"/>
              </w:rPr>
              <w:t>15,386,614.80</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53" w:right="0"/>
              <w:jc w:val="left"/>
              <w:rPr>
                <w:rFonts w:ascii="Times New Roman" w:hAnsi="Times New Roman" w:cs="Times New Roman" w:eastAsia="Times New Roman" w:hint="default"/>
                <w:sz w:val="18"/>
                <w:szCs w:val="18"/>
              </w:rPr>
            </w:pPr>
            <w:r>
              <w:rPr>
                <w:rFonts w:ascii="Times New Roman"/>
                <w:sz w:val="18"/>
              </w:rPr>
              <w:t>5.35</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1" w:right="0"/>
              <w:jc w:val="left"/>
              <w:rPr>
                <w:rFonts w:ascii="Times New Roman" w:hAnsi="Times New Roman" w:cs="Times New Roman" w:eastAsia="Times New Roman" w:hint="default"/>
                <w:sz w:val="18"/>
                <w:szCs w:val="18"/>
              </w:rPr>
            </w:pPr>
            <w:r>
              <w:rPr>
                <w:rFonts w:ascii="Times New Roman"/>
                <w:sz w:val="18"/>
              </w:rPr>
              <w:t>769,330.74</w:t>
            </w:r>
          </w:p>
        </w:tc>
      </w:tr>
      <w:tr>
        <w:trPr>
          <w:trHeight w:val="440"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上海淘进网络科技有限公司</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2"/>
              <w:jc w:val="right"/>
              <w:rPr>
                <w:rFonts w:ascii="Times New Roman" w:hAnsi="Times New Roman" w:cs="Times New Roman" w:eastAsia="Times New Roman" w:hint="default"/>
                <w:sz w:val="18"/>
                <w:szCs w:val="18"/>
              </w:rPr>
            </w:pPr>
            <w:r>
              <w:rPr>
                <w:rFonts w:ascii="Times New Roman"/>
                <w:spacing w:val="-1"/>
                <w:sz w:val="18"/>
              </w:rPr>
              <w:t>15,097,406.60</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53" w:right="0"/>
              <w:jc w:val="left"/>
              <w:rPr>
                <w:rFonts w:ascii="Times New Roman" w:hAnsi="Times New Roman" w:cs="Times New Roman" w:eastAsia="Times New Roman" w:hint="default"/>
                <w:sz w:val="18"/>
                <w:szCs w:val="18"/>
              </w:rPr>
            </w:pPr>
            <w:r>
              <w:rPr>
                <w:rFonts w:ascii="Times New Roman"/>
                <w:sz w:val="18"/>
              </w:rPr>
              <w:t>5.25</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91" w:right="0"/>
              <w:jc w:val="left"/>
              <w:rPr>
                <w:rFonts w:ascii="Times New Roman" w:hAnsi="Times New Roman" w:cs="Times New Roman" w:eastAsia="Times New Roman" w:hint="default"/>
                <w:sz w:val="18"/>
                <w:szCs w:val="18"/>
              </w:rPr>
            </w:pPr>
            <w:r>
              <w:rPr>
                <w:rFonts w:ascii="Times New Roman"/>
                <w:sz w:val="18"/>
              </w:rPr>
              <w:t>754,870.33</w:t>
            </w:r>
          </w:p>
        </w:tc>
      </w:tr>
      <w:tr>
        <w:trPr>
          <w:trHeight w:val="440"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河南国试书业有限公司</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2"/>
              <w:jc w:val="right"/>
              <w:rPr>
                <w:rFonts w:ascii="Times New Roman" w:hAnsi="Times New Roman" w:cs="Times New Roman" w:eastAsia="Times New Roman" w:hint="default"/>
                <w:sz w:val="18"/>
                <w:szCs w:val="18"/>
              </w:rPr>
            </w:pPr>
            <w:r>
              <w:rPr>
                <w:rFonts w:ascii="Times New Roman"/>
                <w:spacing w:val="-1"/>
                <w:sz w:val="18"/>
              </w:rPr>
              <w:t>14,093,309.43</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53" w:right="0"/>
              <w:jc w:val="left"/>
              <w:rPr>
                <w:rFonts w:ascii="Times New Roman" w:hAnsi="Times New Roman" w:cs="Times New Roman" w:eastAsia="Times New Roman" w:hint="default"/>
                <w:sz w:val="18"/>
                <w:szCs w:val="18"/>
              </w:rPr>
            </w:pPr>
            <w:r>
              <w:rPr>
                <w:rFonts w:ascii="Times New Roman"/>
                <w:sz w:val="18"/>
              </w:rPr>
              <w:t>4.90</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1" w:right="0"/>
              <w:jc w:val="left"/>
              <w:rPr>
                <w:rFonts w:ascii="Times New Roman" w:hAnsi="Times New Roman" w:cs="Times New Roman" w:eastAsia="Times New Roman" w:hint="default"/>
                <w:sz w:val="18"/>
                <w:szCs w:val="18"/>
              </w:rPr>
            </w:pPr>
            <w:r>
              <w:rPr>
                <w:rFonts w:ascii="Times New Roman"/>
                <w:sz w:val="18"/>
              </w:rPr>
              <w:t>140,933.09</w:t>
            </w:r>
          </w:p>
        </w:tc>
      </w:tr>
      <w:tr>
        <w:trPr>
          <w:trHeight w:val="440"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深圳市鲸旗天下网络科技有限公司</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2"/>
              <w:jc w:val="right"/>
              <w:rPr>
                <w:rFonts w:ascii="Times New Roman" w:hAnsi="Times New Roman" w:cs="Times New Roman" w:eastAsia="Times New Roman" w:hint="default"/>
                <w:sz w:val="18"/>
                <w:szCs w:val="18"/>
              </w:rPr>
            </w:pPr>
            <w:r>
              <w:rPr>
                <w:rFonts w:ascii="Times New Roman"/>
                <w:spacing w:val="-1"/>
                <w:sz w:val="18"/>
              </w:rPr>
              <w:t>14,014,382.54</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53" w:right="0"/>
              <w:jc w:val="left"/>
              <w:rPr>
                <w:rFonts w:ascii="Times New Roman" w:hAnsi="Times New Roman" w:cs="Times New Roman" w:eastAsia="Times New Roman" w:hint="default"/>
                <w:sz w:val="18"/>
                <w:szCs w:val="18"/>
              </w:rPr>
            </w:pPr>
            <w:r>
              <w:rPr>
                <w:rFonts w:ascii="Times New Roman"/>
                <w:sz w:val="18"/>
              </w:rPr>
              <w:t>4.89</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1" w:right="0"/>
              <w:jc w:val="left"/>
              <w:rPr>
                <w:rFonts w:ascii="Times New Roman" w:hAnsi="Times New Roman" w:cs="Times New Roman" w:eastAsia="Times New Roman" w:hint="default"/>
                <w:sz w:val="18"/>
                <w:szCs w:val="18"/>
              </w:rPr>
            </w:pPr>
            <w:r>
              <w:rPr>
                <w:rFonts w:ascii="Times New Roman"/>
                <w:sz w:val="18"/>
              </w:rPr>
              <w:t>700,719.13</w:t>
            </w:r>
          </w:p>
        </w:tc>
      </w:tr>
      <w:tr>
        <w:trPr>
          <w:trHeight w:val="315" w:hRule="exact"/>
        </w:trPr>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2"/>
              <w:jc w:val="center"/>
              <w:rPr>
                <w:rFonts w:ascii="宋体" w:hAnsi="宋体" w:cs="宋体" w:eastAsia="宋体" w:hint="default"/>
                <w:sz w:val="18"/>
                <w:szCs w:val="18"/>
              </w:rPr>
            </w:pPr>
            <w:r>
              <w:rPr>
                <w:rFonts w:ascii="宋体" w:hAnsi="宋体" w:cs="宋体" w:eastAsia="宋体" w:hint="default"/>
                <w:sz w:val="18"/>
                <w:szCs w:val="18"/>
              </w:rPr>
              <w:t>合  计</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79,679,553.37</w:t>
            </w:r>
            <w:r>
              <w:rPr>
                <w:rFonts w:ascii="Times New Roman"/>
                <w:spacing w:val="-1"/>
                <w:sz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27.73</w:t>
            </w:r>
            <w:r>
              <w:rPr>
                <w:rFonts w:ascii="Times New Roman"/>
                <w:sz w:val="18"/>
              </w:rPr>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5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3,420,245.29</w:t>
            </w:r>
            <w:r>
              <w:rPr>
                <w:rFonts w:ascii="Times New Roman"/>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8</w:t>
      </w:r>
      <w:r>
        <w:rPr/>
        <w:t>）本期无因金融资产转移而终止确认的应收账款。</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9</w:t>
      </w:r>
      <w:r>
        <w:rPr/>
        <w:t>）期末无因应收账款转移而继续涉入形成的资产、负债。</w:t>
      </w:r>
    </w:p>
    <w:p>
      <w:pPr>
        <w:spacing w:line="240" w:lineRule="auto" w:before="5"/>
        <w:rPr>
          <w:rFonts w:ascii="宋体" w:hAnsi="宋体" w:cs="宋体" w:eastAsia="宋体" w:hint="default"/>
          <w:sz w:val="20"/>
          <w:szCs w:val="20"/>
        </w:rPr>
      </w:pPr>
    </w:p>
    <w:p>
      <w:pPr>
        <w:pStyle w:val="BodyText"/>
        <w:spacing w:line="240" w:lineRule="auto"/>
        <w:ind w:right="1117"/>
        <w:jc w:val="left"/>
      </w:pPr>
      <w:bookmarkStart w:name="3. 预付款项" w:id="195"/>
      <w:bookmarkEnd w:id="195"/>
      <w:r>
        <w:rPr/>
      </w:r>
      <w:r>
        <w:rPr>
          <w:rFonts w:ascii="Times New Roman" w:hAnsi="Times New Roman" w:cs="Times New Roman" w:eastAsia="Times New Roman" w:hint="default"/>
        </w:rPr>
        <w:t>3.  </w:t>
      </w:r>
      <w:r>
        <w:rPr/>
        <w:t>预付款项</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）按账龄列示</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2496"/>
        <w:gridCol w:w="2106"/>
        <w:gridCol w:w="1565"/>
        <w:gridCol w:w="1761"/>
        <w:gridCol w:w="1502"/>
      </w:tblGrid>
      <w:tr>
        <w:trPr>
          <w:trHeight w:val="272" w:hRule="exact"/>
        </w:trPr>
        <w:tc>
          <w:tcPr>
            <w:tcW w:w="2496" w:type="dxa"/>
            <w:tcBorders>
              <w:top w:val="nil" w:sz="6" w:space="0" w:color="auto"/>
              <w:left w:val="nil" w:sz="6" w:space="0" w:color="auto"/>
              <w:bottom w:val="single" w:sz="4" w:space="0" w:color="000000"/>
              <w:right w:val="nil" w:sz="6" w:space="0" w:color="auto"/>
            </w:tcBorders>
          </w:tcPr>
          <w:p>
            <w:pPr>
              <w:pStyle w:val="TableParagraph"/>
              <w:spacing w:line="180" w:lineRule="exact"/>
              <w:ind w:right="770"/>
              <w:jc w:val="righ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2106" w:type="dxa"/>
            <w:tcBorders>
              <w:top w:val="nil" w:sz="6" w:space="0" w:color="auto"/>
              <w:left w:val="nil" w:sz="6" w:space="0" w:color="auto"/>
              <w:bottom w:val="single" w:sz="4" w:space="0" w:color="000000"/>
              <w:right w:val="nil" w:sz="6" w:space="0" w:color="auto"/>
            </w:tcBorders>
          </w:tcPr>
          <w:p>
            <w:pPr>
              <w:pStyle w:val="TableParagraph"/>
              <w:spacing w:line="180" w:lineRule="exact"/>
              <w:ind w:left="86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65" w:type="dxa"/>
            <w:tcBorders>
              <w:top w:val="nil" w:sz="6" w:space="0" w:color="auto"/>
              <w:left w:val="nil" w:sz="6" w:space="0" w:color="auto"/>
              <w:bottom w:val="single" w:sz="4" w:space="0" w:color="000000"/>
              <w:right w:val="nil" w:sz="6" w:space="0" w:color="auto"/>
            </w:tcBorders>
          </w:tcPr>
          <w:p>
            <w:pPr>
              <w:pStyle w:val="TableParagraph"/>
              <w:spacing w:line="194" w:lineRule="exact"/>
              <w:ind w:right="6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61" w:type="dxa"/>
            <w:tcBorders>
              <w:top w:val="nil" w:sz="6" w:space="0" w:color="auto"/>
              <w:left w:val="nil" w:sz="6" w:space="0" w:color="auto"/>
              <w:bottom w:val="single" w:sz="4" w:space="0" w:color="000000"/>
              <w:right w:val="nil" w:sz="6" w:space="0" w:color="auto"/>
            </w:tcBorders>
          </w:tcPr>
          <w:p>
            <w:pPr>
              <w:pStyle w:val="TableParagraph"/>
              <w:spacing w:line="180" w:lineRule="exact"/>
              <w:ind w:left="45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02" w:type="dxa"/>
            <w:tcBorders>
              <w:top w:val="nil" w:sz="6" w:space="0" w:color="auto"/>
              <w:left w:val="nil" w:sz="6" w:space="0" w:color="auto"/>
              <w:bottom w:val="single" w:sz="4" w:space="0" w:color="000000"/>
              <w:right w:val="nil" w:sz="6" w:space="0" w:color="auto"/>
            </w:tcBorders>
          </w:tcPr>
          <w:p>
            <w:pPr>
              <w:pStyle w:val="TableParagraph"/>
              <w:spacing w:line="194" w:lineRule="exact"/>
              <w:ind w:right="125"/>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3" w:hRule="exact"/>
        </w:trPr>
        <w:tc>
          <w:tcPr>
            <w:tcW w:w="249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10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98"/>
              <w:jc w:val="right"/>
              <w:rPr>
                <w:rFonts w:ascii="Times New Roman" w:hAnsi="Times New Roman" w:cs="Times New Roman" w:eastAsia="Times New Roman" w:hint="default"/>
                <w:sz w:val="18"/>
                <w:szCs w:val="18"/>
              </w:rPr>
            </w:pPr>
            <w:r>
              <w:rPr>
                <w:rFonts w:ascii="Times New Roman"/>
                <w:spacing w:val="-1"/>
                <w:sz w:val="18"/>
              </w:rPr>
              <w:t>34,236,668.20</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86"/>
              <w:jc w:val="center"/>
              <w:rPr>
                <w:rFonts w:ascii="Times New Roman" w:hAnsi="Times New Roman" w:cs="Times New Roman" w:eastAsia="Times New Roman" w:hint="default"/>
                <w:sz w:val="18"/>
                <w:szCs w:val="18"/>
              </w:rPr>
            </w:pPr>
            <w:r>
              <w:rPr>
                <w:rFonts w:ascii="Times New Roman"/>
                <w:sz w:val="18"/>
              </w:rPr>
              <w:t>84.01</w:t>
            </w:r>
          </w:p>
        </w:tc>
        <w:tc>
          <w:tcPr>
            <w:tcW w:w="176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490" w:right="0"/>
              <w:jc w:val="left"/>
              <w:rPr>
                <w:rFonts w:ascii="Times New Roman" w:hAnsi="Times New Roman" w:cs="Times New Roman" w:eastAsia="Times New Roman" w:hint="default"/>
                <w:sz w:val="18"/>
                <w:szCs w:val="18"/>
              </w:rPr>
            </w:pPr>
            <w:r>
              <w:rPr>
                <w:rFonts w:ascii="Times New Roman"/>
                <w:sz w:val="18"/>
              </w:rPr>
              <w:t>13,349,520.33</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14"/>
              <w:jc w:val="center"/>
              <w:rPr>
                <w:rFonts w:ascii="Times New Roman" w:hAnsi="Times New Roman" w:cs="Times New Roman" w:eastAsia="Times New Roman" w:hint="default"/>
                <w:sz w:val="18"/>
                <w:szCs w:val="18"/>
              </w:rPr>
            </w:pPr>
            <w:r>
              <w:rPr>
                <w:rFonts w:ascii="Times New Roman"/>
                <w:sz w:val="18"/>
              </w:rPr>
              <w:t>94.45</w:t>
            </w:r>
          </w:p>
        </w:tc>
      </w:tr>
      <w:tr>
        <w:trPr>
          <w:trHeight w:val="440"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8"/>
              <w:jc w:val="right"/>
              <w:rPr>
                <w:rFonts w:ascii="Times New Roman" w:hAnsi="Times New Roman" w:cs="Times New Roman" w:eastAsia="Times New Roman" w:hint="default"/>
                <w:sz w:val="18"/>
                <w:szCs w:val="18"/>
              </w:rPr>
            </w:pPr>
            <w:r>
              <w:rPr>
                <w:rFonts w:ascii="Times New Roman"/>
                <w:spacing w:val="-1"/>
                <w:sz w:val="18"/>
              </w:rPr>
              <w:t>5,930,976.98</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6"/>
              <w:jc w:val="center"/>
              <w:rPr>
                <w:rFonts w:ascii="Times New Roman" w:hAnsi="Times New Roman" w:cs="Times New Roman" w:eastAsia="Times New Roman" w:hint="default"/>
                <w:sz w:val="18"/>
                <w:szCs w:val="18"/>
              </w:rPr>
            </w:pPr>
            <w:r>
              <w:rPr>
                <w:rFonts w:ascii="Times New Roman"/>
                <w:sz w:val="18"/>
              </w:rPr>
              <w:t>14.55</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87" w:right="0"/>
              <w:jc w:val="left"/>
              <w:rPr>
                <w:rFonts w:ascii="Times New Roman" w:hAnsi="Times New Roman" w:cs="Times New Roman" w:eastAsia="Times New Roman" w:hint="default"/>
                <w:sz w:val="18"/>
                <w:szCs w:val="18"/>
              </w:rPr>
            </w:pPr>
            <w:r>
              <w:rPr>
                <w:rFonts w:ascii="Times New Roman"/>
                <w:sz w:val="18"/>
              </w:rPr>
              <w:t>603,302.45</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4"/>
              <w:jc w:val="center"/>
              <w:rPr>
                <w:rFonts w:ascii="Times New Roman" w:hAnsi="Times New Roman" w:cs="Times New Roman" w:eastAsia="Times New Roman" w:hint="default"/>
                <w:sz w:val="18"/>
                <w:szCs w:val="18"/>
              </w:rPr>
            </w:pPr>
            <w:r>
              <w:rPr>
                <w:rFonts w:ascii="Times New Roman"/>
                <w:sz w:val="18"/>
              </w:rPr>
              <w:t>4.27</w:t>
            </w:r>
          </w:p>
        </w:tc>
      </w:tr>
      <w:tr>
        <w:trPr>
          <w:trHeight w:val="440"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8"/>
              <w:jc w:val="right"/>
              <w:rPr>
                <w:rFonts w:ascii="Times New Roman" w:hAnsi="Times New Roman" w:cs="Times New Roman" w:eastAsia="Times New Roman" w:hint="default"/>
                <w:sz w:val="18"/>
                <w:szCs w:val="18"/>
              </w:rPr>
            </w:pPr>
            <w:r>
              <w:rPr>
                <w:rFonts w:ascii="Times New Roman"/>
                <w:sz w:val="18"/>
              </w:rPr>
              <w:t>582,261.78</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6"/>
              <w:jc w:val="center"/>
              <w:rPr>
                <w:rFonts w:ascii="Times New Roman" w:hAnsi="Times New Roman" w:cs="Times New Roman" w:eastAsia="Times New Roman" w:hint="default"/>
                <w:sz w:val="18"/>
                <w:szCs w:val="18"/>
              </w:rPr>
            </w:pPr>
            <w:r>
              <w:rPr>
                <w:rFonts w:ascii="Times New Roman"/>
                <w:sz w:val="18"/>
              </w:rPr>
              <w:t>1.43</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87" w:right="0"/>
              <w:jc w:val="left"/>
              <w:rPr>
                <w:rFonts w:ascii="Times New Roman" w:hAnsi="Times New Roman" w:cs="Times New Roman" w:eastAsia="Times New Roman" w:hint="default"/>
                <w:sz w:val="18"/>
                <w:szCs w:val="18"/>
              </w:rPr>
            </w:pPr>
            <w:r>
              <w:rPr>
                <w:rFonts w:ascii="Times New Roman"/>
                <w:sz w:val="18"/>
              </w:rPr>
              <w:t>171,614.26</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4"/>
              <w:jc w:val="center"/>
              <w:rPr>
                <w:rFonts w:ascii="Times New Roman" w:hAnsi="Times New Roman" w:cs="Times New Roman" w:eastAsia="Times New Roman" w:hint="default"/>
                <w:sz w:val="18"/>
                <w:szCs w:val="18"/>
              </w:rPr>
            </w:pPr>
            <w:r>
              <w:rPr>
                <w:rFonts w:ascii="Times New Roman"/>
                <w:sz w:val="18"/>
              </w:rPr>
              <w:t>1.21</w:t>
            </w:r>
          </w:p>
        </w:tc>
      </w:tr>
      <w:tr>
        <w:trPr>
          <w:trHeight w:val="440"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7"/>
              <w:jc w:val="right"/>
              <w:rPr>
                <w:rFonts w:ascii="Times New Roman" w:hAnsi="Times New Roman" w:cs="Times New Roman" w:eastAsia="Times New Roman" w:hint="default"/>
                <w:sz w:val="18"/>
                <w:szCs w:val="18"/>
              </w:rPr>
            </w:pPr>
            <w:r>
              <w:rPr>
                <w:rFonts w:ascii="Times New Roman"/>
                <w:sz w:val="18"/>
              </w:rPr>
              <w:t>1,993.01</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
              <w:jc w:val="center"/>
              <w:rPr>
                <w:rFonts w:ascii="Times New Roman" w:hAnsi="Times New Roman" w:cs="Times New Roman" w:eastAsia="Times New Roman" w:hint="default"/>
                <w:sz w:val="18"/>
                <w:szCs w:val="18"/>
              </w:rPr>
            </w:pPr>
            <w:r>
              <w:rPr>
                <w:rFonts w:ascii="Times New Roman"/>
                <w:sz w:val="18"/>
              </w:rPr>
              <w:t>0.01</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77" w:right="0"/>
              <w:jc w:val="left"/>
              <w:rPr>
                <w:rFonts w:ascii="Times New Roman" w:hAnsi="Times New Roman" w:cs="Times New Roman" w:eastAsia="Times New Roman" w:hint="default"/>
                <w:sz w:val="18"/>
                <w:szCs w:val="18"/>
              </w:rPr>
            </w:pPr>
            <w:r>
              <w:rPr>
                <w:rFonts w:ascii="Times New Roman"/>
                <w:sz w:val="18"/>
              </w:rPr>
              <w:t>10,300.00</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4"/>
              <w:jc w:val="center"/>
              <w:rPr>
                <w:rFonts w:ascii="Times New Roman" w:hAnsi="Times New Roman" w:cs="Times New Roman" w:eastAsia="Times New Roman" w:hint="default"/>
                <w:sz w:val="18"/>
                <w:szCs w:val="18"/>
              </w:rPr>
            </w:pPr>
            <w:r>
              <w:rPr>
                <w:rFonts w:ascii="Times New Roman"/>
                <w:sz w:val="18"/>
              </w:rPr>
              <w:t>0.07</w:t>
            </w:r>
          </w:p>
        </w:tc>
      </w:tr>
      <w:tr>
        <w:trPr>
          <w:trHeight w:val="315" w:hRule="exact"/>
        </w:trPr>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70"/>
              <w:jc w:val="right"/>
              <w:rPr>
                <w:rFonts w:ascii="宋体" w:hAnsi="宋体" w:cs="宋体" w:eastAsia="宋体" w:hint="default"/>
                <w:sz w:val="18"/>
                <w:szCs w:val="18"/>
              </w:rPr>
            </w:pPr>
            <w:r>
              <w:rPr>
                <w:rFonts w:ascii="宋体" w:hAnsi="宋体" w:cs="宋体" w:eastAsia="宋体" w:hint="default"/>
                <w:sz w:val="18"/>
                <w:szCs w:val="18"/>
              </w:rPr>
              <w:t>合  计</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40,751,899.97</w:t>
            </w:r>
            <w:r>
              <w:rPr>
                <w:rFonts w:ascii="Times New Roman"/>
                <w:spacing w:val="-1"/>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7"/>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6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14,134,737.04</w:t>
            </w:r>
            <w:r>
              <w:rPr>
                <w:rFonts w:ascii="Times New Roman"/>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6"/>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）账龄超过</w:t>
      </w:r>
      <w:r>
        <w:rPr>
          <w:rFonts w:ascii="Times New Roman" w:hAnsi="Times New Roman" w:cs="Times New Roman" w:eastAsia="Times New Roman" w:hint="default"/>
        </w:rPr>
        <w:t>1</w:t>
      </w:r>
      <w:r>
        <w:rPr/>
        <w:t>年且金额重要的预付款项</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2977"/>
        <w:gridCol w:w="1743"/>
        <w:gridCol w:w="1436"/>
        <w:gridCol w:w="1546"/>
        <w:gridCol w:w="1729"/>
      </w:tblGrid>
      <w:tr>
        <w:trPr>
          <w:trHeight w:val="272" w:hRule="exact"/>
        </w:trPr>
        <w:tc>
          <w:tcPr>
            <w:tcW w:w="2977" w:type="dxa"/>
            <w:tcBorders>
              <w:top w:val="nil" w:sz="6" w:space="0" w:color="auto"/>
              <w:left w:val="nil" w:sz="6" w:space="0" w:color="auto"/>
              <w:bottom w:val="single" w:sz="4" w:space="0" w:color="000000"/>
              <w:right w:val="nil" w:sz="6" w:space="0" w:color="auto"/>
            </w:tcBorders>
          </w:tcPr>
          <w:p>
            <w:pPr>
              <w:pStyle w:val="TableParagraph"/>
              <w:spacing w:line="180" w:lineRule="exact"/>
              <w:ind w:left="147"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43" w:type="dxa"/>
            <w:tcBorders>
              <w:top w:val="nil" w:sz="6" w:space="0" w:color="auto"/>
              <w:left w:val="nil" w:sz="6" w:space="0" w:color="auto"/>
              <w:bottom w:val="single" w:sz="4" w:space="0" w:color="000000"/>
              <w:right w:val="nil" w:sz="6" w:space="0" w:color="auto"/>
            </w:tcBorders>
          </w:tcPr>
          <w:p>
            <w:pPr>
              <w:pStyle w:val="TableParagraph"/>
              <w:spacing w:line="180" w:lineRule="exact"/>
              <w:ind w:left="39"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180" w:lineRule="exact"/>
              <w:ind w:left="33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46" w:type="dxa"/>
            <w:tcBorders>
              <w:top w:val="nil" w:sz="6" w:space="0" w:color="auto"/>
              <w:left w:val="nil" w:sz="6" w:space="0" w:color="auto"/>
              <w:bottom w:val="single" w:sz="4" w:space="0" w:color="000000"/>
              <w:right w:val="nil" w:sz="6" w:space="0" w:color="auto"/>
            </w:tcBorders>
          </w:tcPr>
          <w:p>
            <w:pPr>
              <w:pStyle w:val="TableParagraph"/>
              <w:spacing w:line="180" w:lineRule="exact"/>
              <w:ind w:left="116"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29" w:type="dxa"/>
            <w:tcBorders>
              <w:top w:val="nil" w:sz="6" w:space="0" w:color="auto"/>
              <w:left w:val="nil" w:sz="6" w:space="0" w:color="auto"/>
              <w:bottom w:val="single" w:sz="4" w:space="0" w:color="000000"/>
              <w:right w:val="nil" w:sz="6" w:space="0" w:color="auto"/>
            </w:tcBorders>
          </w:tcPr>
          <w:p>
            <w:pPr>
              <w:pStyle w:val="TableParagraph"/>
              <w:spacing w:line="180" w:lineRule="exact"/>
              <w:ind w:left="42"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93" w:hRule="exact"/>
        </w:trPr>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上海渔阳网络技术有限公司</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0"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09" w:right="0"/>
              <w:jc w:val="left"/>
              <w:rPr>
                <w:rFonts w:ascii="Times New Roman" w:hAnsi="Times New Roman" w:cs="Times New Roman" w:eastAsia="Times New Roman" w:hint="default"/>
                <w:sz w:val="18"/>
                <w:szCs w:val="18"/>
              </w:rPr>
            </w:pPr>
            <w:r>
              <w:rPr>
                <w:rFonts w:ascii="Times New Roman"/>
                <w:sz w:val="18"/>
              </w:rPr>
              <w:t>2,000,000.00</w:t>
            </w: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1" w:right="0"/>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440"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成都比特兄弟网络科技有限公司</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09" w:right="0"/>
              <w:jc w:val="left"/>
              <w:rPr>
                <w:rFonts w:ascii="Times New Roman" w:hAnsi="Times New Roman" w:cs="Times New Roman" w:eastAsia="Times New Roman" w:hint="default"/>
                <w:sz w:val="18"/>
                <w:szCs w:val="18"/>
              </w:rPr>
            </w:pPr>
            <w:r>
              <w:rPr>
                <w:rFonts w:ascii="Times New Roman"/>
                <w:sz w:val="18"/>
              </w:rPr>
              <w:t>1,456,310.69</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1" w:right="0"/>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315"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43"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0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3,456,310.69</w:t>
            </w:r>
            <w:r>
              <w:rPr>
                <w:rFonts w:ascii="Times New Roman"/>
                <w:sz w:val="18"/>
              </w:rPr>
            </w:r>
          </w:p>
        </w:tc>
        <w:tc>
          <w:tcPr>
            <w:tcW w:w="1546"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3</w:t>
      </w:r>
      <w:r>
        <w:rPr/>
        <w:t>）预付款项金额前五名情况</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039"/>
        <w:gridCol w:w="1832"/>
        <w:gridCol w:w="1649"/>
        <w:gridCol w:w="1201"/>
        <w:gridCol w:w="1710"/>
      </w:tblGrid>
      <w:tr>
        <w:trPr>
          <w:trHeight w:val="272" w:hRule="exact"/>
        </w:trPr>
        <w:tc>
          <w:tcPr>
            <w:tcW w:w="3039" w:type="dxa"/>
            <w:tcBorders>
              <w:top w:val="nil" w:sz="6" w:space="0" w:color="auto"/>
              <w:left w:val="nil" w:sz="6" w:space="0" w:color="auto"/>
              <w:bottom w:val="single" w:sz="4" w:space="0" w:color="000000"/>
              <w:right w:val="nil" w:sz="6" w:space="0" w:color="auto"/>
            </w:tcBorders>
          </w:tcPr>
          <w:p>
            <w:pPr>
              <w:pStyle w:val="TableParagraph"/>
              <w:spacing w:line="180" w:lineRule="exact"/>
              <w:ind w:left="1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32" w:type="dxa"/>
            <w:tcBorders>
              <w:top w:val="nil" w:sz="6" w:space="0" w:color="auto"/>
              <w:left w:val="nil" w:sz="6" w:space="0" w:color="auto"/>
              <w:bottom w:val="single" w:sz="4" w:space="0" w:color="000000"/>
              <w:right w:val="nil" w:sz="6" w:space="0" w:color="auto"/>
            </w:tcBorders>
          </w:tcPr>
          <w:p>
            <w:pPr>
              <w:pStyle w:val="TableParagraph"/>
              <w:spacing w:line="180" w:lineRule="exact"/>
              <w:ind w:left="72"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49" w:type="dxa"/>
            <w:tcBorders>
              <w:top w:val="nil" w:sz="6" w:space="0" w:color="auto"/>
              <w:left w:val="nil" w:sz="6" w:space="0" w:color="auto"/>
              <w:bottom w:val="single" w:sz="4" w:space="0" w:color="000000"/>
              <w:right w:val="nil" w:sz="6" w:space="0" w:color="auto"/>
            </w:tcBorders>
          </w:tcPr>
          <w:p>
            <w:pPr>
              <w:pStyle w:val="TableParagraph"/>
              <w:spacing w:line="180" w:lineRule="exact"/>
              <w:ind w:left="4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01" w:type="dxa"/>
            <w:tcBorders>
              <w:top w:val="nil" w:sz="6" w:space="0" w:color="auto"/>
              <w:left w:val="nil" w:sz="6" w:space="0" w:color="auto"/>
              <w:bottom w:val="single" w:sz="4" w:space="0" w:color="000000"/>
              <w:right w:val="nil" w:sz="6" w:space="0" w:color="auto"/>
            </w:tcBorders>
          </w:tcPr>
          <w:p>
            <w:pPr>
              <w:pStyle w:val="TableParagraph"/>
              <w:spacing w:line="180" w:lineRule="exact"/>
              <w:ind w:left="2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10" w:type="dxa"/>
            <w:tcBorders>
              <w:top w:val="nil" w:sz="6" w:space="0" w:color="auto"/>
              <w:left w:val="nil" w:sz="6" w:space="0" w:color="auto"/>
              <w:bottom w:val="single" w:sz="4" w:space="0" w:color="000000"/>
              <w:right w:val="nil" w:sz="6" w:space="0" w:color="auto"/>
            </w:tcBorders>
          </w:tcPr>
          <w:p>
            <w:pPr>
              <w:pStyle w:val="TableParagraph"/>
              <w:spacing w:line="180" w:lineRule="exact"/>
              <w:ind w:left="50" w:right="0"/>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93" w:hRule="exact"/>
        </w:trPr>
        <w:tc>
          <w:tcPr>
            <w:tcW w:w="303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湖南超卓安信贸易发展有限公司</w:t>
            </w:r>
          </w:p>
        </w:tc>
        <w:tc>
          <w:tcPr>
            <w:tcW w:w="183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7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74"/>
              <w:jc w:val="right"/>
              <w:rPr>
                <w:rFonts w:ascii="Times New Roman" w:hAnsi="Times New Roman" w:cs="Times New Roman" w:eastAsia="Times New Roman" w:hint="default"/>
                <w:sz w:val="18"/>
                <w:szCs w:val="18"/>
              </w:rPr>
            </w:pPr>
            <w:r>
              <w:rPr>
                <w:rFonts w:ascii="Times New Roman"/>
                <w:spacing w:val="-1"/>
                <w:sz w:val="18"/>
              </w:rPr>
              <w:t>10,350,000.00</w:t>
            </w:r>
          </w:p>
        </w:tc>
        <w:tc>
          <w:tcPr>
            <w:tcW w:w="120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9" w:right="0"/>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44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京版北教文化传媒股份有限公司</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4"/>
              <w:jc w:val="right"/>
              <w:rPr>
                <w:rFonts w:ascii="Times New Roman" w:hAnsi="Times New Roman" w:cs="Times New Roman" w:eastAsia="Times New Roman" w:hint="default"/>
                <w:sz w:val="18"/>
                <w:szCs w:val="18"/>
              </w:rPr>
            </w:pPr>
            <w:r>
              <w:rPr>
                <w:rFonts w:ascii="Times New Roman"/>
                <w:spacing w:val="-1"/>
                <w:sz w:val="18"/>
              </w:rPr>
              <w:t>5,405,000.00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9" w:right="0"/>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44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北京爱奇艺科技有限公司</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4"/>
              <w:jc w:val="right"/>
              <w:rPr>
                <w:rFonts w:ascii="Times New Roman" w:hAnsi="Times New Roman" w:cs="Times New Roman" w:eastAsia="Times New Roman" w:hint="default"/>
                <w:sz w:val="18"/>
                <w:szCs w:val="18"/>
              </w:rPr>
            </w:pPr>
            <w:r>
              <w:rPr>
                <w:rFonts w:ascii="Times New Roman"/>
                <w:spacing w:val="-1"/>
                <w:sz w:val="18"/>
              </w:rPr>
              <w:t>3,210,167.70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9" w:right="0"/>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44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上海元起网络科技有限公司</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4"/>
              <w:jc w:val="right"/>
              <w:rPr>
                <w:rFonts w:ascii="Times New Roman" w:hAnsi="Times New Roman" w:cs="Times New Roman" w:eastAsia="Times New Roman" w:hint="default"/>
                <w:sz w:val="18"/>
                <w:szCs w:val="18"/>
              </w:rPr>
            </w:pPr>
            <w:r>
              <w:rPr>
                <w:rFonts w:ascii="Times New Roman"/>
                <w:spacing w:val="-1"/>
                <w:sz w:val="18"/>
              </w:rPr>
              <w:t>3,087,846.96</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9" w:right="0"/>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44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上海花羽信息技术有限公司</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5"/>
              <w:jc w:val="right"/>
              <w:rPr>
                <w:rFonts w:ascii="Times New Roman" w:hAnsi="Times New Roman" w:cs="Times New Roman" w:eastAsia="Times New Roman" w:hint="default"/>
                <w:sz w:val="18"/>
                <w:szCs w:val="18"/>
              </w:rPr>
            </w:pPr>
            <w:r>
              <w:rPr>
                <w:rFonts w:ascii="Times New Roman"/>
                <w:spacing w:val="-1"/>
                <w:sz w:val="18"/>
              </w:rPr>
              <w:t>2,257,281.55</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9" w:right="0"/>
              <w:jc w:val="center"/>
              <w:rPr>
                <w:rFonts w:ascii="宋体" w:hAnsi="宋体" w:cs="宋体" w:eastAsia="宋体" w:hint="default"/>
                <w:sz w:val="18"/>
                <w:szCs w:val="18"/>
              </w:rPr>
            </w:pPr>
            <w:r>
              <w:rPr>
                <w:rFonts w:ascii="宋体" w:hAnsi="宋体" w:cs="宋体" w:eastAsia="宋体" w:hint="default"/>
                <w:sz w:val="18"/>
                <w:szCs w:val="18"/>
              </w:rPr>
              <w:t>按合同约定付款</w:t>
            </w:r>
          </w:p>
        </w:tc>
      </w:tr>
      <w:tr>
        <w:trPr>
          <w:trHeight w:val="315"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15"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32"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24,310,296.21</w:t>
            </w:r>
            <w:r>
              <w:rPr>
                <w:rFonts w:ascii="Times New Roman"/>
                <w:spacing w:val="-1"/>
                <w:sz w:val="18"/>
              </w:rPr>
            </w:r>
          </w:p>
        </w:tc>
        <w:tc>
          <w:tcPr>
            <w:tcW w:w="1201"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4.应收利息" w:id="196"/>
      <w:bookmarkEnd w:id="196"/>
      <w:r>
        <w:rPr/>
      </w:r>
      <w:r>
        <w:rPr>
          <w:rFonts w:ascii="Times New Roman" w:hAnsi="Times New Roman" w:cs="Times New Roman" w:eastAsia="Times New Roman" w:hint="default"/>
        </w:rPr>
        <w:t>4.</w:t>
      </w:r>
      <w:r>
        <w:rPr/>
        <w:t>应收利息</w:t>
      </w:r>
    </w:p>
    <w:p>
      <w:pPr>
        <w:spacing w:line="240" w:lineRule="auto" w:before="1"/>
        <w:rPr>
          <w:rFonts w:ascii="宋体" w:hAnsi="宋体" w:cs="宋体" w:eastAsia="宋体" w:hint="default"/>
          <w:sz w:val="26"/>
          <w:szCs w:val="26"/>
        </w:rPr>
      </w:pPr>
    </w:p>
    <w:tbl>
      <w:tblPr>
        <w:tblW w:w="0" w:type="auto"/>
        <w:jc w:val="left"/>
        <w:tblInd w:w="1668" w:type="dxa"/>
        <w:tblLayout w:type="fixed"/>
        <w:tblCellMar>
          <w:top w:w="0" w:type="dxa"/>
          <w:left w:w="0" w:type="dxa"/>
          <w:bottom w:w="0" w:type="dxa"/>
          <w:right w:w="0" w:type="dxa"/>
        </w:tblCellMar>
        <w:tblLook w:val="01E0"/>
      </w:tblPr>
      <w:tblGrid>
        <w:gridCol w:w="3777"/>
        <w:gridCol w:w="2906"/>
        <w:gridCol w:w="2032"/>
      </w:tblGrid>
      <w:tr>
        <w:trPr>
          <w:trHeight w:val="252" w:hRule="exact"/>
        </w:trPr>
        <w:tc>
          <w:tcPr>
            <w:tcW w:w="3777" w:type="dxa"/>
            <w:tcBorders>
              <w:top w:val="nil" w:sz="6" w:space="0" w:color="auto"/>
              <w:left w:val="nil" w:sz="6" w:space="0" w:color="auto"/>
              <w:bottom w:val="single" w:sz="6" w:space="0" w:color="000000"/>
              <w:right w:val="nil" w:sz="6" w:space="0" w:color="auto"/>
            </w:tcBorders>
          </w:tcPr>
          <w:p>
            <w:pPr>
              <w:pStyle w:val="TableParagraph"/>
              <w:spacing w:line="180" w:lineRule="exact"/>
              <w:ind w:left="225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06" w:type="dxa"/>
            <w:tcBorders>
              <w:top w:val="nil" w:sz="6" w:space="0" w:color="auto"/>
              <w:left w:val="nil" w:sz="6" w:space="0" w:color="auto"/>
              <w:bottom w:val="single" w:sz="6" w:space="0" w:color="000000"/>
              <w:right w:val="nil" w:sz="6" w:space="0" w:color="auto"/>
            </w:tcBorders>
          </w:tcPr>
          <w:p>
            <w:pPr>
              <w:pStyle w:val="TableParagraph"/>
              <w:spacing w:line="180" w:lineRule="exact"/>
              <w:ind w:right="978"/>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2032" w:type="dxa"/>
            <w:tcBorders>
              <w:top w:val="nil" w:sz="6" w:space="0" w:color="auto"/>
              <w:left w:val="nil" w:sz="6" w:space="0" w:color="auto"/>
              <w:bottom w:val="single" w:sz="6" w:space="0" w:color="000000"/>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r>
      <w:tr>
        <w:trPr>
          <w:trHeight w:val="464" w:hRule="exact"/>
        </w:trPr>
        <w:tc>
          <w:tcPr>
            <w:tcW w:w="3777"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906" w:type="dxa"/>
            <w:tcBorders>
              <w:top w:val="single" w:sz="6" w:space="0" w:color="000000"/>
              <w:left w:val="nil" w:sz="6" w:space="0" w:color="auto"/>
              <w:bottom w:val="nil" w:sz="6" w:space="0" w:color="auto"/>
              <w:right w:val="nil" w:sz="6" w:space="0" w:color="auto"/>
            </w:tcBorders>
          </w:tcPr>
          <w:p>
            <w:pPr>
              <w:pStyle w:val="TableParagraph"/>
              <w:spacing w:line="240" w:lineRule="auto" w:before="139"/>
              <w:ind w:right="977"/>
              <w:jc w:val="right"/>
              <w:rPr>
                <w:rFonts w:ascii="Times New Roman" w:hAnsi="Times New Roman" w:cs="Times New Roman" w:eastAsia="Times New Roman" w:hint="default"/>
                <w:sz w:val="18"/>
                <w:szCs w:val="18"/>
              </w:rPr>
            </w:pPr>
            <w:r>
              <w:rPr>
                <w:rFonts w:ascii="Times New Roman"/>
                <w:spacing w:val="-1"/>
                <w:sz w:val="18"/>
              </w:rPr>
              <w:t>1,969,297.88</w:t>
            </w:r>
          </w:p>
        </w:tc>
        <w:tc>
          <w:tcPr>
            <w:tcW w:w="2032" w:type="dxa"/>
            <w:tcBorders>
              <w:top w:val="single" w:sz="6" w:space="0" w:color="000000"/>
              <w:left w:val="nil" w:sz="6" w:space="0" w:color="auto"/>
              <w:bottom w:val="nil" w:sz="6" w:space="0" w:color="auto"/>
              <w:right w:val="nil" w:sz="6" w:space="0" w:color="auto"/>
            </w:tcBorders>
          </w:tcPr>
          <w:p>
            <w:pPr>
              <w:pStyle w:val="TableParagraph"/>
              <w:spacing w:line="240" w:lineRule="auto" w:before="139"/>
              <w:ind w:right="105"/>
              <w:jc w:val="right"/>
              <w:rPr>
                <w:rFonts w:ascii="Times New Roman" w:hAnsi="Times New Roman" w:cs="Times New Roman" w:eastAsia="Times New Roman" w:hint="default"/>
                <w:sz w:val="18"/>
                <w:szCs w:val="18"/>
              </w:rPr>
            </w:pPr>
            <w:r>
              <w:rPr>
                <w:rFonts w:ascii="Times New Roman"/>
                <w:spacing w:val="-1"/>
                <w:sz w:val="18"/>
              </w:rPr>
              <w:t>1,078,210.56</w:t>
            </w:r>
          </w:p>
        </w:tc>
      </w:tr>
      <w:tr>
        <w:trPr>
          <w:trHeight w:val="304"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8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1,969,297.88</w:t>
            </w:r>
            <w:r>
              <w:rPr>
                <w:rFonts w:ascii="Times New Roman"/>
                <w:spacing w:val="-1"/>
                <w:sz w:val="18"/>
              </w:rPr>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1,078,210.56</w:t>
            </w:r>
            <w:r>
              <w:rPr>
                <w:rFonts w:ascii="Times New Roman"/>
                <w:spacing w:val="-1"/>
                <w:sz w:val="18"/>
              </w:rPr>
            </w: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5.其他应收款" w:id="197"/>
      <w:bookmarkEnd w:id="197"/>
      <w:r>
        <w:rPr/>
      </w:r>
      <w:r>
        <w:rPr>
          <w:rFonts w:ascii="Times New Roman" w:hAnsi="Times New Roman" w:cs="Times New Roman" w:eastAsia="Times New Roman" w:hint="default"/>
        </w:rPr>
        <w:t>5.</w:t>
      </w:r>
      <w:r>
        <w:rPr/>
        <w:t>其他应收款</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13"/>
        <w:rPr>
          <w:rFonts w:ascii="宋体" w:hAnsi="宋体" w:cs="宋体" w:eastAsia="宋体" w:hint="default"/>
          <w:sz w:val="21"/>
          <w:szCs w:val="21"/>
        </w:rPr>
      </w:pPr>
    </w:p>
    <w:p>
      <w:pPr>
        <w:spacing w:before="53"/>
        <w:ind w:left="7628" w:right="1117" w:firstLine="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p>
      <w:pPr>
        <w:spacing w:line="240" w:lineRule="auto" w:before="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979" w:top="1060" w:bottom="1160" w:left="0" w:right="0"/>
        </w:sectPr>
      </w:pPr>
    </w:p>
    <w:p>
      <w:pPr>
        <w:tabs>
          <w:tab w:pos="2199" w:val="left" w:leader="none"/>
        </w:tabs>
        <w:spacing w:line="188" w:lineRule="exact" w:before="53"/>
        <w:ind w:left="0" w:right="0" w:firstLine="0"/>
        <w:jc w:val="right"/>
        <w:rPr>
          <w:rFonts w:ascii="宋体" w:hAnsi="宋体" w:cs="宋体" w:eastAsia="宋体" w:hint="default"/>
          <w:sz w:val="15"/>
          <w:szCs w:val="15"/>
        </w:rPr>
      </w:pPr>
      <w:r>
        <w:rPr>
          <w:rFonts w:ascii="宋体" w:hAnsi="宋体" w:cs="宋体" w:eastAsia="宋体" w:hint="default"/>
          <w:b/>
          <w:bCs/>
          <w:w w:val="95"/>
          <w:sz w:val="15"/>
          <w:szCs w:val="15"/>
        </w:rPr>
        <w:t>账面余额</w:t>
        <w:tab/>
        <w:t>坏账准备</w:t>
      </w:r>
      <w:r>
        <w:rPr>
          <w:rFonts w:ascii="宋体" w:hAnsi="宋体" w:cs="宋体" w:eastAsia="宋体" w:hint="default"/>
          <w:sz w:val="15"/>
          <w:szCs w:val="15"/>
        </w:rPr>
      </w:r>
    </w:p>
    <w:p>
      <w:pPr>
        <w:spacing w:line="188" w:lineRule="exact" w:before="0"/>
        <w:ind w:left="2970" w:right="5203" w:firstLine="0"/>
        <w:jc w:val="center"/>
        <w:rPr>
          <w:rFonts w:ascii="宋体" w:hAnsi="宋体" w:cs="宋体" w:eastAsia="宋体" w:hint="default"/>
          <w:sz w:val="15"/>
          <w:szCs w:val="15"/>
        </w:rPr>
      </w:pPr>
      <w:r>
        <w:rPr>
          <w:rFonts w:ascii="宋体" w:hAnsi="宋体" w:cs="宋体" w:eastAsia="宋体" w:hint="default"/>
          <w:b/>
          <w:bCs/>
          <w:sz w:val="15"/>
          <w:szCs w:val="15"/>
        </w:rPr>
        <w:t>类</w:t>
      </w:r>
      <w:r>
        <w:rPr>
          <w:rFonts w:ascii="宋体" w:hAnsi="宋体" w:cs="宋体" w:eastAsia="宋体" w:hint="default"/>
          <w:b/>
          <w:bCs/>
          <w:spacing w:val="72"/>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p>
      <w:pPr>
        <w:spacing w:line="240" w:lineRule="auto" w:before="2"/>
        <w:rPr>
          <w:rFonts w:ascii="宋体" w:hAnsi="宋体" w:cs="宋体" w:eastAsia="宋体" w:hint="default"/>
          <w:b/>
          <w:bCs/>
          <w:sz w:val="20"/>
          <w:szCs w:val="20"/>
        </w:rPr>
      </w:pPr>
    </w:p>
    <w:p>
      <w:pPr>
        <w:tabs>
          <w:tab w:pos="6487" w:val="left" w:leader="none"/>
          <w:tab w:pos="7684" w:val="left" w:leader="none"/>
        </w:tabs>
        <w:spacing w:before="0"/>
        <w:ind w:left="5597" w:right="0" w:firstLine="0"/>
        <w:jc w:val="left"/>
        <w:rPr>
          <w:rFonts w:ascii="宋体" w:hAnsi="宋体" w:cs="宋体" w:eastAsia="宋体" w:hint="default"/>
          <w:sz w:val="15"/>
          <w:szCs w:val="15"/>
        </w:rPr>
      </w:pPr>
      <w:r>
        <w:rPr>
          <w:rFonts w:ascii="宋体" w:hAnsi="宋体" w:cs="宋体" w:eastAsia="宋体" w:hint="default"/>
          <w:b/>
          <w:bCs/>
          <w:spacing w:val="1"/>
          <w:w w:val="99"/>
          <w:sz w:val="15"/>
          <w:szCs w:val="15"/>
        </w:rPr>
        <w:t>金</w:t>
      </w:r>
      <w:r>
        <w:rPr>
          <w:rFonts w:ascii="宋体" w:hAnsi="宋体" w:cs="宋体" w:eastAsia="宋体" w:hint="default"/>
          <w:b/>
          <w:bCs/>
          <w:w w:val="99"/>
          <w:sz w:val="15"/>
          <w:szCs w:val="15"/>
        </w:rPr>
        <w:t>额</w:t>
      </w:r>
      <w:r>
        <w:rPr>
          <w:rFonts w:ascii="宋体" w:hAnsi="宋体" w:cs="宋体" w:eastAsia="宋体" w:hint="default"/>
          <w:b/>
          <w:bCs/>
          <w:sz w:val="15"/>
          <w:szCs w:val="15"/>
        </w:rPr>
        <w:tab/>
      </w:r>
      <w:r>
        <w:rPr>
          <w:rFonts w:ascii="宋体" w:hAnsi="宋体" w:cs="宋体" w:eastAsia="宋体" w:hint="default"/>
          <w:b/>
          <w:bCs/>
          <w:spacing w:val="1"/>
          <w:w w:val="99"/>
          <w:sz w:val="15"/>
          <w:szCs w:val="15"/>
        </w:rPr>
        <w:t>比</w:t>
      </w:r>
      <w:r>
        <w:rPr>
          <w:rFonts w:ascii="宋体" w:hAnsi="宋体" w:cs="宋体" w:eastAsia="宋体" w:hint="default"/>
          <w:b/>
          <w:bCs/>
          <w:spacing w:val="-66"/>
          <w:w w:val="99"/>
          <w:sz w:val="15"/>
          <w:szCs w:val="15"/>
        </w:rPr>
        <w:t>例</w:t>
      </w:r>
      <w:r>
        <w:rPr>
          <w:rFonts w:ascii="宋体" w:hAnsi="宋体" w:cs="宋体" w:eastAsia="宋体" w:hint="default"/>
          <w:b/>
          <w:bCs/>
          <w:spacing w:val="1"/>
          <w:w w:val="99"/>
          <w:sz w:val="15"/>
          <w:szCs w:val="15"/>
        </w:rPr>
        <w:t>（</w:t>
      </w:r>
      <w:r>
        <w:rPr>
          <w:rFonts w:ascii="Times New Roman" w:hAnsi="Times New Roman" w:cs="Times New Roman" w:eastAsia="Times New Roman" w:hint="default"/>
          <w:b/>
          <w:bCs/>
          <w:spacing w:val="-2"/>
          <w:sz w:val="15"/>
          <w:szCs w:val="15"/>
        </w:rPr>
        <w:t>%</w:t>
      </w:r>
      <w:r>
        <w:rPr>
          <w:rFonts w:ascii="宋体" w:hAnsi="宋体" w:cs="宋体" w:eastAsia="宋体" w:hint="default"/>
          <w:b/>
          <w:bCs/>
          <w:w w:val="99"/>
          <w:sz w:val="15"/>
          <w:szCs w:val="15"/>
        </w:rPr>
        <w:t>）</w:t>
      </w:r>
      <w:r>
        <w:rPr>
          <w:rFonts w:ascii="宋体" w:hAnsi="宋体" w:cs="宋体" w:eastAsia="宋体" w:hint="default"/>
          <w:b/>
          <w:bCs/>
          <w:sz w:val="15"/>
          <w:szCs w:val="15"/>
        </w:rPr>
        <w:tab/>
      </w:r>
      <w:r>
        <w:rPr>
          <w:rFonts w:ascii="宋体" w:hAnsi="宋体" w:cs="宋体" w:eastAsia="宋体" w:hint="default"/>
          <w:b/>
          <w:bCs/>
          <w:spacing w:val="1"/>
          <w:w w:val="99"/>
          <w:sz w:val="15"/>
          <w:szCs w:val="15"/>
        </w:rPr>
        <w:t>金额</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0"/>
        <w:rPr>
          <w:rFonts w:ascii="宋体" w:hAnsi="宋体" w:cs="宋体" w:eastAsia="宋体" w:hint="default"/>
          <w:b/>
          <w:bCs/>
          <w:sz w:val="14"/>
          <w:szCs w:val="14"/>
        </w:rPr>
      </w:pPr>
    </w:p>
    <w:p>
      <w:pPr>
        <w:spacing w:line="240" w:lineRule="auto" w:before="3"/>
        <w:rPr>
          <w:rFonts w:ascii="宋体" w:hAnsi="宋体" w:cs="宋体" w:eastAsia="宋体" w:hint="default"/>
          <w:b/>
          <w:bCs/>
          <w:sz w:val="11"/>
          <w:szCs w:val="11"/>
        </w:rPr>
      </w:pPr>
    </w:p>
    <w:p>
      <w:pPr>
        <w:spacing w:before="0"/>
        <w:ind w:left="-12" w:right="-20" w:firstLine="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p>
      <w:pPr>
        <w:spacing w:line="240" w:lineRule="auto" w:before="8"/>
        <w:rPr>
          <w:rFonts w:ascii="宋体" w:hAnsi="宋体" w:cs="宋体" w:eastAsia="宋体" w:hint="default"/>
          <w:b/>
          <w:bCs/>
          <w:sz w:val="12"/>
          <w:szCs w:val="12"/>
        </w:rPr>
      </w:pPr>
    </w:p>
    <w:p>
      <w:pPr>
        <w:spacing w:before="0"/>
        <w:ind w:left="63" w:right="-20"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0"/>
        <w:rPr>
          <w:rFonts w:ascii="宋体" w:hAnsi="宋体" w:cs="宋体" w:eastAsia="宋体" w:hint="default"/>
          <w:b/>
          <w:bCs/>
          <w:sz w:val="14"/>
          <w:szCs w:val="14"/>
        </w:rPr>
      </w:pPr>
    </w:p>
    <w:p>
      <w:pPr>
        <w:spacing w:before="97"/>
        <w:ind w:left="495" w:right="0" w:firstLine="0"/>
        <w:jc w:val="left"/>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780" w:bottom="840" w:left="0" w:right="0"/>
          <w:cols w:num="3" w:equalWidth="0">
            <w:col w:w="8663" w:space="40"/>
            <w:col w:w="591" w:space="40"/>
            <w:col w:w="2576"/>
          </w:cols>
        </w:sectPr>
      </w:pPr>
    </w:p>
    <w:p>
      <w:pPr>
        <w:spacing w:line="240" w:lineRule="auto" w:before="1"/>
        <w:rPr>
          <w:rFonts w:ascii="宋体" w:hAnsi="宋体" w:cs="宋体" w:eastAsia="宋体" w:hint="default"/>
          <w:b/>
          <w:bCs/>
          <w:sz w:val="6"/>
          <w:szCs w:val="6"/>
        </w:rPr>
      </w:pPr>
    </w:p>
    <w:p>
      <w:pPr>
        <w:spacing w:line="20" w:lineRule="exact"/>
        <w:ind w:left="1300" w:right="0" w:firstLine="0"/>
        <w:rPr>
          <w:rFonts w:ascii="宋体" w:hAnsi="宋体" w:cs="宋体" w:eastAsia="宋体" w:hint="default"/>
          <w:sz w:val="2"/>
          <w:szCs w:val="2"/>
        </w:rPr>
      </w:pPr>
      <w:r>
        <w:rPr>
          <w:rFonts w:ascii="宋体" w:hAnsi="宋体" w:cs="宋体" w:eastAsia="宋体" w:hint="default"/>
          <w:sz w:val="2"/>
          <w:szCs w:val="2"/>
        </w:rPr>
        <w:pict>
          <v:group style="width:472.5pt;height:1pt;mso-position-horizontal-relative:char;mso-position-vertical-relative:line" coordorigin="0,0" coordsize="9450,20">
            <v:group style="position:absolute;left:10;top:10;width:3809;height:2" coordorigin="10,10" coordsize="3809,2">
              <v:shape style="position:absolute;left:10;top:10;width:3809;height:2" coordorigin="10,10" coordsize="3809,0" path="m10,10l3818,10e" filled="false" stroked="true" strokeweight=".96pt" strokecolor="#000000">
                <v:path arrowok="t"/>
              </v:shape>
            </v:group>
            <v:group style="position:absolute;left:3818;top:10;width:20;height:2" coordorigin="3818,10" coordsize="20,2">
              <v:shape style="position:absolute;left:3818;top:10;width:20;height:2" coordorigin="3818,10" coordsize="20,0" path="m3818,10l3837,10e" filled="false" stroked="true" strokeweight=".96pt" strokecolor="#000000">
                <v:path arrowok="t"/>
              </v:shape>
            </v:group>
            <v:group style="position:absolute;left:3837;top:10;width:1242;height:2" coordorigin="3837,10" coordsize="1242,2">
              <v:shape style="position:absolute;left:3837;top:10;width:1242;height:2" coordorigin="3837,10" coordsize="1242,0" path="m3837,10l5079,10e" filled="false" stroked="true" strokeweight=".96pt" strokecolor="#000000">
                <v:path arrowok="t"/>
              </v:shape>
            </v:group>
            <v:group style="position:absolute;left:5079;top:10;width:20;height:2" coordorigin="5079,10" coordsize="20,2">
              <v:shape style="position:absolute;left:5079;top:10;width:20;height:2" coordorigin="5079,10" coordsize="20,0" path="m5079,10l5098,10e" filled="false" stroked="true" strokeweight=".96pt" strokecolor="#000000">
                <v:path arrowok="t"/>
              </v:shape>
            </v:group>
            <v:group style="position:absolute;left:5098;top:10;width:808;height:2" coordorigin="5098,10" coordsize="808,2">
              <v:shape style="position:absolute;left:5098;top:10;width:808;height:2" coordorigin="5098,10" coordsize="808,0" path="m5098,10l5906,10e" filled="false" stroked="true" strokeweight=".96pt" strokecolor="#000000">
                <v:path arrowok="t"/>
              </v:shape>
            </v:group>
            <v:group style="position:absolute;left:5906;top:10;width:20;height:2" coordorigin="5906,10" coordsize="20,2">
              <v:shape style="position:absolute;left:5906;top:10;width:20;height:2" coordorigin="5906,10" coordsize="20,0" path="m5906,10l5925,10e" filled="false" stroked="true" strokeweight=".96pt" strokecolor="#000000">
                <v:path arrowok="t"/>
              </v:shape>
            </v:group>
            <v:group style="position:absolute;left:5925;top:10;width:1242;height:2" coordorigin="5925,10" coordsize="1242,2">
              <v:shape style="position:absolute;left:5925;top:10;width:1242;height:2" coordorigin="5925,10" coordsize="1242,0" path="m5925,10l7166,10e" filled="false" stroked="true" strokeweight=".96pt" strokecolor="#000000">
                <v:path arrowok="t"/>
              </v:shape>
            </v:group>
            <v:group style="position:absolute;left:7166;top:10;width:20;height:2" coordorigin="7166,10" coordsize="20,2">
              <v:shape style="position:absolute;left:7166;top:10;width:20;height:2" coordorigin="7166,10" coordsize="20,0" path="m7166,10l7186,10e" filled="false" stroked="true" strokeweight=".96pt" strokecolor="#000000">
                <v:path arrowok="t"/>
              </v:shape>
            </v:group>
            <v:group style="position:absolute;left:7186;top:10;width:1031;height:2" coordorigin="7186,10" coordsize="1031,2">
              <v:shape style="position:absolute;left:7186;top:10;width:1031;height:2" coordorigin="7186,10" coordsize="1031,0" path="m7186,10l8216,10e" filled="false" stroked="true" strokeweight=".96pt" strokecolor="#000000">
                <v:path arrowok="t"/>
              </v:shape>
            </v:group>
            <v:group style="position:absolute;left:8216;top:10;width:20;height:2" coordorigin="8216,10" coordsize="20,2">
              <v:shape style="position:absolute;left:8216;top:10;width:20;height:2" coordorigin="8216,10" coordsize="20,0" path="m8216,10l8236,10e" filled="false" stroked="true" strokeweight=".96pt" strokecolor="#000000">
                <v:path arrowok="t"/>
              </v:shape>
            </v:group>
            <v:group style="position:absolute;left:8236;top:10;width:1205;height:2" coordorigin="8236,10" coordsize="1205,2">
              <v:shape style="position:absolute;left:8236;top:10;width:1205;height:2" coordorigin="8236,10" coordsize="1205,0" path="m8236,10l9440,10e" filled="false" stroked="true" strokeweight=".96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7"/>
          <w:szCs w:val="7"/>
        </w:rPr>
      </w:pPr>
    </w:p>
    <w:p>
      <w:pPr>
        <w:spacing w:before="53"/>
        <w:ind w:left="1418" w:right="1117" w:firstLine="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单项金额重大并单独计提坏账准备的其他应收款</w:t>
      </w:r>
    </w:p>
    <w:p>
      <w:pPr>
        <w:spacing w:line="240" w:lineRule="auto" w:before="6"/>
        <w:rPr>
          <w:rFonts w:ascii="宋体" w:hAnsi="宋体" w:cs="宋体" w:eastAsia="宋体" w:hint="default"/>
          <w:sz w:val="14"/>
          <w:szCs w:val="14"/>
        </w:rPr>
      </w:pPr>
    </w:p>
    <w:p>
      <w:pPr>
        <w:spacing w:line="537" w:lineRule="auto" w:before="53"/>
        <w:ind w:left="1418" w:right="7318" w:firstLine="0"/>
        <w:jc w:val="left"/>
        <w:rPr>
          <w:rFonts w:ascii="Times New Roman" w:hAnsi="Times New Roman" w:cs="Times New Roman" w:eastAsia="Times New Roman" w:hint="default"/>
          <w:sz w:val="15"/>
          <w:szCs w:val="15"/>
        </w:rPr>
      </w:pPr>
      <w:r>
        <w:rPr/>
        <w:pict>
          <v:shape style="position:absolute;margin-left:268.649994pt;margin-top:27.394697pt;width:264.75pt;height:93.5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5"/>
                    <w:gridCol w:w="856"/>
                    <w:gridCol w:w="1418"/>
                    <w:gridCol w:w="837"/>
                    <w:gridCol w:w="1078"/>
                  </w:tblGrid>
                  <w:tr>
                    <w:trPr>
                      <w:trHeight w:val="295" w:hRule="exact"/>
                    </w:trPr>
                    <w:tc>
                      <w:tcPr>
                        <w:tcW w:w="1105" w:type="dxa"/>
                        <w:tcBorders>
                          <w:top w:val="nil" w:sz="6" w:space="0" w:color="auto"/>
                          <w:left w:val="nil" w:sz="6" w:space="0" w:color="auto"/>
                          <w:bottom w:val="nil" w:sz="6" w:space="0" w:color="auto"/>
                          <w:right w:val="nil" w:sz="6" w:space="0" w:color="auto"/>
                        </w:tcBorders>
                      </w:tcPr>
                      <w:p>
                        <w:pPr>
                          <w:pStyle w:val="TableParagraph"/>
                          <w:spacing w:line="153" w:lineRule="exact"/>
                          <w:ind w:left="36" w:right="0"/>
                          <w:jc w:val="left"/>
                          <w:rPr>
                            <w:rFonts w:ascii="Times New Roman" w:hAnsi="Times New Roman" w:cs="Times New Roman" w:eastAsia="Times New Roman" w:hint="default"/>
                            <w:sz w:val="15"/>
                            <w:szCs w:val="15"/>
                          </w:rPr>
                        </w:pPr>
                        <w:r>
                          <w:rPr>
                            <w:rFonts w:ascii="Times New Roman"/>
                            <w:sz w:val="15"/>
                          </w:rPr>
                          <w:t>68,153,486.65</w:t>
                        </w:r>
                      </w:p>
                    </w:tc>
                    <w:tc>
                      <w:tcPr>
                        <w:tcW w:w="856" w:type="dxa"/>
                        <w:tcBorders>
                          <w:top w:val="nil" w:sz="6" w:space="0" w:color="auto"/>
                          <w:left w:val="nil" w:sz="6" w:space="0" w:color="auto"/>
                          <w:bottom w:val="nil" w:sz="6" w:space="0" w:color="auto"/>
                          <w:right w:val="nil" w:sz="6" w:space="0" w:color="auto"/>
                        </w:tcBorders>
                      </w:tcPr>
                      <w:p>
                        <w:pPr>
                          <w:pStyle w:val="TableParagraph"/>
                          <w:spacing w:line="153" w:lineRule="exact"/>
                          <w:ind w:right="234"/>
                          <w:jc w:val="right"/>
                          <w:rPr>
                            <w:rFonts w:ascii="Times New Roman" w:hAnsi="Times New Roman" w:cs="Times New Roman" w:eastAsia="Times New Roman" w:hint="default"/>
                            <w:sz w:val="15"/>
                            <w:szCs w:val="15"/>
                          </w:rPr>
                        </w:pPr>
                        <w:r>
                          <w:rPr>
                            <w:rFonts w:ascii="Times New Roman"/>
                            <w:spacing w:val="-1"/>
                            <w:sz w:val="15"/>
                          </w:rPr>
                          <w:t>81.20</w:t>
                        </w:r>
                      </w:p>
                    </w:tc>
                    <w:tc>
                      <w:tcPr>
                        <w:tcW w:w="1418" w:type="dxa"/>
                        <w:tcBorders>
                          <w:top w:val="nil" w:sz="6" w:space="0" w:color="auto"/>
                          <w:left w:val="nil" w:sz="6" w:space="0" w:color="auto"/>
                          <w:bottom w:val="nil" w:sz="6" w:space="0" w:color="auto"/>
                          <w:right w:val="nil" w:sz="6" w:space="0" w:color="auto"/>
                        </w:tcBorders>
                      </w:tcPr>
                      <w:p>
                        <w:pPr>
                          <w:pStyle w:val="TableParagraph"/>
                          <w:spacing w:line="153" w:lineRule="exact"/>
                          <w:ind w:right="392"/>
                          <w:jc w:val="right"/>
                          <w:rPr>
                            <w:rFonts w:ascii="Times New Roman" w:hAnsi="Times New Roman" w:cs="Times New Roman" w:eastAsia="Times New Roman" w:hint="default"/>
                            <w:sz w:val="15"/>
                            <w:szCs w:val="15"/>
                          </w:rPr>
                        </w:pPr>
                        <w:r>
                          <w:rPr>
                            <w:rFonts w:ascii="Times New Roman"/>
                            <w:spacing w:val="-1"/>
                            <w:sz w:val="15"/>
                          </w:rPr>
                          <w:t>6,056,489.01</w:t>
                        </w:r>
                      </w:p>
                    </w:tc>
                    <w:tc>
                      <w:tcPr>
                        <w:tcW w:w="837" w:type="dxa"/>
                        <w:tcBorders>
                          <w:top w:val="nil" w:sz="6" w:space="0" w:color="auto"/>
                          <w:left w:val="nil" w:sz="6" w:space="0" w:color="auto"/>
                          <w:bottom w:val="nil" w:sz="6" w:space="0" w:color="auto"/>
                          <w:right w:val="nil" w:sz="6" w:space="0" w:color="auto"/>
                        </w:tcBorders>
                      </w:tcPr>
                      <w:p>
                        <w:pPr>
                          <w:pStyle w:val="TableParagraph"/>
                          <w:spacing w:line="153" w:lineRule="exact"/>
                          <w:ind w:right="177"/>
                          <w:jc w:val="right"/>
                          <w:rPr>
                            <w:rFonts w:ascii="Times New Roman" w:hAnsi="Times New Roman" w:cs="Times New Roman" w:eastAsia="Times New Roman" w:hint="default"/>
                            <w:sz w:val="15"/>
                            <w:szCs w:val="15"/>
                          </w:rPr>
                        </w:pPr>
                        <w:r>
                          <w:rPr>
                            <w:rFonts w:ascii="Times New Roman"/>
                            <w:sz w:val="15"/>
                          </w:rPr>
                          <w:t>8.89</w:t>
                        </w:r>
                      </w:p>
                    </w:tc>
                    <w:tc>
                      <w:tcPr>
                        <w:tcW w:w="1078" w:type="dxa"/>
                        <w:tcBorders>
                          <w:top w:val="nil" w:sz="6" w:space="0" w:color="auto"/>
                          <w:left w:val="nil" w:sz="6" w:space="0" w:color="auto"/>
                          <w:bottom w:val="nil" w:sz="6" w:space="0" w:color="auto"/>
                          <w:right w:val="nil" w:sz="6" w:space="0" w:color="auto"/>
                        </w:tcBorders>
                      </w:tcPr>
                      <w:p>
                        <w:pPr>
                          <w:pStyle w:val="TableParagraph"/>
                          <w:spacing w:line="153" w:lineRule="exact"/>
                          <w:ind w:right="33"/>
                          <w:jc w:val="right"/>
                          <w:rPr>
                            <w:rFonts w:ascii="Times New Roman" w:hAnsi="Times New Roman" w:cs="Times New Roman" w:eastAsia="Times New Roman" w:hint="default"/>
                            <w:sz w:val="15"/>
                            <w:szCs w:val="15"/>
                          </w:rPr>
                        </w:pPr>
                        <w:r>
                          <w:rPr>
                            <w:rFonts w:ascii="Times New Roman"/>
                            <w:spacing w:val="-1"/>
                            <w:sz w:val="15"/>
                          </w:rPr>
                          <w:t>62,096,997.64</w:t>
                        </w:r>
                      </w:p>
                    </w:tc>
                  </w:tr>
                  <w:tr>
                    <w:trPr>
                      <w:trHeight w:val="440" w:hRule="exact"/>
                    </w:trPr>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6" w:right="0"/>
                          <w:jc w:val="left"/>
                          <w:rPr>
                            <w:rFonts w:ascii="Times New Roman" w:hAnsi="Times New Roman" w:cs="Times New Roman" w:eastAsia="Times New Roman" w:hint="default"/>
                            <w:sz w:val="15"/>
                            <w:szCs w:val="15"/>
                          </w:rPr>
                        </w:pPr>
                        <w:r>
                          <w:rPr>
                            <w:rFonts w:ascii="Times New Roman"/>
                            <w:sz w:val="15"/>
                          </w:rPr>
                          <w:t>15,775,074.30</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4"/>
                          <w:jc w:val="right"/>
                          <w:rPr>
                            <w:rFonts w:ascii="Times New Roman" w:hAnsi="Times New Roman" w:cs="Times New Roman" w:eastAsia="Times New Roman" w:hint="default"/>
                            <w:sz w:val="15"/>
                            <w:szCs w:val="15"/>
                          </w:rPr>
                        </w:pPr>
                        <w:r>
                          <w:rPr>
                            <w:rFonts w:ascii="Times New Roman"/>
                            <w:spacing w:val="-1"/>
                            <w:sz w:val="15"/>
                          </w:rPr>
                          <w:t>18.80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92"/>
                          <w:jc w:val="right"/>
                          <w:rPr>
                            <w:rFonts w:ascii="Times New Roman" w:hAnsi="Times New Roman" w:cs="Times New Roman" w:eastAsia="Times New Roman" w:hint="default"/>
                            <w:sz w:val="15"/>
                            <w:szCs w:val="15"/>
                          </w:rPr>
                        </w:pPr>
                        <w:r>
                          <w:rPr>
                            <w:rFonts w:ascii="Times New Roman"/>
                            <w:spacing w:val="-1"/>
                            <w:sz w:val="15"/>
                          </w:rPr>
                          <w:t>868,260.08</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77"/>
                          <w:jc w:val="right"/>
                          <w:rPr>
                            <w:rFonts w:ascii="Times New Roman" w:hAnsi="Times New Roman" w:cs="Times New Roman" w:eastAsia="Times New Roman" w:hint="default"/>
                            <w:sz w:val="15"/>
                            <w:szCs w:val="15"/>
                          </w:rPr>
                        </w:pPr>
                        <w:r>
                          <w:rPr>
                            <w:rFonts w:ascii="Times New Roman"/>
                            <w:sz w:val="15"/>
                          </w:rPr>
                          <w:t>5.50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pacing w:val="-1"/>
                            <w:sz w:val="15"/>
                          </w:rPr>
                          <w:t>14,906,814.22</w:t>
                        </w:r>
                      </w:p>
                    </w:tc>
                  </w:tr>
                  <w:tr>
                    <w:trPr>
                      <w:trHeight w:val="640" w:hRule="exact"/>
                    </w:trPr>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6"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83,928,560.95</w:t>
                        </w:r>
                        <w:r>
                          <w:rPr>
                            <w:rFonts w:ascii="Times New Roman"/>
                            <w:sz w:val="15"/>
                          </w:rPr>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100.00</w:t>
                        </w:r>
                        <w:r>
                          <w:rPr>
                            <w:rFonts w:ascii="Times New Roman"/>
                            <w:spacing w:val="-1"/>
                            <w:sz w:val="15"/>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9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6,924,749.09</w:t>
                        </w:r>
                        <w:r>
                          <w:rPr>
                            <w:rFonts w:ascii="Times New Roman"/>
                            <w:spacing w:val="-1"/>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77"/>
                          <w:jc w:val="righ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8.25</w:t>
                        </w:r>
                        <w:r>
                          <w:rPr>
                            <w:rFonts w:ascii="Times New Roman"/>
                            <w:sz w:val="15"/>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77,003,811.86</w:t>
                        </w:r>
                        <w:r>
                          <w:rPr>
                            <w:rFonts w:ascii="Times New Roman"/>
                            <w:spacing w:val="-1"/>
                            <w:sz w:val="15"/>
                          </w:rPr>
                        </w:r>
                      </w:p>
                    </w:tc>
                  </w:tr>
                  <w:tr>
                    <w:trPr>
                      <w:trHeight w:val="495" w:hRule="exact"/>
                    </w:trPr>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83,928,560.95</w:t>
                        </w:r>
                        <w:r>
                          <w:rPr>
                            <w:rFonts w:ascii="Times New Roman"/>
                            <w:sz w:val="15"/>
                          </w:rPr>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3"/>
                          <w:jc w:val="righ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93"/>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6,924,749.09</w:t>
                        </w:r>
                        <w:r>
                          <w:rPr>
                            <w:rFonts w:ascii="Times New Roman"/>
                            <w:spacing w:val="-1"/>
                            <w:sz w:val="15"/>
                          </w:rPr>
                        </w:r>
                      </w:p>
                    </w:tc>
                    <w:tc>
                      <w:tcPr>
                        <w:tcW w:w="837"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77,003,811.86</w:t>
                        </w:r>
                        <w:r>
                          <w:rPr>
                            <w:rFonts w:ascii="Times New Roman"/>
                            <w:spacing w:val="-1"/>
                            <w:sz w:val="15"/>
                          </w:rPr>
                        </w:r>
                      </w:p>
                    </w:tc>
                  </w:tr>
                </w:tbl>
                <w:p>
                  <w:pPr/>
                </w:p>
              </w:txbxContent>
            </v:textbox>
            <w10:wrap type="none"/>
          </v:shape>
        </w:pict>
      </w:r>
      <w:r>
        <w:rPr>
          <w:rFonts w:ascii="宋体" w:hAnsi="宋体" w:cs="宋体" w:eastAsia="宋体" w:hint="default"/>
          <w:sz w:val="15"/>
          <w:szCs w:val="15"/>
        </w:rPr>
        <w:t>按信用风险特征组合计提坏账准备的其他应收款 组合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p>
      <w:pPr>
        <w:spacing w:before="26"/>
        <w:ind w:left="1418" w:right="1117"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p>
    <w:p>
      <w:pPr>
        <w:spacing w:line="240" w:lineRule="auto" w:before="5"/>
        <w:rPr>
          <w:rFonts w:ascii="Times New Roman" w:hAnsi="Times New Roman" w:cs="Times New Roman" w:eastAsia="Times New Roman" w:hint="default"/>
          <w:sz w:val="15"/>
          <w:szCs w:val="15"/>
        </w:rPr>
      </w:pPr>
    </w:p>
    <w:p>
      <w:pPr>
        <w:spacing w:before="53"/>
        <w:ind w:left="1418" w:right="1117" w:firstLine="0"/>
        <w:jc w:val="left"/>
        <w:rPr>
          <w:rFonts w:ascii="宋体" w:hAnsi="宋体" w:cs="宋体" w:eastAsia="宋体" w:hint="default"/>
          <w:sz w:val="15"/>
          <w:szCs w:val="15"/>
        </w:rPr>
      </w:pPr>
      <w:r>
        <w:rPr>
          <w:rFonts w:ascii="宋体" w:hAnsi="宋体" w:cs="宋体" w:eastAsia="宋体" w:hint="default"/>
          <w:sz w:val="15"/>
          <w:szCs w:val="15"/>
        </w:rPr>
        <w:t>组合小计</w:t>
      </w:r>
    </w:p>
    <w:p>
      <w:pPr>
        <w:spacing w:line="240" w:lineRule="auto" w:before="7"/>
        <w:rPr>
          <w:rFonts w:ascii="宋体" w:hAnsi="宋体" w:cs="宋体" w:eastAsia="宋体" w:hint="default"/>
          <w:sz w:val="14"/>
          <w:szCs w:val="14"/>
        </w:rPr>
      </w:pPr>
    </w:p>
    <w:p>
      <w:pPr>
        <w:spacing w:before="53"/>
        <w:ind w:left="1418" w:right="1117" w:firstLine="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单项金额不重大但单独计提坏账准备的其他应收款</w:t>
      </w:r>
    </w:p>
    <w:p>
      <w:pPr>
        <w:spacing w:line="240" w:lineRule="auto" w:before="9"/>
        <w:rPr>
          <w:rFonts w:ascii="宋体" w:hAnsi="宋体" w:cs="宋体" w:eastAsia="宋体" w:hint="default"/>
          <w:sz w:val="18"/>
          <w:szCs w:val="18"/>
        </w:rPr>
      </w:pPr>
    </w:p>
    <w:p>
      <w:pPr>
        <w:spacing w:before="0"/>
        <w:ind w:left="2989" w:right="1117" w:firstLine="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1117"/>
        <w:jc w:val="left"/>
      </w:pPr>
      <w:r>
        <w:rPr/>
        <w:pict>
          <v:group style="position:absolute;margin-left:65.040001pt;margin-top:108.031723pt;width:472.5pt;height:1pt;mso-position-horizontal-relative:page;mso-position-vertical-relative:paragraph;z-index:-947104" coordorigin="1301,2161" coordsize="9450,20">
            <v:group style="position:absolute;left:1310;top:2170;width:3870;height:2" coordorigin="1310,2170" coordsize="3870,2">
              <v:shape style="position:absolute;left:1310;top:2170;width:3870;height:2" coordorigin="1310,2170" coordsize="3870,0" path="m1310,2170l5180,2170e" filled="false" stroked="true" strokeweight=".96pt" strokecolor="#000000">
                <v:path arrowok="t"/>
              </v:shape>
            </v:group>
            <v:group style="position:absolute;left:5180;top:2170;width:20;height:2" coordorigin="5180,2170" coordsize="20,2">
              <v:shape style="position:absolute;left:5180;top:2170;width:20;height:2" coordorigin="5180,2170" coordsize="20,0" path="m5180,2170l5199,2170e" filled="false" stroked="true" strokeweight=".96pt" strokecolor="#000000">
                <v:path arrowok="t"/>
              </v:shape>
            </v:group>
            <v:group style="position:absolute;left:5199;top:2170;width:1348;height:2" coordorigin="5199,2170" coordsize="1348,2">
              <v:shape style="position:absolute;left:5199;top:2170;width:1348;height:2" coordorigin="5199,2170" coordsize="1348,0" path="m5199,2170l6547,2170e" filled="false" stroked="true" strokeweight=".96pt" strokecolor="#000000">
                <v:path arrowok="t"/>
              </v:shape>
            </v:group>
            <v:group style="position:absolute;left:6547;top:2170;width:20;height:2" coordorigin="6547,2170" coordsize="20,2">
              <v:shape style="position:absolute;left:6547;top:2170;width:20;height:2" coordorigin="6547,2170" coordsize="20,0" path="m6547,2170l6566,2170e" filled="false" stroked="true" strokeweight=".96pt" strokecolor="#000000">
                <v:path arrowok="t"/>
              </v:shape>
            </v:group>
            <v:group style="position:absolute;left:6566;top:2170;width:761;height:2" coordorigin="6566,2170" coordsize="761,2">
              <v:shape style="position:absolute;left:6566;top:2170;width:761;height:2" coordorigin="6566,2170" coordsize="761,0" path="m6566,2170l7327,2170e" filled="false" stroked="true" strokeweight=".96pt" strokecolor="#000000">
                <v:path arrowok="t"/>
              </v:shape>
            </v:group>
            <v:group style="position:absolute;left:7327;top:2170;width:20;height:2" coordorigin="7327,2170" coordsize="20,2">
              <v:shape style="position:absolute;left:7327;top:2170;width:20;height:2" coordorigin="7327,2170" coordsize="20,0" path="m7327,2170l7346,2170e" filled="false" stroked="true" strokeweight=".96pt" strokecolor="#000000">
                <v:path arrowok="t"/>
              </v:shape>
            </v:group>
            <v:group style="position:absolute;left:7346;top:2170;width:1197;height:2" coordorigin="7346,2170" coordsize="1197,2">
              <v:shape style="position:absolute;left:7346;top:2170;width:1197;height:2" coordorigin="7346,2170" coordsize="1197,0" path="m7346,2170l8543,2170e" filled="false" stroked="true" strokeweight=".96pt" strokecolor="#000000">
                <v:path arrowok="t"/>
              </v:shape>
            </v:group>
            <v:group style="position:absolute;left:8543;top:2170;width:20;height:2" coordorigin="8543,2170" coordsize="20,2">
              <v:shape style="position:absolute;left:8543;top:2170;width:20;height:2" coordorigin="8543,2170" coordsize="20,0" path="m8543,2170l8562,2170e" filled="false" stroked="true" strokeweight=".96pt" strokecolor="#000000">
                <v:path arrowok="t"/>
              </v:shape>
            </v:group>
            <v:group style="position:absolute;left:8562;top:2170;width:956;height:2" coordorigin="8562,2170" coordsize="956,2">
              <v:shape style="position:absolute;left:8562;top:2170;width:956;height:2" coordorigin="8562,2170" coordsize="956,0" path="m8562,2170l9517,2170e" filled="false" stroked="true" strokeweight=".96pt" strokecolor="#000000">
                <v:path arrowok="t"/>
              </v:shape>
            </v:group>
            <v:group style="position:absolute;left:9517;top:2170;width:20;height:2" coordorigin="9517,2170" coordsize="20,2">
              <v:shape style="position:absolute;left:9517;top:2170;width:20;height:2" coordorigin="9517,2170" coordsize="20,0" path="m9517,2170l9536,2170e" filled="false" stroked="true" strokeweight=".96pt" strokecolor="#000000">
                <v:path arrowok="t"/>
              </v:shape>
            </v:group>
            <v:group style="position:absolute;left:9536;top:2170;width:1205;height:2" coordorigin="9536,2170" coordsize="1205,2">
              <v:shape style="position:absolute;left:9536;top:2170;width:1205;height:2" coordorigin="9536,2170" coordsize="1205,0" path="m9536,2170l10741,2170e" filled="false" stroked="true" strokeweight=".96pt" strokecolor="#000000">
                <v:path arrowok="t"/>
              </v:shape>
            </v:group>
            <w10:wrap type="none"/>
          </v:group>
        </w:pict>
      </w:r>
      <w:r>
        <w:rPr/>
        <w:t>接下表：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2819" w:type="dxa"/>
        <w:tblLayout w:type="fixed"/>
        <w:tblCellMar>
          <w:top w:w="0" w:type="dxa"/>
          <w:left w:w="0" w:type="dxa"/>
          <w:bottom w:w="0" w:type="dxa"/>
          <w:right w:w="0" w:type="dxa"/>
        </w:tblCellMar>
        <w:tblLook w:val="01E0"/>
      </w:tblPr>
      <w:tblGrid>
        <w:gridCol w:w="3812"/>
        <w:gridCol w:w="840"/>
        <w:gridCol w:w="935"/>
        <w:gridCol w:w="1172"/>
        <w:gridCol w:w="1162"/>
      </w:tblGrid>
      <w:tr>
        <w:trPr>
          <w:trHeight w:val="305" w:hRule="exact"/>
        </w:trPr>
        <w:tc>
          <w:tcPr>
            <w:tcW w:w="3812"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150" w:lineRule="exact"/>
              <w:ind w:left="42" w:right="0"/>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172"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r>
      <w:tr>
        <w:trPr>
          <w:trHeight w:val="320"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6"/>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tc>
        <w:tc>
          <w:tcPr>
            <w:tcW w:w="840" w:type="dxa"/>
            <w:tcBorders>
              <w:top w:val="nil" w:sz="6" w:space="0" w:color="auto"/>
              <w:left w:val="nil" w:sz="6" w:space="0" w:color="auto"/>
              <w:bottom w:val="nil" w:sz="6" w:space="0" w:color="auto"/>
              <w:right w:val="nil" w:sz="6" w:space="0" w:color="auto"/>
            </w:tcBorders>
          </w:tcPr>
          <w:p>
            <w:pPr/>
          </w:p>
        </w:tc>
        <w:tc>
          <w:tcPr>
            <w:tcW w:w="2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648"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62" w:type="dxa"/>
            <w:tcBorders>
              <w:top w:val="nil" w:sz="6" w:space="0" w:color="auto"/>
              <w:left w:val="nil" w:sz="6" w:space="0" w:color="auto"/>
              <w:bottom w:val="nil" w:sz="6" w:space="0" w:color="auto"/>
              <w:right w:val="nil" w:sz="6" w:space="0" w:color="auto"/>
            </w:tcBorders>
          </w:tcPr>
          <w:p>
            <w:pPr/>
          </w:p>
        </w:tc>
      </w:tr>
      <w:tr>
        <w:trPr>
          <w:trHeight w:val="205"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165" w:lineRule="exact"/>
              <w:ind w:left="200" w:right="0"/>
              <w:jc w:val="left"/>
              <w:rPr>
                <w:rFonts w:ascii="宋体" w:hAnsi="宋体" w:cs="宋体" w:eastAsia="宋体" w:hint="default"/>
                <w:sz w:val="15"/>
                <w:szCs w:val="15"/>
              </w:rPr>
            </w:pPr>
            <w:r>
              <w:rPr>
                <w:rFonts w:ascii="宋体" w:hAnsi="宋体" w:cs="宋体" w:eastAsia="宋体" w:hint="default"/>
                <w:b/>
                <w:bCs/>
                <w:sz w:val="15"/>
                <w:szCs w:val="15"/>
              </w:rPr>
              <w:t>类</w:t>
            </w:r>
            <w:r>
              <w:rPr>
                <w:rFonts w:ascii="宋体" w:hAnsi="宋体" w:cs="宋体" w:eastAsia="宋体" w:hint="default"/>
                <w:b/>
                <w:bCs/>
                <w:spacing w:val="72"/>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tc>
        <w:tc>
          <w:tcPr>
            <w:tcW w:w="840"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r>
      <w:tr>
        <w:trPr>
          <w:trHeight w:val="230" w:hRule="exact"/>
        </w:trPr>
        <w:tc>
          <w:tcPr>
            <w:tcW w:w="3812" w:type="dxa"/>
            <w:tcBorders>
              <w:top w:val="nil" w:sz="6" w:space="0" w:color="auto"/>
              <w:left w:val="nil" w:sz="6" w:space="0" w:color="auto"/>
              <w:bottom w:val="nil" w:sz="6" w:space="0" w:color="auto"/>
              <w:right w:val="nil" w:sz="6" w:space="0" w:color="auto"/>
            </w:tcBorders>
          </w:tcPr>
          <w:p>
            <w:pPr/>
          </w:p>
        </w:tc>
        <w:tc>
          <w:tcPr>
            <w:tcW w:w="840" w:type="dxa"/>
            <w:vMerge w:val="restart"/>
            <w:tcBorders>
              <w:top w:val="nil" w:sz="6" w:space="0" w:color="auto"/>
              <w:left w:val="nil" w:sz="6" w:space="0" w:color="auto"/>
              <w:right w:val="nil" w:sz="6" w:space="0" w:color="auto"/>
            </w:tcBorders>
          </w:tcPr>
          <w:p>
            <w:pPr>
              <w:pStyle w:val="TableParagraph"/>
              <w:spacing w:line="240" w:lineRule="auto" w:before="43"/>
              <w:ind w:left="153"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8"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35" w:type="dxa"/>
            <w:tcBorders>
              <w:top w:val="nil" w:sz="6" w:space="0" w:color="auto"/>
              <w:left w:val="nil" w:sz="6" w:space="0" w:color="auto"/>
              <w:bottom w:val="nil" w:sz="6" w:space="0" w:color="auto"/>
              <w:right w:val="nil" w:sz="6" w:space="0" w:color="auto"/>
            </w:tcBorders>
          </w:tcPr>
          <w:p>
            <w:pPr/>
          </w:p>
        </w:tc>
        <w:tc>
          <w:tcPr>
            <w:tcW w:w="1172" w:type="dxa"/>
            <w:vMerge w:val="restart"/>
            <w:tcBorders>
              <w:top w:val="nil" w:sz="6" w:space="0" w:color="auto"/>
              <w:left w:val="nil" w:sz="6" w:space="0" w:color="auto"/>
              <w:right w:val="nil" w:sz="6" w:space="0" w:color="auto"/>
            </w:tcBorders>
          </w:tcPr>
          <w:p>
            <w:pPr>
              <w:pStyle w:val="TableParagraph"/>
              <w:spacing w:line="240" w:lineRule="auto" w:before="43"/>
              <w:ind w:left="321"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6"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62" w:type="dxa"/>
            <w:tcBorders>
              <w:top w:val="nil" w:sz="6" w:space="0" w:color="auto"/>
              <w:left w:val="nil" w:sz="6" w:space="0" w:color="auto"/>
              <w:bottom w:val="nil" w:sz="6" w:space="0" w:color="auto"/>
              <w:right w:val="nil" w:sz="6" w:space="0" w:color="auto"/>
            </w:tcBorders>
          </w:tcPr>
          <w:p>
            <w:pPr>
              <w:pStyle w:val="TableParagraph"/>
              <w:spacing w:line="190" w:lineRule="exact"/>
              <w:ind w:left="249" w:right="0"/>
              <w:jc w:val="left"/>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r>
      <w:tr>
        <w:trPr>
          <w:trHeight w:val="472"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190" w:lineRule="exact"/>
              <w:ind w:right="614"/>
              <w:jc w:val="righ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840" w:type="dxa"/>
            <w:vMerge/>
            <w:tcBorders>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190" w:lineRule="exact"/>
              <w:ind w:right="7"/>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172" w:type="dxa"/>
            <w:vMerge/>
            <w:tcBorders>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780" w:bottom="84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218" w:type="dxa"/>
        <w:tblLayout w:type="fixed"/>
        <w:tblCellMar>
          <w:top w:w="0" w:type="dxa"/>
          <w:left w:w="0" w:type="dxa"/>
          <w:bottom w:w="0" w:type="dxa"/>
          <w:right w:w="0" w:type="dxa"/>
        </w:tblCellMar>
        <w:tblLook w:val="01E0"/>
      </w:tblPr>
      <w:tblGrid>
        <w:gridCol w:w="3304"/>
        <w:gridCol w:w="2099"/>
        <w:gridCol w:w="811"/>
        <w:gridCol w:w="1320"/>
        <w:gridCol w:w="837"/>
        <w:gridCol w:w="1243"/>
      </w:tblGrid>
      <w:tr>
        <w:trPr>
          <w:trHeight w:val="295" w:hRule="exact"/>
        </w:trPr>
        <w:tc>
          <w:tcPr>
            <w:tcW w:w="3304" w:type="dxa"/>
            <w:tcBorders>
              <w:top w:val="nil" w:sz="6" w:space="0" w:color="auto"/>
              <w:left w:val="nil" w:sz="6" w:space="0" w:color="auto"/>
              <w:bottom w:val="nil" w:sz="6" w:space="0" w:color="auto"/>
              <w:right w:val="nil" w:sz="6" w:space="0" w:color="auto"/>
            </w:tcBorders>
          </w:tcPr>
          <w:p>
            <w:pPr>
              <w:pStyle w:val="TableParagraph"/>
              <w:spacing w:line="150" w:lineRule="exact"/>
              <w:ind w:left="200"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单项金额重大并单独计提坏账准备的其他应收</w:t>
            </w:r>
          </w:p>
        </w:tc>
        <w:tc>
          <w:tcPr>
            <w:tcW w:w="2099" w:type="dxa"/>
            <w:tcBorders>
              <w:top w:val="nil" w:sz="6" w:space="0" w:color="auto"/>
              <w:left w:val="nil" w:sz="6" w:space="0" w:color="auto"/>
              <w:bottom w:val="nil" w:sz="6" w:space="0" w:color="auto"/>
              <w:right w:val="nil" w:sz="6" w:space="0" w:color="auto"/>
            </w:tcBorders>
          </w:tcPr>
          <w:p>
            <w:pPr>
              <w:pStyle w:val="TableParagraph"/>
              <w:spacing w:line="150" w:lineRule="exact"/>
              <w:ind w:left="-104" w:right="0"/>
              <w:jc w:val="left"/>
              <w:rPr>
                <w:rFonts w:ascii="宋体" w:hAnsi="宋体" w:cs="宋体" w:eastAsia="宋体" w:hint="default"/>
                <w:sz w:val="15"/>
                <w:szCs w:val="15"/>
              </w:rPr>
            </w:pPr>
            <w:r>
              <w:rPr>
                <w:rFonts w:ascii="宋体" w:hAnsi="宋体" w:cs="宋体" w:eastAsia="宋体" w:hint="default"/>
                <w:sz w:val="15"/>
                <w:szCs w:val="15"/>
              </w:rPr>
              <w:t>款</w:t>
            </w:r>
          </w:p>
        </w:tc>
        <w:tc>
          <w:tcPr>
            <w:tcW w:w="81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424" w:hRule="exact"/>
        </w:trPr>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按信用风险特征组合计提坏账准备的其他应收</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4" w:right="0"/>
              <w:jc w:val="left"/>
              <w:rPr>
                <w:rFonts w:ascii="宋体" w:hAnsi="宋体" w:cs="宋体" w:eastAsia="宋体" w:hint="default"/>
                <w:sz w:val="15"/>
                <w:szCs w:val="15"/>
              </w:rPr>
            </w:pPr>
            <w:r>
              <w:rPr>
                <w:rFonts w:ascii="宋体" w:hAnsi="宋体" w:cs="宋体" w:eastAsia="宋体" w:hint="default"/>
                <w:sz w:val="15"/>
                <w:szCs w:val="15"/>
              </w:rPr>
              <w:t>款</w:t>
            </w:r>
          </w:p>
        </w:tc>
        <w:tc>
          <w:tcPr>
            <w:tcW w:w="81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444" w:hRule="exact"/>
        </w:trPr>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0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1"/>
              <w:jc w:val="right"/>
              <w:rPr>
                <w:rFonts w:ascii="Times New Roman" w:hAnsi="Times New Roman" w:cs="Times New Roman" w:eastAsia="Times New Roman" w:hint="default"/>
                <w:sz w:val="15"/>
                <w:szCs w:val="15"/>
              </w:rPr>
            </w:pPr>
            <w:r>
              <w:rPr>
                <w:rFonts w:ascii="Times New Roman"/>
                <w:spacing w:val="-1"/>
                <w:sz w:val="15"/>
              </w:rPr>
              <w:t>31,776,980.38</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2"/>
              <w:jc w:val="right"/>
              <w:rPr>
                <w:rFonts w:ascii="Times New Roman" w:hAnsi="Times New Roman" w:cs="Times New Roman" w:eastAsia="Times New Roman" w:hint="default"/>
                <w:sz w:val="15"/>
                <w:szCs w:val="15"/>
              </w:rPr>
            </w:pPr>
            <w:r>
              <w:rPr>
                <w:rFonts w:ascii="Times New Roman"/>
                <w:spacing w:val="-1"/>
                <w:sz w:val="15"/>
              </w:rPr>
              <w:t>87.62</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16"/>
              <w:jc w:val="right"/>
              <w:rPr>
                <w:rFonts w:ascii="Times New Roman" w:hAnsi="Times New Roman" w:cs="Times New Roman" w:eastAsia="Times New Roman" w:hint="default"/>
                <w:sz w:val="15"/>
                <w:szCs w:val="15"/>
              </w:rPr>
            </w:pPr>
            <w:r>
              <w:rPr>
                <w:rFonts w:ascii="Times New Roman"/>
                <w:spacing w:val="-1"/>
                <w:sz w:val="15"/>
              </w:rPr>
              <w:t>5,748,260.36</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9"/>
              <w:jc w:val="right"/>
              <w:rPr>
                <w:rFonts w:ascii="Times New Roman" w:hAnsi="Times New Roman" w:cs="Times New Roman" w:eastAsia="Times New Roman" w:hint="default"/>
                <w:sz w:val="15"/>
                <w:szCs w:val="15"/>
              </w:rPr>
            </w:pPr>
            <w:r>
              <w:rPr>
                <w:rFonts w:ascii="Times New Roman"/>
                <w:spacing w:val="-1"/>
                <w:sz w:val="15"/>
              </w:rPr>
              <w:t>18.09</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
              <w:jc w:val="center"/>
              <w:rPr>
                <w:rFonts w:ascii="Times New Roman" w:hAnsi="Times New Roman" w:cs="Times New Roman" w:eastAsia="Times New Roman" w:hint="default"/>
                <w:sz w:val="15"/>
                <w:szCs w:val="15"/>
              </w:rPr>
            </w:pPr>
            <w:r>
              <w:rPr>
                <w:rFonts w:ascii="Times New Roman"/>
                <w:sz w:val="15"/>
              </w:rPr>
              <w:t>26,028,720.02</w:t>
            </w:r>
          </w:p>
        </w:tc>
      </w:tr>
      <w:tr>
        <w:trPr>
          <w:trHeight w:val="441" w:hRule="exact"/>
        </w:trPr>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1"/>
              <w:jc w:val="right"/>
              <w:rPr>
                <w:rFonts w:ascii="Times New Roman" w:hAnsi="Times New Roman" w:cs="Times New Roman" w:eastAsia="Times New Roman" w:hint="default"/>
                <w:sz w:val="15"/>
                <w:szCs w:val="15"/>
              </w:rPr>
            </w:pPr>
            <w:r>
              <w:rPr>
                <w:rFonts w:ascii="Times New Roman"/>
                <w:spacing w:val="-1"/>
                <w:sz w:val="15"/>
              </w:rPr>
              <w:t>4,491,185.29</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12"/>
              <w:jc w:val="right"/>
              <w:rPr>
                <w:rFonts w:ascii="Times New Roman" w:hAnsi="Times New Roman" w:cs="Times New Roman" w:eastAsia="Times New Roman" w:hint="default"/>
                <w:sz w:val="15"/>
                <w:szCs w:val="15"/>
              </w:rPr>
            </w:pPr>
            <w:r>
              <w:rPr>
                <w:rFonts w:ascii="Times New Roman"/>
                <w:spacing w:val="-1"/>
                <w:sz w:val="15"/>
              </w:rPr>
              <w:t>12.38</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17"/>
              <w:jc w:val="right"/>
              <w:rPr>
                <w:rFonts w:ascii="Times New Roman" w:hAnsi="Times New Roman" w:cs="Times New Roman" w:eastAsia="Times New Roman" w:hint="default"/>
                <w:sz w:val="15"/>
                <w:szCs w:val="15"/>
              </w:rPr>
            </w:pPr>
            <w:r>
              <w:rPr>
                <w:rFonts w:ascii="Times New Roman"/>
                <w:spacing w:val="-1"/>
                <w:sz w:val="15"/>
              </w:rPr>
              <w:t>260,475.19</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78"/>
              <w:jc w:val="right"/>
              <w:rPr>
                <w:rFonts w:ascii="Times New Roman" w:hAnsi="Times New Roman" w:cs="Times New Roman" w:eastAsia="Times New Roman" w:hint="default"/>
                <w:sz w:val="15"/>
                <w:szCs w:val="15"/>
              </w:rPr>
            </w:pPr>
            <w:r>
              <w:rPr>
                <w:rFonts w:ascii="Times New Roman"/>
                <w:sz w:val="15"/>
              </w:rPr>
              <w:t>5.8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5" w:right="0"/>
              <w:jc w:val="center"/>
              <w:rPr>
                <w:rFonts w:ascii="Times New Roman" w:hAnsi="Times New Roman" w:cs="Times New Roman" w:eastAsia="Times New Roman" w:hint="default"/>
                <w:sz w:val="15"/>
                <w:szCs w:val="15"/>
              </w:rPr>
            </w:pPr>
            <w:r>
              <w:rPr>
                <w:rFonts w:ascii="Times New Roman"/>
                <w:sz w:val="15"/>
              </w:rPr>
              <w:t>4,230,710.10</w:t>
            </w:r>
          </w:p>
        </w:tc>
      </w:tr>
      <w:tr>
        <w:trPr>
          <w:trHeight w:val="451" w:hRule="exact"/>
        </w:trPr>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36,268,165.67</w:t>
            </w:r>
            <w:r>
              <w:rPr>
                <w:rFonts w:ascii="Times New Roman"/>
                <w:spacing w:val="-1"/>
                <w:sz w:val="15"/>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1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100.00</w:t>
            </w:r>
            <w:r>
              <w:rPr>
                <w:rFonts w:ascii="Times New Roman"/>
                <w:spacing w:val="-1"/>
                <w:sz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1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6,008,735.55</w:t>
            </w:r>
            <w:r>
              <w:rPr>
                <w:rFonts w:ascii="Times New Roman"/>
                <w:spacing w:val="-1"/>
                <w:sz w:val="15"/>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7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16.57</w:t>
            </w:r>
            <w:r>
              <w:rPr>
                <w:rFonts w:ascii="Times New Roman"/>
                <w:spacing w:val="-1"/>
                <w:sz w:val="15"/>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7"/>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30,259,430.12</w:t>
            </w:r>
            <w:r>
              <w:rPr>
                <w:rFonts w:ascii="Times New Roman"/>
                <w:sz w:val="15"/>
              </w:rPr>
            </w:r>
          </w:p>
        </w:tc>
      </w:tr>
      <w:tr>
        <w:trPr>
          <w:trHeight w:val="424" w:hRule="exact"/>
        </w:trPr>
        <w:tc>
          <w:tcPr>
            <w:tcW w:w="54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单项金额不重大但单独计提坏账准备的其他应收款</w:t>
            </w:r>
          </w:p>
        </w:tc>
        <w:tc>
          <w:tcPr>
            <w:tcW w:w="81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311" w:hRule="exact"/>
        </w:trPr>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801"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36,268,165.67</w:t>
            </w:r>
            <w:r>
              <w:rPr>
                <w:rFonts w:ascii="Times New Roman"/>
                <w:spacing w:val="-1"/>
                <w:sz w:val="15"/>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11"/>
              <w:jc w:val="righ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6,008,735.55</w:t>
            </w:r>
            <w:r>
              <w:rPr>
                <w:rFonts w:ascii="Times New Roman"/>
                <w:spacing w:val="-1"/>
                <w:sz w:val="15"/>
              </w:rPr>
            </w:r>
          </w:p>
        </w:tc>
        <w:tc>
          <w:tcPr>
            <w:tcW w:w="837"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30,259,430.12</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2</w:t>
      </w:r>
      <w:r>
        <w:rPr/>
        <w:t>）组合</w:t>
      </w:r>
      <w:r>
        <w:rPr>
          <w:rFonts w:ascii="Times New Roman" w:hAnsi="Times New Roman" w:cs="Times New Roman" w:eastAsia="Times New Roman" w:hint="default"/>
        </w:rPr>
        <w:t>1</w:t>
      </w:r>
      <w:r>
        <w:rPr/>
        <w:t>中，按账龄分析法计提坏账准备的其他应收款</w:t>
      </w:r>
    </w:p>
    <w:p>
      <w:pPr>
        <w:spacing w:line="240" w:lineRule="auto" w:before="13"/>
        <w:rPr>
          <w:rFonts w:ascii="宋体" w:hAnsi="宋体" w:cs="宋体" w:eastAsia="宋体" w:hint="default"/>
          <w:sz w:val="21"/>
          <w:szCs w:val="21"/>
        </w:rPr>
      </w:pPr>
    </w:p>
    <w:p>
      <w:pPr>
        <w:tabs>
          <w:tab w:pos="8487" w:val="left" w:leader="none"/>
        </w:tabs>
        <w:spacing w:before="53"/>
        <w:ind w:left="4584" w:right="1117" w:firstLine="0"/>
        <w:jc w:val="left"/>
        <w:rPr>
          <w:rFonts w:ascii="宋体" w:hAnsi="宋体" w:cs="宋体" w:eastAsia="宋体" w:hint="default"/>
          <w:sz w:val="15"/>
          <w:szCs w:val="15"/>
        </w:rPr>
      </w:pPr>
      <w:r>
        <w:rPr>
          <w:rFonts w:ascii="宋体" w:hAnsi="宋体" w:cs="宋体" w:eastAsia="宋体" w:hint="default"/>
          <w:b/>
          <w:bCs/>
          <w:w w:val="95"/>
          <w:sz w:val="15"/>
          <w:szCs w:val="15"/>
        </w:rPr>
        <w:t>期末余额</w:t>
        <w:tab/>
      </w:r>
      <w:r>
        <w:rPr>
          <w:rFonts w:ascii="宋体" w:hAnsi="宋体" w:cs="宋体" w:eastAsia="宋体" w:hint="default"/>
          <w:b/>
          <w:bCs/>
          <w:sz w:val="15"/>
          <w:szCs w:val="15"/>
        </w:rPr>
        <w:t>期初余额</w:t>
      </w:r>
      <w:r>
        <w:rPr>
          <w:rFonts w:ascii="宋体" w:hAnsi="宋体" w:cs="宋体" w:eastAsia="宋体" w:hint="default"/>
          <w:sz w:val="15"/>
          <w:szCs w:val="15"/>
        </w:rPr>
      </w:r>
    </w:p>
    <w:p>
      <w:pPr>
        <w:spacing w:line="240" w:lineRule="auto" w:before="6"/>
        <w:rPr>
          <w:rFonts w:ascii="宋体" w:hAnsi="宋体" w:cs="宋体" w:eastAsia="宋体" w:hint="default"/>
          <w:b/>
          <w:bCs/>
          <w:sz w:val="11"/>
          <w:szCs w:val="11"/>
        </w:rPr>
      </w:pPr>
    </w:p>
    <w:tbl>
      <w:tblPr>
        <w:tblW w:w="0" w:type="auto"/>
        <w:jc w:val="left"/>
        <w:tblInd w:w="1310" w:type="dxa"/>
        <w:tblLayout w:type="fixed"/>
        <w:tblCellMar>
          <w:top w:w="0" w:type="dxa"/>
          <w:left w:w="0" w:type="dxa"/>
          <w:bottom w:w="0" w:type="dxa"/>
          <w:right w:w="0" w:type="dxa"/>
        </w:tblCellMar>
        <w:tblLook w:val="01E0"/>
      </w:tblPr>
      <w:tblGrid>
        <w:gridCol w:w="1641"/>
        <w:gridCol w:w="1212"/>
        <w:gridCol w:w="768"/>
        <w:gridCol w:w="1052"/>
        <w:gridCol w:w="929"/>
        <w:gridCol w:w="1170"/>
        <w:gridCol w:w="748"/>
        <w:gridCol w:w="1057"/>
        <w:gridCol w:w="852"/>
      </w:tblGrid>
      <w:tr>
        <w:trPr>
          <w:trHeight w:val="746" w:hRule="exact"/>
        </w:trPr>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2"/>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87"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68"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204"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00"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19"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38"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48"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96"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1"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5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52"/>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119"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5"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88" w:hRule="exact"/>
        </w:trPr>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1"/>
                <w:sz w:val="15"/>
              </w:rPr>
              <w:t>55,093,960.68</w:t>
            </w:r>
          </w:p>
        </w:tc>
        <w:tc>
          <w:tcPr>
            <w:tcW w:w="76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z w:val="15"/>
              </w:rPr>
              <w:t>80.83</w:t>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550,939.60</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83"/>
              <w:jc w:val="right"/>
              <w:rPr>
                <w:rFonts w:ascii="Times New Roman" w:hAnsi="Times New Roman" w:cs="Times New Roman" w:eastAsia="Times New Roman" w:hint="default"/>
                <w:sz w:val="15"/>
                <w:szCs w:val="15"/>
              </w:rPr>
            </w:pPr>
            <w:r>
              <w:rPr>
                <w:rFonts w:ascii="Times New Roman"/>
                <w:sz w:val="15"/>
              </w:rPr>
              <w:t>1.00</w:t>
            </w: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85" w:right="0"/>
              <w:jc w:val="left"/>
              <w:rPr>
                <w:rFonts w:ascii="Times New Roman" w:hAnsi="Times New Roman" w:cs="Times New Roman" w:eastAsia="Times New Roman" w:hint="default"/>
                <w:sz w:val="15"/>
                <w:szCs w:val="15"/>
              </w:rPr>
            </w:pPr>
            <w:r>
              <w:rPr>
                <w:rFonts w:ascii="Times New Roman"/>
                <w:sz w:val="15"/>
              </w:rPr>
              <w:t>21,271,692.95</w:t>
            </w:r>
          </w:p>
        </w:tc>
        <w:tc>
          <w:tcPr>
            <w:tcW w:w="74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z w:val="15"/>
              </w:rPr>
              <w:t>66.95</w:t>
            </w:r>
          </w:p>
        </w:tc>
        <w:tc>
          <w:tcPr>
            <w:tcW w:w="105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left="141" w:right="0"/>
              <w:jc w:val="center"/>
              <w:rPr>
                <w:rFonts w:ascii="Times New Roman" w:hAnsi="Times New Roman" w:cs="Times New Roman" w:eastAsia="Times New Roman" w:hint="default"/>
                <w:sz w:val="15"/>
                <w:szCs w:val="15"/>
              </w:rPr>
            </w:pPr>
            <w:r>
              <w:rPr>
                <w:rFonts w:ascii="Times New Roman"/>
                <w:sz w:val="15"/>
              </w:rPr>
              <w:t>212,716.93</w:t>
            </w: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1.00</w:t>
            </w:r>
          </w:p>
        </w:tc>
      </w:tr>
      <w:tr>
        <w:trPr>
          <w:trHeight w:val="440" w:hRule="exact"/>
        </w:trPr>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27"/>
              <w:jc w:val="right"/>
              <w:rPr>
                <w:rFonts w:ascii="Times New Roman" w:hAnsi="Times New Roman" w:cs="Times New Roman" w:eastAsia="Times New Roman" w:hint="default"/>
                <w:sz w:val="15"/>
                <w:szCs w:val="15"/>
              </w:rPr>
            </w:pPr>
            <w:r>
              <w:rPr>
                <w:rFonts w:ascii="Times New Roman"/>
                <w:spacing w:val="-1"/>
                <w:sz w:val="15"/>
              </w:rPr>
              <w:t>7,610,210.53</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4"/>
              <w:jc w:val="right"/>
              <w:rPr>
                <w:rFonts w:ascii="Times New Roman" w:hAnsi="Times New Roman" w:cs="Times New Roman" w:eastAsia="Times New Roman" w:hint="default"/>
                <w:sz w:val="15"/>
                <w:szCs w:val="15"/>
              </w:rPr>
            </w:pPr>
            <w:r>
              <w:rPr>
                <w:rFonts w:ascii="Times New Roman"/>
                <w:sz w:val="15"/>
              </w:rPr>
              <w:t>11.17</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8"/>
              <w:jc w:val="right"/>
              <w:rPr>
                <w:rFonts w:ascii="Times New Roman" w:hAnsi="Times New Roman" w:cs="Times New Roman" w:eastAsia="Times New Roman" w:hint="default"/>
                <w:sz w:val="15"/>
                <w:szCs w:val="15"/>
              </w:rPr>
            </w:pPr>
            <w:r>
              <w:rPr>
                <w:rFonts w:ascii="Times New Roman"/>
                <w:spacing w:val="-1"/>
                <w:sz w:val="15"/>
              </w:rPr>
              <w:t>380,510.53</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3"/>
              <w:jc w:val="right"/>
              <w:rPr>
                <w:rFonts w:ascii="Times New Roman" w:hAnsi="Times New Roman" w:cs="Times New Roman" w:eastAsia="Times New Roman" w:hint="default"/>
                <w:sz w:val="15"/>
                <w:szCs w:val="15"/>
              </w:rPr>
            </w:pPr>
            <w:r>
              <w:rPr>
                <w:rFonts w:ascii="Times New Roman"/>
                <w:sz w:val="15"/>
              </w:rPr>
              <w:t>5.00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60" w:right="0"/>
              <w:jc w:val="left"/>
              <w:rPr>
                <w:rFonts w:ascii="Times New Roman" w:hAnsi="Times New Roman" w:cs="Times New Roman" w:eastAsia="Times New Roman" w:hint="default"/>
                <w:sz w:val="15"/>
                <w:szCs w:val="15"/>
              </w:rPr>
            </w:pPr>
            <w:r>
              <w:rPr>
                <w:rFonts w:ascii="Times New Roman"/>
                <w:sz w:val="15"/>
              </w:rPr>
              <w:t>3,004,357.77</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9"/>
              <w:jc w:val="right"/>
              <w:rPr>
                <w:rFonts w:ascii="Times New Roman" w:hAnsi="Times New Roman" w:cs="Times New Roman" w:eastAsia="Times New Roman" w:hint="default"/>
                <w:sz w:val="15"/>
                <w:szCs w:val="15"/>
              </w:rPr>
            </w:pPr>
            <w:r>
              <w:rPr>
                <w:rFonts w:ascii="Times New Roman"/>
                <w:sz w:val="15"/>
              </w:rPr>
              <w:t>9.45</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1" w:right="0"/>
              <w:jc w:val="center"/>
              <w:rPr>
                <w:rFonts w:ascii="Times New Roman" w:hAnsi="Times New Roman" w:cs="Times New Roman" w:eastAsia="Times New Roman" w:hint="default"/>
                <w:sz w:val="15"/>
                <w:szCs w:val="15"/>
              </w:rPr>
            </w:pPr>
            <w:r>
              <w:rPr>
                <w:rFonts w:ascii="Times New Roman"/>
                <w:sz w:val="15"/>
              </w:rPr>
              <w:t>150,217.89</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Times New Roman" w:hAnsi="Times New Roman" w:cs="Times New Roman" w:eastAsia="Times New Roman" w:hint="default"/>
                <w:sz w:val="15"/>
                <w:szCs w:val="15"/>
              </w:rPr>
            </w:pPr>
            <w:r>
              <w:rPr>
                <w:rFonts w:ascii="Times New Roman"/>
                <w:sz w:val="15"/>
              </w:rPr>
              <w:t>5.00</w:t>
            </w:r>
          </w:p>
        </w:tc>
      </w:tr>
      <w:tr>
        <w:trPr>
          <w:trHeight w:val="440" w:hRule="exact"/>
        </w:trPr>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27"/>
              <w:jc w:val="right"/>
              <w:rPr>
                <w:rFonts w:ascii="Times New Roman" w:hAnsi="Times New Roman" w:cs="Times New Roman" w:eastAsia="Times New Roman" w:hint="default"/>
                <w:sz w:val="15"/>
                <w:szCs w:val="15"/>
              </w:rPr>
            </w:pPr>
            <w:r>
              <w:rPr>
                <w:rFonts w:ascii="Times New Roman"/>
                <w:spacing w:val="-1"/>
                <w:sz w:val="15"/>
              </w:rPr>
              <w:t>463,252.24</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4"/>
              <w:jc w:val="right"/>
              <w:rPr>
                <w:rFonts w:ascii="Times New Roman" w:hAnsi="Times New Roman" w:cs="Times New Roman" w:eastAsia="Times New Roman" w:hint="default"/>
                <w:sz w:val="15"/>
                <w:szCs w:val="15"/>
              </w:rPr>
            </w:pPr>
            <w:r>
              <w:rPr>
                <w:rFonts w:ascii="Times New Roman"/>
                <w:sz w:val="15"/>
              </w:rPr>
              <w:t>0.68</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18"/>
              <w:jc w:val="right"/>
              <w:rPr>
                <w:rFonts w:ascii="Times New Roman" w:hAnsi="Times New Roman" w:cs="Times New Roman" w:eastAsia="Times New Roman" w:hint="default"/>
                <w:sz w:val="15"/>
                <w:szCs w:val="15"/>
              </w:rPr>
            </w:pPr>
            <w:r>
              <w:rPr>
                <w:rFonts w:ascii="Times New Roman"/>
                <w:spacing w:val="-1"/>
                <w:sz w:val="15"/>
              </w:rPr>
              <w:t>138,975.68</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4"/>
              <w:jc w:val="right"/>
              <w:rPr>
                <w:rFonts w:ascii="Times New Roman" w:hAnsi="Times New Roman" w:cs="Times New Roman" w:eastAsia="Times New Roman" w:hint="default"/>
                <w:sz w:val="15"/>
                <w:szCs w:val="15"/>
              </w:rPr>
            </w:pPr>
            <w:r>
              <w:rPr>
                <w:rFonts w:ascii="Times New Roman"/>
                <w:sz w:val="15"/>
              </w:rPr>
              <w:t>30.00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60" w:right="0"/>
              <w:jc w:val="left"/>
              <w:rPr>
                <w:rFonts w:ascii="Times New Roman" w:hAnsi="Times New Roman" w:cs="Times New Roman" w:eastAsia="Times New Roman" w:hint="default"/>
                <w:sz w:val="15"/>
                <w:szCs w:val="15"/>
              </w:rPr>
            </w:pPr>
            <w:r>
              <w:rPr>
                <w:rFonts w:ascii="Times New Roman"/>
                <w:sz w:val="15"/>
              </w:rPr>
              <w:t>3,022,291.60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9"/>
              <w:jc w:val="right"/>
              <w:rPr>
                <w:rFonts w:ascii="Times New Roman" w:hAnsi="Times New Roman" w:cs="Times New Roman" w:eastAsia="Times New Roman" w:hint="default"/>
                <w:sz w:val="15"/>
                <w:szCs w:val="15"/>
              </w:rPr>
            </w:pPr>
            <w:r>
              <w:rPr>
                <w:rFonts w:ascii="Times New Roman"/>
                <w:sz w:val="15"/>
              </w:rPr>
              <w:t>9.51</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41" w:right="0"/>
              <w:jc w:val="center"/>
              <w:rPr>
                <w:rFonts w:ascii="Times New Roman" w:hAnsi="Times New Roman" w:cs="Times New Roman" w:eastAsia="Times New Roman" w:hint="default"/>
                <w:sz w:val="15"/>
                <w:szCs w:val="15"/>
              </w:rPr>
            </w:pPr>
            <w:r>
              <w:rPr>
                <w:rFonts w:ascii="Times New Roman"/>
                <w:sz w:val="15"/>
              </w:rPr>
              <w:t>906,687.48</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15"/>
                <w:szCs w:val="15"/>
              </w:rPr>
            </w:pPr>
            <w:r>
              <w:rPr>
                <w:rFonts w:ascii="Times New Roman"/>
                <w:sz w:val="15"/>
              </w:rPr>
              <w:t>30.00</w:t>
            </w:r>
          </w:p>
        </w:tc>
      </w:tr>
      <w:tr>
        <w:trPr>
          <w:trHeight w:val="440" w:hRule="exact"/>
        </w:trPr>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27"/>
              <w:jc w:val="right"/>
              <w:rPr>
                <w:rFonts w:ascii="Times New Roman" w:hAnsi="Times New Roman" w:cs="Times New Roman" w:eastAsia="Times New Roman" w:hint="default"/>
                <w:sz w:val="15"/>
                <w:szCs w:val="15"/>
              </w:rPr>
            </w:pPr>
            <w:r>
              <w:rPr>
                <w:rFonts w:ascii="Times New Roman"/>
                <w:spacing w:val="-1"/>
                <w:sz w:val="15"/>
              </w:rPr>
              <w:t>4,986,063.20</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4"/>
              <w:jc w:val="right"/>
              <w:rPr>
                <w:rFonts w:ascii="Times New Roman" w:hAnsi="Times New Roman" w:cs="Times New Roman" w:eastAsia="Times New Roman" w:hint="default"/>
                <w:sz w:val="15"/>
                <w:szCs w:val="15"/>
              </w:rPr>
            </w:pPr>
            <w:r>
              <w:rPr>
                <w:rFonts w:ascii="Times New Roman"/>
                <w:sz w:val="15"/>
              </w:rPr>
              <w:t>7.32</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18"/>
              <w:jc w:val="right"/>
              <w:rPr>
                <w:rFonts w:ascii="Times New Roman" w:hAnsi="Times New Roman" w:cs="Times New Roman" w:eastAsia="Times New Roman" w:hint="default"/>
                <w:sz w:val="15"/>
                <w:szCs w:val="15"/>
              </w:rPr>
            </w:pPr>
            <w:r>
              <w:rPr>
                <w:rFonts w:ascii="Times New Roman"/>
                <w:spacing w:val="-1"/>
                <w:sz w:val="15"/>
              </w:rPr>
              <w:t>4,986,063.20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3"/>
              <w:jc w:val="right"/>
              <w:rPr>
                <w:rFonts w:ascii="Times New Roman" w:hAnsi="Times New Roman" w:cs="Times New Roman" w:eastAsia="Times New Roman" w:hint="default"/>
                <w:sz w:val="15"/>
                <w:szCs w:val="15"/>
              </w:rPr>
            </w:pPr>
            <w:r>
              <w:rPr>
                <w:rFonts w:ascii="Times New Roman"/>
                <w:spacing w:val="-1"/>
                <w:sz w:val="15"/>
              </w:rPr>
              <w:t>100.00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60" w:right="0"/>
              <w:jc w:val="left"/>
              <w:rPr>
                <w:rFonts w:ascii="Times New Roman" w:hAnsi="Times New Roman" w:cs="Times New Roman" w:eastAsia="Times New Roman" w:hint="default"/>
                <w:sz w:val="15"/>
                <w:szCs w:val="15"/>
              </w:rPr>
            </w:pPr>
            <w:r>
              <w:rPr>
                <w:rFonts w:ascii="Times New Roman"/>
                <w:sz w:val="15"/>
              </w:rPr>
              <w:t>4,478,638.06</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9"/>
              <w:jc w:val="right"/>
              <w:rPr>
                <w:rFonts w:ascii="Times New Roman" w:hAnsi="Times New Roman" w:cs="Times New Roman" w:eastAsia="Times New Roman" w:hint="default"/>
                <w:sz w:val="15"/>
                <w:szCs w:val="15"/>
              </w:rPr>
            </w:pPr>
            <w:r>
              <w:rPr>
                <w:rFonts w:ascii="Times New Roman"/>
                <w:sz w:val="15"/>
              </w:rPr>
              <w:t>14.09</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9" w:right="0"/>
              <w:jc w:val="center"/>
              <w:rPr>
                <w:rFonts w:ascii="Times New Roman" w:hAnsi="Times New Roman" w:cs="Times New Roman" w:eastAsia="Times New Roman" w:hint="default"/>
                <w:sz w:val="15"/>
                <w:szCs w:val="15"/>
              </w:rPr>
            </w:pPr>
            <w:r>
              <w:rPr>
                <w:rFonts w:ascii="Times New Roman"/>
                <w:sz w:val="15"/>
              </w:rPr>
              <w:t>4,478,638.06</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406" w:hRule="exact"/>
        </w:trPr>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2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68,153,486.65</w:t>
            </w:r>
            <w:r>
              <w:rPr>
                <w:rFonts w:ascii="Times New Roman"/>
                <w:spacing w:val="-1"/>
                <w:sz w:val="15"/>
              </w:rPr>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6,056,489.01</w:t>
            </w:r>
            <w:r>
              <w:rPr>
                <w:rFonts w:ascii="Times New Roman"/>
                <w:spacing w:val="-1"/>
                <w:sz w:val="15"/>
              </w:rPr>
            </w:r>
          </w:p>
        </w:tc>
        <w:tc>
          <w:tcPr>
            <w:tcW w:w="929"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85"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31,776,980.38</w:t>
            </w:r>
            <w:r>
              <w:rPr>
                <w:rFonts w:ascii="Times New Roman"/>
                <w:sz w:val="15"/>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9"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5,748,260.36</w:t>
            </w:r>
            <w:r>
              <w:rPr>
                <w:rFonts w:ascii="Times New Roman"/>
                <w:sz w:val="15"/>
              </w:rPr>
            </w:r>
          </w:p>
        </w:tc>
        <w:tc>
          <w:tcPr>
            <w:tcW w:w="852"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b/>
          <w:bCs/>
          <w:sz w:val="23"/>
          <w:szCs w:val="23"/>
        </w:rPr>
      </w:pPr>
    </w:p>
    <w:p>
      <w:pPr>
        <w:pStyle w:val="BodyText"/>
        <w:spacing w:line="240" w:lineRule="auto" w:before="44"/>
        <w:ind w:right="1117"/>
        <w:jc w:val="left"/>
      </w:pPr>
      <w:r>
        <w:rPr/>
        <w:t>（</w:t>
      </w:r>
      <w:r>
        <w:rPr>
          <w:rFonts w:ascii="Times New Roman" w:hAnsi="Times New Roman" w:cs="Times New Roman" w:eastAsia="Times New Roman" w:hint="default"/>
        </w:rPr>
        <w:t>3</w:t>
      </w:r>
      <w:r>
        <w:rPr/>
        <w:t>）组合</w:t>
      </w:r>
      <w:r>
        <w:rPr>
          <w:rFonts w:ascii="Times New Roman" w:hAnsi="Times New Roman" w:cs="Times New Roman" w:eastAsia="Times New Roman" w:hint="default"/>
        </w:rPr>
        <w:t>2</w:t>
      </w:r>
      <w:r>
        <w:rPr/>
        <w:t>中，按账龄分析法计提坏账准备的其他应收款</w:t>
      </w:r>
    </w:p>
    <w:p>
      <w:pPr>
        <w:spacing w:line="240" w:lineRule="auto" w:before="13"/>
        <w:rPr>
          <w:rFonts w:ascii="宋体" w:hAnsi="宋体" w:cs="宋体" w:eastAsia="宋体" w:hint="default"/>
          <w:sz w:val="21"/>
          <w:szCs w:val="21"/>
        </w:rPr>
      </w:pPr>
    </w:p>
    <w:p>
      <w:pPr>
        <w:tabs>
          <w:tab w:pos="8469" w:val="left" w:leader="none"/>
        </w:tabs>
        <w:spacing w:before="53"/>
        <w:ind w:left="4573" w:right="1117" w:firstLine="0"/>
        <w:jc w:val="left"/>
        <w:rPr>
          <w:rFonts w:ascii="宋体" w:hAnsi="宋体" w:cs="宋体" w:eastAsia="宋体" w:hint="default"/>
          <w:sz w:val="15"/>
          <w:szCs w:val="15"/>
        </w:rPr>
      </w:pPr>
      <w:r>
        <w:rPr>
          <w:rFonts w:ascii="宋体" w:hAnsi="宋体" w:cs="宋体" w:eastAsia="宋体" w:hint="default"/>
          <w:b/>
          <w:bCs/>
          <w:w w:val="95"/>
          <w:sz w:val="15"/>
          <w:szCs w:val="15"/>
        </w:rPr>
        <w:t>期末余额</w:t>
        <w:tab/>
      </w:r>
      <w:r>
        <w:rPr>
          <w:rFonts w:ascii="宋体" w:hAnsi="宋体" w:cs="宋体" w:eastAsia="宋体" w:hint="default"/>
          <w:b/>
          <w:bCs/>
          <w:sz w:val="15"/>
          <w:szCs w:val="15"/>
        </w:rPr>
        <w:t>期初余额</w:t>
      </w:r>
      <w:r>
        <w:rPr>
          <w:rFonts w:ascii="宋体" w:hAnsi="宋体" w:cs="宋体" w:eastAsia="宋体" w:hint="default"/>
          <w:sz w:val="15"/>
          <w:szCs w:val="15"/>
        </w:rPr>
      </w:r>
    </w:p>
    <w:p>
      <w:pPr>
        <w:spacing w:line="240" w:lineRule="auto" w:before="7"/>
        <w:rPr>
          <w:rFonts w:ascii="宋体" w:hAnsi="宋体" w:cs="宋体" w:eastAsia="宋体" w:hint="default"/>
          <w:b/>
          <w:bCs/>
          <w:sz w:val="11"/>
          <w:szCs w:val="11"/>
        </w:rPr>
      </w:pPr>
    </w:p>
    <w:tbl>
      <w:tblPr>
        <w:tblW w:w="0" w:type="auto"/>
        <w:jc w:val="left"/>
        <w:tblInd w:w="1310" w:type="dxa"/>
        <w:tblLayout w:type="fixed"/>
        <w:tblCellMar>
          <w:top w:w="0" w:type="dxa"/>
          <w:left w:w="0" w:type="dxa"/>
          <w:bottom w:w="0" w:type="dxa"/>
          <w:right w:w="0" w:type="dxa"/>
        </w:tblCellMar>
        <w:tblLook w:val="01E0"/>
      </w:tblPr>
      <w:tblGrid>
        <w:gridCol w:w="1652"/>
        <w:gridCol w:w="1225"/>
        <w:gridCol w:w="784"/>
        <w:gridCol w:w="970"/>
        <w:gridCol w:w="967"/>
        <w:gridCol w:w="1152"/>
        <w:gridCol w:w="781"/>
        <w:gridCol w:w="1043"/>
        <w:gridCol w:w="858"/>
      </w:tblGrid>
      <w:tr>
        <w:trPr>
          <w:trHeight w:val="746" w:hRule="exact"/>
        </w:trPr>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2"/>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84"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206"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31"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54"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96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122"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7"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14"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81"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198"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85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121"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7"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503" w:hRule="exact"/>
        </w:trPr>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1"/>
                <w:szCs w:val="11"/>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2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30"/>
              <w:jc w:val="right"/>
              <w:rPr>
                <w:rFonts w:ascii="Times New Roman" w:hAnsi="Times New Roman" w:cs="Times New Roman" w:eastAsia="Times New Roman" w:hint="default"/>
                <w:sz w:val="15"/>
                <w:szCs w:val="15"/>
              </w:rPr>
            </w:pPr>
            <w:r>
              <w:rPr>
                <w:rFonts w:ascii="Times New Roman"/>
                <w:spacing w:val="-1"/>
                <w:sz w:val="15"/>
              </w:rPr>
              <w:t>15,005,591.51</w:t>
            </w:r>
          </w:p>
        </w:tc>
        <w:tc>
          <w:tcPr>
            <w:tcW w:w="7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95.11</w:t>
            </w: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750,279.59</w:t>
            </w:r>
          </w:p>
        </w:tc>
        <w:tc>
          <w:tcPr>
            <w:tcW w:w="96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12"/>
              <w:jc w:val="right"/>
              <w:rPr>
                <w:rFonts w:ascii="Times New Roman" w:hAnsi="Times New Roman" w:cs="Times New Roman" w:eastAsia="Times New Roman" w:hint="default"/>
                <w:sz w:val="15"/>
                <w:szCs w:val="15"/>
              </w:rPr>
            </w:pPr>
            <w:r>
              <w:rPr>
                <w:rFonts w:ascii="Times New Roman"/>
                <w:sz w:val="15"/>
              </w:rPr>
              <w:t>5.00</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4,442,311.32</w:t>
            </w:r>
          </w:p>
        </w:tc>
        <w:tc>
          <w:tcPr>
            <w:tcW w:w="78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87" w:right="0"/>
              <w:jc w:val="center"/>
              <w:rPr>
                <w:rFonts w:ascii="Times New Roman" w:hAnsi="Times New Roman" w:cs="Times New Roman" w:eastAsia="Times New Roman" w:hint="default"/>
                <w:sz w:val="15"/>
                <w:szCs w:val="15"/>
              </w:rPr>
            </w:pPr>
            <w:r>
              <w:rPr>
                <w:rFonts w:ascii="Times New Roman"/>
                <w:sz w:val="15"/>
              </w:rPr>
              <w:t>98.91</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222,115.58</w:t>
            </w:r>
          </w:p>
        </w:tc>
        <w:tc>
          <w:tcPr>
            <w:tcW w:w="85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z w:val="15"/>
              </w:rPr>
              <w:t>5.00</w:t>
            </w:r>
          </w:p>
        </w:tc>
      </w:tr>
      <w:tr>
        <w:trPr>
          <w:trHeight w:val="440"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723,447.00</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z w:val="15"/>
              </w:rPr>
              <w:t>4.59</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72,344.70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212"/>
              <w:jc w:val="right"/>
              <w:rPr>
                <w:rFonts w:ascii="Times New Roman" w:hAnsi="Times New Roman" w:cs="Times New Roman" w:eastAsia="Times New Roman" w:hint="default"/>
                <w:sz w:val="15"/>
                <w:szCs w:val="15"/>
              </w:rPr>
            </w:pPr>
            <w:r>
              <w:rPr>
                <w:rFonts w:ascii="Times New Roman"/>
                <w:spacing w:val="-1"/>
                <w:sz w:val="15"/>
              </w:rPr>
              <w:t>10.00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2,488.18</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61" w:right="0"/>
              <w:jc w:val="center"/>
              <w:rPr>
                <w:rFonts w:ascii="Times New Roman" w:hAnsi="Times New Roman" w:cs="Times New Roman" w:eastAsia="Times New Roman" w:hint="default"/>
                <w:sz w:val="15"/>
                <w:szCs w:val="15"/>
              </w:rPr>
            </w:pPr>
            <w:r>
              <w:rPr>
                <w:rFonts w:ascii="Times New Roman"/>
                <w:sz w:val="15"/>
              </w:rPr>
              <w:t>0.06</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248.82</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10.00</w:t>
            </w:r>
          </w:p>
        </w:tc>
      </w:tr>
      <w:tr>
        <w:trPr>
          <w:trHeight w:val="440"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r>
              <w:rPr>
                <w:rFonts w:ascii="宋体" w:hAnsi="宋体" w:cs="宋体" w:eastAsia="宋体" w:hint="default"/>
                <w:sz w:val="15"/>
                <w:szCs w:val="15"/>
              </w:rPr>
              <w:t>含</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800.00</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z w:val="15"/>
              </w:rPr>
              <w:t>0.01</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400.00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right="212"/>
              <w:jc w:val="right"/>
              <w:rPr>
                <w:rFonts w:ascii="Times New Roman" w:hAnsi="Times New Roman" w:cs="Times New Roman" w:eastAsia="Times New Roman" w:hint="default"/>
                <w:sz w:val="15"/>
                <w:szCs w:val="15"/>
              </w:rPr>
            </w:pPr>
            <w:r>
              <w:rPr>
                <w:rFonts w:ascii="Times New Roman"/>
                <w:spacing w:val="-1"/>
                <w:sz w:val="15"/>
              </w:rPr>
              <w:t>50.00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16,550.00</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left="161" w:right="0"/>
              <w:jc w:val="center"/>
              <w:rPr>
                <w:rFonts w:ascii="Times New Roman" w:hAnsi="Times New Roman" w:cs="Times New Roman" w:eastAsia="Times New Roman" w:hint="default"/>
                <w:sz w:val="15"/>
                <w:szCs w:val="15"/>
              </w:rPr>
            </w:pPr>
            <w:r>
              <w:rPr>
                <w:rFonts w:ascii="Times New Roman"/>
                <w:sz w:val="15"/>
              </w:rPr>
              <w:t>0.37</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8,275.00</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50.00</w:t>
            </w:r>
          </w:p>
        </w:tc>
      </w:tr>
      <w:tr>
        <w:trPr>
          <w:trHeight w:val="440"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45,235.79</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z w:val="15"/>
              </w:rPr>
              <w:t>0.29</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45,235.79</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212"/>
              <w:jc w:val="right"/>
              <w:rPr>
                <w:rFonts w:ascii="Times New Roman" w:hAnsi="Times New Roman" w:cs="Times New Roman" w:eastAsia="Times New Roman" w:hint="default"/>
                <w:sz w:val="15"/>
                <w:szCs w:val="15"/>
              </w:rPr>
            </w:pPr>
            <w:r>
              <w:rPr>
                <w:rFonts w:ascii="Times New Roman"/>
                <w:spacing w:val="-1"/>
                <w:sz w:val="15"/>
              </w:rPr>
              <w:t>100.00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pacing w:val="-1"/>
                <w:sz w:val="15"/>
              </w:rPr>
              <w:t>29,835.79</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161" w:right="0"/>
              <w:jc w:val="center"/>
              <w:rPr>
                <w:rFonts w:ascii="Times New Roman" w:hAnsi="Times New Roman" w:cs="Times New Roman" w:eastAsia="Times New Roman" w:hint="default"/>
                <w:sz w:val="15"/>
                <w:szCs w:val="15"/>
              </w:rPr>
            </w:pPr>
            <w:r>
              <w:rPr>
                <w:rFonts w:ascii="Times New Roman"/>
                <w:sz w:val="15"/>
              </w:rPr>
              <w:t>0.66</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29,835.79</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99"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3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15,775,074.30</w:t>
            </w:r>
            <w:r>
              <w:rPr>
                <w:rFonts w:ascii="Times New Roman"/>
                <w:spacing w:val="-1"/>
                <w:sz w:val="15"/>
              </w:rPr>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100</w:t>
            </w:r>
            <w:r>
              <w:rPr>
                <w:rFonts w:ascii="Times New Roman"/>
                <w:spacing w:val="-1"/>
                <w:sz w:val="15"/>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868,260.08</w:t>
            </w:r>
            <w:r>
              <w:rPr>
                <w:rFonts w:ascii="Times New Roman"/>
                <w:spacing w:val="-1"/>
                <w:sz w:val="15"/>
              </w:rPr>
            </w:r>
          </w:p>
        </w:tc>
        <w:tc>
          <w:tcPr>
            <w:tcW w:w="967"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2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4,491,185.29</w:t>
            </w:r>
            <w:r>
              <w:rPr>
                <w:rFonts w:ascii="Times New Roman"/>
                <w:spacing w:val="-1"/>
                <w:sz w:val="15"/>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left="200"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9"/>
                <w:szCs w:val="9"/>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260,475.19</w:t>
            </w:r>
            <w:r>
              <w:rPr>
                <w:rFonts w:ascii="Times New Roman"/>
                <w:spacing w:val="-1"/>
                <w:sz w:val="15"/>
              </w:rPr>
            </w:r>
          </w:p>
        </w:tc>
        <w:tc>
          <w:tcPr>
            <w:tcW w:w="858"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b/>
          <w:bCs/>
          <w:sz w:val="22"/>
          <w:szCs w:val="22"/>
        </w:rPr>
      </w:pPr>
    </w:p>
    <w:p>
      <w:pPr>
        <w:pStyle w:val="BodyText"/>
        <w:spacing w:line="240" w:lineRule="auto" w:before="44"/>
        <w:ind w:right="1117"/>
        <w:jc w:val="left"/>
      </w:pPr>
      <w:r>
        <w:rPr/>
        <w:t>（</w:t>
      </w:r>
      <w:r>
        <w:rPr>
          <w:rFonts w:ascii="Times New Roman" w:hAnsi="Times New Roman" w:cs="Times New Roman" w:eastAsia="Times New Roman" w:hint="default"/>
        </w:rPr>
        <w:t>4</w:t>
      </w:r>
      <w:r>
        <w:rPr/>
        <w:t>）本期计提、收回或转回的坏账准备情况</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895"/>
        <w:gridCol w:w="4536"/>
      </w:tblGrid>
      <w:tr>
        <w:trPr>
          <w:trHeight w:val="271" w:hRule="exact"/>
        </w:trPr>
        <w:tc>
          <w:tcPr>
            <w:tcW w:w="4895" w:type="dxa"/>
            <w:tcBorders>
              <w:top w:val="nil" w:sz="6" w:space="0" w:color="auto"/>
              <w:left w:val="nil" w:sz="6" w:space="0" w:color="auto"/>
              <w:bottom w:val="single" w:sz="4" w:space="0" w:color="000000"/>
              <w:right w:val="nil" w:sz="6" w:space="0" w:color="auto"/>
            </w:tcBorders>
          </w:tcPr>
          <w:p>
            <w:pPr>
              <w:pStyle w:val="TableParagraph"/>
              <w:spacing w:line="180" w:lineRule="exact"/>
              <w:ind w:right="178"/>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536" w:type="dxa"/>
            <w:tcBorders>
              <w:top w:val="nil" w:sz="6" w:space="0" w:color="auto"/>
              <w:left w:val="nil" w:sz="6" w:space="0" w:color="auto"/>
              <w:bottom w:val="single" w:sz="4" w:space="0" w:color="000000"/>
              <w:right w:val="nil" w:sz="6" w:space="0" w:color="auto"/>
            </w:tcBorders>
          </w:tcPr>
          <w:p>
            <w:pPr>
              <w:pStyle w:val="TableParagraph"/>
              <w:spacing w:line="180" w:lineRule="exact"/>
              <w:ind w:right="17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89" w:hRule="exact"/>
        </w:trPr>
        <w:tc>
          <w:tcPr>
            <w:tcW w:w="489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453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z w:val="18"/>
              </w:rPr>
              <w:t>916,013.54</w:t>
            </w:r>
          </w:p>
        </w:tc>
      </w:tr>
      <w:tr>
        <w:trPr>
          <w:trHeight w:val="310"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tc>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7"/>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5</w:t>
      </w:r>
      <w:r>
        <w:rPr/>
        <w:t>）本期无实际核销的其他应收款</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6</w:t>
      </w:r>
      <w:r>
        <w:rPr/>
        <w:t>）按性质分类其他应收款的账面余额</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3731"/>
        <w:gridCol w:w="3095"/>
        <w:gridCol w:w="2389"/>
      </w:tblGrid>
      <w:tr>
        <w:trPr>
          <w:trHeight w:val="275" w:hRule="exact"/>
        </w:trPr>
        <w:tc>
          <w:tcPr>
            <w:tcW w:w="3731" w:type="dxa"/>
            <w:tcBorders>
              <w:top w:val="nil" w:sz="6" w:space="0" w:color="auto"/>
              <w:left w:val="nil" w:sz="6" w:space="0" w:color="auto"/>
              <w:bottom w:val="single" w:sz="4" w:space="0" w:color="000000"/>
              <w:right w:val="nil" w:sz="6" w:space="0" w:color="auto"/>
            </w:tcBorders>
          </w:tcPr>
          <w:p>
            <w:pPr>
              <w:pStyle w:val="TableParagraph"/>
              <w:spacing w:line="180" w:lineRule="exact"/>
              <w:ind w:right="1309"/>
              <w:jc w:val="right"/>
              <w:rPr>
                <w:rFonts w:ascii="宋体" w:hAnsi="宋体" w:cs="宋体" w:eastAsia="宋体" w:hint="default"/>
                <w:sz w:val="18"/>
                <w:szCs w:val="18"/>
              </w:rPr>
            </w:pPr>
            <w:r>
              <w:rPr>
                <w:rFonts w:ascii="宋体" w:hAnsi="宋体" w:cs="宋体" w:eastAsia="宋体" w:hint="default"/>
                <w:b/>
                <w:bCs/>
                <w:w w:val="95"/>
                <w:sz w:val="18"/>
                <w:szCs w:val="18"/>
              </w:rPr>
              <w:t>款项性质</w:t>
            </w:r>
            <w:r>
              <w:rPr>
                <w:rFonts w:ascii="宋体" w:hAnsi="宋体" w:cs="宋体" w:eastAsia="宋体" w:hint="default"/>
                <w:sz w:val="18"/>
                <w:szCs w:val="18"/>
              </w:rPr>
            </w:r>
          </w:p>
        </w:tc>
        <w:tc>
          <w:tcPr>
            <w:tcW w:w="3095" w:type="dxa"/>
            <w:tcBorders>
              <w:top w:val="nil" w:sz="6" w:space="0" w:color="auto"/>
              <w:left w:val="nil" w:sz="6" w:space="0" w:color="auto"/>
              <w:bottom w:val="single" w:sz="6" w:space="0" w:color="000000"/>
              <w:right w:val="nil" w:sz="6" w:space="0" w:color="auto"/>
            </w:tcBorders>
          </w:tcPr>
          <w:p>
            <w:pPr>
              <w:pStyle w:val="TableParagraph"/>
              <w:spacing w:line="180" w:lineRule="exact"/>
              <w:ind w:left="249"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89" w:type="dxa"/>
            <w:tcBorders>
              <w:top w:val="nil" w:sz="6" w:space="0" w:color="auto"/>
              <w:left w:val="nil" w:sz="6" w:space="0" w:color="auto"/>
              <w:bottom w:val="single" w:sz="6" w:space="0" w:color="000000"/>
              <w:right w:val="nil" w:sz="6" w:space="0" w:color="auto"/>
            </w:tcBorders>
          </w:tcPr>
          <w:p>
            <w:pPr>
              <w:pStyle w:val="TableParagraph"/>
              <w:spacing w:line="180" w:lineRule="exact"/>
              <w:ind w:left="76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6" w:hRule="exact"/>
        </w:trPr>
        <w:tc>
          <w:tcPr>
            <w:tcW w:w="3731"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270"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095" w:type="dxa"/>
            <w:tcBorders>
              <w:top w:val="single" w:sz="6" w:space="0" w:color="000000"/>
              <w:left w:val="nil" w:sz="6" w:space="0" w:color="auto"/>
              <w:bottom w:val="nil" w:sz="6" w:space="0" w:color="auto"/>
              <w:right w:val="nil" w:sz="6" w:space="0" w:color="auto"/>
            </w:tcBorders>
          </w:tcPr>
          <w:p>
            <w:pPr/>
          </w:p>
        </w:tc>
        <w:tc>
          <w:tcPr>
            <w:tcW w:w="2389" w:type="dxa"/>
            <w:tcBorders>
              <w:top w:val="single" w:sz="6" w:space="0" w:color="000000"/>
              <w:left w:val="nil" w:sz="6" w:space="0" w:color="auto"/>
              <w:bottom w:val="nil" w:sz="6" w:space="0" w:color="auto"/>
              <w:right w:val="nil" w:sz="6" w:space="0" w:color="auto"/>
            </w:tcBorders>
          </w:tcPr>
          <w:p>
            <w:pPr>
              <w:pStyle w:val="TableParagraph"/>
              <w:spacing w:line="240" w:lineRule="auto" w:before="160"/>
              <w:ind w:right="607"/>
              <w:jc w:val="right"/>
              <w:rPr>
                <w:rFonts w:ascii="Times New Roman" w:hAnsi="Times New Roman" w:cs="Times New Roman" w:eastAsia="Times New Roman" w:hint="default"/>
                <w:sz w:val="18"/>
                <w:szCs w:val="18"/>
              </w:rPr>
            </w:pPr>
            <w:r>
              <w:rPr>
                <w:rFonts w:ascii="Times New Roman"/>
                <w:spacing w:val="-1"/>
                <w:sz w:val="18"/>
              </w:rPr>
              <w:t>12,523,502.87</w:t>
            </w:r>
          </w:p>
        </w:tc>
      </w:tr>
      <w:tr>
        <w:trPr>
          <w:trHeight w:val="440"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43"/>
              <w:jc w:val="right"/>
              <w:rPr>
                <w:rFonts w:ascii="Times New Roman" w:hAnsi="Times New Roman" w:cs="Times New Roman" w:eastAsia="Times New Roman" w:hint="default"/>
                <w:sz w:val="18"/>
                <w:szCs w:val="18"/>
              </w:rPr>
            </w:pPr>
            <w:r>
              <w:rPr>
                <w:rFonts w:ascii="Times New Roman"/>
                <w:spacing w:val="-1"/>
                <w:sz w:val="18"/>
              </w:rPr>
              <w:t>55,045,625.68</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07"/>
              <w:jc w:val="right"/>
              <w:rPr>
                <w:rFonts w:ascii="Times New Roman" w:hAnsi="Times New Roman" w:cs="Times New Roman" w:eastAsia="Times New Roman" w:hint="default"/>
                <w:sz w:val="18"/>
                <w:szCs w:val="18"/>
              </w:rPr>
            </w:pPr>
            <w:r>
              <w:rPr>
                <w:rFonts w:ascii="Times New Roman"/>
                <w:spacing w:val="-1"/>
                <w:sz w:val="18"/>
              </w:rPr>
              <w:t>3,006,750.18</w:t>
            </w:r>
          </w:p>
        </w:tc>
      </w:tr>
      <w:tr>
        <w:trPr>
          <w:trHeight w:val="440"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43"/>
              <w:jc w:val="right"/>
              <w:rPr>
                <w:rFonts w:ascii="Times New Roman" w:hAnsi="Times New Roman" w:cs="Times New Roman" w:eastAsia="Times New Roman" w:hint="default"/>
                <w:sz w:val="18"/>
                <w:szCs w:val="18"/>
              </w:rPr>
            </w:pPr>
            <w:r>
              <w:rPr>
                <w:rFonts w:ascii="Times New Roman"/>
                <w:spacing w:val="-1"/>
                <w:sz w:val="18"/>
              </w:rPr>
              <w:t>12,000,000.00</w:t>
            </w:r>
          </w:p>
        </w:tc>
        <w:tc>
          <w:tcPr>
            <w:tcW w:w="2389" w:type="dxa"/>
            <w:tcBorders>
              <w:top w:val="nil" w:sz="6" w:space="0" w:color="auto"/>
              <w:left w:val="nil" w:sz="6" w:space="0" w:color="auto"/>
              <w:bottom w:val="nil" w:sz="6" w:space="0" w:color="auto"/>
              <w:right w:val="nil" w:sz="6" w:space="0" w:color="auto"/>
            </w:tcBorders>
          </w:tcPr>
          <w:p>
            <w:pPr/>
          </w:p>
        </w:tc>
      </w:tr>
      <w:tr>
        <w:trPr>
          <w:trHeight w:val="440"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43"/>
              <w:jc w:val="right"/>
              <w:rPr>
                <w:rFonts w:ascii="Times New Roman" w:hAnsi="Times New Roman" w:cs="Times New Roman" w:eastAsia="Times New Roman" w:hint="default"/>
                <w:sz w:val="18"/>
                <w:szCs w:val="18"/>
              </w:rPr>
            </w:pPr>
            <w:r>
              <w:rPr>
                <w:rFonts w:ascii="Times New Roman"/>
                <w:spacing w:val="-1"/>
                <w:sz w:val="18"/>
              </w:rPr>
              <w:t>4,678,722.52</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07"/>
              <w:jc w:val="right"/>
              <w:rPr>
                <w:rFonts w:ascii="Times New Roman" w:hAnsi="Times New Roman" w:cs="Times New Roman" w:eastAsia="Times New Roman" w:hint="default"/>
                <w:sz w:val="18"/>
                <w:szCs w:val="18"/>
              </w:rPr>
            </w:pPr>
            <w:r>
              <w:rPr>
                <w:rFonts w:ascii="Times New Roman"/>
                <w:spacing w:val="-1"/>
                <w:sz w:val="18"/>
              </w:rPr>
              <w:t>6,372,933.18</w:t>
            </w:r>
          </w:p>
        </w:tc>
      </w:tr>
      <w:tr>
        <w:trPr>
          <w:trHeight w:val="440"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宋体" w:hAnsi="宋体" w:cs="宋体" w:eastAsia="宋体" w:hint="default"/>
                <w:sz w:val="18"/>
                <w:szCs w:val="18"/>
              </w:rPr>
            </w:pPr>
            <w:r>
              <w:rPr>
                <w:rFonts w:ascii="宋体" w:hAnsi="宋体" w:cs="宋体" w:eastAsia="宋体" w:hint="default"/>
                <w:sz w:val="18"/>
                <w:szCs w:val="18"/>
              </w:rPr>
              <w:t>课题研究费</w:t>
            </w:r>
          </w:p>
        </w:tc>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43"/>
              <w:jc w:val="right"/>
              <w:rPr>
                <w:rFonts w:ascii="Times New Roman" w:hAnsi="Times New Roman" w:cs="Times New Roman" w:eastAsia="Times New Roman" w:hint="default"/>
                <w:sz w:val="18"/>
                <w:szCs w:val="18"/>
              </w:rPr>
            </w:pPr>
            <w:r>
              <w:rPr>
                <w:rFonts w:ascii="Times New Roman"/>
                <w:spacing w:val="-1"/>
                <w:sz w:val="18"/>
              </w:rPr>
              <w:t>3,000,000.00</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07"/>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40"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43"/>
              <w:jc w:val="right"/>
              <w:rPr>
                <w:rFonts w:ascii="Times New Roman" w:hAnsi="Times New Roman" w:cs="Times New Roman" w:eastAsia="Times New Roman" w:hint="default"/>
                <w:sz w:val="18"/>
                <w:szCs w:val="18"/>
              </w:rPr>
            </w:pPr>
            <w:r>
              <w:rPr>
                <w:rFonts w:ascii="Times New Roman"/>
                <w:sz w:val="18"/>
              </w:rPr>
              <w:t>931,637.11</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06"/>
              <w:jc w:val="right"/>
              <w:rPr>
                <w:rFonts w:ascii="Times New Roman" w:hAnsi="Times New Roman" w:cs="Times New Roman" w:eastAsia="Times New Roman" w:hint="default"/>
                <w:sz w:val="18"/>
                <w:szCs w:val="18"/>
              </w:rPr>
            </w:pPr>
            <w:r>
              <w:rPr>
                <w:rFonts w:ascii="Times New Roman"/>
                <w:sz w:val="18"/>
              </w:rPr>
              <w:t>429,832.15</w:t>
            </w:r>
          </w:p>
        </w:tc>
      </w:tr>
      <w:tr>
        <w:trPr>
          <w:trHeight w:val="440"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43"/>
              <w:jc w:val="right"/>
              <w:rPr>
                <w:rFonts w:ascii="Times New Roman" w:hAnsi="Times New Roman" w:cs="Times New Roman" w:eastAsia="Times New Roman" w:hint="default"/>
                <w:sz w:val="18"/>
                <w:szCs w:val="18"/>
              </w:rPr>
            </w:pPr>
            <w:r>
              <w:rPr>
                <w:rFonts w:ascii="Times New Roman"/>
                <w:spacing w:val="-1"/>
                <w:sz w:val="18"/>
              </w:rPr>
              <w:t>8,272,575.64</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07"/>
              <w:jc w:val="right"/>
              <w:rPr>
                <w:rFonts w:ascii="Times New Roman" w:hAnsi="Times New Roman" w:cs="Times New Roman" w:eastAsia="Times New Roman" w:hint="default"/>
                <w:sz w:val="18"/>
                <w:szCs w:val="18"/>
              </w:rPr>
            </w:pPr>
            <w:r>
              <w:rPr>
                <w:rFonts w:ascii="Times New Roman"/>
                <w:spacing w:val="-1"/>
                <w:sz w:val="18"/>
              </w:rPr>
              <w:t>10,935,147.29</w:t>
            </w:r>
          </w:p>
        </w:tc>
      </w:tr>
      <w:tr>
        <w:trPr>
          <w:trHeight w:val="315" w:hRule="exact"/>
        </w:trPr>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00"/>
              <w:jc w:val="right"/>
              <w:rPr>
                <w:rFonts w:ascii="宋体" w:hAnsi="宋体" w:cs="宋体" w:eastAsia="宋体" w:hint="default"/>
                <w:sz w:val="18"/>
                <w:szCs w:val="18"/>
              </w:rPr>
            </w:pPr>
            <w:r>
              <w:rPr>
                <w:rFonts w:ascii="宋体" w:hAnsi="宋体" w:cs="宋体" w:eastAsia="宋体" w:hint="default"/>
                <w:sz w:val="18"/>
                <w:szCs w:val="18"/>
              </w:rPr>
              <w:t>合  计</w:t>
            </w:r>
          </w:p>
        </w:tc>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83,928,560.95</w:t>
            </w:r>
            <w:r>
              <w:rPr>
                <w:rFonts w:ascii="Times New Roman"/>
                <w:spacing w:val="-1"/>
                <w:sz w:val="18"/>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36,268,165.67</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7</w:t>
      </w:r>
      <w:r>
        <w:rPr/>
        <w:t>）期末其他应收款金额前五名情况</w:t>
      </w:r>
    </w:p>
    <w:p>
      <w:pPr>
        <w:spacing w:line="240" w:lineRule="auto" w:before="8"/>
        <w:rPr>
          <w:rFonts w:ascii="宋体" w:hAnsi="宋体" w:cs="宋体" w:eastAsia="宋体" w:hint="default"/>
          <w:sz w:val="28"/>
          <w:szCs w:val="28"/>
        </w:rPr>
      </w:pPr>
    </w:p>
    <w:tbl>
      <w:tblPr>
        <w:tblW w:w="0" w:type="auto"/>
        <w:jc w:val="left"/>
        <w:tblInd w:w="1418" w:type="dxa"/>
        <w:tblLayout w:type="fixed"/>
        <w:tblCellMar>
          <w:top w:w="0" w:type="dxa"/>
          <w:left w:w="0" w:type="dxa"/>
          <w:bottom w:w="0" w:type="dxa"/>
          <w:right w:w="0" w:type="dxa"/>
        </w:tblCellMar>
        <w:tblLook w:val="01E0"/>
      </w:tblPr>
      <w:tblGrid>
        <w:gridCol w:w="2919"/>
        <w:gridCol w:w="1149"/>
        <w:gridCol w:w="1211"/>
        <w:gridCol w:w="1482"/>
        <w:gridCol w:w="1437"/>
        <w:gridCol w:w="1017"/>
      </w:tblGrid>
      <w:tr>
        <w:trPr>
          <w:trHeight w:val="579" w:hRule="exact"/>
        </w:trPr>
        <w:tc>
          <w:tcPr>
            <w:tcW w:w="291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1" w:right="0"/>
              <w:jc w:val="center"/>
              <w:rPr>
                <w:rFonts w:ascii="宋体" w:hAnsi="宋体" w:cs="宋体" w:eastAsia="宋体" w:hint="default"/>
                <w:sz w:val="13"/>
                <w:szCs w:val="13"/>
              </w:rPr>
            </w:pPr>
            <w:r>
              <w:rPr>
                <w:rFonts w:ascii="宋体" w:hAnsi="宋体" w:cs="宋体" w:eastAsia="宋体" w:hint="default"/>
                <w:b/>
                <w:bCs/>
                <w:sz w:val="13"/>
                <w:szCs w:val="13"/>
              </w:rPr>
              <w:t>单位名称</w:t>
            </w:r>
            <w:r>
              <w:rPr>
                <w:rFonts w:ascii="宋体" w:hAnsi="宋体" w:cs="宋体" w:eastAsia="宋体" w:hint="default"/>
                <w:sz w:val="13"/>
                <w:szCs w:val="13"/>
              </w:rPr>
            </w:r>
          </w:p>
        </w:tc>
        <w:tc>
          <w:tcPr>
            <w:tcW w:w="1149"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48" w:right="0"/>
              <w:jc w:val="left"/>
              <w:rPr>
                <w:rFonts w:ascii="宋体" w:hAnsi="宋体" w:cs="宋体" w:eastAsia="宋体" w:hint="default"/>
                <w:sz w:val="13"/>
                <w:szCs w:val="13"/>
              </w:rPr>
            </w:pPr>
            <w:r>
              <w:rPr>
                <w:rFonts w:ascii="宋体" w:hAnsi="宋体" w:cs="宋体" w:eastAsia="宋体" w:hint="default"/>
                <w:b/>
                <w:bCs/>
                <w:sz w:val="13"/>
                <w:szCs w:val="13"/>
              </w:rPr>
              <w:t>款项性质</w:t>
            </w:r>
            <w:r>
              <w:rPr>
                <w:rFonts w:ascii="宋体" w:hAnsi="宋体" w:cs="宋体" w:eastAsia="宋体" w:hint="default"/>
                <w:sz w:val="13"/>
                <w:szCs w:val="13"/>
              </w:rPr>
            </w:r>
          </w:p>
        </w:tc>
        <w:tc>
          <w:tcPr>
            <w:tcW w:w="1211"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18"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1482"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67" w:right="0"/>
              <w:jc w:val="center"/>
              <w:rPr>
                <w:rFonts w:ascii="宋体" w:hAnsi="宋体" w:cs="宋体" w:eastAsia="宋体" w:hint="default"/>
                <w:sz w:val="13"/>
                <w:szCs w:val="13"/>
              </w:rPr>
            </w:pPr>
            <w:r>
              <w:rPr>
                <w:rFonts w:ascii="宋体" w:hAnsi="宋体" w:cs="宋体" w:eastAsia="宋体" w:hint="default"/>
                <w:b/>
                <w:bCs/>
                <w:sz w:val="13"/>
                <w:szCs w:val="13"/>
              </w:rPr>
              <w:t>账龄</w:t>
            </w:r>
            <w:r>
              <w:rPr>
                <w:rFonts w:ascii="宋体" w:hAnsi="宋体" w:cs="宋体" w:eastAsia="宋体" w:hint="default"/>
                <w:sz w:val="13"/>
                <w:szCs w:val="13"/>
              </w:rPr>
            </w:r>
          </w:p>
        </w:tc>
        <w:tc>
          <w:tcPr>
            <w:tcW w:w="1437" w:type="dxa"/>
            <w:tcBorders>
              <w:top w:val="nil" w:sz="6" w:space="0" w:color="auto"/>
              <w:left w:val="nil" w:sz="6" w:space="0" w:color="auto"/>
              <w:bottom w:val="single" w:sz="6" w:space="0" w:color="000000"/>
              <w:right w:val="nil" w:sz="6" w:space="0" w:color="auto"/>
            </w:tcBorders>
          </w:tcPr>
          <w:p>
            <w:pPr>
              <w:pStyle w:val="TableParagraph"/>
              <w:spacing w:line="130" w:lineRule="exact"/>
              <w:ind w:right="30"/>
              <w:jc w:val="center"/>
              <w:rPr>
                <w:rFonts w:ascii="宋体" w:hAnsi="宋体" w:cs="宋体" w:eastAsia="宋体" w:hint="default"/>
                <w:sz w:val="13"/>
                <w:szCs w:val="13"/>
              </w:rPr>
            </w:pPr>
            <w:r>
              <w:rPr>
                <w:rFonts w:ascii="宋体" w:hAnsi="宋体" w:cs="宋体" w:eastAsia="宋体" w:hint="default"/>
                <w:b/>
                <w:bCs/>
                <w:sz w:val="13"/>
                <w:szCs w:val="13"/>
              </w:rPr>
              <w:t>占其他应收款</w:t>
            </w:r>
            <w:r>
              <w:rPr>
                <w:rFonts w:ascii="宋体" w:hAnsi="宋体" w:cs="宋体" w:eastAsia="宋体" w:hint="default"/>
                <w:sz w:val="13"/>
                <w:szCs w:val="13"/>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
              <w:jc w:val="center"/>
              <w:rPr>
                <w:rFonts w:ascii="宋体" w:hAnsi="宋体" w:cs="宋体" w:eastAsia="宋体" w:hint="default"/>
                <w:sz w:val="13"/>
                <w:szCs w:val="13"/>
              </w:rPr>
            </w:pPr>
            <w:r>
              <w:rPr>
                <w:rFonts w:ascii="宋体" w:hAnsi="宋体" w:cs="宋体" w:eastAsia="宋体" w:hint="default"/>
                <w:b/>
                <w:bCs/>
                <w:sz w:val="13"/>
                <w:szCs w:val="13"/>
              </w:rPr>
              <w:t>总额的比例（</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1017" w:type="dxa"/>
            <w:tcBorders>
              <w:top w:val="nil" w:sz="6" w:space="0" w:color="auto"/>
              <w:left w:val="nil" w:sz="6" w:space="0" w:color="auto"/>
              <w:bottom w:val="single" w:sz="6" w:space="0" w:color="000000"/>
              <w:right w:val="nil" w:sz="6" w:space="0" w:color="auto"/>
            </w:tcBorders>
          </w:tcPr>
          <w:p>
            <w:pPr>
              <w:pStyle w:val="TableParagraph"/>
              <w:spacing w:line="130" w:lineRule="exact"/>
              <w:ind w:left="212" w:right="0"/>
              <w:jc w:val="left"/>
              <w:rPr>
                <w:rFonts w:ascii="宋体" w:hAnsi="宋体" w:cs="宋体" w:eastAsia="宋体" w:hint="default"/>
                <w:sz w:val="13"/>
                <w:szCs w:val="13"/>
              </w:rPr>
            </w:pPr>
            <w:r>
              <w:rPr>
                <w:rFonts w:ascii="宋体" w:hAnsi="宋体" w:cs="宋体" w:eastAsia="宋体" w:hint="default"/>
                <w:b/>
                <w:bCs/>
                <w:sz w:val="13"/>
                <w:szCs w:val="13"/>
              </w:rPr>
              <w:t>坏账准备</w:t>
            </w:r>
            <w:r>
              <w:rPr>
                <w:rFonts w:ascii="宋体" w:hAnsi="宋体" w:cs="宋体" w:eastAsia="宋体" w:hint="default"/>
                <w:sz w:val="13"/>
                <w:szCs w:val="13"/>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12"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r>
      <w:tr>
        <w:trPr>
          <w:trHeight w:val="483" w:hRule="exact"/>
        </w:trPr>
        <w:tc>
          <w:tcPr>
            <w:tcW w:w="291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sz w:val="13"/>
                <w:szCs w:val="13"/>
              </w:rPr>
              <w:t>方小奇</w:t>
            </w:r>
          </w:p>
        </w:tc>
        <w:tc>
          <w:tcPr>
            <w:tcW w:w="1149"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232" w:right="0"/>
              <w:jc w:val="left"/>
              <w:rPr>
                <w:rFonts w:ascii="宋体" w:hAnsi="宋体" w:cs="宋体" w:eastAsia="宋体" w:hint="default"/>
                <w:sz w:val="13"/>
                <w:szCs w:val="13"/>
              </w:rPr>
            </w:pPr>
            <w:r>
              <w:rPr>
                <w:rFonts w:ascii="宋体" w:hAnsi="宋体" w:cs="宋体" w:eastAsia="宋体" w:hint="default"/>
                <w:sz w:val="13"/>
                <w:szCs w:val="13"/>
              </w:rPr>
              <w:t>保证金</w:t>
            </w:r>
          </w:p>
        </w:tc>
        <w:tc>
          <w:tcPr>
            <w:tcW w:w="121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5"/>
              <w:jc w:val="right"/>
              <w:rPr>
                <w:rFonts w:ascii="Times New Roman" w:hAnsi="Times New Roman" w:cs="Times New Roman" w:eastAsia="Times New Roman" w:hint="default"/>
                <w:sz w:val="13"/>
                <w:szCs w:val="13"/>
              </w:rPr>
            </w:pPr>
            <w:r>
              <w:rPr>
                <w:rFonts w:ascii="Times New Roman"/>
                <w:w w:val="95"/>
                <w:sz w:val="13"/>
              </w:rPr>
              <w:t>50,000,000.00</w:t>
            </w:r>
            <w:r>
              <w:rPr>
                <w:rFonts w:ascii="Times New Roman"/>
                <w:sz w:val="13"/>
              </w:rPr>
            </w:r>
          </w:p>
        </w:tc>
        <w:tc>
          <w:tcPr>
            <w:tcW w:w="1482"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年以内</w:t>
            </w:r>
          </w:p>
        </w:tc>
        <w:tc>
          <w:tcPr>
            <w:tcW w:w="143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56" w:right="0"/>
              <w:jc w:val="left"/>
              <w:rPr>
                <w:rFonts w:ascii="Times New Roman" w:hAnsi="Times New Roman" w:cs="Times New Roman" w:eastAsia="Times New Roman" w:hint="default"/>
                <w:sz w:val="13"/>
                <w:szCs w:val="13"/>
              </w:rPr>
            </w:pPr>
            <w:r>
              <w:rPr>
                <w:rFonts w:ascii="Times New Roman"/>
                <w:sz w:val="13"/>
              </w:rPr>
              <w:t>59.58</w:t>
            </w:r>
          </w:p>
        </w:tc>
        <w:tc>
          <w:tcPr>
            <w:tcW w:w="101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w w:val="95"/>
                <w:sz w:val="13"/>
              </w:rPr>
              <w:t>500,000.00</w:t>
            </w:r>
            <w:r>
              <w:rPr>
                <w:rFonts w:ascii="Times New Roman"/>
                <w:sz w:val="13"/>
              </w:rPr>
            </w:r>
          </w:p>
        </w:tc>
      </w:tr>
      <w:tr>
        <w:trPr>
          <w:trHeight w:val="400"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left"/>
              <w:rPr>
                <w:rFonts w:ascii="Times New Roman" w:hAnsi="Times New Roman" w:cs="Times New Roman" w:eastAsia="Times New Roman" w:hint="default"/>
                <w:sz w:val="13"/>
                <w:szCs w:val="13"/>
              </w:rPr>
            </w:pPr>
            <w:r>
              <w:rPr>
                <w:rFonts w:ascii="宋体" w:hAnsi="宋体" w:cs="宋体" w:eastAsia="宋体" w:hint="default"/>
                <w:sz w:val="13"/>
                <w:szCs w:val="13"/>
              </w:rPr>
              <w:t>共青城信中利万信投资管理合伙企业</w:t>
            </w:r>
            <w:r>
              <w:rPr>
                <w:rFonts w:ascii="Times New Roman" w:hAnsi="Times New Roman" w:cs="Times New Roman" w:eastAsia="Times New Roman" w:hint="default"/>
                <w:sz w:val="13"/>
                <w:szCs w:val="13"/>
              </w:rPr>
              <w:t>(</w:t>
            </w:r>
            <w:r>
              <w:rPr>
                <w:rFonts w:ascii="宋体" w:hAnsi="宋体" w:cs="宋体" w:eastAsia="宋体" w:hint="default"/>
                <w:sz w:val="13"/>
                <w:szCs w:val="13"/>
              </w:rPr>
              <w:t>有限合伙</w:t>
            </w:r>
            <w:r>
              <w:rPr>
                <w:rFonts w:ascii="Times New Roman" w:hAnsi="Times New Roman" w:cs="Times New Roman" w:eastAsia="Times New Roman" w:hint="default"/>
                <w:sz w:val="13"/>
                <w:szCs w:val="13"/>
              </w:rPr>
              <w:t>)</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32" w:right="0"/>
              <w:jc w:val="left"/>
              <w:rPr>
                <w:rFonts w:ascii="宋体" w:hAnsi="宋体" w:cs="宋体" w:eastAsia="宋体" w:hint="default"/>
                <w:sz w:val="13"/>
                <w:szCs w:val="13"/>
              </w:rPr>
            </w:pPr>
            <w:r>
              <w:rPr>
                <w:rFonts w:ascii="宋体" w:hAnsi="宋体" w:cs="宋体" w:eastAsia="宋体" w:hint="default"/>
                <w:sz w:val="13"/>
                <w:szCs w:val="13"/>
              </w:rPr>
              <w:t>股权转让款</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5"/>
              <w:jc w:val="right"/>
              <w:rPr>
                <w:rFonts w:ascii="Times New Roman" w:hAnsi="Times New Roman" w:cs="Times New Roman" w:eastAsia="Times New Roman" w:hint="default"/>
                <w:sz w:val="13"/>
                <w:szCs w:val="13"/>
              </w:rPr>
            </w:pPr>
            <w:r>
              <w:rPr>
                <w:rFonts w:ascii="Times New Roman"/>
                <w:w w:val="95"/>
                <w:sz w:val="13"/>
              </w:rPr>
              <w:t>12,000,000.00</w:t>
            </w:r>
            <w:r>
              <w:rPr>
                <w:rFonts w:ascii="Times New Roman"/>
                <w:sz w:val="13"/>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年以内</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56" w:right="0"/>
              <w:jc w:val="left"/>
              <w:rPr>
                <w:rFonts w:ascii="Times New Roman" w:hAnsi="Times New Roman" w:cs="Times New Roman" w:eastAsia="Times New Roman" w:hint="default"/>
                <w:sz w:val="13"/>
                <w:szCs w:val="13"/>
              </w:rPr>
            </w:pPr>
            <w:r>
              <w:rPr>
                <w:rFonts w:ascii="Times New Roman"/>
                <w:sz w:val="13"/>
              </w:rPr>
              <w:t>14.30</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w w:val="95"/>
                <w:sz w:val="13"/>
              </w:rPr>
              <w:t>600,000.00</w:t>
            </w:r>
            <w:r>
              <w:rPr>
                <w:rFonts w:ascii="Times New Roman"/>
                <w:sz w:val="13"/>
              </w:rPr>
            </w:r>
          </w:p>
        </w:tc>
      </w:tr>
      <w:tr>
        <w:trPr>
          <w:trHeight w:val="400"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3"/>
                <w:szCs w:val="13"/>
              </w:rPr>
            </w:pPr>
            <w:r>
              <w:rPr>
                <w:rFonts w:ascii="宋体" w:hAnsi="宋体" w:cs="宋体" w:eastAsia="宋体" w:hint="default"/>
                <w:sz w:val="13"/>
                <w:szCs w:val="13"/>
              </w:rPr>
              <w:t>杭州派娱科技有限公司</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3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5"/>
              <w:jc w:val="right"/>
              <w:rPr>
                <w:rFonts w:ascii="Times New Roman" w:hAnsi="Times New Roman" w:cs="Times New Roman" w:eastAsia="Times New Roman" w:hint="default"/>
                <w:sz w:val="13"/>
                <w:szCs w:val="13"/>
              </w:rPr>
            </w:pPr>
            <w:r>
              <w:rPr>
                <w:rFonts w:ascii="Times New Roman"/>
                <w:w w:val="95"/>
                <w:sz w:val="13"/>
              </w:rPr>
              <w:t>7,000,000.00</w:t>
            </w:r>
            <w:r>
              <w:rPr>
                <w:rFonts w:ascii="Times New Roman"/>
                <w:sz w:val="13"/>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年（含</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88" w:right="0"/>
              <w:jc w:val="left"/>
              <w:rPr>
                <w:rFonts w:ascii="Times New Roman" w:hAnsi="Times New Roman" w:cs="Times New Roman" w:eastAsia="Times New Roman" w:hint="default"/>
                <w:sz w:val="13"/>
                <w:szCs w:val="13"/>
              </w:rPr>
            </w:pPr>
            <w:r>
              <w:rPr>
                <w:rFonts w:ascii="Times New Roman"/>
                <w:sz w:val="13"/>
              </w:rPr>
              <w:t>8.34</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w w:val="95"/>
                <w:sz w:val="13"/>
              </w:rPr>
              <w:t>350,000.00</w:t>
            </w:r>
            <w:r>
              <w:rPr>
                <w:rFonts w:ascii="Times New Roman"/>
                <w:sz w:val="13"/>
              </w:rPr>
            </w:r>
          </w:p>
        </w:tc>
      </w:tr>
      <w:tr>
        <w:trPr>
          <w:trHeight w:val="400"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3"/>
                <w:szCs w:val="13"/>
              </w:rPr>
            </w:pPr>
            <w:r>
              <w:rPr>
                <w:rFonts w:ascii="宋体" w:hAnsi="宋体" w:cs="宋体" w:eastAsia="宋体" w:hint="default"/>
                <w:sz w:val="13"/>
                <w:szCs w:val="13"/>
              </w:rPr>
              <w:t>中央教育科学研究所</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32" w:right="0"/>
              <w:jc w:val="left"/>
              <w:rPr>
                <w:rFonts w:ascii="宋体" w:hAnsi="宋体" w:cs="宋体" w:eastAsia="宋体" w:hint="default"/>
                <w:sz w:val="13"/>
                <w:szCs w:val="13"/>
              </w:rPr>
            </w:pPr>
            <w:r>
              <w:rPr>
                <w:rFonts w:ascii="宋体" w:hAnsi="宋体" w:cs="宋体" w:eastAsia="宋体" w:hint="default"/>
                <w:sz w:val="13"/>
                <w:szCs w:val="13"/>
              </w:rPr>
              <w:t>课题研究费</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5"/>
              <w:jc w:val="right"/>
              <w:rPr>
                <w:rFonts w:ascii="Times New Roman" w:hAnsi="Times New Roman" w:cs="Times New Roman" w:eastAsia="Times New Roman" w:hint="default"/>
                <w:sz w:val="13"/>
                <w:szCs w:val="13"/>
              </w:rPr>
            </w:pPr>
            <w:r>
              <w:rPr>
                <w:rFonts w:ascii="Times New Roman"/>
                <w:w w:val="95"/>
                <w:sz w:val="13"/>
              </w:rPr>
              <w:t>3,000,000.00</w:t>
            </w:r>
            <w:r>
              <w:rPr>
                <w:rFonts w:ascii="Times New Roman"/>
                <w:sz w:val="13"/>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年以上</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88" w:right="0"/>
              <w:jc w:val="left"/>
              <w:rPr>
                <w:rFonts w:ascii="Times New Roman" w:hAnsi="Times New Roman" w:cs="Times New Roman" w:eastAsia="Times New Roman" w:hint="default"/>
                <w:sz w:val="13"/>
                <w:szCs w:val="13"/>
              </w:rPr>
            </w:pPr>
            <w:r>
              <w:rPr>
                <w:rFonts w:ascii="Times New Roman"/>
                <w:sz w:val="13"/>
              </w:rPr>
              <w:t>3.57</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w w:val="95"/>
                <w:sz w:val="13"/>
              </w:rPr>
              <w:t>3,000,000.00</w:t>
            </w:r>
            <w:r>
              <w:rPr>
                <w:rFonts w:ascii="Times New Roman"/>
                <w:sz w:val="13"/>
              </w:rPr>
            </w:r>
          </w:p>
        </w:tc>
      </w:tr>
      <w:tr>
        <w:trPr>
          <w:trHeight w:val="400"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left"/>
              <w:rPr>
                <w:rFonts w:ascii="宋体" w:hAnsi="宋体" w:cs="宋体" w:eastAsia="宋体" w:hint="default"/>
                <w:sz w:val="13"/>
                <w:szCs w:val="13"/>
              </w:rPr>
            </w:pPr>
            <w:r>
              <w:rPr>
                <w:rFonts w:ascii="宋体" w:hAnsi="宋体" w:cs="宋体" w:eastAsia="宋体" w:hint="default"/>
                <w:sz w:val="13"/>
                <w:szCs w:val="13"/>
              </w:rPr>
              <w:t>四川平轩印务有限公司</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32" w:right="0"/>
              <w:jc w:val="left"/>
              <w:rPr>
                <w:rFonts w:ascii="宋体" w:hAnsi="宋体" w:cs="宋体" w:eastAsia="宋体" w:hint="default"/>
                <w:sz w:val="13"/>
                <w:szCs w:val="13"/>
              </w:rPr>
            </w:pPr>
            <w:r>
              <w:rPr>
                <w:rFonts w:ascii="宋体" w:hAnsi="宋体" w:cs="宋体" w:eastAsia="宋体" w:hint="default"/>
                <w:sz w:val="13"/>
                <w:szCs w:val="13"/>
              </w:rPr>
              <w:t>往来款</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5"/>
              <w:jc w:val="right"/>
              <w:rPr>
                <w:rFonts w:ascii="Times New Roman" w:hAnsi="Times New Roman" w:cs="Times New Roman" w:eastAsia="Times New Roman" w:hint="default"/>
                <w:sz w:val="13"/>
                <w:szCs w:val="13"/>
              </w:rPr>
            </w:pPr>
            <w:r>
              <w:rPr>
                <w:rFonts w:ascii="Times New Roman"/>
                <w:w w:val="95"/>
                <w:sz w:val="13"/>
              </w:rPr>
              <w:t>1,556,066.30</w:t>
            </w:r>
            <w:r>
              <w:rPr>
                <w:rFonts w:ascii="Times New Roman"/>
                <w:sz w:val="13"/>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9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年以内、</w:t>
            </w: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至</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2 </w:t>
            </w:r>
            <w:r>
              <w:rPr>
                <w:rFonts w:ascii="宋体" w:hAnsi="宋体" w:cs="宋体" w:eastAsia="宋体" w:hint="default"/>
                <w:sz w:val="13"/>
                <w:szCs w:val="13"/>
              </w:rPr>
              <w:t>年</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88" w:right="0"/>
              <w:jc w:val="left"/>
              <w:rPr>
                <w:rFonts w:ascii="Times New Roman" w:hAnsi="Times New Roman" w:cs="Times New Roman" w:eastAsia="Times New Roman" w:hint="default"/>
                <w:sz w:val="13"/>
                <w:szCs w:val="13"/>
              </w:rPr>
            </w:pPr>
            <w:r>
              <w:rPr>
                <w:rFonts w:ascii="Times New Roman"/>
                <w:sz w:val="13"/>
              </w:rPr>
              <w:t>1.85</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w w:val="95"/>
                <w:sz w:val="13"/>
              </w:rPr>
              <w:t>23,960.66</w:t>
            </w:r>
            <w:r>
              <w:rPr>
                <w:rFonts w:ascii="Times New Roman"/>
                <w:sz w:val="13"/>
              </w:rPr>
            </w:r>
          </w:p>
        </w:tc>
      </w:tr>
      <w:tr>
        <w:trPr>
          <w:trHeight w:val="288"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49" w:right="0"/>
              <w:jc w:val="center"/>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14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5"/>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double" w:color="000000"/>
              </w:rPr>
              <w:t>73,556,066.30</w:t>
            </w:r>
            <w:r>
              <w:rPr>
                <w:rFonts w:ascii="Times New Roman"/>
                <w:w w:val="95"/>
                <w:sz w:val="13"/>
              </w:rPr>
            </w:r>
            <w:r>
              <w:rPr>
                <w:rFonts w:ascii="Times New Roman"/>
                <w:sz w:val="13"/>
              </w:rPr>
            </w:r>
          </w:p>
        </w:tc>
        <w:tc>
          <w:tcPr>
            <w:tcW w:w="148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56"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87.64</w:t>
            </w:r>
            <w:r>
              <w:rPr>
                <w:rFonts w:ascii="Times New Roman"/>
                <w:sz w:val="13"/>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4,473,960.66</w:t>
            </w:r>
            <w:r>
              <w:rPr>
                <w:rFonts w:ascii="Times New Roman"/>
                <w:w w:val="95"/>
                <w:sz w:val="13"/>
              </w:rPr>
            </w:r>
            <w:r>
              <w:rPr>
                <w:rFonts w:ascii="Times New Roman"/>
                <w:sz w:val="13"/>
              </w:rPr>
            </w:r>
          </w:p>
        </w:tc>
      </w:tr>
    </w:tbl>
    <w:p>
      <w:pPr>
        <w:spacing w:line="240" w:lineRule="auto" w:before="12"/>
        <w:rPr>
          <w:rFonts w:ascii="宋体" w:hAnsi="宋体" w:cs="宋体" w:eastAsia="宋体" w:hint="default"/>
          <w:sz w:val="26"/>
          <w:szCs w:val="26"/>
        </w:rPr>
      </w:pPr>
    </w:p>
    <w:p>
      <w:pPr>
        <w:pStyle w:val="BodyText"/>
        <w:spacing w:line="240" w:lineRule="auto" w:before="44"/>
        <w:ind w:right="1117"/>
        <w:jc w:val="left"/>
      </w:pPr>
      <w:r>
        <w:rPr/>
        <w:t>（</w:t>
      </w:r>
      <w:r>
        <w:rPr>
          <w:rFonts w:ascii="Times New Roman" w:hAnsi="Times New Roman" w:cs="Times New Roman" w:eastAsia="Times New Roman" w:hint="default"/>
        </w:rPr>
        <w:t>8</w:t>
      </w:r>
      <w:r>
        <w:rPr/>
        <w:t>）本期无因金融资产转移而终止确认的其他应收款</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9</w:t>
      </w:r>
      <w:r>
        <w:rPr/>
        <w:t>）期末无因其他应收款转移而继续涉入形成的资产、负债</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10</w:t>
      </w:r>
      <w:r>
        <w:rPr/>
        <w:t>）期末无应收政府补助款</w:t>
      </w:r>
    </w:p>
    <w:p>
      <w:pPr>
        <w:spacing w:line="240" w:lineRule="auto" w:before="5"/>
        <w:rPr>
          <w:rFonts w:ascii="宋体" w:hAnsi="宋体" w:cs="宋体" w:eastAsia="宋体" w:hint="default"/>
          <w:sz w:val="20"/>
          <w:szCs w:val="20"/>
        </w:rPr>
      </w:pPr>
    </w:p>
    <w:p>
      <w:pPr>
        <w:pStyle w:val="BodyText"/>
        <w:spacing w:line="240" w:lineRule="auto"/>
        <w:ind w:right="1117"/>
        <w:jc w:val="left"/>
      </w:pPr>
      <w:bookmarkStart w:name="6.存货" w:id="198"/>
      <w:bookmarkEnd w:id="198"/>
      <w:r>
        <w:rPr/>
      </w:r>
      <w:r>
        <w:rPr>
          <w:rFonts w:ascii="Times New Roman" w:hAnsi="Times New Roman" w:cs="Times New Roman" w:eastAsia="Times New Roman" w:hint="default"/>
        </w:rPr>
        <w:t>6.</w:t>
      </w:r>
      <w:r>
        <w:rPr/>
        <w:t>存货</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0"/>
        <w:rPr>
          <w:rFonts w:ascii="宋体" w:hAnsi="宋体" w:cs="宋体" w:eastAsia="宋体" w:hint="default"/>
          <w:sz w:val="20"/>
          <w:szCs w:val="20"/>
        </w:rPr>
      </w:pPr>
    </w:p>
    <w:p>
      <w:pPr>
        <w:pStyle w:val="Heading6"/>
        <w:tabs>
          <w:tab w:pos="5517" w:val="left" w:leader="none"/>
        </w:tabs>
        <w:spacing w:line="228" w:lineRule="exact" w:before="44"/>
        <w:ind w:left="1455" w:right="0"/>
        <w:jc w:val="center"/>
        <w:rPr>
          <w:b w:val="0"/>
          <w:bCs w:val="0"/>
        </w:rPr>
      </w:pPr>
      <w:r>
        <w:rPr>
          <w:w w:val="95"/>
        </w:rPr>
        <w:t>期末余额</w:t>
        <w:tab/>
      </w:r>
      <w:r>
        <w:rPr/>
        <w:t>期初余额</w:t>
      </w:r>
      <w:r>
        <w:rPr>
          <w:b w:val="0"/>
          <w:bCs w:val="0"/>
        </w:rPr>
      </w:r>
    </w:p>
    <w:p>
      <w:pPr>
        <w:pStyle w:val="Heading6"/>
        <w:spacing w:line="220" w:lineRule="exact"/>
        <w:ind w:left="1968" w:right="1117"/>
        <w:jc w:val="left"/>
        <w:rPr>
          <w:b w:val="0"/>
          <w:bCs w:val="0"/>
        </w:rPr>
      </w:pPr>
      <w:r>
        <w:rPr/>
        <w:t>项</w:t>
      </w:r>
      <w:r>
        <w:rPr>
          <w:spacing w:val="90"/>
        </w:rPr>
        <w:t> </w:t>
      </w:r>
      <w:r>
        <w:rPr/>
        <w:t>目</w:t>
      </w:r>
      <w:r>
        <w:rPr>
          <w:b w:val="0"/>
          <w:bCs w:val="0"/>
        </w:rPr>
      </w:r>
    </w:p>
    <w:p>
      <w:pPr>
        <w:pStyle w:val="Heading6"/>
        <w:tabs>
          <w:tab w:pos="2792" w:val="left" w:leader="none"/>
          <w:tab w:pos="4132" w:val="left" w:leader="none"/>
          <w:tab w:pos="5519" w:val="left" w:leader="none"/>
          <w:tab w:pos="6857" w:val="left" w:leader="none"/>
          <w:tab w:pos="8193" w:val="left" w:leader="none"/>
        </w:tabs>
        <w:spacing w:line="228" w:lineRule="exact"/>
        <w:ind w:left="1455" w:right="0"/>
        <w:jc w:val="center"/>
        <w:rPr>
          <w:b w:val="0"/>
          <w:bCs w:val="0"/>
        </w:rPr>
      </w:pPr>
      <w:r>
        <w:rPr>
          <w:w w:val="95"/>
        </w:rPr>
        <w:t>账面余额</w:t>
        <w:tab/>
        <w:t>跌价准备</w:t>
        <w:tab/>
        <w:t>账面价值</w:t>
        <w:tab/>
        <w:t>账面余额</w:t>
        <w:tab/>
        <w:t>跌价准备</w:t>
        <w:tab/>
      </w:r>
      <w:r>
        <w:rPr/>
        <w:t>账面价值</w:t>
      </w:r>
      <w:r>
        <w:rPr>
          <w:b w:val="0"/>
          <w:bCs w:val="0"/>
        </w:rPr>
      </w:r>
    </w:p>
    <w:p>
      <w:pPr>
        <w:spacing w:line="240" w:lineRule="auto" w:before="8"/>
        <w:rPr>
          <w:rFonts w:ascii="宋体" w:hAnsi="宋体" w:cs="宋体" w:eastAsia="宋体" w:hint="default"/>
          <w:b/>
          <w:bCs/>
          <w:sz w:val="6"/>
          <w:szCs w:val="6"/>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1309;height:2" coordorigin="5,5" coordsize="1309,2">
              <v:shape style="position:absolute;left:5;top:5;width:1309;height:2" coordorigin="5,5" coordsize="1309,0" path="m5,5l1313,5e" filled="false" stroked="true" strokeweight=".48pt" strokecolor="#000000">
                <v:path arrowok="t"/>
              </v:shape>
            </v:group>
            <v:group style="position:absolute;left:1313;top:5;width:10;height:2" coordorigin="1313,5" coordsize="10,2">
              <v:shape style="position:absolute;left:1313;top:5;width:10;height:2" coordorigin="1313,5" coordsize="10,0" path="m1313,5l1323,5e" filled="false" stroked="true" strokeweight=".48pt" strokecolor="#000000">
                <v:path arrowok="t"/>
              </v:shape>
            </v:group>
            <v:group style="position:absolute;left:1323;top:5;width:1379;height:2" coordorigin="1323,5" coordsize="1379,2">
              <v:shape style="position:absolute;left:1323;top:5;width:1379;height:2" coordorigin="1323,5" coordsize="1379,0" path="m1323,5l2702,5e" filled="false" stroked="true" strokeweight=".48pt" strokecolor="#000000">
                <v:path arrowok="t"/>
              </v:shape>
            </v:group>
            <v:group style="position:absolute;left:2702;top:5;width:10;height:2" coordorigin="2702,5" coordsize="10,2">
              <v:shape style="position:absolute;left:2702;top:5;width:10;height:2" coordorigin="2702,5" coordsize="10,0" path="m2702,5l2711,5e" filled="false" stroked="true" strokeweight=".48pt" strokecolor="#000000">
                <v:path arrowok="t"/>
              </v:shape>
            </v:group>
            <v:group style="position:absolute;left:2711;top:5;width:1279;height:2" coordorigin="2711,5" coordsize="1279,2">
              <v:shape style="position:absolute;left:2711;top:5;width:1279;height:2" coordorigin="2711,5" coordsize="1279,0" path="m2711,5l3990,5e" filled="false" stroked="true" strokeweight=".48pt" strokecolor="#000000">
                <v:path arrowok="t"/>
              </v:shape>
            </v:group>
            <v:group style="position:absolute;left:3990;top:5;width:10;height:2" coordorigin="3990,5" coordsize="10,2">
              <v:shape style="position:absolute;left:3990;top:5;width:10;height:2" coordorigin="3990,5" coordsize="10,0" path="m3990,5l3999,5e" filled="false" stroked="true" strokeweight=".48pt" strokecolor="#000000">
                <v:path arrowok="t"/>
              </v:shape>
            </v:group>
            <v:group style="position:absolute;left:3999;top:5;width:1379;height:2" coordorigin="3999,5" coordsize="1379,2">
              <v:shape style="position:absolute;left:3999;top:5;width:1379;height:2" coordorigin="3999,5" coordsize="1379,0" path="m3999,5l5378,5e" filled="false" stroked="true" strokeweight=".48pt" strokecolor="#000000">
                <v:path arrowok="t"/>
              </v:shape>
            </v:group>
            <v:group style="position:absolute;left:5378;top:5;width:10;height:2" coordorigin="5378,5" coordsize="10,2">
              <v:shape style="position:absolute;left:5378;top:5;width:10;height:2" coordorigin="5378,5" coordsize="10,0" path="m5378,5l5388,5e" filled="false" stroked="true" strokeweight=".48pt" strokecolor="#000000">
                <v:path arrowok="t"/>
              </v:shape>
            </v:group>
            <v:group style="position:absolute;left:5388;top:5;width:1378;height:2" coordorigin="5388,5" coordsize="1378,2">
              <v:shape style="position:absolute;left:5388;top:5;width:1378;height:2" coordorigin="5388,5" coordsize="1378,0" path="m5388,5l6765,5e" filled="false" stroked="true" strokeweight=".48pt" strokecolor="#000000">
                <v:path arrowok="t"/>
              </v:shape>
            </v:group>
            <v:group style="position:absolute;left:6765;top:5;width:10;height:2" coordorigin="6765,5" coordsize="10,2">
              <v:shape style="position:absolute;left:6765;top:5;width:10;height:2" coordorigin="6765,5" coordsize="10,0" path="m6765,5l6775,5e" filled="false" stroked="true" strokeweight=".48pt" strokecolor="#000000">
                <v:path arrowok="t"/>
              </v:shape>
            </v:group>
            <v:group style="position:absolute;left:6775;top:5;width:1280;height:2" coordorigin="6775,5" coordsize="1280,2">
              <v:shape style="position:absolute;left:6775;top:5;width:1280;height:2" coordorigin="6775,5" coordsize="1280,0" path="m6775,5l8054,5e" filled="false" stroked="true" strokeweight=".48pt" strokecolor="#000000">
                <v:path arrowok="t"/>
              </v:shape>
            </v:group>
            <v:group style="position:absolute;left:8054;top:5;width:10;height:2" coordorigin="8054,5" coordsize="10,2">
              <v:shape style="position:absolute;left:8054;top:5;width:10;height:2" coordorigin="8054,5" coordsize="10,0" path="m8054,5l8064,5e" filled="false" stroked="true" strokeweight=".48pt" strokecolor="#000000">
                <v:path arrowok="t"/>
              </v:shape>
            </v:group>
            <v:group style="position:absolute;left:8064;top:5;width:1372;height:2" coordorigin="8064,5" coordsize="1372,2">
              <v:shape style="position:absolute;left:8064;top:5;width:1372;height:2" coordorigin="8064,5" coordsize="1372,0" path="m8064,5l9436,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4"/>
          <w:szCs w:val="4"/>
        </w:rPr>
      </w:pPr>
    </w:p>
    <w:tbl>
      <w:tblPr>
        <w:tblW w:w="0" w:type="auto"/>
        <w:jc w:val="left"/>
        <w:tblInd w:w="1383" w:type="dxa"/>
        <w:tblLayout w:type="fixed"/>
        <w:tblCellMar>
          <w:top w:w="0" w:type="dxa"/>
          <w:left w:w="0" w:type="dxa"/>
          <w:bottom w:w="0" w:type="dxa"/>
          <w:right w:w="0" w:type="dxa"/>
        </w:tblCellMar>
        <w:tblLook w:val="01E0"/>
      </w:tblPr>
      <w:tblGrid>
        <w:gridCol w:w="1118"/>
        <w:gridCol w:w="1569"/>
        <w:gridCol w:w="1293"/>
        <w:gridCol w:w="1392"/>
        <w:gridCol w:w="1380"/>
        <w:gridCol w:w="1335"/>
        <w:gridCol w:w="1199"/>
      </w:tblGrid>
      <w:tr>
        <w:trPr>
          <w:trHeight w:val="415" w:hRule="exact"/>
        </w:trPr>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8"/>
              <w:jc w:val="right"/>
              <w:rPr>
                <w:rFonts w:ascii="Times New Roman" w:hAnsi="Times New Roman" w:cs="Times New Roman" w:eastAsia="Times New Roman" w:hint="default"/>
                <w:sz w:val="18"/>
                <w:szCs w:val="18"/>
              </w:rPr>
            </w:pPr>
            <w:r>
              <w:rPr>
                <w:rFonts w:ascii="Times New Roman"/>
                <w:spacing w:val="-1"/>
                <w:sz w:val="18"/>
              </w:rPr>
              <w:t>5,645,503.19</w:t>
            </w:r>
          </w:p>
        </w:tc>
        <w:tc>
          <w:tcPr>
            <w:tcW w:w="129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88" w:right="0"/>
              <w:jc w:val="center"/>
              <w:rPr>
                <w:rFonts w:ascii="Times New Roman" w:hAnsi="Times New Roman" w:cs="Times New Roman" w:eastAsia="Times New Roman" w:hint="default"/>
                <w:sz w:val="18"/>
                <w:szCs w:val="18"/>
              </w:rPr>
            </w:pPr>
            <w:r>
              <w:rPr>
                <w:rFonts w:ascii="Times New Roman"/>
                <w:sz w:val="18"/>
              </w:rPr>
              <w:t>5,645,503.19</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9"/>
              <w:jc w:val="right"/>
              <w:rPr>
                <w:rFonts w:ascii="Times New Roman" w:hAnsi="Times New Roman" w:cs="Times New Roman" w:eastAsia="Times New Roman" w:hint="default"/>
                <w:sz w:val="18"/>
                <w:szCs w:val="18"/>
              </w:rPr>
            </w:pPr>
            <w:r>
              <w:rPr>
                <w:rFonts w:ascii="Times New Roman"/>
                <w:spacing w:val="-1"/>
                <w:sz w:val="18"/>
              </w:rPr>
              <w:t>1,094,193.48</w:t>
            </w:r>
          </w:p>
        </w:tc>
        <w:tc>
          <w:tcPr>
            <w:tcW w:w="1335"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1,094,193.48</w:t>
            </w:r>
          </w:p>
        </w:tc>
      </w:tr>
      <w:tr>
        <w:trPr>
          <w:trHeight w:val="415" w:hRule="exact"/>
        </w:trPr>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8"/>
              <w:jc w:val="right"/>
              <w:rPr>
                <w:rFonts w:ascii="Times New Roman" w:hAnsi="Times New Roman" w:cs="Times New Roman" w:eastAsia="Times New Roman" w:hint="default"/>
                <w:sz w:val="18"/>
                <w:szCs w:val="18"/>
              </w:rPr>
            </w:pPr>
            <w:r>
              <w:rPr>
                <w:rFonts w:ascii="Times New Roman"/>
                <w:spacing w:val="-1"/>
                <w:sz w:val="18"/>
              </w:rPr>
              <w:t>24,495,618.21</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0" w:right="0"/>
              <w:jc w:val="left"/>
              <w:rPr>
                <w:rFonts w:ascii="Times New Roman" w:hAnsi="Times New Roman" w:cs="Times New Roman" w:eastAsia="Times New Roman" w:hint="default"/>
                <w:sz w:val="18"/>
                <w:szCs w:val="18"/>
              </w:rPr>
            </w:pPr>
            <w:r>
              <w:rPr>
                <w:rFonts w:ascii="Times New Roman"/>
                <w:sz w:val="18"/>
              </w:rPr>
              <w:t>1,593,082.69</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
              <w:jc w:val="center"/>
              <w:rPr>
                <w:rFonts w:ascii="Times New Roman" w:hAnsi="Times New Roman" w:cs="Times New Roman" w:eastAsia="Times New Roman" w:hint="default"/>
                <w:sz w:val="18"/>
                <w:szCs w:val="18"/>
              </w:rPr>
            </w:pPr>
            <w:r>
              <w:rPr>
                <w:rFonts w:ascii="Times New Roman"/>
                <w:sz w:val="18"/>
              </w:rPr>
              <w:t>22,902,535.52</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9"/>
              <w:jc w:val="right"/>
              <w:rPr>
                <w:rFonts w:ascii="Times New Roman" w:hAnsi="Times New Roman" w:cs="Times New Roman" w:eastAsia="Times New Roman" w:hint="default"/>
                <w:sz w:val="18"/>
                <w:szCs w:val="18"/>
              </w:rPr>
            </w:pPr>
            <w:r>
              <w:rPr>
                <w:rFonts w:ascii="Times New Roman"/>
                <w:spacing w:val="-1"/>
                <w:sz w:val="18"/>
              </w:rPr>
              <w:t>11,349,418.73</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1" w:right="0"/>
              <w:jc w:val="left"/>
              <w:rPr>
                <w:rFonts w:ascii="Times New Roman" w:hAnsi="Times New Roman" w:cs="Times New Roman" w:eastAsia="Times New Roman" w:hint="default"/>
                <w:sz w:val="18"/>
                <w:szCs w:val="18"/>
              </w:rPr>
            </w:pPr>
            <w:r>
              <w:rPr>
                <w:rFonts w:ascii="Times New Roman"/>
                <w:sz w:val="18"/>
              </w:rPr>
              <w:t>4,752,631.20</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6,596,787.53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tbl>
      <w:tblPr>
        <w:tblW w:w="0" w:type="auto"/>
        <w:jc w:val="left"/>
        <w:tblInd w:w="1310" w:type="dxa"/>
        <w:tblLayout w:type="fixed"/>
        <w:tblCellMar>
          <w:top w:w="0" w:type="dxa"/>
          <w:left w:w="0" w:type="dxa"/>
          <w:bottom w:w="0" w:type="dxa"/>
          <w:right w:w="0" w:type="dxa"/>
        </w:tblCellMar>
        <w:tblLook w:val="01E0"/>
      </w:tblPr>
      <w:tblGrid>
        <w:gridCol w:w="1377"/>
        <w:gridCol w:w="1383"/>
        <w:gridCol w:w="1293"/>
        <w:gridCol w:w="1389"/>
        <w:gridCol w:w="1383"/>
        <w:gridCol w:w="1290"/>
        <w:gridCol w:w="1316"/>
      </w:tblGrid>
      <w:tr>
        <w:trPr>
          <w:trHeight w:val="811" w:hRule="exact"/>
        </w:trPr>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7" w:right="0" w:firstLine="1"/>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8" w:right="0" w:hanging="3"/>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64"/>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94" w:hRule="exact"/>
        </w:trPr>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68"/>
              <w:jc w:val="right"/>
              <w:rPr>
                <w:rFonts w:ascii="Times New Roman" w:hAnsi="Times New Roman" w:cs="Times New Roman" w:eastAsia="Times New Roman" w:hint="default"/>
                <w:sz w:val="18"/>
                <w:szCs w:val="18"/>
              </w:rPr>
            </w:pPr>
            <w:r>
              <w:rPr>
                <w:rFonts w:ascii="Times New Roman"/>
                <w:spacing w:val="-1"/>
                <w:sz w:val="18"/>
              </w:rPr>
              <w:t>8,373,483.48</w:t>
            </w:r>
          </w:p>
        </w:tc>
        <w:tc>
          <w:tcPr>
            <w:tcW w:w="1293" w:type="dxa"/>
            <w:tcBorders>
              <w:top w:val="single" w:sz="4" w:space="0" w:color="000000"/>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74"/>
              <w:jc w:val="right"/>
              <w:rPr>
                <w:rFonts w:ascii="Times New Roman" w:hAnsi="Times New Roman" w:cs="Times New Roman" w:eastAsia="Times New Roman" w:hint="default"/>
                <w:sz w:val="18"/>
                <w:szCs w:val="18"/>
              </w:rPr>
            </w:pPr>
            <w:r>
              <w:rPr>
                <w:rFonts w:ascii="Times New Roman"/>
                <w:spacing w:val="-1"/>
                <w:sz w:val="18"/>
              </w:rPr>
              <w:t>8,373,483.48</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69"/>
              <w:jc w:val="right"/>
              <w:rPr>
                <w:rFonts w:ascii="Times New Roman" w:hAnsi="Times New Roman" w:cs="Times New Roman" w:eastAsia="Times New Roman" w:hint="default"/>
                <w:sz w:val="18"/>
                <w:szCs w:val="18"/>
              </w:rPr>
            </w:pPr>
            <w:r>
              <w:rPr>
                <w:rFonts w:ascii="Times New Roman"/>
                <w:spacing w:val="-1"/>
                <w:sz w:val="18"/>
              </w:rPr>
              <w:t>15,088,279.91</w:t>
            </w:r>
          </w:p>
        </w:tc>
        <w:tc>
          <w:tcPr>
            <w:tcW w:w="1290" w:type="dxa"/>
            <w:tcBorders>
              <w:top w:val="single" w:sz="4" w:space="0" w:color="000000"/>
              <w:left w:val="nil" w:sz="6" w:space="0" w:color="auto"/>
              <w:bottom w:val="nil" w:sz="6" w:space="0" w:color="auto"/>
              <w:right w:val="nil" w:sz="6" w:space="0" w:color="auto"/>
            </w:tcBorders>
          </w:tcPr>
          <w:p>
            <w:pP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66" w:right="0"/>
              <w:jc w:val="center"/>
              <w:rPr>
                <w:rFonts w:ascii="Times New Roman" w:hAnsi="Times New Roman" w:cs="Times New Roman" w:eastAsia="Times New Roman" w:hint="default"/>
                <w:sz w:val="18"/>
                <w:szCs w:val="18"/>
              </w:rPr>
            </w:pPr>
            <w:r>
              <w:rPr>
                <w:rFonts w:ascii="Times New Roman"/>
                <w:sz w:val="18"/>
              </w:rPr>
              <w:t>15,088,279.91</w:t>
            </w:r>
          </w:p>
        </w:tc>
      </w:tr>
      <w:tr>
        <w:trPr>
          <w:trHeight w:val="415"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8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38,514,604.88</w:t>
            </w:r>
            <w:r>
              <w:rPr>
                <w:rFonts w:ascii="Times New Roman"/>
                <w:spacing w:val="-1"/>
                <w:sz w:val="18"/>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1,593,082.69</w:t>
            </w:r>
            <w:r>
              <w:rPr>
                <w:rFonts w:ascii="Times New Roman"/>
                <w:sz w:val="18"/>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36,921,522.19</w:t>
            </w:r>
            <w:r>
              <w:rPr>
                <w:rFonts w:ascii="Times New Roman"/>
                <w:spacing w:val="-1"/>
                <w:sz w:val="18"/>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27,531,892.12</w:t>
            </w:r>
            <w:r>
              <w:rPr>
                <w:rFonts w:ascii="Times New Roman"/>
                <w:spacing w:val="-1"/>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7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4,752,631.20</w:t>
            </w:r>
            <w:r>
              <w:rPr>
                <w:rFonts w:ascii="Times New Roman"/>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22,779,260.92</w:t>
            </w:r>
            <w:r>
              <w:rPr>
                <w:rFonts w:ascii="Times New Roman"/>
                <w:sz w:val="18"/>
              </w:rPr>
            </w:r>
          </w:p>
        </w:tc>
      </w:tr>
    </w:tbl>
    <w:p>
      <w:pPr>
        <w:spacing w:line="240" w:lineRule="auto" w:before="3"/>
        <w:rPr>
          <w:rFonts w:ascii="宋体" w:hAnsi="宋体" w:cs="宋体" w:eastAsia="宋体" w:hint="default"/>
          <w:b/>
          <w:bCs/>
          <w:sz w:val="22"/>
          <w:szCs w:val="22"/>
        </w:rPr>
      </w:pPr>
    </w:p>
    <w:p>
      <w:pPr>
        <w:pStyle w:val="BodyText"/>
        <w:spacing w:line="240" w:lineRule="auto" w:before="44"/>
        <w:ind w:right="1117"/>
        <w:jc w:val="left"/>
      </w:pPr>
      <w:r>
        <w:rPr/>
        <w:t>（</w:t>
      </w:r>
      <w:r>
        <w:rPr>
          <w:rFonts w:ascii="Times New Roman" w:hAnsi="Times New Roman" w:cs="Times New Roman" w:eastAsia="Times New Roman" w:hint="default"/>
        </w:rPr>
        <w:t>2</w:t>
      </w:r>
      <w:r>
        <w:rPr/>
        <w:t>）存货跌价准备</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1239"/>
        <w:gridCol w:w="1371"/>
        <w:gridCol w:w="1331"/>
        <w:gridCol w:w="1038"/>
        <w:gridCol w:w="1643"/>
        <w:gridCol w:w="2807"/>
      </w:tblGrid>
      <w:tr>
        <w:trPr>
          <w:trHeight w:val="200" w:hRule="exact"/>
        </w:trPr>
        <w:tc>
          <w:tcPr>
            <w:tcW w:w="1239"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2370"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678"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4451"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955" w:right="0"/>
              <w:jc w:val="left"/>
              <w:rPr>
                <w:rFonts w:ascii="宋体" w:hAnsi="宋体" w:cs="宋体" w:eastAsia="宋体" w:hint="default"/>
                <w:sz w:val="18"/>
                <w:szCs w:val="18"/>
              </w:rPr>
            </w:pPr>
            <w:r>
              <w:rPr>
                <w:rFonts w:ascii="宋体" w:hAnsi="宋体" w:cs="宋体" w:eastAsia="宋体" w:hint="default"/>
                <w:b/>
                <w:bCs/>
                <w:sz w:val="18"/>
                <w:szCs w:val="18"/>
              </w:rPr>
              <w:t>本期减少金额</w:t>
            </w:r>
            <w:r>
              <w:rPr>
                <w:rFonts w:ascii="宋体" w:hAnsi="宋体" w:cs="宋体" w:eastAsia="宋体" w:hint="default"/>
                <w:sz w:val="18"/>
                <w:szCs w:val="18"/>
              </w:rPr>
            </w:r>
          </w:p>
        </w:tc>
      </w:tr>
      <w:tr>
        <w:trPr>
          <w:trHeight w:val="220" w:hRule="exact"/>
        </w:trPr>
        <w:tc>
          <w:tcPr>
            <w:tcW w:w="1239" w:type="dxa"/>
            <w:tcBorders>
              <w:top w:val="nil" w:sz="6" w:space="0" w:color="auto"/>
              <w:left w:val="nil" w:sz="6" w:space="0" w:color="auto"/>
              <w:bottom w:val="nil" w:sz="6" w:space="0" w:color="auto"/>
              <w:right w:val="nil" w:sz="6" w:space="0" w:color="auto"/>
            </w:tcBorders>
          </w:tcPr>
          <w:p>
            <w:pPr>
              <w:pStyle w:val="TableParagraph"/>
              <w:spacing w:line="200" w:lineRule="exact"/>
              <w:ind w:left="59"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00" w:lineRule="exact"/>
              <w:ind w:left="3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31"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2807" w:type="dxa"/>
            <w:tcBorders>
              <w:top w:val="nil" w:sz="6" w:space="0" w:color="auto"/>
              <w:left w:val="nil" w:sz="6" w:space="0" w:color="auto"/>
              <w:bottom w:val="nil" w:sz="6" w:space="0" w:color="auto"/>
              <w:right w:val="nil" w:sz="6" w:space="0" w:color="auto"/>
            </w:tcBorders>
          </w:tcPr>
          <w:p>
            <w:pPr>
              <w:pStyle w:val="TableParagraph"/>
              <w:spacing w:line="200" w:lineRule="exact"/>
              <w:ind w:right="413"/>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r>
      <w:tr>
        <w:trPr>
          <w:trHeight w:val="292" w:hRule="exact"/>
        </w:trPr>
        <w:tc>
          <w:tcPr>
            <w:tcW w:w="1239" w:type="dxa"/>
            <w:tcBorders>
              <w:top w:val="nil" w:sz="6" w:space="0" w:color="auto"/>
              <w:left w:val="nil" w:sz="6" w:space="0" w:color="auto"/>
              <w:bottom w:val="single" w:sz="4" w:space="0" w:color="000000"/>
              <w:right w:val="nil" w:sz="6" w:space="0" w:color="auto"/>
            </w:tcBorders>
          </w:tcPr>
          <w:p>
            <w:pPr/>
          </w:p>
        </w:tc>
        <w:tc>
          <w:tcPr>
            <w:tcW w:w="1371" w:type="dxa"/>
            <w:tcBorders>
              <w:top w:val="nil" w:sz="6" w:space="0" w:color="auto"/>
              <w:left w:val="nil" w:sz="6" w:space="0" w:color="auto"/>
              <w:bottom w:val="single" w:sz="4" w:space="0" w:color="000000"/>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200" w:lineRule="exact"/>
              <w:ind w:right="131"/>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038" w:type="dxa"/>
            <w:tcBorders>
              <w:top w:val="nil" w:sz="6" w:space="0" w:color="auto"/>
              <w:left w:val="nil" w:sz="6" w:space="0" w:color="auto"/>
              <w:bottom w:val="single" w:sz="4" w:space="0" w:color="000000"/>
              <w:right w:val="nil" w:sz="6" w:space="0" w:color="auto"/>
            </w:tcBorders>
          </w:tcPr>
          <w:p>
            <w:pPr>
              <w:pStyle w:val="TableParagraph"/>
              <w:spacing w:line="200"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43" w:type="dxa"/>
            <w:tcBorders>
              <w:top w:val="nil" w:sz="6" w:space="0" w:color="auto"/>
              <w:left w:val="nil" w:sz="6" w:space="0" w:color="auto"/>
              <w:bottom w:val="single" w:sz="4" w:space="0" w:color="000000"/>
              <w:right w:val="nil" w:sz="6" w:space="0" w:color="auto"/>
            </w:tcBorders>
          </w:tcPr>
          <w:p>
            <w:pPr>
              <w:pStyle w:val="TableParagraph"/>
              <w:spacing w:line="200" w:lineRule="exact"/>
              <w:ind w:left="344"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2807" w:type="dxa"/>
            <w:tcBorders>
              <w:top w:val="nil" w:sz="6" w:space="0" w:color="auto"/>
              <w:left w:val="nil" w:sz="6" w:space="0" w:color="auto"/>
              <w:bottom w:val="single" w:sz="4" w:space="0" w:color="000000"/>
              <w:right w:val="nil" w:sz="6" w:space="0" w:color="auto"/>
            </w:tcBorders>
          </w:tcPr>
          <w:p>
            <w:pPr>
              <w:pStyle w:val="TableParagraph"/>
              <w:spacing w:line="200" w:lineRule="exact"/>
              <w:ind w:left="37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r>
      <w:tr>
        <w:trPr>
          <w:trHeight w:val="493" w:hRule="exact"/>
        </w:trPr>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59"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33" w:right="0"/>
              <w:jc w:val="center"/>
              <w:rPr>
                <w:rFonts w:ascii="Times New Roman" w:hAnsi="Times New Roman" w:cs="Times New Roman" w:eastAsia="Times New Roman" w:hint="default"/>
                <w:sz w:val="18"/>
                <w:szCs w:val="18"/>
              </w:rPr>
            </w:pPr>
            <w:r>
              <w:rPr>
                <w:rFonts w:ascii="Times New Roman"/>
                <w:sz w:val="18"/>
              </w:rPr>
              <w:t>4,752,631.20</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32"/>
              <w:jc w:val="center"/>
              <w:rPr>
                <w:rFonts w:ascii="Times New Roman" w:hAnsi="Times New Roman" w:cs="Times New Roman" w:eastAsia="Times New Roman" w:hint="default"/>
                <w:sz w:val="18"/>
                <w:szCs w:val="18"/>
              </w:rPr>
            </w:pPr>
            <w:r>
              <w:rPr>
                <w:rFonts w:ascii="Times New Roman"/>
                <w:sz w:val="18"/>
              </w:rPr>
              <w:t>411,537.96</w:t>
            </w:r>
          </w:p>
        </w:tc>
        <w:tc>
          <w:tcPr>
            <w:tcW w:w="1038" w:type="dxa"/>
            <w:tcBorders>
              <w:top w:val="single" w:sz="4" w:space="0" w:color="000000"/>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324" w:right="0"/>
              <w:jc w:val="left"/>
              <w:rPr>
                <w:rFonts w:ascii="Times New Roman" w:hAnsi="Times New Roman" w:cs="Times New Roman" w:eastAsia="Times New Roman" w:hint="default"/>
                <w:sz w:val="18"/>
                <w:szCs w:val="18"/>
              </w:rPr>
            </w:pPr>
            <w:r>
              <w:rPr>
                <w:rFonts w:ascii="Times New Roman"/>
                <w:sz w:val="18"/>
              </w:rPr>
              <w:t>3,571,086.47</w:t>
            </w:r>
          </w:p>
        </w:tc>
        <w:tc>
          <w:tcPr>
            <w:tcW w:w="280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01"/>
              <w:jc w:val="right"/>
              <w:rPr>
                <w:rFonts w:ascii="Times New Roman" w:hAnsi="Times New Roman" w:cs="Times New Roman" w:eastAsia="Times New Roman" w:hint="default"/>
                <w:sz w:val="18"/>
                <w:szCs w:val="18"/>
              </w:rPr>
            </w:pPr>
            <w:r>
              <w:rPr>
                <w:rFonts w:ascii="Times New Roman"/>
                <w:spacing w:val="-1"/>
                <w:sz w:val="18"/>
              </w:rPr>
              <w:t>1,593,082.69</w:t>
            </w:r>
          </w:p>
        </w:tc>
      </w:tr>
      <w:tr>
        <w:trPr>
          <w:trHeight w:val="315" w:hRule="exact"/>
        </w:trPr>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4,752,631.20</w:t>
            </w:r>
            <w:r>
              <w:rPr>
                <w:rFonts w:ascii="Times New Roman"/>
                <w:sz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2"/>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411,537.96</w:t>
            </w:r>
            <w:r>
              <w:rPr>
                <w:rFonts w:ascii="Times New Roman"/>
                <w:sz w:val="18"/>
              </w:rPr>
            </w:r>
          </w:p>
        </w:tc>
        <w:tc>
          <w:tcPr>
            <w:tcW w:w="1038"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2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3,571,086.47</w:t>
            </w:r>
            <w:r>
              <w:rPr>
                <w:rFonts w:ascii="Times New Roman"/>
                <w:sz w:val="18"/>
              </w:rPr>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1,593,082.69</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3</w:t>
      </w:r>
      <w:r>
        <w:rPr/>
        <w:t>）存货跌价准备情况</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1086"/>
        <w:gridCol w:w="2501"/>
        <w:gridCol w:w="2890"/>
        <w:gridCol w:w="2953"/>
      </w:tblGrid>
      <w:tr>
        <w:trPr>
          <w:trHeight w:val="271" w:hRule="exact"/>
        </w:trPr>
        <w:tc>
          <w:tcPr>
            <w:tcW w:w="1086" w:type="dxa"/>
            <w:tcBorders>
              <w:top w:val="nil" w:sz="6" w:space="0" w:color="auto"/>
              <w:left w:val="nil" w:sz="6" w:space="0" w:color="auto"/>
              <w:bottom w:val="single" w:sz="4" w:space="0" w:color="000000"/>
              <w:right w:val="nil" w:sz="6" w:space="0" w:color="auto"/>
            </w:tcBorders>
          </w:tcPr>
          <w:p>
            <w:pPr>
              <w:pStyle w:val="TableParagraph"/>
              <w:spacing w:line="180" w:lineRule="exact"/>
              <w:ind w:left="36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1"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计提存货跌价准备的依据</w:t>
            </w:r>
            <w:r>
              <w:rPr>
                <w:rFonts w:ascii="宋体" w:hAnsi="宋体" w:cs="宋体" w:eastAsia="宋体" w:hint="default"/>
                <w:sz w:val="18"/>
                <w:szCs w:val="18"/>
              </w:rPr>
            </w:r>
          </w:p>
        </w:tc>
        <w:tc>
          <w:tcPr>
            <w:tcW w:w="2890" w:type="dxa"/>
            <w:tcBorders>
              <w:top w:val="nil" w:sz="6" w:space="0" w:color="auto"/>
              <w:left w:val="nil" w:sz="6" w:space="0" w:color="auto"/>
              <w:bottom w:val="single" w:sz="4" w:space="0" w:color="000000"/>
              <w:right w:val="nil" w:sz="6" w:space="0" w:color="auto"/>
            </w:tcBorders>
          </w:tcPr>
          <w:p>
            <w:pPr>
              <w:pStyle w:val="TableParagraph"/>
              <w:spacing w:line="180" w:lineRule="exact"/>
              <w:ind w:right="27"/>
              <w:jc w:val="center"/>
              <w:rPr>
                <w:rFonts w:ascii="宋体" w:hAnsi="宋体" w:cs="宋体" w:eastAsia="宋体" w:hint="default"/>
                <w:sz w:val="18"/>
                <w:szCs w:val="18"/>
              </w:rPr>
            </w:pPr>
            <w:r>
              <w:rPr>
                <w:rFonts w:ascii="宋体" w:hAnsi="宋体" w:cs="宋体" w:eastAsia="宋体" w:hint="default"/>
                <w:b/>
                <w:bCs/>
                <w:sz w:val="18"/>
                <w:szCs w:val="18"/>
              </w:rPr>
              <w:t>本期转回存货跌价准备的原因</w:t>
            </w:r>
            <w:r>
              <w:rPr>
                <w:rFonts w:ascii="宋体" w:hAnsi="宋体" w:cs="宋体" w:eastAsia="宋体" w:hint="default"/>
                <w:sz w:val="18"/>
                <w:szCs w:val="18"/>
              </w:rPr>
            </w:r>
          </w:p>
        </w:tc>
        <w:tc>
          <w:tcPr>
            <w:tcW w:w="2953" w:type="dxa"/>
            <w:tcBorders>
              <w:top w:val="nil" w:sz="6" w:space="0" w:color="auto"/>
              <w:left w:val="nil" w:sz="6" w:space="0" w:color="auto"/>
              <w:bottom w:val="single" w:sz="4" w:space="0" w:color="000000"/>
              <w:right w:val="nil" w:sz="6" w:space="0" w:color="auto"/>
            </w:tcBorders>
          </w:tcPr>
          <w:p>
            <w:pPr>
              <w:pStyle w:val="TableParagraph"/>
              <w:spacing w:line="180" w:lineRule="exact"/>
              <w:ind w:right="31"/>
              <w:jc w:val="center"/>
              <w:rPr>
                <w:rFonts w:ascii="宋体" w:hAnsi="宋体" w:cs="宋体" w:eastAsia="宋体" w:hint="default"/>
                <w:sz w:val="18"/>
                <w:szCs w:val="18"/>
              </w:rPr>
            </w:pPr>
            <w:r>
              <w:rPr>
                <w:rFonts w:ascii="宋体" w:hAnsi="宋体" w:cs="宋体" w:eastAsia="宋体" w:hint="default"/>
                <w:b/>
                <w:bCs/>
                <w:sz w:val="18"/>
                <w:szCs w:val="18"/>
              </w:rPr>
              <w:t>本期转销存货跌价准备的原因</w:t>
            </w:r>
            <w:r>
              <w:rPr>
                <w:rFonts w:ascii="宋体" w:hAnsi="宋体" w:cs="宋体" w:eastAsia="宋体" w:hint="default"/>
                <w:sz w:val="18"/>
                <w:szCs w:val="18"/>
              </w:rPr>
            </w:r>
          </w:p>
        </w:tc>
      </w:tr>
      <w:tr>
        <w:trPr>
          <w:trHeight w:val="359" w:hRule="exact"/>
        </w:trPr>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50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4"/>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28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4"/>
              <w:jc w:val="center"/>
              <w:rPr>
                <w:rFonts w:ascii="宋体" w:hAnsi="宋体" w:cs="宋体" w:eastAsia="宋体" w:hint="default"/>
                <w:sz w:val="18"/>
                <w:szCs w:val="18"/>
              </w:rPr>
            </w:pPr>
            <w:r>
              <w:rPr>
                <w:rFonts w:ascii="宋体" w:hAnsi="宋体" w:cs="宋体" w:eastAsia="宋体" w:hint="default"/>
                <w:sz w:val="18"/>
                <w:szCs w:val="18"/>
              </w:rPr>
              <w:t>无</w:t>
            </w:r>
          </w:p>
        </w:tc>
        <w:tc>
          <w:tcPr>
            <w:tcW w:w="295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0"/>
              <w:jc w:val="center"/>
              <w:rPr>
                <w:rFonts w:ascii="宋体" w:hAnsi="宋体" w:cs="宋体" w:eastAsia="宋体" w:hint="default"/>
                <w:sz w:val="18"/>
                <w:szCs w:val="18"/>
              </w:rPr>
            </w:pPr>
            <w:r>
              <w:rPr>
                <w:rFonts w:ascii="宋体" w:hAnsi="宋体" w:cs="宋体" w:eastAsia="宋体" w:hint="default"/>
                <w:sz w:val="18"/>
                <w:szCs w:val="18"/>
              </w:rPr>
              <w:t>销售已计提跌价准备的产品</w:t>
            </w:r>
          </w:p>
        </w:tc>
      </w:tr>
    </w:tbl>
    <w:p>
      <w:pPr>
        <w:spacing w:line="240" w:lineRule="auto" w:before="2"/>
        <w:rPr>
          <w:rFonts w:ascii="宋体" w:hAnsi="宋体" w:cs="宋体" w:eastAsia="宋体" w:hint="default"/>
          <w:sz w:val="12"/>
          <w:szCs w:val="12"/>
        </w:rPr>
      </w:pPr>
    </w:p>
    <w:p>
      <w:pPr>
        <w:pStyle w:val="BodyText"/>
        <w:spacing w:line="240" w:lineRule="auto" w:before="44"/>
        <w:ind w:right="1117"/>
        <w:jc w:val="left"/>
      </w:pPr>
      <w:bookmarkStart w:name="7.其他流动资产" w:id="199"/>
      <w:bookmarkEnd w:id="199"/>
      <w:r>
        <w:rPr/>
      </w:r>
      <w:r>
        <w:rPr>
          <w:rFonts w:ascii="Times New Roman" w:hAnsi="Times New Roman" w:cs="Times New Roman" w:eastAsia="Times New Roman" w:hint="default"/>
        </w:rPr>
        <w:t>7.</w:t>
      </w:r>
      <w:r>
        <w:rPr/>
        <w:t>其他流动资产</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131"/>
        <w:gridCol w:w="3272"/>
        <w:gridCol w:w="3028"/>
      </w:tblGrid>
      <w:tr>
        <w:trPr>
          <w:trHeight w:val="271" w:hRule="exact"/>
        </w:trPr>
        <w:tc>
          <w:tcPr>
            <w:tcW w:w="3131" w:type="dxa"/>
            <w:tcBorders>
              <w:top w:val="nil" w:sz="6" w:space="0" w:color="auto"/>
              <w:left w:val="nil" w:sz="6" w:space="0" w:color="auto"/>
              <w:bottom w:val="single" w:sz="4" w:space="0" w:color="000000"/>
              <w:right w:val="nil" w:sz="6" w:space="0" w:color="auto"/>
            </w:tcBorders>
          </w:tcPr>
          <w:p>
            <w:pPr>
              <w:pStyle w:val="TableParagraph"/>
              <w:spacing w:line="180" w:lineRule="exact"/>
              <w:ind w:left="1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72" w:type="dxa"/>
            <w:tcBorders>
              <w:top w:val="nil" w:sz="6" w:space="0" w:color="auto"/>
              <w:left w:val="nil" w:sz="6" w:space="0" w:color="auto"/>
              <w:bottom w:val="single" w:sz="4" w:space="0" w:color="000000"/>
              <w:right w:val="nil" w:sz="6" w:space="0" w:color="auto"/>
            </w:tcBorders>
          </w:tcPr>
          <w:p>
            <w:pPr>
              <w:pStyle w:val="TableParagraph"/>
              <w:spacing w:line="180" w:lineRule="exact"/>
              <w:ind w:right="10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28" w:type="dxa"/>
            <w:tcBorders>
              <w:top w:val="nil" w:sz="6" w:space="0" w:color="auto"/>
              <w:left w:val="nil" w:sz="6" w:space="0" w:color="auto"/>
              <w:bottom w:val="single" w:sz="4" w:space="0" w:color="000000"/>
              <w:right w:val="nil" w:sz="6" w:space="0" w:color="auto"/>
            </w:tcBorders>
          </w:tcPr>
          <w:p>
            <w:pPr>
              <w:pStyle w:val="TableParagraph"/>
              <w:spacing w:line="180" w:lineRule="exact"/>
              <w:ind w:right="1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313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27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81"/>
              <w:jc w:val="right"/>
              <w:rPr>
                <w:rFonts w:ascii="Times New Roman" w:hAnsi="Times New Roman" w:cs="Times New Roman" w:eastAsia="Times New Roman" w:hint="default"/>
                <w:sz w:val="18"/>
                <w:szCs w:val="18"/>
              </w:rPr>
            </w:pPr>
            <w:r>
              <w:rPr>
                <w:rFonts w:ascii="Times New Roman"/>
                <w:spacing w:val="-1"/>
                <w:sz w:val="18"/>
              </w:rPr>
              <w:t>6,006,933.30</w:t>
            </w:r>
          </w:p>
        </w:tc>
        <w:tc>
          <w:tcPr>
            <w:tcW w:w="302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866"/>
              <w:jc w:val="right"/>
              <w:rPr>
                <w:rFonts w:ascii="Times New Roman" w:hAnsi="Times New Roman" w:cs="Times New Roman" w:eastAsia="Times New Roman" w:hint="default"/>
                <w:sz w:val="18"/>
                <w:szCs w:val="18"/>
              </w:rPr>
            </w:pPr>
            <w:r>
              <w:rPr>
                <w:rFonts w:ascii="Times New Roman"/>
                <w:spacing w:val="-1"/>
                <w:sz w:val="18"/>
              </w:rPr>
              <w:t>4,078,782.00</w:t>
            </w:r>
          </w:p>
        </w:tc>
      </w:tr>
      <w:tr>
        <w:trPr>
          <w:trHeight w:val="440"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81"/>
              <w:jc w:val="right"/>
              <w:rPr>
                <w:rFonts w:ascii="Times New Roman" w:hAnsi="Times New Roman" w:cs="Times New Roman" w:eastAsia="Times New Roman" w:hint="default"/>
                <w:sz w:val="18"/>
                <w:szCs w:val="18"/>
              </w:rPr>
            </w:pPr>
            <w:r>
              <w:rPr>
                <w:rFonts w:ascii="Times New Roman"/>
                <w:sz w:val="18"/>
              </w:rPr>
              <w:t>703,460.65</w:t>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66"/>
              <w:jc w:val="right"/>
              <w:rPr>
                <w:rFonts w:ascii="Times New Roman" w:hAnsi="Times New Roman" w:cs="Times New Roman" w:eastAsia="Times New Roman" w:hint="default"/>
                <w:sz w:val="18"/>
                <w:szCs w:val="18"/>
              </w:rPr>
            </w:pPr>
            <w:r>
              <w:rPr>
                <w:rFonts w:ascii="Times New Roman"/>
                <w:sz w:val="18"/>
              </w:rPr>
              <w:t>516,729.78</w:t>
            </w:r>
          </w:p>
        </w:tc>
      </w:tr>
      <w:tr>
        <w:trPr>
          <w:trHeight w:val="421"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待摊销版权金</w:t>
            </w:r>
          </w:p>
        </w:tc>
        <w:tc>
          <w:tcPr>
            <w:tcW w:w="3272" w:type="dxa"/>
            <w:tcBorders>
              <w:top w:val="nil" w:sz="6" w:space="0" w:color="auto"/>
              <w:left w:val="nil" w:sz="6" w:space="0" w:color="auto"/>
              <w:bottom w:val="nil" w:sz="6" w:space="0" w:color="auto"/>
              <w:right w:val="nil" w:sz="6" w:space="0" w:color="auto"/>
            </w:tcBorders>
          </w:tcPr>
          <w:p>
            <w:pP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66"/>
              <w:jc w:val="right"/>
              <w:rPr>
                <w:rFonts w:ascii="Times New Roman" w:hAnsi="Times New Roman" w:cs="Times New Roman" w:eastAsia="Times New Roman" w:hint="default"/>
                <w:sz w:val="18"/>
                <w:szCs w:val="18"/>
              </w:rPr>
            </w:pPr>
            <w:r>
              <w:rPr>
                <w:rFonts w:ascii="Times New Roman"/>
                <w:sz w:val="18"/>
              </w:rPr>
              <w:t>432,389.93</w:t>
            </w:r>
          </w:p>
        </w:tc>
      </w:tr>
      <w:tr>
        <w:trPr>
          <w:trHeight w:val="335"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2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6,710,393.95</w:t>
            </w:r>
            <w:r>
              <w:rPr>
                <w:rFonts w:ascii="Times New Roman"/>
                <w:spacing w:val="-1"/>
                <w:sz w:val="18"/>
              </w:rPr>
            </w:r>
          </w:p>
        </w:tc>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8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5,027,901.71</w:t>
            </w:r>
            <w:r>
              <w:rPr>
                <w:rFonts w:ascii="Times New Roman"/>
                <w:sz w:val="18"/>
              </w:rPr>
            </w: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8.可供出售金融资产" w:id="200"/>
      <w:bookmarkEnd w:id="200"/>
      <w:r>
        <w:rPr/>
      </w:r>
      <w:r>
        <w:rPr>
          <w:rFonts w:ascii="Times New Roman" w:hAnsi="Times New Roman" w:cs="Times New Roman" w:eastAsia="Times New Roman" w:hint="default"/>
        </w:rPr>
        <w:t>8.</w:t>
      </w:r>
      <w:r>
        <w:rPr/>
        <w:t>可供出售金融资产</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8"/>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2722"/>
        <w:gridCol w:w="1211"/>
        <w:gridCol w:w="1105"/>
        <w:gridCol w:w="1172"/>
        <w:gridCol w:w="1153"/>
        <w:gridCol w:w="994"/>
        <w:gridCol w:w="1073"/>
      </w:tblGrid>
      <w:tr>
        <w:trPr>
          <w:trHeight w:val="164" w:hRule="exact"/>
        </w:trPr>
        <w:tc>
          <w:tcPr>
            <w:tcW w:w="2722"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130" w:lineRule="exact"/>
              <w:ind w:left="231"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1172"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130" w:lineRule="exact"/>
              <w:ind w:right="159"/>
              <w:jc w:val="center"/>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1073" w:type="dxa"/>
            <w:tcBorders>
              <w:top w:val="nil" w:sz="6" w:space="0" w:color="auto"/>
              <w:left w:val="nil" w:sz="6" w:space="0" w:color="auto"/>
              <w:bottom w:val="nil" w:sz="6" w:space="0" w:color="auto"/>
              <w:right w:val="nil" w:sz="6" w:space="0" w:color="auto"/>
            </w:tcBorders>
          </w:tcPr>
          <w:p>
            <w:pPr/>
          </w:p>
        </w:tc>
      </w:tr>
      <w:tr>
        <w:trPr>
          <w:trHeight w:val="200"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164" w:lineRule="exact"/>
              <w:ind w:left="5"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1211"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r>
      <w:tr>
        <w:trPr>
          <w:trHeight w:val="255" w:hRule="exact"/>
        </w:trPr>
        <w:tc>
          <w:tcPr>
            <w:tcW w:w="2722" w:type="dxa"/>
            <w:tcBorders>
              <w:top w:val="nil" w:sz="6" w:space="0" w:color="auto"/>
              <w:left w:val="nil" w:sz="6" w:space="0" w:color="auto"/>
              <w:bottom w:val="single" w:sz="4" w:space="0" w:color="000000"/>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165" w:lineRule="exact"/>
              <w:ind w:right="73"/>
              <w:jc w:val="center"/>
              <w:rPr>
                <w:rFonts w:ascii="宋体" w:hAnsi="宋体" w:cs="宋体" w:eastAsia="宋体" w:hint="default"/>
                <w:sz w:val="13"/>
                <w:szCs w:val="13"/>
              </w:rPr>
            </w:pPr>
            <w:r>
              <w:rPr>
                <w:rFonts w:ascii="宋体" w:hAnsi="宋体" w:cs="宋体" w:eastAsia="宋体" w:hint="default"/>
                <w:b/>
                <w:bCs/>
                <w:sz w:val="13"/>
                <w:szCs w:val="13"/>
              </w:rPr>
              <w:t>账面余额</w:t>
            </w:r>
            <w:r>
              <w:rPr>
                <w:rFonts w:ascii="宋体" w:hAnsi="宋体" w:cs="宋体" w:eastAsia="宋体" w:hint="default"/>
                <w:sz w:val="13"/>
                <w:szCs w:val="13"/>
              </w:rPr>
            </w:r>
          </w:p>
        </w:tc>
        <w:tc>
          <w:tcPr>
            <w:tcW w:w="1105" w:type="dxa"/>
            <w:tcBorders>
              <w:top w:val="nil" w:sz="6" w:space="0" w:color="auto"/>
              <w:left w:val="nil" w:sz="6" w:space="0" w:color="auto"/>
              <w:bottom w:val="single" w:sz="4" w:space="0" w:color="000000"/>
              <w:right w:val="nil" w:sz="6" w:space="0" w:color="auto"/>
            </w:tcBorders>
          </w:tcPr>
          <w:p>
            <w:pPr>
              <w:pStyle w:val="TableParagraph"/>
              <w:spacing w:line="165" w:lineRule="exact"/>
              <w:ind w:left="221" w:right="0"/>
              <w:jc w:val="left"/>
              <w:rPr>
                <w:rFonts w:ascii="宋体" w:hAnsi="宋体" w:cs="宋体" w:eastAsia="宋体" w:hint="default"/>
                <w:sz w:val="13"/>
                <w:szCs w:val="13"/>
              </w:rPr>
            </w:pPr>
            <w:r>
              <w:rPr>
                <w:rFonts w:ascii="宋体" w:hAnsi="宋体" w:cs="宋体" w:eastAsia="宋体" w:hint="default"/>
                <w:b/>
                <w:bCs/>
                <w:sz w:val="13"/>
                <w:szCs w:val="13"/>
              </w:rPr>
              <w:t>减值准备</w:t>
            </w:r>
            <w:r>
              <w:rPr>
                <w:rFonts w:ascii="宋体" w:hAnsi="宋体" w:cs="宋体" w:eastAsia="宋体" w:hint="default"/>
                <w:sz w:val="13"/>
                <w:szCs w:val="13"/>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165" w:lineRule="exact"/>
              <w:ind w:left="253" w:right="0"/>
              <w:jc w:val="left"/>
              <w:rPr>
                <w:rFonts w:ascii="宋体" w:hAnsi="宋体" w:cs="宋体" w:eastAsia="宋体" w:hint="default"/>
                <w:sz w:val="13"/>
                <w:szCs w:val="13"/>
              </w:rPr>
            </w:pPr>
            <w:r>
              <w:rPr>
                <w:rFonts w:ascii="宋体" w:hAnsi="宋体" w:cs="宋体" w:eastAsia="宋体" w:hint="default"/>
                <w:b/>
                <w:bCs/>
                <w:sz w:val="13"/>
                <w:szCs w:val="13"/>
              </w:rPr>
              <w:t>账面价值</w:t>
            </w:r>
            <w:r>
              <w:rPr>
                <w:rFonts w:ascii="宋体" w:hAnsi="宋体" w:cs="宋体" w:eastAsia="宋体" w:hint="default"/>
                <w:sz w:val="13"/>
                <w:szCs w:val="13"/>
              </w:rPr>
            </w:r>
          </w:p>
        </w:tc>
        <w:tc>
          <w:tcPr>
            <w:tcW w:w="1153" w:type="dxa"/>
            <w:tcBorders>
              <w:top w:val="nil" w:sz="6" w:space="0" w:color="auto"/>
              <w:left w:val="nil" w:sz="6" w:space="0" w:color="auto"/>
              <w:bottom w:val="single" w:sz="4" w:space="0" w:color="000000"/>
              <w:right w:val="nil" w:sz="6" w:space="0" w:color="auto"/>
            </w:tcBorders>
          </w:tcPr>
          <w:p>
            <w:pPr>
              <w:pStyle w:val="TableParagraph"/>
              <w:spacing w:line="165" w:lineRule="exact"/>
              <w:ind w:left="250" w:right="0"/>
              <w:jc w:val="left"/>
              <w:rPr>
                <w:rFonts w:ascii="宋体" w:hAnsi="宋体" w:cs="宋体" w:eastAsia="宋体" w:hint="default"/>
                <w:sz w:val="13"/>
                <w:szCs w:val="13"/>
              </w:rPr>
            </w:pPr>
            <w:r>
              <w:rPr>
                <w:rFonts w:ascii="宋体" w:hAnsi="宋体" w:cs="宋体" w:eastAsia="宋体" w:hint="default"/>
                <w:b/>
                <w:bCs/>
                <w:sz w:val="13"/>
                <w:szCs w:val="13"/>
              </w:rPr>
              <w:t>账面余额</w:t>
            </w:r>
            <w:r>
              <w:rPr>
                <w:rFonts w:ascii="宋体" w:hAnsi="宋体" w:cs="宋体" w:eastAsia="宋体" w:hint="default"/>
                <w:sz w:val="13"/>
                <w:szCs w:val="13"/>
              </w:rPr>
            </w:r>
          </w:p>
        </w:tc>
        <w:tc>
          <w:tcPr>
            <w:tcW w:w="994" w:type="dxa"/>
            <w:tcBorders>
              <w:top w:val="nil" w:sz="6" w:space="0" w:color="auto"/>
              <w:left w:val="nil" w:sz="6" w:space="0" w:color="auto"/>
              <w:bottom w:val="single" w:sz="4" w:space="0" w:color="000000"/>
              <w:right w:val="nil" w:sz="6" w:space="0" w:color="auto"/>
            </w:tcBorders>
          </w:tcPr>
          <w:p>
            <w:pPr>
              <w:pStyle w:val="TableParagraph"/>
              <w:spacing w:line="165" w:lineRule="exact"/>
              <w:ind w:right="91"/>
              <w:jc w:val="center"/>
              <w:rPr>
                <w:rFonts w:ascii="宋体" w:hAnsi="宋体" w:cs="宋体" w:eastAsia="宋体" w:hint="default"/>
                <w:sz w:val="13"/>
                <w:szCs w:val="13"/>
              </w:rPr>
            </w:pPr>
            <w:r>
              <w:rPr>
                <w:rFonts w:ascii="宋体" w:hAnsi="宋体" w:cs="宋体" w:eastAsia="宋体" w:hint="default"/>
                <w:b/>
                <w:bCs/>
                <w:sz w:val="13"/>
                <w:szCs w:val="13"/>
              </w:rPr>
              <w:t>减值准备</w:t>
            </w:r>
            <w:r>
              <w:rPr>
                <w:rFonts w:ascii="宋体" w:hAnsi="宋体" w:cs="宋体" w:eastAsia="宋体" w:hint="default"/>
                <w:sz w:val="13"/>
                <w:szCs w:val="13"/>
              </w:rPr>
            </w:r>
          </w:p>
        </w:tc>
        <w:tc>
          <w:tcPr>
            <w:tcW w:w="1073" w:type="dxa"/>
            <w:tcBorders>
              <w:top w:val="nil" w:sz="6" w:space="0" w:color="auto"/>
              <w:left w:val="nil" w:sz="6" w:space="0" w:color="auto"/>
              <w:bottom w:val="single" w:sz="4" w:space="0" w:color="000000"/>
              <w:right w:val="nil" w:sz="6" w:space="0" w:color="auto"/>
            </w:tcBorders>
          </w:tcPr>
          <w:p>
            <w:pPr>
              <w:pStyle w:val="TableParagraph"/>
              <w:spacing w:line="165" w:lineRule="exact"/>
              <w:ind w:left="251" w:right="0"/>
              <w:jc w:val="left"/>
              <w:rPr>
                <w:rFonts w:ascii="宋体" w:hAnsi="宋体" w:cs="宋体" w:eastAsia="宋体" w:hint="default"/>
                <w:sz w:val="13"/>
                <w:szCs w:val="13"/>
              </w:rPr>
            </w:pPr>
            <w:r>
              <w:rPr>
                <w:rFonts w:ascii="宋体" w:hAnsi="宋体" w:cs="宋体" w:eastAsia="宋体" w:hint="default"/>
                <w:b/>
                <w:bCs/>
                <w:sz w:val="13"/>
                <w:szCs w:val="13"/>
              </w:rPr>
              <w:t>账面价值</w:t>
            </w:r>
            <w:r>
              <w:rPr>
                <w:rFonts w:ascii="宋体" w:hAnsi="宋体" w:cs="宋体" w:eastAsia="宋体" w:hint="default"/>
                <w:sz w:val="13"/>
                <w:szCs w:val="13"/>
              </w:rPr>
            </w:r>
          </w:p>
        </w:tc>
      </w:tr>
      <w:tr>
        <w:trPr>
          <w:trHeight w:val="459" w:hRule="exact"/>
        </w:trPr>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可供出售权益工具</w:t>
            </w: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346,855,325.00</w:t>
            </w:r>
            <w:r>
              <w:rPr>
                <w:rFonts w:ascii="Times New Roman"/>
                <w:sz w:val="13"/>
              </w:rPr>
            </w:r>
          </w:p>
        </w:tc>
        <w:tc>
          <w:tcPr>
            <w:tcW w:w="110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9"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21,347,000.00</w:t>
            </w:r>
            <w:r>
              <w:rPr>
                <w:rFonts w:ascii="Times New Roman"/>
                <w:sz w:val="13"/>
              </w:rPr>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325,508,325.00</w:t>
            </w:r>
            <w:r>
              <w:rPr>
                <w:rFonts w:ascii="Times New Roman"/>
                <w:w w:val="95"/>
                <w:sz w:val="13"/>
              </w:rPr>
            </w:r>
            <w:r>
              <w:rPr>
                <w:rFonts w:ascii="Times New Roman"/>
                <w:sz w:val="13"/>
              </w:rPr>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thick" w:color="000000"/>
              </w:rPr>
              <w:t>136,954,116.00</w:t>
            </w:r>
            <w:r>
              <w:rPr>
                <w:rFonts w:ascii="Times New Roman"/>
                <w:spacing w:val="-1"/>
                <w:sz w:val="13"/>
              </w:rPr>
            </w: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7,347,000.00</w:t>
            </w:r>
            <w:r>
              <w:rPr>
                <w:rFonts w:ascii="Times New Roman"/>
                <w:sz w:val="13"/>
              </w:rPr>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thick" w:color="000000"/>
              </w:rPr>
              <w:t>129,607,116.00</w:t>
            </w:r>
            <w:r>
              <w:rPr>
                <w:rFonts w:ascii="Times New Roman"/>
                <w:spacing w:val="-1"/>
                <w:sz w:val="13"/>
              </w:rPr>
            </w:r>
          </w:p>
        </w:tc>
      </w:tr>
      <w:tr>
        <w:trPr>
          <w:trHeight w:val="400"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其中：按成本计量</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346,855,325.00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89"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21,347,000.00</w:t>
            </w:r>
            <w:r>
              <w:rPr>
                <w:rFonts w:ascii="Times New Roman"/>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single" w:color="000000"/>
              </w:rPr>
              <w:t>325,508,325.00</w:t>
            </w:r>
            <w:r>
              <w:rPr>
                <w:rFonts w:ascii="Times New Roman"/>
                <w:w w:val="95"/>
                <w:sz w:val="13"/>
              </w:rPr>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single" w:color="000000"/>
              </w:rPr>
              <w:t>136,954,116.00</w:t>
            </w:r>
            <w:r>
              <w:rPr>
                <w:rFonts w:ascii="Times New Roman"/>
                <w:spacing w:val="-1"/>
                <w:sz w:val="13"/>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7,347,000.00</w:t>
            </w:r>
            <w:r>
              <w:rPr>
                <w:rFonts w:ascii="Times New Roman"/>
                <w:sz w:val="13"/>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single" w:color="000000"/>
              </w:rPr>
              <w:t>129,607,116.00</w:t>
            </w:r>
            <w:r>
              <w:rPr>
                <w:rFonts w:ascii="Times New Roman"/>
                <w:spacing w:val="-1"/>
                <w:sz w:val="13"/>
              </w:rPr>
            </w:r>
          </w:p>
        </w:tc>
      </w:tr>
      <w:tr>
        <w:trPr>
          <w:trHeight w:val="400"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北京初见科技有限公司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20" w:right="0"/>
              <w:jc w:val="center"/>
              <w:rPr>
                <w:rFonts w:ascii="Times New Roman" w:hAnsi="Times New Roman" w:cs="Times New Roman" w:eastAsia="Times New Roman" w:hint="default"/>
                <w:sz w:val="13"/>
                <w:szCs w:val="13"/>
              </w:rPr>
            </w:pPr>
            <w:r>
              <w:rPr>
                <w:rFonts w:ascii="Times New Roman"/>
                <w:sz w:val="13"/>
              </w:rPr>
              <w:t>204,000,000.00</w:t>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204,000,000.00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5"/>
                <w:sz w:val="13"/>
              </w:rPr>
              <w:t>60,000,000.00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60,000,000.00</w:t>
            </w:r>
            <w:r>
              <w:rPr>
                <w:rFonts w:ascii="Times New Roman"/>
                <w:sz w:val="13"/>
              </w:rPr>
            </w:r>
          </w:p>
        </w:tc>
      </w:tr>
      <w:tr>
        <w:trPr>
          <w:trHeight w:val="400"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上海德天股权投资基金中心（有限合伙）</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85" w:right="0"/>
              <w:jc w:val="center"/>
              <w:rPr>
                <w:rFonts w:ascii="Times New Roman" w:hAnsi="Times New Roman" w:cs="Times New Roman" w:eastAsia="Times New Roman" w:hint="default"/>
                <w:sz w:val="13"/>
                <w:szCs w:val="13"/>
              </w:rPr>
            </w:pPr>
            <w:r>
              <w:rPr>
                <w:rFonts w:ascii="Times New Roman"/>
                <w:sz w:val="13"/>
              </w:rPr>
              <w:t>37,079,425.00</w:t>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37,079,425.00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spacing w:val="-1"/>
                <w:sz w:val="13"/>
              </w:rPr>
              <w:t>38,957,116.00</w:t>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spacing w:val="-1"/>
                <w:sz w:val="13"/>
              </w:rPr>
              <w:t>38,957,116.00</w:t>
            </w:r>
          </w:p>
        </w:tc>
      </w:tr>
      <w:tr>
        <w:trPr>
          <w:trHeight w:val="400"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海南奇遇天下网络科技有限公司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85" w:right="0"/>
              <w:jc w:val="center"/>
              <w:rPr>
                <w:rFonts w:ascii="Times New Roman" w:hAnsi="Times New Roman" w:cs="Times New Roman" w:eastAsia="Times New Roman" w:hint="default"/>
                <w:sz w:val="13"/>
                <w:szCs w:val="13"/>
              </w:rPr>
            </w:pPr>
            <w:r>
              <w:rPr>
                <w:rFonts w:ascii="Times New Roman"/>
                <w:sz w:val="13"/>
              </w:rPr>
              <w:t>33,000,000.00</w:t>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33,000,000.00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r>
      <w:tr>
        <w:trPr>
          <w:trHeight w:val="400"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上海颜盟文化传媒有限公司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85" w:right="0"/>
              <w:jc w:val="center"/>
              <w:rPr>
                <w:rFonts w:ascii="Times New Roman" w:hAnsi="Times New Roman" w:cs="Times New Roman" w:eastAsia="Times New Roman" w:hint="default"/>
                <w:sz w:val="13"/>
                <w:szCs w:val="13"/>
              </w:rPr>
            </w:pPr>
            <w:r>
              <w:rPr>
                <w:rFonts w:ascii="Times New Roman"/>
                <w:sz w:val="13"/>
              </w:rPr>
              <w:t>15,000,000.00</w:t>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15,000,000.00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r>
      <w:tr>
        <w:trPr>
          <w:trHeight w:val="400"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上海羽厚亦网络科技有限公司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85" w:right="0"/>
              <w:jc w:val="center"/>
              <w:rPr>
                <w:rFonts w:ascii="Times New Roman" w:hAnsi="Times New Roman" w:cs="Times New Roman" w:eastAsia="Times New Roman" w:hint="default"/>
                <w:sz w:val="13"/>
                <w:szCs w:val="13"/>
              </w:rPr>
            </w:pPr>
            <w:r>
              <w:rPr>
                <w:rFonts w:ascii="Times New Roman"/>
                <w:sz w:val="13"/>
              </w:rPr>
              <w:t>14,100,000.00</w:t>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14,100,000.00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r>
      <w:tr>
        <w:trPr>
          <w:trHeight w:val="268"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上海暗沙网络科技有限公司</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49" w:right="0"/>
              <w:jc w:val="center"/>
              <w:rPr>
                <w:rFonts w:ascii="Times New Roman" w:hAnsi="Times New Roman" w:cs="Times New Roman" w:eastAsia="Times New Roman" w:hint="default"/>
                <w:sz w:val="13"/>
                <w:szCs w:val="13"/>
              </w:rPr>
            </w:pPr>
            <w:r>
              <w:rPr>
                <w:rFonts w:ascii="Times New Roman"/>
                <w:sz w:val="13"/>
              </w:rPr>
              <w:t>6,400,000.00</w:t>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6,400,000.00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1310" w:type="dxa"/>
        <w:tblLayout w:type="fixed"/>
        <w:tblCellMar>
          <w:top w:w="0" w:type="dxa"/>
          <w:left w:w="0" w:type="dxa"/>
          <w:bottom w:w="0" w:type="dxa"/>
          <w:right w:w="0" w:type="dxa"/>
        </w:tblCellMar>
        <w:tblLook w:val="01E0"/>
      </w:tblPr>
      <w:tblGrid>
        <w:gridCol w:w="2552"/>
        <w:gridCol w:w="1381"/>
        <w:gridCol w:w="1105"/>
        <w:gridCol w:w="1172"/>
        <w:gridCol w:w="1153"/>
        <w:gridCol w:w="994"/>
        <w:gridCol w:w="1073"/>
      </w:tblGrid>
      <w:tr>
        <w:trPr>
          <w:trHeight w:val="165" w:hRule="exact"/>
        </w:trPr>
        <w:tc>
          <w:tcPr>
            <w:tcW w:w="2552"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130" w:lineRule="exact"/>
              <w:ind w:left="231"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1172"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130" w:lineRule="exact"/>
              <w:ind w:right="159"/>
              <w:jc w:val="center"/>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1073" w:type="dxa"/>
            <w:tcBorders>
              <w:top w:val="nil" w:sz="6" w:space="0" w:color="auto"/>
              <w:left w:val="nil" w:sz="6" w:space="0" w:color="auto"/>
              <w:bottom w:val="nil" w:sz="6" w:space="0" w:color="auto"/>
              <w:right w:val="nil" w:sz="6" w:space="0" w:color="auto"/>
            </w:tcBorders>
          </w:tcPr>
          <w:p>
            <w:pPr/>
          </w:p>
        </w:tc>
      </w:tr>
      <w:tr>
        <w:trPr>
          <w:trHeight w:val="2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165" w:lineRule="exact"/>
              <w:ind w:left="175"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sz w:val="13"/>
                <w:szCs w:val="13"/>
              </w:rPr>
            </w:r>
          </w:p>
        </w:tc>
        <w:tc>
          <w:tcPr>
            <w:tcW w:w="1381"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r>
      <w:tr>
        <w:trPr>
          <w:trHeight w:val="255" w:hRule="exact"/>
        </w:trPr>
        <w:tc>
          <w:tcPr>
            <w:tcW w:w="2552" w:type="dxa"/>
            <w:tcBorders>
              <w:top w:val="nil" w:sz="6" w:space="0" w:color="auto"/>
              <w:left w:val="nil" w:sz="6" w:space="0" w:color="auto"/>
              <w:bottom w:val="single" w:sz="4" w:space="0" w:color="000000"/>
              <w:right w:val="nil" w:sz="6" w:space="0" w:color="auto"/>
            </w:tcBorders>
          </w:tcPr>
          <w:p>
            <w:pPr/>
          </w:p>
        </w:tc>
        <w:tc>
          <w:tcPr>
            <w:tcW w:w="1381" w:type="dxa"/>
            <w:tcBorders>
              <w:top w:val="nil" w:sz="6" w:space="0" w:color="auto"/>
              <w:left w:val="nil" w:sz="6" w:space="0" w:color="auto"/>
              <w:bottom w:val="single" w:sz="4" w:space="0" w:color="000000"/>
              <w:right w:val="nil" w:sz="6" w:space="0" w:color="auto"/>
            </w:tcBorders>
          </w:tcPr>
          <w:p>
            <w:pPr>
              <w:pStyle w:val="TableParagraph"/>
              <w:spacing w:line="164" w:lineRule="exact"/>
              <w:ind w:left="476" w:right="0"/>
              <w:jc w:val="left"/>
              <w:rPr>
                <w:rFonts w:ascii="宋体" w:hAnsi="宋体" w:cs="宋体" w:eastAsia="宋体" w:hint="default"/>
                <w:sz w:val="13"/>
                <w:szCs w:val="13"/>
              </w:rPr>
            </w:pPr>
            <w:r>
              <w:rPr>
                <w:rFonts w:ascii="宋体" w:hAnsi="宋体" w:cs="宋体" w:eastAsia="宋体" w:hint="default"/>
                <w:b/>
                <w:bCs/>
                <w:sz w:val="13"/>
                <w:szCs w:val="13"/>
              </w:rPr>
              <w:t>账面余额</w:t>
            </w:r>
            <w:r>
              <w:rPr>
                <w:rFonts w:ascii="宋体" w:hAnsi="宋体" w:cs="宋体" w:eastAsia="宋体" w:hint="default"/>
                <w:sz w:val="13"/>
                <w:szCs w:val="13"/>
              </w:rPr>
            </w:r>
          </w:p>
        </w:tc>
        <w:tc>
          <w:tcPr>
            <w:tcW w:w="1105" w:type="dxa"/>
            <w:tcBorders>
              <w:top w:val="nil" w:sz="6" w:space="0" w:color="auto"/>
              <w:left w:val="nil" w:sz="6" w:space="0" w:color="auto"/>
              <w:bottom w:val="single" w:sz="4" w:space="0" w:color="000000"/>
              <w:right w:val="nil" w:sz="6" w:space="0" w:color="auto"/>
            </w:tcBorders>
          </w:tcPr>
          <w:p>
            <w:pPr>
              <w:pStyle w:val="TableParagraph"/>
              <w:spacing w:line="164" w:lineRule="exact"/>
              <w:ind w:left="220" w:right="0"/>
              <w:jc w:val="left"/>
              <w:rPr>
                <w:rFonts w:ascii="宋体" w:hAnsi="宋体" w:cs="宋体" w:eastAsia="宋体" w:hint="default"/>
                <w:sz w:val="13"/>
                <w:szCs w:val="13"/>
              </w:rPr>
            </w:pPr>
            <w:r>
              <w:rPr>
                <w:rFonts w:ascii="宋体" w:hAnsi="宋体" w:cs="宋体" w:eastAsia="宋体" w:hint="default"/>
                <w:b/>
                <w:bCs/>
                <w:sz w:val="13"/>
                <w:szCs w:val="13"/>
              </w:rPr>
              <w:t>减值准备</w:t>
            </w:r>
            <w:r>
              <w:rPr>
                <w:rFonts w:ascii="宋体" w:hAnsi="宋体" w:cs="宋体" w:eastAsia="宋体" w:hint="default"/>
                <w:sz w:val="13"/>
                <w:szCs w:val="13"/>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164" w:lineRule="exact"/>
              <w:ind w:left="253" w:right="0"/>
              <w:jc w:val="left"/>
              <w:rPr>
                <w:rFonts w:ascii="宋体" w:hAnsi="宋体" w:cs="宋体" w:eastAsia="宋体" w:hint="default"/>
                <w:sz w:val="13"/>
                <w:szCs w:val="13"/>
              </w:rPr>
            </w:pPr>
            <w:r>
              <w:rPr>
                <w:rFonts w:ascii="宋体" w:hAnsi="宋体" w:cs="宋体" w:eastAsia="宋体" w:hint="default"/>
                <w:b/>
                <w:bCs/>
                <w:sz w:val="13"/>
                <w:szCs w:val="13"/>
              </w:rPr>
              <w:t>账面价值</w:t>
            </w:r>
            <w:r>
              <w:rPr>
                <w:rFonts w:ascii="宋体" w:hAnsi="宋体" w:cs="宋体" w:eastAsia="宋体" w:hint="default"/>
                <w:sz w:val="13"/>
                <w:szCs w:val="13"/>
              </w:rPr>
            </w:r>
          </w:p>
        </w:tc>
        <w:tc>
          <w:tcPr>
            <w:tcW w:w="1153" w:type="dxa"/>
            <w:tcBorders>
              <w:top w:val="nil" w:sz="6" w:space="0" w:color="auto"/>
              <w:left w:val="nil" w:sz="6" w:space="0" w:color="auto"/>
              <w:bottom w:val="single" w:sz="4" w:space="0" w:color="000000"/>
              <w:right w:val="nil" w:sz="6" w:space="0" w:color="auto"/>
            </w:tcBorders>
          </w:tcPr>
          <w:p>
            <w:pPr>
              <w:pStyle w:val="TableParagraph"/>
              <w:spacing w:line="164" w:lineRule="exact"/>
              <w:ind w:left="250" w:right="0"/>
              <w:jc w:val="left"/>
              <w:rPr>
                <w:rFonts w:ascii="宋体" w:hAnsi="宋体" w:cs="宋体" w:eastAsia="宋体" w:hint="default"/>
                <w:sz w:val="13"/>
                <w:szCs w:val="13"/>
              </w:rPr>
            </w:pPr>
            <w:r>
              <w:rPr>
                <w:rFonts w:ascii="宋体" w:hAnsi="宋体" w:cs="宋体" w:eastAsia="宋体" w:hint="default"/>
                <w:b/>
                <w:bCs/>
                <w:sz w:val="13"/>
                <w:szCs w:val="13"/>
              </w:rPr>
              <w:t>账面余额</w:t>
            </w:r>
            <w:r>
              <w:rPr>
                <w:rFonts w:ascii="宋体" w:hAnsi="宋体" w:cs="宋体" w:eastAsia="宋体" w:hint="default"/>
                <w:sz w:val="13"/>
                <w:szCs w:val="13"/>
              </w:rPr>
            </w:r>
          </w:p>
        </w:tc>
        <w:tc>
          <w:tcPr>
            <w:tcW w:w="994" w:type="dxa"/>
            <w:tcBorders>
              <w:top w:val="nil" w:sz="6" w:space="0" w:color="auto"/>
              <w:left w:val="nil" w:sz="6" w:space="0" w:color="auto"/>
              <w:bottom w:val="single" w:sz="4" w:space="0" w:color="000000"/>
              <w:right w:val="nil" w:sz="6" w:space="0" w:color="auto"/>
            </w:tcBorders>
          </w:tcPr>
          <w:p>
            <w:pPr>
              <w:pStyle w:val="TableParagraph"/>
              <w:spacing w:line="164" w:lineRule="exact"/>
              <w:ind w:right="91"/>
              <w:jc w:val="center"/>
              <w:rPr>
                <w:rFonts w:ascii="宋体" w:hAnsi="宋体" w:cs="宋体" w:eastAsia="宋体" w:hint="default"/>
                <w:sz w:val="13"/>
                <w:szCs w:val="13"/>
              </w:rPr>
            </w:pPr>
            <w:r>
              <w:rPr>
                <w:rFonts w:ascii="宋体" w:hAnsi="宋体" w:cs="宋体" w:eastAsia="宋体" w:hint="default"/>
                <w:b/>
                <w:bCs/>
                <w:sz w:val="13"/>
                <w:szCs w:val="13"/>
              </w:rPr>
              <w:t>减值准备</w:t>
            </w:r>
            <w:r>
              <w:rPr>
                <w:rFonts w:ascii="宋体" w:hAnsi="宋体" w:cs="宋体" w:eastAsia="宋体" w:hint="default"/>
                <w:sz w:val="13"/>
                <w:szCs w:val="13"/>
              </w:rPr>
            </w:r>
          </w:p>
        </w:tc>
        <w:tc>
          <w:tcPr>
            <w:tcW w:w="1073" w:type="dxa"/>
            <w:tcBorders>
              <w:top w:val="nil" w:sz="6" w:space="0" w:color="auto"/>
              <w:left w:val="nil" w:sz="6" w:space="0" w:color="auto"/>
              <w:bottom w:val="single" w:sz="4" w:space="0" w:color="000000"/>
              <w:right w:val="nil" w:sz="6" w:space="0" w:color="auto"/>
            </w:tcBorders>
          </w:tcPr>
          <w:p>
            <w:pPr>
              <w:pStyle w:val="TableParagraph"/>
              <w:spacing w:line="164" w:lineRule="exact"/>
              <w:ind w:left="251" w:right="0"/>
              <w:jc w:val="left"/>
              <w:rPr>
                <w:rFonts w:ascii="宋体" w:hAnsi="宋体" w:cs="宋体" w:eastAsia="宋体" w:hint="default"/>
                <w:sz w:val="13"/>
                <w:szCs w:val="13"/>
              </w:rPr>
            </w:pPr>
            <w:r>
              <w:rPr>
                <w:rFonts w:ascii="宋体" w:hAnsi="宋体" w:cs="宋体" w:eastAsia="宋体" w:hint="default"/>
                <w:b/>
                <w:bCs/>
                <w:sz w:val="13"/>
                <w:szCs w:val="13"/>
              </w:rPr>
              <w:t>账面价值</w:t>
            </w:r>
            <w:r>
              <w:rPr>
                <w:rFonts w:ascii="宋体" w:hAnsi="宋体" w:cs="宋体" w:eastAsia="宋体" w:hint="default"/>
                <w:sz w:val="13"/>
                <w:szCs w:val="13"/>
              </w:rPr>
            </w:r>
          </w:p>
        </w:tc>
      </w:tr>
      <w:tr>
        <w:trPr>
          <w:trHeight w:val="458" w:hRule="exact"/>
        </w:trPr>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72" w:right="0"/>
              <w:jc w:val="left"/>
              <w:rPr>
                <w:rFonts w:ascii="宋体" w:hAnsi="宋体" w:cs="宋体" w:eastAsia="宋体" w:hint="default"/>
                <w:sz w:val="13"/>
                <w:szCs w:val="13"/>
              </w:rPr>
            </w:pPr>
            <w:r>
              <w:rPr>
                <w:rFonts w:ascii="宋体" w:hAnsi="宋体" w:cs="宋体" w:eastAsia="宋体" w:hint="default"/>
                <w:sz w:val="13"/>
                <w:szCs w:val="13"/>
              </w:rPr>
              <w:t>广州光娱信息科技有限公司</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4,000,000.00</w:t>
            </w:r>
            <w:r>
              <w:rPr>
                <w:rFonts w:ascii="Times New Roman"/>
                <w:sz w:val="13"/>
              </w:rPr>
            </w:r>
          </w:p>
        </w:tc>
        <w:tc>
          <w:tcPr>
            <w:tcW w:w="1105"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4,000,000.00</w:t>
            </w:r>
            <w:r>
              <w:rPr>
                <w:rFonts w:ascii="Times New Roman"/>
                <w:sz w:val="13"/>
              </w:rPr>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5"/>
                <w:sz w:val="13"/>
              </w:rPr>
              <w:t>4,000,000.00</w:t>
            </w:r>
            <w:r>
              <w:rPr>
                <w:rFonts w:ascii="Times New Roman"/>
                <w:sz w:val="13"/>
              </w:rPr>
            </w:r>
          </w:p>
        </w:tc>
        <w:tc>
          <w:tcPr>
            <w:tcW w:w="994" w:type="dxa"/>
            <w:tcBorders>
              <w:top w:val="single" w:sz="4" w:space="0" w:color="000000"/>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4,000,000.00</w:t>
            </w:r>
            <w:r>
              <w:rPr>
                <w:rFonts w:ascii="Times New Roman"/>
                <w:sz w:val="13"/>
              </w:rPr>
            </w:r>
          </w:p>
        </w:tc>
      </w:tr>
      <w:tr>
        <w:trPr>
          <w:trHeight w:val="4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深圳市龙宇天下科技有限公司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3,000,000.00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3,000,000.00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5"/>
                <w:sz w:val="13"/>
              </w:rPr>
              <w:t>3,000,000.00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3,000,000.00</w:t>
            </w:r>
            <w:r>
              <w:rPr>
                <w:rFonts w:ascii="Times New Roman"/>
                <w:sz w:val="13"/>
              </w:rPr>
            </w:r>
          </w:p>
        </w:tc>
      </w:tr>
      <w:tr>
        <w:trPr>
          <w:trHeight w:val="4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上海跨创企业管理有限公司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2,578,900.00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2,578,900.00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r>
      <w:tr>
        <w:trPr>
          <w:trHeight w:val="4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上海手趣网络科技有限公司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2,000,000.00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2,000,000.00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5"/>
                <w:sz w:val="13"/>
              </w:rPr>
              <w:t>2,000,000.00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2,000,000.00</w:t>
            </w:r>
            <w:r>
              <w:rPr>
                <w:rFonts w:ascii="Times New Roman"/>
                <w:sz w:val="13"/>
              </w:rPr>
            </w:r>
          </w:p>
        </w:tc>
      </w:tr>
      <w:tr>
        <w:trPr>
          <w:trHeight w:val="4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广州竞游信息科技有限公司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2,000,000.00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2,000,000.00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r>
      <w:tr>
        <w:trPr>
          <w:trHeight w:val="4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湖南亚瑟网络科技有限公司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1,500,000.00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5"/>
                <w:sz w:val="13"/>
              </w:rPr>
              <w:t>1,500,000.00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5"/>
                <w:sz w:val="13"/>
              </w:rPr>
              <w:t>1,500,000.00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1,500,000.00</w:t>
            </w:r>
            <w:r>
              <w:rPr>
                <w:rFonts w:ascii="Times New Roman"/>
                <w:sz w:val="13"/>
              </w:rPr>
            </w:r>
          </w:p>
        </w:tc>
      </w:tr>
      <w:tr>
        <w:trPr>
          <w:trHeight w:val="4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深圳市优象网络科技有限公司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450,000.00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1"/>
              <w:jc w:val="right"/>
              <w:rPr>
                <w:rFonts w:ascii="Times New Roman" w:hAnsi="Times New Roman" w:cs="Times New Roman" w:eastAsia="Times New Roman" w:hint="default"/>
                <w:sz w:val="13"/>
                <w:szCs w:val="13"/>
              </w:rPr>
            </w:pPr>
            <w:r>
              <w:rPr>
                <w:rFonts w:ascii="Times New Roman"/>
                <w:w w:val="95"/>
                <w:sz w:val="13"/>
              </w:rPr>
              <w:t>450,000.00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4"/>
              <w:jc w:val="right"/>
              <w:rPr>
                <w:rFonts w:ascii="Times New Roman" w:hAnsi="Times New Roman" w:cs="Times New Roman" w:eastAsia="Times New Roman" w:hint="default"/>
                <w:sz w:val="13"/>
                <w:szCs w:val="13"/>
              </w:rPr>
            </w:pPr>
            <w:r>
              <w:rPr>
                <w:rFonts w:ascii="Times New Roman"/>
                <w:w w:val="95"/>
                <w:sz w:val="13"/>
              </w:rPr>
              <w:t>450,000.00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450,000.00</w:t>
            </w:r>
            <w:r>
              <w:rPr>
                <w:rFonts w:ascii="Times New Roman"/>
                <w:sz w:val="13"/>
              </w:rPr>
            </w:r>
          </w:p>
        </w:tc>
      </w:tr>
      <w:tr>
        <w:trPr>
          <w:trHeight w:val="4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海南灵境信息技术有限公司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400,000.00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1"/>
              <w:jc w:val="right"/>
              <w:rPr>
                <w:rFonts w:ascii="Times New Roman" w:hAnsi="Times New Roman" w:cs="Times New Roman" w:eastAsia="Times New Roman" w:hint="default"/>
                <w:sz w:val="13"/>
                <w:szCs w:val="13"/>
              </w:rPr>
            </w:pPr>
            <w:r>
              <w:rPr>
                <w:rFonts w:ascii="Times New Roman"/>
                <w:w w:val="95"/>
                <w:sz w:val="13"/>
              </w:rPr>
              <w:t>400,000.00</w:t>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4"/>
              <w:jc w:val="right"/>
              <w:rPr>
                <w:rFonts w:ascii="Times New Roman" w:hAnsi="Times New Roman" w:cs="Times New Roman" w:eastAsia="Times New Roman" w:hint="default"/>
                <w:sz w:val="13"/>
                <w:szCs w:val="13"/>
              </w:rPr>
            </w:pPr>
            <w:r>
              <w:rPr>
                <w:rFonts w:ascii="Times New Roman"/>
                <w:w w:val="95"/>
                <w:sz w:val="13"/>
              </w:rPr>
              <w:t>400,000.00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400,000.00</w:t>
            </w:r>
            <w:r>
              <w:rPr>
                <w:rFonts w:ascii="Times New Roman"/>
                <w:sz w:val="13"/>
              </w:rPr>
            </w:r>
          </w:p>
        </w:tc>
      </w:tr>
      <w:tr>
        <w:trPr>
          <w:trHeight w:val="4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海南元游信息技术有限公司</w:t>
            </w:r>
          </w:p>
        </w:tc>
        <w:tc>
          <w:tcPr>
            <w:tcW w:w="1381"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5"/>
                <w:sz w:val="13"/>
              </w:rPr>
              <w:t>3,500,000.00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3,500,000.00</w:t>
            </w:r>
            <w:r>
              <w:rPr>
                <w:rFonts w:ascii="Times New Roman"/>
                <w:sz w:val="13"/>
              </w:rPr>
            </w:r>
          </w:p>
        </w:tc>
      </w:tr>
      <w:tr>
        <w:trPr>
          <w:trHeight w:val="400"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上海星玩网络科技有限公司</w:t>
            </w:r>
          </w:p>
        </w:tc>
        <w:tc>
          <w:tcPr>
            <w:tcW w:w="1381"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5"/>
                <w:sz w:val="13"/>
              </w:rPr>
              <w:t>1,800,000.00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1,800,000.00</w:t>
            </w:r>
            <w:r>
              <w:rPr>
                <w:rFonts w:ascii="Times New Roman"/>
                <w:sz w:val="13"/>
              </w:rPr>
            </w:r>
          </w:p>
        </w:tc>
      </w:tr>
      <w:tr>
        <w:trPr>
          <w:trHeight w:val="404"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2" w:right="0"/>
              <w:jc w:val="left"/>
              <w:rPr>
                <w:rFonts w:ascii="宋体" w:hAnsi="宋体" w:cs="宋体" w:eastAsia="宋体" w:hint="default"/>
                <w:sz w:val="13"/>
                <w:szCs w:val="13"/>
              </w:rPr>
            </w:pPr>
            <w:r>
              <w:rPr>
                <w:rFonts w:ascii="宋体" w:hAnsi="宋体" w:cs="宋体" w:eastAsia="宋体" w:hint="default"/>
                <w:sz w:val="13"/>
                <w:szCs w:val="13"/>
              </w:rPr>
              <w:t>上海银河数娱网络科技有限公司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14,000,000.00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89" w:right="0"/>
              <w:jc w:val="left"/>
              <w:rPr>
                <w:rFonts w:ascii="Times New Roman" w:hAnsi="Times New Roman" w:cs="Times New Roman" w:eastAsia="Times New Roman" w:hint="default"/>
                <w:sz w:val="13"/>
                <w:szCs w:val="13"/>
              </w:rPr>
            </w:pPr>
            <w:r>
              <w:rPr>
                <w:rFonts w:ascii="Times New Roman"/>
                <w:sz w:val="13"/>
              </w:rPr>
              <w:t>14,000,000.00</w:t>
            </w:r>
          </w:p>
        </w:tc>
        <w:tc>
          <w:tcPr>
            <w:tcW w:w="1172"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5"/>
                <w:sz w:val="13"/>
              </w:rPr>
              <w:t>14,000,000.00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14,000,000.00</w:t>
            </w:r>
            <w:r>
              <w:rPr>
                <w:rFonts w:ascii="Times New Roman"/>
                <w:sz w:val="13"/>
              </w:rPr>
            </w:r>
          </w:p>
        </w:tc>
      </w:tr>
      <w:tr>
        <w:trPr>
          <w:trHeight w:val="397"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172" w:right="0"/>
              <w:jc w:val="left"/>
              <w:rPr>
                <w:rFonts w:ascii="Times New Roman" w:hAnsi="Times New Roman" w:cs="Times New Roman" w:eastAsia="Times New Roman" w:hint="default"/>
                <w:sz w:val="13"/>
                <w:szCs w:val="13"/>
              </w:rPr>
            </w:pPr>
            <w:r>
              <w:rPr>
                <w:rFonts w:ascii="Times New Roman"/>
                <w:sz w:val="13"/>
              </w:rPr>
              <w:t>KEYROUTE GAMES</w:t>
            </w:r>
            <w:r>
              <w:rPr>
                <w:rFonts w:ascii="Times New Roman"/>
                <w:spacing w:val="-5"/>
                <w:sz w:val="13"/>
              </w:rPr>
              <w:t> </w:t>
            </w:r>
            <w:r>
              <w:rPr>
                <w:rFonts w:ascii="Times New Roman"/>
                <w:sz w:val="13"/>
              </w:rPr>
              <w:t>CO.,LIMITED</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5"/>
                <w:sz w:val="13"/>
              </w:rPr>
              <w:t>7,347,000.00</w:t>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left="254" w:right="0"/>
              <w:jc w:val="left"/>
              <w:rPr>
                <w:rFonts w:ascii="Times New Roman" w:hAnsi="Times New Roman" w:cs="Times New Roman" w:eastAsia="Times New Roman" w:hint="default"/>
                <w:sz w:val="13"/>
                <w:szCs w:val="13"/>
              </w:rPr>
            </w:pPr>
            <w:r>
              <w:rPr>
                <w:rFonts w:ascii="Times New Roman"/>
                <w:sz w:val="13"/>
              </w:rPr>
              <w:t>7,347,000.00</w:t>
            </w:r>
          </w:p>
        </w:tc>
        <w:tc>
          <w:tcPr>
            <w:tcW w:w="1172"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5"/>
                <w:sz w:val="13"/>
              </w:rPr>
              <w:t>7,347,000.00</w:t>
            </w:r>
            <w:r>
              <w:rPr>
                <w:rFonts w:ascii="Times New Roman"/>
                <w:sz w:val="13"/>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sz w:val="13"/>
              </w:rPr>
              <w:t>7,347,000.00</w:t>
            </w:r>
          </w:p>
        </w:tc>
        <w:tc>
          <w:tcPr>
            <w:tcW w:w="1073" w:type="dxa"/>
            <w:tcBorders>
              <w:top w:val="nil" w:sz="6" w:space="0" w:color="auto"/>
              <w:left w:val="nil" w:sz="6" w:space="0" w:color="auto"/>
              <w:bottom w:val="nil" w:sz="6" w:space="0" w:color="auto"/>
              <w:right w:val="nil" w:sz="6" w:space="0" w:color="auto"/>
            </w:tcBorders>
          </w:tcPr>
          <w:p>
            <w:pPr/>
          </w:p>
        </w:tc>
      </w:tr>
      <w:tr>
        <w:trPr>
          <w:trHeight w:val="268" w:hRule="exact"/>
        </w:trPr>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5" w:right="0"/>
              <w:jc w:val="center"/>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346,855,325.00</w:t>
            </w:r>
            <w:r>
              <w:rPr>
                <w:rFonts w:ascii="Times New Roman"/>
                <w:w w:val="95"/>
                <w:sz w:val="13"/>
              </w:rPr>
            </w:r>
            <w:r>
              <w:rPr>
                <w:rFonts w:ascii="Times New Roman"/>
                <w:sz w:val="13"/>
              </w:rPr>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89"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21,347,000.00</w:t>
            </w:r>
            <w:r>
              <w:rPr>
                <w:rFonts w:ascii="Times New Roman"/>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90"/>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325,508,325.00</w:t>
            </w:r>
            <w:r>
              <w:rPr>
                <w:rFonts w:ascii="Times New Roman"/>
                <w:w w:val="95"/>
                <w:sz w:val="13"/>
              </w:rPr>
            </w:r>
            <w:r>
              <w:rPr>
                <w:rFonts w:ascii="Times New Roman"/>
                <w:sz w:val="13"/>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53"/>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thick" w:color="000000"/>
              </w:rPr>
              <w:t>136,954,116.00</w:t>
            </w:r>
            <w:r>
              <w:rPr>
                <w:rFonts w:ascii="Times New Roman"/>
                <w:spacing w:val="-1"/>
                <w:sz w:val="13"/>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7,347,000.00</w:t>
            </w:r>
            <w:r>
              <w:rPr>
                <w:rFonts w:ascii="Times New Roman"/>
                <w:sz w:val="13"/>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thick" w:color="000000"/>
              </w:rPr>
              <w:t>129,607,116.00</w:t>
            </w:r>
            <w:r>
              <w:rPr>
                <w:rFonts w:ascii="Times New Roman"/>
                <w:spacing w:val="-1"/>
                <w:sz w:val="13"/>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）期末按成本计量的可供出售金融资产</w:t>
      </w:r>
    </w:p>
    <w:p>
      <w:pPr>
        <w:spacing w:line="240" w:lineRule="auto" w:before="2"/>
        <w:rPr>
          <w:rFonts w:ascii="宋体" w:hAnsi="宋体" w:cs="宋体" w:eastAsia="宋体" w:hint="default"/>
          <w:sz w:val="20"/>
          <w:szCs w:val="20"/>
        </w:rPr>
      </w:pPr>
    </w:p>
    <w:p>
      <w:pPr>
        <w:pStyle w:val="Heading6"/>
        <w:spacing w:line="228" w:lineRule="exact" w:before="44"/>
        <w:ind w:left="3877" w:right="0"/>
        <w:jc w:val="center"/>
        <w:rPr>
          <w:b w:val="0"/>
          <w:bCs w:val="0"/>
        </w:rPr>
      </w:pPr>
      <w:r>
        <w:rPr/>
        <w:t>账面余额</w:t>
      </w:r>
      <w:r>
        <w:rPr>
          <w:b w:val="0"/>
          <w:bCs w:val="0"/>
        </w:rPr>
      </w:r>
    </w:p>
    <w:p>
      <w:pPr>
        <w:pStyle w:val="Heading6"/>
        <w:spacing w:line="220" w:lineRule="exact"/>
        <w:ind w:left="2906" w:right="1117"/>
        <w:jc w:val="left"/>
        <w:rPr>
          <w:b w:val="0"/>
          <w:bCs w:val="0"/>
        </w:rPr>
      </w:pPr>
      <w:r>
        <w:rPr/>
        <w:t>项</w:t>
      </w:r>
      <w:r>
        <w:rPr>
          <w:spacing w:val="90"/>
        </w:rPr>
        <w:t> </w:t>
      </w:r>
      <w:r>
        <w:rPr/>
        <w:t>目</w:t>
      </w:r>
      <w:r>
        <w:rPr>
          <w:b w:val="0"/>
          <w:bCs w:val="0"/>
        </w:rPr>
      </w:r>
    </w:p>
    <w:p>
      <w:pPr>
        <w:pStyle w:val="Heading6"/>
        <w:tabs>
          <w:tab w:pos="5261" w:val="left" w:leader="none"/>
          <w:tab w:pos="6650" w:val="left" w:leader="none"/>
          <w:tab w:pos="8070" w:val="left" w:leader="none"/>
        </w:tabs>
        <w:spacing w:line="228" w:lineRule="exact"/>
        <w:ind w:left="3833" w:right="0"/>
        <w:jc w:val="center"/>
        <w:rPr>
          <w:b w:val="0"/>
          <w:bCs w:val="0"/>
        </w:rPr>
      </w:pPr>
      <w:r>
        <w:rPr>
          <w:w w:val="95"/>
        </w:rPr>
        <w:t>期初余额</w:t>
        <w:tab/>
        <w:t>本期增加</w:t>
        <w:tab/>
        <w:t>本期减少</w:t>
        <w:tab/>
      </w:r>
      <w:r>
        <w:rPr/>
        <w:t>期末余额</w:t>
      </w:r>
      <w:r>
        <w:rPr>
          <w:b w:val="0"/>
          <w:bCs w:val="0"/>
        </w:rPr>
      </w:r>
    </w:p>
    <w:p>
      <w:pPr>
        <w:spacing w:line="240" w:lineRule="auto" w:before="9"/>
        <w:rPr>
          <w:rFonts w:ascii="宋体" w:hAnsi="宋体" w:cs="宋体" w:eastAsia="宋体" w:hint="default"/>
          <w:b/>
          <w:bCs/>
          <w:sz w:val="6"/>
          <w:szCs w:val="6"/>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3736;height:2" coordorigin="5,5" coordsize="3736,2">
              <v:shape style="position:absolute;left:5;top:5;width:3736;height:2" coordorigin="5,5" coordsize="3736,0" path="m5,5l3740,5e" filled="false" stroked="true" strokeweight=".48pt" strokecolor="#000000">
                <v:path arrowok="t"/>
              </v:shape>
            </v:group>
            <v:group style="position:absolute;left:3740;top:5;width:10;height:2" coordorigin="3740,5" coordsize="10,2">
              <v:shape style="position:absolute;left:3740;top:5;width:10;height:2" coordorigin="3740,5" coordsize="10,0" path="m3740,5l3750,5e" filled="false" stroked="true" strokeweight=".48pt" strokecolor="#000000">
                <v:path arrowok="t"/>
              </v:shape>
            </v:group>
            <v:group style="position:absolute;left:3750;top:5;width:1403;height:2" coordorigin="3750,5" coordsize="1403,2">
              <v:shape style="position:absolute;left:3750;top:5;width:1403;height:2" coordorigin="3750,5" coordsize="1403,0" path="m3750,5l5152,5e" filled="false" stroked="true" strokeweight=".48pt" strokecolor="#000000">
                <v:path arrowok="t"/>
              </v:shape>
            </v:group>
            <v:group style="position:absolute;left:5152;top:5;width:10;height:2" coordorigin="5152,5" coordsize="10,2">
              <v:shape style="position:absolute;left:5152;top:5;width:10;height:2" coordorigin="5152,5" coordsize="10,0" path="m5152,5l5162,5e" filled="false" stroked="true" strokeweight=".48pt" strokecolor="#000000">
                <v:path arrowok="t"/>
              </v:shape>
            </v:group>
            <v:group style="position:absolute;left:5162;top:5;width:1434;height:2" coordorigin="5162,5" coordsize="1434,2">
              <v:shape style="position:absolute;left:5162;top:5;width:1434;height:2" coordorigin="5162,5" coordsize="1434,0" path="m5162,5l6596,5e" filled="false" stroked="true" strokeweight=".48pt" strokecolor="#000000">
                <v:path arrowok="t"/>
              </v:shape>
            </v:group>
            <v:group style="position:absolute;left:6596;top:5;width:10;height:2" coordorigin="6596,5" coordsize="10,2">
              <v:shape style="position:absolute;left:6596;top:5;width:10;height:2" coordorigin="6596,5" coordsize="10,0" path="m6596,5l6606,5e" filled="false" stroked="true" strokeweight=".48pt" strokecolor="#000000">
                <v:path arrowok="t"/>
              </v:shape>
            </v:group>
            <v:group style="position:absolute;left:6606;top:5;width:1326;height:2" coordorigin="6606,5" coordsize="1326,2">
              <v:shape style="position:absolute;left:6606;top:5;width:1326;height:2" coordorigin="6606,5" coordsize="1326,0" path="m6606,5l7931,5e" filled="false" stroked="true" strokeweight=".48pt" strokecolor="#000000">
                <v:path arrowok="t"/>
              </v:shape>
            </v:group>
            <v:group style="position:absolute;left:7931;top:5;width:10;height:2" coordorigin="7931,5" coordsize="10,2">
              <v:shape style="position:absolute;left:7931;top:5;width:10;height:2" coordorigin="7931,5" coordsize="10,0" path="m7931,5l7940,5e" filled="false" stroked="true" strokeweight=".48pt" strokecolor="#000000">
                <v:path arrowok="t"/>
              </v:shape>
            </v:group>
            <v:group style="position:absolute;left:7940;top:5;width:1496;height:2" coordorigin="7940,5" coordsize="1496,2">
              <v:shape style="position:absolute;left:7940;top:5;width:1496;height:2" coordorigin="7940,5" coordsize="1496,0" path="m7940,5l943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4"/>
          <w:szCs w:val="4"/>
        </w:rPr>
      </w:pPr>
    </w:p>
    <w:tbl>
      <w:tblPr>
        <w:tblW w:w="0" w:type="auto"/>
        <w:jc w:val="left"/>
        <w:tblInd w:w="1383" w:type="dxa"/>
        <w:tblLayout w:type="fixed"/>
        <w:tblCellMar>
          <w:top w:w="0" w:type="dxa"/>
          <w:left w:w="0" w:type="dxa"/>
          <w:bottom w:w="0" w:type="dxa"/>
          <w:right w:w="0" w:type="dxa"/>
        </w:tblCellMar>
        <w:tblLook w:val="01E0"/>
      </w:tblPr>
      <w:tblGrid>
        <w:gridCol w:w="3604"/>
        <w:gridCol w:w="1523"/>
        <w:gridCol w:w="1478"/>
        <w:gridCol w:w="1330"/>
        <w:gridCol w:w="1351"/>
      </w:tblGrid>
      <w:tr>
        <w:trPr>
          <w:trHeight w:val="415"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北京初见科技有限公司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7"/>
              <w:jc w:val="right"/>
              <w:rPr>
                <w:rFonts w:ascii="Times New Roman" w:hAnsi="Times New Roman" w:cs="Times New Roman" w:eastAsia="Times New Roman" w:hint="default"/>
                <w:sz w:val="18"/>
                <w:szCs w:val="18"/>
              </w:rPr>
            </w:pPr>
            <w:r>
              <w:rPr>
                <w:rFonts w:ascii="Times New Roman"/>
                <w:spacing w:val="-1"/>
                <w:sz w:val="18"/>
              </w:rPr>
              <w:t>60,000,000.00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2"/>
              <w:jc w:val="right"/>
              <w:rPr>
                <w:rFonts w:ascii="Times New Roman" w:hAnsi="Times New Roman" w:cs="Times New Roman" w:eastAsia="Times New Roman" w:hint="default"/>
                <w:sz w:val="18"/>
                <w:szCs w:val="18"/>
              </w:rPr>
            </w:pPr>
            <w:r>
              <w:rPr>
                <w:rFonts w:ascii="Times New Roman"/>
                <w:spacing w:val="-1"/>
                <w:sz w:val="18"/>
              </w:rPr>
              <w:t>144,000,000.00</w:t>
            </w: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204,000,000.00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上海德天股权投资基金中心（有限合伙）</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8"/>
                <w:szCs w:val="18"/>
              </w:rPr>
            </w:pPr>
            <w:r>
              <w:rPr>
                <w:rFonts w:ascii="Times New Roman"/>
                <w:spacing w:val="-1"/>
                <w:sz w:val="18"/>
              </w:rPr>
              <w:t>38,957,116.00</w:t>
            </w:r>
          </w:p>
        </w:tc>
        <w:tc>
          <w:tcPr>
            <w:tcW w:w="147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94" w:right="0"/>
              <w:jc w:val="left"/>
              <w:rPr>
                <w:rFonts w:ascii="Times New Roman" w:hAnsi="Times New Roman" w:cs="Times New Roman" w:eastAsia="Times New Roman" w:hint="default"/>
                <w:sz w:val="18"/>
                <w:szCs w:val="18"/>
              </w:rPr>
            </w:pPr>
            <w:r>
              <w:rPr>
                <w:rFonts w:ascii="Times New Roman"/>
                <w:sz w:val="18"/>
              </w:rPr>
              <w:t>1,877,691.00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37,079,425.00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海南奇遇天下网络科技有限公司</w:t>
            </w:r>
          </w:p>
        </w:tc>
        <w:tc>
          <w:tcPr>
            <w:tcW w:w="152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pacing w:val="-1"/>
                <w:sz w:val="18"/>
              </w:rPr>
              <w:t>33,000,000.00</w:t>
            </w: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上海颜盟文化传媒有限公司</w:t>
            </w:r>
          </w:p>
        </w:tc>
        <w:tc>
          <w:tcPr>
            <w:tcW w:w="152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pacing w:val="-1"/>
                <w:sz w:val="18"/>
              </w:rPr>
              <w:t>15,000,000.00</w:t>
            </w: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上海羽厚亦网络科技有限公司</w:t>
            </w:r>
          </w:p>
        </w:tc>
        <w:tc>
          <w:tcPr>
            <w:tcW w:w="152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pacing w:val="-1"/>
                <w:sz w:val="18"/>
              </w:rPr>
              <w:t>14,100,000.00</w:t>
            </w: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14,100,000.00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上海暗沙网络科技有限公司</w:t>
            </w:r>
          </w:p>
        </w:tc>
        <w:tc>
          <w:tcPr>
            <w:tcW w:w="152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pacing w:val="-1"/>
                <w:sz w:val="18"/>
              </w:rPr>
              <w:t>6,400,000.00</w:t>
            </w: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广州光娱信息科技有限公司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
              <w:jc w:val="right"/>
              <w:rPr>
                <w:rFonts w:ascii="Times New Roman" w:hAnsi="Times New Roman" w:cs="Times New Roman" w:eastAsia="Times New Roman" w:hint="default"/>
                <w:sz w:val="18"/>
                <w:szCs w:val="18"/>
              </w:rPr>
            </w:pPr>
            <w:r>
              <w:rPr>
                <w:rFonts w:ascii="Times New Roman"/>
                <w:spacing w:val="-1"/>
                <w:sz w:val="18"/>
              </w:rPr>
              <w:t>4,000,000.00</w:t>
            </w:r>
          </w:p>
        </w:tc>
        <w:tc>
          <w:tcPr>
            <w:tcW w:w="147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深圳市龙宇天下科技有限公司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8"/>
                <w:szCs w:val="18"/>
              </w:rPr>
            </w:pPr>
            <w:r>
              <w:rPr>
                <w:rFonts w:ascii="Times New Roman"/>
                <w:spacing w:val="-1"/>
                <w:sz w:val="18"/>
              </w:rPr>
              <w:t>3,000,000.00</w:t>
            </w:r>
          </w:p>
        </w:tc>
        <w:tc>
          <w:tcPr>
            <w:tcW w:w="147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上海跨创企业管理有限公司</w:t>
            </w:r>
          </w:p>
        </w:tc>
        <w:tc>
          <w:tcPr>
            <w:tcW w:w="152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pacing w:val="-1"/>
                <w:sz w:val="18"/>
              </w:rPr>
              <w:t>2,578,900.00</w:t>
            </w: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2,578,900.00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上海手趣网络科技有限公司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
              <w:jc w:val="right"/>
              <w:rPr>
                <w:rFonts w:ascii="Times New Roman" w:hAnsi="Times New Roman" w:cs="Times New Roman" w:eastAsia="Times New Roman" w:hint="default"/>
                <w:sz w:val="18"/>
                <w:szCs w:val="18"/>
              </w:rPr>
            </w:pPr>
            <w:r>
              <w:rPr>
                <w:rFonts w:ascii="Times New Roman"/>
                <w:spacing w:val="-1"/>
                <w:sz w:val="18"/>
              </w:rPr>
              <w:t>2,000,000.00</w:t>
            </w:r>
          </w:p>
        </w:tc>
        <w:tc>
          <w:tcPr>
            <w:tcW w:w="147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41"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广州竞游信息科技有限公司</w:t>
            </w:r>
          </w:p>
        </w:tc>
        <w:tc>
          <w:tcPr>
            <w:tcW w:w="152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pacing w:val="-1"/>
                <w:sz w:val="18"/>
              </w:rPr>
              <w:t>2,000,000.00</w:t>
            </w: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湖南亚瑟网络科技有限公司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8"/>
                <w:szCs w:val="18"/>
              </w:rPr>
            </w:pPr>
            <w:r>
              <w:rPr>
                <w:rFonts w:ascii="Times New Roman"/>
                <w:spacing w:val="-1"/>
                <w:sz w:val="18"/>
              </w:rPr>
              <w:t>1,500,000.00</w:t>
            </w:r>
          </w:p>
        </w:tc>
        <w:tc>
          <w:tcPr>
            <w:tcW w:w="147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40"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深圳市优象网络科技有限公司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
              <w:jc w:val="right"/>
              <w:rPr>
                <w:rFonts w:ascii="Times New Roman" w:hAnsi="Times New Roman" w:cs="Times New Roman" w:eastAsia="Times New Roman" w:hint="default"/>
                <w:sz w:val="18"/>
                <w:szCs w:val="18"/>
              </w:rPr>
            </w:pPr>
            <w:r>
              <w:rPr>
                <w:rFonts w:ascii="Times New Roman"/>
                <w:sz w:val="18"/>
              </w:rPr>
              <w:t>450,000.00</w:t>
            </w:r>
          </w:p>
        </w:tc>
        <w:tc>
          <w:tcPr>
            <w:tcW w:w="147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450,000.00</w:t>
            </w:r>
          </w:p>
        </w:tc>
      </w:tr>
      <w:tr>
        <w:trPr>
          <w:trHeight w:val="415"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海南灵境信息技术有限公司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8"/>
                <w:szCs w:val="18"/>
              </w:rPr>
            </w:pPr>
            <w:r>
              <w:rPr>
                <w:rFonts w:ascii="Times New Roman"/>
                <w:sz w:val="18"/>
              </w:rPr>
              <w:t>400,000.00</w:t>
            </w:r>
          </w:p>
        </w:tc>
        <w:tc>
          <w:tcPr>
            <w:tcW w:w="147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tbl>
      <w:tblPr>
        <w:tblW w:w="0" w:type="auto"/>
        <w:jc w:val="left"/>
        <w:tblInd w:w="1310" w:type="dxa"/>
        <w:tblLayout w:type="fixed"/>
        <w:tblCellMar>
          <w:top w:w="0" w:type="dxa"/>
          <w:left w:w="0" w:type="dxa"/>
          <w:bottom w:w="0" w:type="dxa"/>
          <w:right w:w="0" w:type="dxa"/>
        </w:tblCellMar>
        <w:tblLook w:val="01E0"/>
      </w:tblPr>
      <w:tblGrid>
        <w:gridCol w:w="3400"/>
        <w:gridCol w:w="1800"/>
        <w:gridCol w:w="2808"/>
        <w:gridCol w:w="1423"/>
      </w:tblGrid>
      <w:tr>
        <w:trPr>
          <w:trHeight w:val="811" w:hRule="exact"/>
        </w:trPr>
        <w:tc>
          <w:tcPr>
            <w:tcW w:w="340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3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8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b/>
                <w:bCs/>
                <w:sz w:val="15"/>
                <w:szCs w:val="15"/>
              </w:rPr>
            </w:pPr>
          </w:p>
          <w:p>
            <w:pPr>
              <w:pStyle w:val="TableParagraph"/>
              <w:tabs>
                <w:tab w:pos="1388" w:val="left" w:leader="none"/>
              </w:tabs>
              <w:spacing w:line="240" w:lineRule="auto"/>
              <w:ind w:right="79"/>
              <w:jc w:val="center"/>
              <w:rPr>
                <w:rFonts w:ascii="宋体" w:hAnsi="宋体" w:cs="宋体" w:eastAsia="宋体" w:hint="default"/>
                <w:sz w:val="18"/>
                <w:szCs w:val="18"/>
              </w:rPr>
            </w:pPr>
            <w:r>
              <w:rPr>
                <w:rFonts w:ascii="宋体" w:hAnsi="宋体" w:cs="宋体" w:eastAsia="宋体" w:hint="default"/>
                <w:b/>
                <w:bCs/>
                <w:w w:val="95"/>
                <w:sz w:val="18"/>
                <w:szCs w:val="18"/>
              </w:rPr>
              <w:t>本期增加</w:t>
              <w:tab/>
            </w:r>
            <w:r>
              <w:rPr>
                <w:rFonts w:ascii="宋体" w:hAnsi="宋体" w:cs="宋体" w:eastAsia="宋体" w:hint="default"/>
                <w:b/>
                <w:bCs/>
                <w:sz w:val="18"/>
                <w:szCs w:val="18"/>
              </w:rPr>
              <w:t>本期减少</w:t>
            </w:r>
            <w:r>
              <w:rPr>
                <w:rFonts w:ascii="宋体" w:hAnsi="宋体" w:cs="宋体" w:eastAsia="宋体" w:hint="default"/>
                <w:sz w:val="18"/>
                <w:szCs w:val="18"/>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4" w:hRule="exact"/>
        </w:trPr>
        <w:tc>
          <w:tcPr>
            <w:tcW w:w="340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57"/>
              <w:jc w:val="right"/>
              <w:rPr>
                <w:rFonts w:ascii="Times New Roman" w:hAnsi="Times New Roman" w:cs="Times New Roman" w:eastAsia="Times New Roman" w:hint="default"/>
                <w:sz w:val="18"/>
                <w:szCs w:val="18"/>
              </w:rPr>
            </w:pPr>
            <w:r>
              <w:rPr>
                <w:rFonts w:ascii="Times New Roman"/>
                <w:spacing w:val="-1"/>
                <w:sz w:val="18"/>
              </w:rPr>
              <w:t>3,500,000.00</w:t>
            </w:r>
          </w:p>
        </w:tc>
        <w:tc>
          <w:tcPr>
            <w:tcW w:w="2808" w:type="dxa"/>
            <w:tcBorders>
              <w:top w:val="single" w:sz="4" w:space="0" w:color="000000"/>
              <w:left w:val="nil" w:sz="6" w:space="0" w:color="auto"/>
              <w:bottom w:val="nil" w:sz="6" w:space="0" w:color="auto"/>
              <w:right w:val="nil" w:sz="6" w:space="0" w:color="auto"/>
            </w:tcBorders>
          </w:tcPr>
          <w:p>
            <w:pPr>
              <w:pStyle w:val="TableParagraph"/>
              <w:tabs>
                <w:tab w:pos="1333" w:val="left" w:leader="none"/>
              </w:tabs>
              <w:spacing w:line="240" w:lineRule="auto" w:before="160"/>
              <w:ind w:right="188"/>
              <w:jc w:val="right"/>
              <w:rPr>
                <w:rFonts w:ascii="Times New Roman" w:hAnsi="Times New Roman" w:cs="Times New Roman" w:eastAsia="Times New Roman" w:hint="default"/>
                <w:sz w:val="18"/>
                <w:szCs w:val="18"/>
              </w:rPr>
            </w:pPr>
            <w:r>
              <w:rPr>
                <w:rFonts w:ascii="Times New Roman"/>
                <w:spacing w:val="-1"/>
                <w:sz w:val="18"/>
              </w:rPr>
              <w:t>1,500,000.00</w:t>
              <w:tab/>
              <w:t>5,000,000.00</w:t>
            </w:r>
          </w:p>
        </w:tc>
        <w:tc>
          <w:tcPr>
            <w:tcW w:w="1423" w:type="dxa"/>
            <w:tcBorders>
              <w:top w:val="single" w:sz="4" w:space="0" w:color="000000"/>
              <w:left w:val="nil" w:sz="6" w:space="0" w:color="auto"/>
              <w:bottom w:val="nil" w:sz="6" w:space="0" w:color="auto"/>
              <w:right w:val="nil" w:sz="6" w:space="0" w:color="auto"/>
            </w:tcBorders>
          </w:tcPr>
          <w:p>
            <w:pPr/>
          </w:p>
        </w:tc>
      </w:tr>
      <w:tr>
        <w:trPr>
          <w:trHeight w:val="440"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上海星玩网络科技有限公司</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
              <w:jc w:val="right"/>
              <w:rPr>
                <w:rFonts w:ascii="Times New Roman" w:hAnsi="Times New Roman" w:cs="Times New Roman" w:eastAsia="Times New Roman" w:hint="default"/>
                <w:sz w:val="18"/>
                <w:szCs w:val="18"/>
              </w:rPr>
            </w:pPr>
            <w:r>
              <w:rPr>
                <w:rFonts w:ascii="Times New Roman"/>
                <w:spacing w:val="-1"/>
                <w:sz w:val="18"/>
              </w:rPr>
              <w:t>1,800,000.00</w:t>
            </w: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8"/>
              <w:jc w:val="right"/>
              <w:rPr>
                <w:rFonts w:ascii="Times New Roman" w:hAnsi="Times New Roman" w:cs="Times New Roman" w:eastAsia="Times New Roman" w:hint="default"/>
                <w:sz w:val="18"/>
                <w:szCs w:val="18"/>
              </w:rPr>
            </w:pPr>
            <w:r>
              <w:rPr>
                <w:rFonts w:ascii="Times New Roman"/>
                <w:spacing w:val="-1"/>
                <w:sz w:val="18"/>
              </w:rPr>
              <w:t>1,800,000.00</w:t>
            </w:r>
          </w:p>
        </w:tc>
        <w:tc>
          <w:tcPr>
            <w:tcW w:w="1423" w:type="dxa"/>
            <w:tcBorders>
              <w:top w:val="nil" w:sz="6" w:space="0" w:color="auto"/>
              <w:left w:val="nil" w:sz="6" w:space="0" w:color="auto"/>
              <w:bottom w:val="nil" w:sz="6" w:space="0" w:color="auto"/>
              <w:right w:val="nil" w:sz="6" w:space="0" w:color="auto"/>
            </w:tcBorders>
          </w:tcPr>
          <w:p>
            <w:pPr/>
          </w:p>
        </w:tc>
      </w:tr>
      <w:tr>
        <w:trPr>
          <w:trHeight w:val="445"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上海银河数娱网络科技有限公司</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7"/>
              <w:jc w:val="right"/>
              <w:rPr>
                <w:rFonts w:ascii="Times New Roman" w:hAnsi="Times New Roman" w:cs="Times New Roman" w:eastAsia="Times New Roman" w:hint="default"/>
                <w:sz w:val="18"/>
                <w:szCs w:val="18"/>
              </w:rPr>
            </w:pPr>
            <w:r>
              <w:rPr>
                <w:rFonts w:ascii="Times New Roman"/>
                <w:spacing w:val="-1"/>
                <w:sz w:val="18"/>
              </w:rPr>
              <w:t>14,000,000.00</w:t>
            </w:r>
          </w:p>
        </w:tc>
        <w:tc>
          <w:tcPr>
            <w:tcW w:w="280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35"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left"/>
              <w:rPr>
                <w:rFonts w:ascii="Times New Roman" w:hAnsi="Times New Roman" w:cs="Times New Roman" w:eastAsia="Times New Roman" w:hint="default"/>
                <w:sz w:val="18"/>
                <w:szCs w:val="18"/>
              </w:rPr>
            </w:pPr>
            <w:r>
              <w:rPr>
                <w:rFonts w:ascii="Times New Roman"/>
                <w:sz w:val="18"/>
              </w:rPr>
              <w:t>KEYROUTE GAMES</w:t>
            </w:r>
            <w:r>
              <w:rPr>
                <w:rFonts w:ascii="Times New Roman"/>
                <w:spacing w:val="-3"/>
                <w:sz w:val="18"/>
              </w:rPr>
              <w:t> </w:t>
            </w:r>
            <w:r>
              <w:rPr>
                <w:rFonts w:ascii="Times New Roman"/>
                <w:sz w:val="18"/>
              </w:rPr>
              <w:t>CO.,LIMITED</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7"/>
              <w:jc w:val="right"/>
              <w:rPr>
                <w:rFonts w:ascii="Times New Roman" w:hAnsi="Times New Roman" w:cs="Times New Roman" w:eastAsia="Times New Roman" w:hint="default"/>
                <w:sz w:val="18"/>
                <w:szCs w:val="18"/>
              </w:rPr>
            </w:pPr>
            <w:r>
              <w:rPr>
                <w:rFonts w:ascii="Times New Roman"/>
                <w:spacing w:val="-1"/>
                <w:sz w:val="18"/>
              </w:rPr>
              <w:t>7,347,000.00</w:t>
            </w:r>
          </w:p>
        </w:tc>
        <w:tc>
          <w:tcPr>
            <w:tcW w:w="280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pacing w:val="-1"/>
                <w:sz w:val="18"/>
              </w:rPr>
              <w:t>7,347,000.00</w:t>
            </w:r>
          </w:p>
        </w:tc>
      </w:tr>
      <w:tr>
        <w:trPr>
          <w:trHeight w:val="560"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5"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136,954,116.00</w:t>
            </w:r>
            <w:r>
              <w:rPr>
                <w:rFonts w:ascii="Times New Roman"/>
                <w:spacing w:val="-1"/>
                <w:sz w:val="18"/>
              </w:rPr>
            </w:r>
          </w:p>
        </w:tc>
        <w:tc>
          <w:tcPr>
            <w:tcW w:w="2808" w:type="dxa"/>
            <w:tcBorders>
              <w:top w:val="nil" w:sz="6" w:space="0" w:color="auto"/>
              <w:left w:val="nil" w:sz="6" w:space="0" w:color="auto"/>
              <w:bottom w:val="nil" w:sz="6" w:space="0" w:color="auto"/>
              <w:right w:val="nil" w:sz="6" w:space="0" w:color="auto"/>
            </w:tcBorders>
          </w:tcPr>
          <w:p>
            <w:pPr>
              <w:pStyle w:val="TableParagraph"/>
              <w:tabs>
                <w:tab w:pos="1513" w:val="left" w:leader="none"/>
              </w:tabs>
              <w:spacing w:line="240" w:lineRule="auto" w:before="111"/>
              <w:ind w:right="18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218,578,900.00</w:t>
            </w:r>
            <w:r>
              <w:rPr>
                <w:rFonts w:ascii="Times New Roman"/>
                <w:spacing w:val="-1"/>
                <w:sz w:val="18"/>
              </w:rPr>
              <w:tab/>
            </w:r>
            <w:r>
              <w:rPr>
                <w:rFonts w:ascii="Times New Roman"/>
                <w:spacing w:val="-1"/>
                <w:sz w:val="18"/>
                <w:u w:val="thick" w:color="000000"/>
              </w:rPr>
              <w:t>8,677,691.00</w:t>
            </w:r>
            <w:r>
              <w:rPr>
                <w:rFonts w:ascii="Times New Roman"/>
                <w:spacing w:val="-1"/>
                <w:sz w:val="18"/>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346,855,325.00</w:t>
            </w:r>
            <w:r>
              <w:rPr>
                <w:rFonts w:ascii="Times New Roman"/>
                <w:spacing w:val="-1"/>
                <w:sz w:val="18"/>
              </w:rPr>
            </w:r>
          </w:p>
        </w:tc>
      </w:tr>
      <w:tr>
        <w:trPr>
          <w:trHeight w:val="525" w:hRule="exact"/>
        </w:trPr>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接上表：</w:t>
            </w:r>
          </w:p>
        </w:tc>
        <w:tc>
          <w:tcPr>
            <w:tcW w:w="1800"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21"/>
          <w:szCs w:val="21"/>
        </w:rPr>
      </w:pPr>
    </w:p>
    <w:tbl>
      <w:tblPr>
        <w:tblW w:w="0" w:type="auto"/>
        <w:jc w:val="left"/>
        <w:tblInd w:w="1310" w:type="dxa"/>
        <w:tblLayout w:type="fixed"/>
        <w:tblCellMar>
          <w:top w:w="0" w:type="dxa"/>
          <w:left w:w="0" w:type="dxa"/>
          <w:bottom w:w="0" w:type="dxa"/>
          <w:right w:w="0" w:type="dxa"/>
        </w:tblCellMar>
        <w:tblLook w:val="01E0"/>
      </w:tblPr>
      <w:tblGrid>
        <w:gridCol w:w="1355"/>
        <w:gridCol w:w="1381"/>
        <w:gridCol w:w="1225"/>
        <w:gridCol w:w="1816"/>
        <w:gridCol w:w="2094"/>
        <w:gridCol w:w="1560"/>
      </w:tblGrid>
      <w:tr>
        <w:trPr>
          <w:trHeight w:val="200" w:hRule="exact"/>
        </w:trPr>
        <w:tc>
          <w:tcPr>
            <w:tcW w:w="9431"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228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r>
        <w:trPr>
          <w:trHeight w:val="225"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3910" w:type="dxa"/>
            <w:gridSpan w:val="2"/>
            <w:tcBorders>
              <w:top w:val="nil" w:sz="6" w:space="0" w:color="auto"/>
              <w:left w:val="nil" w:sz="6" w:space="0" w:color="auto"/>
              <w:bottom w:val="nil" w:sz="6" w:space="0" w:color="auto"/>
              <w:right w:val="nil" w:sz="6" w:space="0" w:color="auto"/>
            </w:tcBorders>
          </w:tcPr>
          <w:p>
            <w:pPr>
              <w:pStyle w:val="TableParagraph"/>
              <w:spacing w:line="214" w:lineRule="exact"/>
              <w:ind w:left="156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在被投资单位持股比例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本期现金红利</w:t>
            </w:r>
            <w:r>
              <w:rPr>
                <w:rFonts w:ascii="宋体" w:hAnsi="宋体" w:cs="宋体" w:eastAsia="宋体" w:hint="default"/>
                <w:sz w:val="18"/>
                <w:szCs w:val="18"/>
              </w:rPr>
            </w:r>
          </w:p>
        </w:tc>
      </w:tr>
      <w:tr>
        <w:trPr>
          <w:trHeight w:val="287" w:hRule="exact"/>
        </w:trPr>
        <w:tc>
          <w:tcPr>
            <w:tcW w:w="1355" w:type="dxa"/>
            <w:tcBorders>
              <w:top w:val="nil" w:sz="6" w:space="0" w:color="auto"/>
              <w:left w:val="nil" w:sz="6" w:space="0" w:color="auto"/>
              <w:bottom w:val="single" w:sz="4" w:space="0" w:color="000000"/>
              <w:right w:val="nil" w:sz="6" w:space="0" w:color="auto"/>
            </w:tcBorders>
          </w:tcPr>
          <w:p>
            <w:pPr>
              <w:pStyle w:val="TableParagraph"/>
              <w:spacing w:line="195" w:lineRule="exact"/>
              <w:ind w:left="29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81" w:type="dxa"/>
            <w:tcBorders>
              <w:top w:val="nil" w:sz="6" w:space="0" w:color="auto"/>
              <w:left w:val="nil" w:sz="6" w:space="0" w:color="auto"/>
              <w:bottom w:val="single" w:sz="4" w:space="0" w:color="000000"/>
              <w:right w:val="nil" w:sz="6" w:space="0" w:color="auto"/>
            </w:tcBorders>
          </w:tcPr>
          <w:p>
            <w:pPr>
              <w:pStyle w:val="TableParagraph"/>
              <w:spacing w:line="195" w:lineRule="exact"/>
              <w:ind w:right="128"/>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25" w:type="dxa"/>
            <w:tcBorders>
              <w:top w:val="nil" w:sz="6" w:space="0" w:color="auto"/>
              <w:left w:val="nil" w:sz="6" w:space="0" w:color="auto"/>
              <w:bottom w:val="single" w:sz="4" w:space="0" w:color="000000"/>
              <w:right w:val="nil" w:sz="6" w:space="0" w:color="auto"/>
            </w:tcBorders>
          </w:tcPr>
          <w:p>
            <w:pPr>
              <w:pStyle w:val="TableParagraph"/>
              <w:spacing w:line="195" w:lineRule="exact"/>
              <w:ind w:left="20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16" w:type="dxa"/>
            <w:tcBorders>
              <w:top w:val="nil" w:sz="6" w:space="0" w:color="auto"/>
              <w:left w:val="nil" w:sz="6" w:space="0" w:color="auto"/>
              <w:bottom w:val="single" w:sz="4" w:space="0" w:color="000000"/>
              <w:right w:val="nil" w:sz="6" w:space="0" w:color="auto"/>
            </w:tcBorders>
          </w:tcPr>
          <w:p>
            <w:pPr>
              <w:pStyle w:val="TableParagraph"/>
              <w:spacing w:line="195" w:lineRule="exact"/>
              <w:ind w:left="29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094"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
        </w:tc>
      </w:tr>
      <w:tr>
        <w:trPr>
          <w:trHeight w:val="498" w:hRule="exact"/>
        </w:trPr>
        <w:tc>
          <w:tcPr>
            <w:tcW w:w="1355" w:type="dxa"/>
            <w:tcBorders>
              <w:top w:val="single" w:sz="4" w:space="0" w:color="000000"/>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
        </w:tc>
        <w:tc>
          <w:tcPr>
            <w:tcW w:w="1225" w:type="dxa"/>
            <w:tcBorders>
              <w:top w:val="single" w:sz="4" w:space="0" w:color="000000"/>
              <w:left w:val="nil" w:sz="6" w:space="0" w:color="auto"/>
              <w:bottom w:val="nil" w:sz="6" w:space="0" w:color="auto"/>
              <w:right w:val="nil" w:sz="6" w:space="0" w:color="auto"/>
            </w:tcBorders>
          </w:tcPr>
          <w:p>
            <w:pPr/>
          </w:p>
        </w:tc>
        <w:tc>
          <w:tcPr>
            <w:tcW w:w="1816" w:type="dxa"/>
            <w:tcBorders>
              <w:top w:val="single" w:sz="4" w:space="0" w:color="000000"/>
              <w:left w:val="nil" w:sz="6" w:space="0" w:color="auto"/>
              <w:bottom w:val="nil" w:sz="6" w:space="0" w:color="auto"/>
              <w:right w:val="nil" w:sz="6" w:space="0" w:color="auto"/>
            </w:tcBorders>
          </w:tcPr>
          <w:p>
            <w:pPr/>
          </w:p>
        </w:tc>
        <w:tc>
          <w:tcPr>
            <w:tcW w:w="2094"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599" w:right="0"/>
              <w:jc w:val="left"/>
              <w:rPr>
                <w:rFonts w:ascii="Times New Roman" w:hAnsi="Times New Roman" w:cs="Times New Roman" w:eastAsia="Times New Roman" w:hint="default"/>
                <w:sz w:val="18"/>
                <w:szCs w:val="18"/>
              </w:rPr>
            </w:pPr>
            <w:r>
              <w:rPr>
                <w:rFonts w:ascii="Times New Roman"/>
                <w:sz w:val="18"/>
              </w:rPr>
              <w:t>27.00</w:t>
            </w:r>
          </w:p>
        </w:tc>
        <w:tc>
          <w:tcPr>
            <w:tcW w:w="1560"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99" w:right="0"/>
              <w:jc w:val="left"/>
              <w:rPr>
                <w:rFonts w:ascii="Times New Roman" w:hAnsi="Times New Roman" w:cs="Times New Roman" w:eastAsia="Times New Roman" w:hint="default"/>
                <w:sz w:val="18"/>
                <w:szCs w:val="18"/>
              </w:rPr>
            </w:pPr>
            <w:r>
              <w:rPr>
                <w:rFonts w:ascii="Times New Roman"/>
                <w:sz w:val="18"/>
              </w:rPr>
              <w:t>40.00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Times New Roman" w:hAnsi="Times New Roman" w:cs="Times New Roman" w:eastAsia="Times New Roman" w:hint="default"/>
                <w:sz w:val="18"/>
                <w:szCs w:val="18"/>
              </w:rPr>
            </w:pPr>
            <w:r>
              <w:rPr>
                <w:rFonts w:ascii="Times New Roman"/>
                <w:sz w:val="18"/>
              </w:rPr>
              <w:t>636,942.00</w:t>
            </w: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99" w:right="0"/>
              <w:jc w:val="left"/>
              <w:rPr>
                <w:rFonts w:ascii="Times New Roman" w:hAnsi="Times New Roman" w:cs="Times New Roman" w:eastAsia="Times New Roman" w:hint="default"/>
                <w:sz w:val="18"/>
                <w:szCs w:val="18"/>
              </w:rPr>
            </w:pPr>
            <w:r>
              <w:rPr>
                <w:rFonts w:ascii="Times New Roman"/>
                <w:sz w:val="18"/>
              </w:rPr>
              <w:t>28.00</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99" w:right="0"/>
              <w:jc w:val="left"/>
              <w:rPr>
                <w:rFonts w:ascii="Times New Roman" w:hAnsi="Times New Roman" w:cs="Times New Roman" w:eastAsia="Times New Roman" w:hint="default"/>
                <w:sz w:val="18"/>
                <w:szCs w:val="18"/>
              </w:rPr>
            </w:pPr>
            <w:r>
              <w:rPr>
                <w:rFonts w:ascii="Times New Roman"/>
                <w:sz w:val="18"/>
              </w:rPr>
              <w:t>18.75</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99" w:right="0"/>
              <w:jc w:val="left"/>
              <w:rPr>
                <w:rFonts w:ascii="Times New Roman" w:hAnsi="Times New Roman" w:cs="Times New Roman" w:eastAsia="Times New Roman" w:hint="default"/>
                <w:sz w:val="18"/>
                <w:szCs w:val="18"/>
              </w:rPr>
            </w:pPr>
            <w:r>
              <w:rPr>
                <w:rFonts w:ascii="Times New Roman"/>
                <w:sz w:val="18"/>
              </w:rPr>
              <w:t>15.00</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44" w:right="0"/>
              <w:jc w:val="left"/>
              <w:rPr>
                <w:rFonts w:ascii="Times New Roman" w:hAnsi="Times New Roman" w:cs="Times New Roman" w:eastAsia="Times New Roman" w:hint="default"/>
                <w:sz w:val="18"/>
                <w:szCs w:val="18"/>
              </w:rPr>
            </w:pPr>
            <w:r>
              <w:rPr>
                <w:rFonts w:ascii="Times New Roman"/>
                <w:sz w:val="18"/>
              </w:rPr>
              <w:t>8.00</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644" w:right="0"/>
              <w:jc w:val="left"/>
              <w:rPr>
                <w:rFonts w:ascii="Times New Roman" w:hAnsi="Times New Roman" w:cs="Times New Roman" w:eastAsia="Times New Roman" w:hint="default"/>
                <w:sz w:val="18"/>
                <w:szCs w:val="18"/>
              </w:rPr>
            </w:pPr>
            <w:r>
              <w:rPr>
                <w:rFonts w:ascii="Times New Roman"/>
                <w:sz w:val="18"/>
              </w:rPr>
              <w:t>5.00</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99" w:right="0"/>
              <w:jc w:val="left"/>
              <w:rPr>
                <w:rFonts w:ascii="Times New Roman" w:hAnsi="Times New Roman" w:cs="Times New Roman" w:eastAsia="Times New Roman" w:hint="default"/>
                <w:sz w:val="18"/>
                <w:szCs w:val="18"/>
              </w:rPr>
            </w:pPr>
            <w:r>
              <w:rPr>
                <w:rFonts w:ascii="Times New Roman"/>
                <w:sz w:val="18"/>
              </w:rPr>
              <w:t>18.00</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99" w:right="0"/>
              <w:jc w:val="left"/>
              <w:rPr>
                <w:rFonts w:ascii="Times New Roman" w:hAnsi="Times New Roman" w:cs="Times New Roman" w:eastAsia="Times New Roman" w:hint="default"/>
                <w:sz w:val="18"/>
                <w:szCs w:val="18"/>
              </w:rPr>
            </w:pPr>
            <w:r>
              <w:rPr>
                <w:rFonts w:ascii="Times New Roman"/>
                <w:sz w:val="18"/>
              </w:rPr>
              <w:t>15.00</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644" w:right="0"/>
              <w:jc w:val="left"/>
              <w:rPr>
                <w:rFonts w:ascii="Times New Roman" w:hAnsi="Times New Roman" w:cs="Times New Roman" w:eastAsia="Times New Roman" w:hint="default"/>
                <w:sz w:val="18"/>
                <w:szCs w:val="18"/>
              </w:rPr>
            </w:pPr>
            <w:r>
              <w:rPr>
                <w:rFonts w:ascii="Times New Roman"/>
                <w:sz w:val="18"/>
              </w:rPr>
              <w:t>5.29</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99" w:right="0"/>
              <w:jc w:val="left"/>
              <w:rPr>
                <w:rFonts w:ascii="Times New Roman" w:hAnsi="Times New Roman" w:cs="Times New Roman" w:eastAsia="Times New Roman" w:hint="default"/>
                <w:sz w:val="18"/>
                <w:szCs w:val="18"/>
              </w:rPr>
            </w:pPr>
            <w:r>
              <w:rPr>
                <w:rFonts w:ascii="Times New Roman"/>
                <w:sz w:val="18"/>
              </w:rPr>
              <w:t>10.00</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44" w:right="0"/>
              <w:jc w:val="left"/>
              <w:rPr>
                <w:rFonts w:ascii="Times New Roman" w:hAnsi="Times New Roman" w:cs="Times New Roman" w:eastAsia="Times New Roman" w:hint="default"/>
                <w:sz w:val="18"/>
                <w:szCs w:val="18"/>
              </w:rPr>
            </w:pPr>
            <w:r>
              <w:rPr>
                <w:rFonts w:ascii="Times New Roman"/>
                <w:sz w:val="18"/>
              </w:rPr>
              <w:t>7.50</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644" w:right="0"/>
              <w:jc w:val="left"/>
              <w:rPr>
                <w:rFonts w:ascii="Times New Roman" w:hAnsi="Times New Roman" w:cs="Times New Roman" w:eastAsia="Times New Roman" w:hint="default"/>
                <w:sz w:val="18"/>
                <w:szCs w:val="18"/>
              </w:rPr>
            </w:pPr>
            <w:r>
              <w:rPr>
                <w:rFonts w:ascii="Times New Roman"/>
                <w:sz w:val="18"/>
              </w:rPr>
              <w:t>3.00</w:t>
            </w:r>
          </w:p>
        </w:tc>
        <w:tc>
          <w:tcPr>
            <w:tcW w:w="1560" w:type="dxa"/>
            <w:tcBorders>
              <w:top w:val="nil" w:sz="6" w:space="0" w:color="auto"/>
              <w:left w:val="nil" w:sz="6" w:space="0" w:color="auto"/>
              <w:bottom w:val="nil" w:sz="6" w:space="0" w:color="auto"/>
              <w:right w:val="nil" w:sz="6" w:space="0" w:color="auto"/>
            </w:tcBorders>
          </w:tcPr>
          <w:p>
            <w:pPr/>
          </w:p>
        </w:tc>
      </w:tr>
      <w:tr>
        <w:trPr>
          <w:trHeight w:val="88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644" w:right="0"/>
              <w:jc w:val="left"/>
              <w:rPr>
                <w:rFonts w:ascii="Times New Roman" w:hAnsi="Times New Roman" w:cs="Times New Roman" w:eastAsia="Times New Roman" w:hint="default"/>
                <w:sz w:val="18"/>
                <w:szCs w:val="18"/>
              </w:rPr>
            </w:pPr>
            <w:r>
              <w:rPr>
                <w:rFonts w:ascii="Times New Roman"/>
                <w:sz w:val="18"/>
              </w:rPr>
              <w:t>5.00</w:t>
            </w:r>
          </w:p>
        </w:tc>
        <w:tc>
          <w:tcPr>
            <w:tcW w:w="1560" w:type="dxa"/>
            <w:tcBorders>
              <w:top w:val="nil" w:sz="6" w:space="0" w:color="auto"/>
              <w:left w:val="nil" w:sz="6" w:space="0" w:color="auto"/>
              <w:bottom w:val="nil" w:sz="6" w:space="0" w:color="auto"/>
              <w:right w:val="nil" w:sz="6" w:space="0" w:color="auto"/>
            </w:tcBorders>
          </w:tcPr>
          <w:p>
            <w:pPr/>
          </w:p>
        </w:tc>
      </w:tr>
      <w:tr>
        <w:trPr>
          <w:trHeight w:val="880" w:hRule="exact"/>
        </w:trPr>
        <w:tc>
          <w:tcPr>
            <w:tcW w:w="1355"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58"/>
              <w:jc w:val="center"/>
              <w:rPr>
                <w:rFonts w:ascii="Times New Roman" w:hAnsi="Times New Roman" w:cs="Times New Roman" w:eastAsia="Times New Roman" w:hint="default"/>
                <w:sz w:val="18"/>
                <w:szCs w:val="18"/>
              </w:rPr>
            </w:pPr>
            <w:r>
              <w:rPr>
                <w:rFonts w:ascii="Times New Roman"/>
                <w:sz w:val="18"/>
              </w:rPr>
              <w:t>14,000,000.00</w:t>
            </w: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14,000,000.00</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sz w:val="18"/>
              </w:rPr>
              <w:t>2.00</w:t>
            </w:r>
          </w:p>
        </w:tc>
        <w:tc>
          <w:tcPr>
            <w:tcW w:w="1560" w:type="dxa"/>
            <w:tcBorders>
              <w:top w:val="nil" w:sz="6" w:space="0" w:color="auto"/>
              <w:left w:val="nil" w:sz="6" w:space="0" w:color="auto"/>
              <w:bottom w:val="nil" w:sz="6" w:space="0" w:color="auto"/>
              <w:right w:val="nil" w:sz="6" w:space="0" w:color="auto"/>
            </w:tcBorders>
          </w:tcPr>
          <w:p>
            <w:pPr/>
          </w:p>
        </w:tc>
      </w:tr>
      <w:tr>
        <w:trPr>
          <w:trHeight w:val="440"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67" w:right="0"/>
              <w:jc w:val="left"/>
              <w:rPr>
                <w:rFonts w:ascii="Times New Roman" w:hAnsi="Times New Roman" w:cs="Times New Roman" w:eastAsia="Times New Roman" w:hint="default"/>
                <w:sz w:val="18"/>
                <w:szCs w:val="18"/>
              </w:rPr>
            </w:pPr>
            <w:r>
              <w:rPr>
                <w:rFonts w:ascii="Times New Roman"/>
                <w:sz w:val="18"/>
              </w:rPr>
              <w:t>7,347,000.00</w:t>
            </w:r>
          </w:p>
        </w:tc>
        <w:tc>
          <w:tcPr>
            <w:tcW w:w="1381"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70" w:right="0"/>
              <w:jc w:val="left"/>
              <w:rPr>
                <w:rFonts w:ascii="Times New Roman" w:hAnsi="Times New Roman" w:cs="Times New Roman" w:eastAsia="Times New Roman" w:hint="default"/>
                <w:sz w:val="18"/>
                <w:szCs w:val="18"/>
              </w:rPr>
            </w:pPr>
            <w:r>
              <w:rPr>
                <w:rFonts w:ascii="Times New Roman"/>
                <w:sz w:val="18"/>
              </w:rPr>
              <w:t>7,347,000.00</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99" w:right="0"/>
              <w:jc w:val="left"/>
              <w:rPr>
                <w:rFonts w:ascii="Times New Roman" w:hAnsi="Times New Roman" w:cs="Times New Roman" w:eastAsia="Times New Roman" w:hint="default"/>
                <w:sz w:val="18"/>
                <w:szCs w:val="18"/>
              </w:rPr>
            </w:pPr>
            <w:r>
              <w:rPr>
                <w:rFonts w:ascii="Times New Roman"/>
                <w:sz w:val="18"/>
              </w:rPr>
              <w:t>19.35</w:t>
            </w:r>
          </w:p>
        </w:tc>
        <w:tc>
          <w:tcPr>
            <w:tcW w:w="1560" w:type="dxa"/>
            <w:tcBorders>
              <w:top w:val="nil" w:sz="6" w:space="0" w:color="auto"/>
              <w:left w:val="nil" w:sz="6" w:space="0" w:color="auto"/>
              <w:bottom w:val="nil" w:sz="6" w:space="0" w:color="auto"/>
              <w:right w:val="nil" w:sz="6" w:space="0" w:color="auto"/>
            </w:tcBorders>
          </w:tcPr>
          <w:p>
            <w:pPr/>
          </w:p>
        </w:tc>
      </w:tr>
      <w:tr>
        <w:trPr>
          <w:trHeight w:val="310" w:hRule="exact"/>
        </w:trPr>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6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7,347,000.00</w:t>
            </w:r>
            <w:r>
              <w:rPr>
                <w:rFonts w:ascii="Times New Roman"/>
                <w:sz w:val="18"/>
              </w:rPr>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8"/>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14,000,000.00</w:t>
            </w:r>
            <w:r>
              <w:rPr>
                <w:rFonts w:ascii="Times New Roman"/>
                <w:sz w:val="18"/>
              </w:rPr>
            </w:r>
          </w:p>
        </w:tc>
        <w:tc>
          <w:tcPr>
            <w:tcW w:w="1225"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8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21,347,000.00</w:t>
            </w:r>
            <w:r>
              <w:rPr>
                <w:rFonts w:ascii="Times New Roman"/>
                <w:sz w:val="18"/>
              </w:rPr>
            </w:r>
          </w:p>
        </w:tc>
        <w:tc>
          <w:tcPr>
            <w:tcW w:w="2094"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636,942.00</w:t>
            </w:r>
            <w:r>
              <w:rPr>
                <w:rFonts w:ascii="Times New Roman"/>
                <w:sz w:val="18"/>
              </w:rPr>
            </w:r>
          </w:p>
        </w:tc>
      </w:tr>
    </w:tbl>
    <w:p>
      <w:pPr>
        <w:spacing w:line="240" w:lineRule="auto" w:before="11"/>
        <w:rPr>
          <w:rFonts w:ascii="宋体" w:hAnsi="宋体" w:cs="宋体" w:eastAsia="宋体" w:hint="default"/>
          <w:b/>
          <w:bCs/>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3</w:t>
      </w:r>
      <w:r>
        <w:rPr/>
        <w:t>）可供出售金融资产减值的变动情况</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4104"/>
        <w:gridCol w:w="3078"/>
        <w:gridCol w:w="2249"/>
      </w:tblGrid>
      <w:tr>
        <w:trPr>
          <w:trHeight w:val="272" w:hRule="exact"/>
        </w:trPr>
        <w:tc>
          <w:tcPr>
            <w:tcW w:w="4104" w:type="dxa"/>
            <w:tcBorders>
              <w:top w:val="nil" w:sz="6" w:space="0" w:color="auto"/>
              <w:left w:val="nil" w:sz="6" w:space="0" w:color="auto"/>
              <w:bottom w:val="single" w:sz="4" w:space="0" w:color="000000"/>
              <w:right w:val="nil" w:sz="6" w:space="0" w:color="auto"/>
            </w:tcBorders>
          </w:tcPr>
          <w:p>
            <w:pPr>
              <w:pStyle w:val="TableParagraph"/>
              <w:spacing w:line="180" w:lineRule="exact"/>
              <w:ind w:left="1356" w:right="0"/>
              <w:jc w:val="left"/>
              <w:rPr>
                <w:rFonts w:ascii="宋体" w:hAnsi="宋体" w:cs="宋体" w:eastAsia="宋体" w:hint="default"/>
                <w:sz w:val="18"/>
                <w:szCs w:val="18"/>
              </w:rPr>
            </w:pPr>
            <w:r>
              <w:rPr>
                <w:rFonts w:ascii="宋体" w:hAnsi="宋体" w:cs="宋体" w:eastAsia="宋体" w:hint="default"/>
                <w:b/>
                <w:bCs/>
                <w:sz w:val="18"/>
                <w:szCs w:val="18"/>
              </w:rPr>
              <w:t>可供出售金融资产分类</w:t>
            </w:r>
            <w:r>
              <w:rPr>
                <w:rFonts w:ascii="宋体" w:hAnsi="宋体" w:cs="宋体" w:eastAsia="宋体" w:hint="default"/>
                <w:sz w:val="18"/>
                <w:szCs w:val="18"/>
              </w:rPr>
            </w:r>
          </w:p>
        </w:tc>
        <w:tc>
          <w:tcPr>
            <w:tcW w:w="3078" w:type="dxa"/>
            <w:tcBorders>
              <w:top w:val="nil" w:sz="6" w:space="0" w:color="auto"/>
              <w:left w:val="nil" w:sz="6" w:space="0" w:color="auto"/>
              <w:bottom w:val="single" w:sz="4" w:space="0" w:color="000000"/>
              <w:right w:val="nil" w:sz="6" w:space="0" w:color="auto"/>
            </w:tcBorders>
          </w:tcPr>
          <w:p>
            <w:pPr>
              <w:pStyle w:val="TableParagraph"/>
              <w:spacing w:line="180" w:lineRule="exact"/>
              <w:ind w:right="689"/>
              <w:jc w:val="right"/>
              <w:rPr>
                <w:rFonts w:ascii="宋体" w:hAnsi="宋体" w:cs="宋体" w:eastAsia="宋体" w:hint="default"/>
                <w:sz w:val="18"/>
                <w:szCs w:val="18"/>
              </w:rPr>
            </w:pPr>
            <w:r>
              <w:rPr>
                <w:rFonts w:ascii="宋体" w:hAnsi="宋体" w:cs="宋体" w:eastAsia="宋体" w:hint="default"/>
                <w:b/>
                <w:bCs/>
                <w:w w:val="95"/>
                <w:sz w:val="18"/>
                <w:szCs w:val="18"/>
              </w:rPr>
              <w:t>可供出售权益工具</w:t>
            </w:r>
            <w:r>
              <w:rPr>
                <w:rFonts w:ascii="宋体" w:hAnsi="宋体" w:cs="宋体" w:eastAsia="宋体" w:hint="default"/>
                <w:sz w:val="18"/>
                <w:szCs w:val="18"/>
              </w:rPr>
            </w:r>
          </w:p>
        </w:tc>
        <w:tc>
          <w:tcPr>
            <w:tcW w:w="2249" w:type="dxa"/>
            <w:tcBorders>
              <w:top w:val="nil" w:sz="6" w:space="0" w:color="auto"/>
              <w:left w:val="nil" w:sz="6" w:space="0" w:color="auto"/>
              <w:bottom w:val="single" w:sz="4" w:space="0" w:color="000000"/>
              <w:right w:val="nil" w:sz="6" w:space="0" w:color="auto"/>
            </w:tcBorders>
          </w:tcPr>
          <w:p>
            <w:pPr>
              <w:pStyle w:val="TableParagraph"/>
              <w:spacing w:line="180" w:lineRule="exact"/>
              <w:ind w:right="16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3" w:hRule="exact"/>
        </w:trPr>
        <w:tc>
          <w:tcPr>
            <w:tcW w:w="410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期初已计提减值金额</w:t>
            </w:r>
          </w:p>
        </w:tc>
        <w:tc>
          <w:tcPr>
            <w:tcW w:w="307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687"/>
              <w:jc w:val="right"/>
              <w:rPr>
                <w:rFonts w:ascii="Times New Roman" w:hAnsi="Times New Roman" w:cs="Times New Roman" w:eastAsia="Times New Roman" w:hint="default"/>
                <w:sz w:val="18"/>
                <w:szCs w:val="18"/>
              </w:rPr>
            </w:pPr>
            <w:r>
              <w:rPr>
                <w:rFonts w:ascii="Times New Roman"/>
                <w:spacing w:val="-1"/>
                <w:sz w:val="18"/>
              </w:rPr>
              <w:t>7,347,000.00</w:t>
            </w:r>
          </w:p>
        </w:tc>
        <w:tc>
          <w:tcPr>
            <w:tcW w:w="224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7,347,000.00</w:t>
            </w:r>
            <w:r>
              <w:rPr>
                <w:rFonts w:ascii="Times New Roman"/>
                <w:spacing w:val="-1"/>
                <w:sz w:val="18"/>
              </w:rPr>
            </w:r>
          </w:p>
        </w:tc>
      </w:tr>
      <w:tr>
        <w:trPr>
          <w:trHeight w:val="4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87"/>
              <w:jc w:val="right"/>
              <w:rPr>
                <w:rFonts w:ascii="Times New Roman" w:hAnsi="Times New Roman" w:cs="Times New Roman" w:eastAsia="Times New Roman" w:hint="default"/>
                <w:sz w:val="18"/>
                <w:szCs w:val="18"/>
              </w:rPr>
            </w:pPr>
            <w:r>
              <w:rPr>
                <w:rFonts w:ascii="Times New Roman"/>
                <w:spacing w:val="-1"/>
                <w:sz w:val="18"/>
              </w:rPr>
              <w:t>14,000,000.00</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14,000,000.00</w:t>
            </w:r>
            <w:r>
              <w:rPr>
                <w:rFonts w:ascii="Times New Roman"/>
                <w:spacing w:val="-1"/>
                <w:sz w:val="18"/>
              </w:rPr>
            </w:r>
          </w:p>
        </w:tc>
      </w:tr>
      <w:tr>
        <w:trPr>
          <w:trHeight w:val="435"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3078"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r>
      <w:tr>
        <w:trPr>
          <w:trHeight w:val="4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078"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r>
      <w:tr>
        <w:trPr>
          <w:trHeight w:val="440"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3078"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r>
      <w:tr>
        <w:trPr>
          <w:trHeight w:val="319"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期末已计提减值金额</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87"/>
              <w:jc w:val="right"/>
              <w:rPr>
                <w:rFonts w:ascii="Times New Roman" w:hAnsi="Times New Roman" w:cs="Times New Roman" w:eastAsia="Times New Roman" w:hint="default"/>
                <w:sz w:val="18"/>
                <w:szCs w:val="18"/>
              </w:rPr>
            </w:pPr>
            <w:r>
              <w:rPr>
                <w:rFonts w:ascii="Times New Roman"/>
                <w:spacing w:val="-1"/>
                <w:sz w:val="18"/>
              </w:rPr>
              <w:t>21,347,000.00</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21,347,000.00</w:t>
            </w:r>
            <w:r>
              <w:rPr>
                <w:rFonts w:ascii="Times New Roman"/>
                <w:spacing w:val="-1"/>
                <w:sz w:val="18"/>
              </w:rPr>
            </w: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9.长期股权投资" w:id="201"/>
      <w:bookmarkEnd w:id="201"/>
      <w:r>
        <w:rPr/>
      </w:r>
      <w:r>
        <w:rPr>
          <w:rFonts w:ascii="Times New Roman" w:hAnsi="Times New Roman" w:cs="Times New Roman" w:eastAsia="Times New Roman" w:hint="default"/>
        </w:rPr>
        <w:t>9.</w:t>
      </w:r>
      <w:r>
        <w:rPr/>
        <w:t>长期股权投资</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060" w:bottom="1160" w:left="0" w:right="0"/>
        </w:sectPr>
      </w:pPr>
    </w:p>
    <w:p>
      <w:pPr>
        <w:spacing w:line="240" w:lineRule="auto" w:before="4"/>
        <w:rPr>
          <w:rFonts w:ascii="宋体" w:hAnsi="宋体" w:cs="宋体" w:eastAsia="宋体" w:hint="default"/>
          <w:sz w:val="20"/>
          <w:szCs w:val="20"/>
        </w:rPr>
      </w:pPr>
    </w:p>
    <w:p>
      <w:pPr>
        <w:pStyle w:val="Heading6"/>
        <w:tabs>
          <w:tab w:pos="6678" w:val="left" w:leader="none"/>
        </w:tabs>
        <w:spacing w:line="240" w:lineRule="auto"/>
        <w:ind w:left="3131" w:right="0"/>
        <w:jc w:val="left"/>
        <w:rPr>
          <w:b w:val="0"/>
          <w:bCs w:val="0"/>
        </w:rPr>
      </w:pPr>
      <w:r>
        <w:rPr>
          <w:w w:val="95"/>
        </w:rPr>
        <w:t>被投资单位名称</w:t>
        <w:tab/>
        <w:t>期初余额</w:t>
      </w:r>
      <w:r>
        <w:rPr>
          <w:b w:val="0"/>
          <w:bCs w:val="0"/>
        </w:rPr>
      </w:r>
    </w:p>
    <w:p>
      <w:pPr>
        <w:pStyle w:val="Heading6"/>
        <w:spacing w:line="240" w:lineRule="auto" w:before="44"/>
        <w:ind w:right="739"/>
        <w:jc w:val="center"/>
        <w:rPr>
          <w:b w:val="0"/>
          <w:bCs w:val="0"/>
        </w:rPr>
      </w:pPr>
      <w:r>
        <w:rPr>
          <w:b w:val="0"/>
          <w:bCs w:val="0"/>
        </w:rPr>
        <w:br w:type="column"/>
      </w:r>
      <w:r>
        <w:rPr/>
        <w:t>本期增减变动</w:t>
      </w:r>
      <w:r>
        <w:rPr>
          <w:b w:val="0"/>
          <w:bCs w:val="0"/>
        </w:rPr>
      </w:r>
    </w:p>
    <w:p>
      <w:pPr>
        <w:spacing w:line="240" w:lineRule="auto" w:before="9"/>
        <w:rPr>
          <w:rFonts w:ascii="宋体" w:hAnsi="宋体" w:cs="宋体" w:eastAsia="宋体" w:hint="default"/>
          <w:b/>
          <w:bCs/>
          <w:sz w:val="15"/>
          <w:szCs w:val="15"/>
        </w:rPr>
      </w:pPr>
    </w:p>
    <w:p>
      <w:pPr>
        <w:pStyle w:val="Heading6"/>
        <w:tabs>
          <w:tab w:pos="1437" w:val="left" w:leader="none"/>
        </w:tabs>
        <w:spacing w:line="240" w:lineRule="auto"/>
        <w:ind w:right="767"/>
        <w:jc w:val="center"/>
        <w:rPr>
          <w:b w:val="0"/>
          <w:bCs w:val="0"/>
        </w:rPr>
      </w:pPr>
      <w:r>
        <w:rPr>
          <w:w w:val="95"/>
        </w:rPr>
        <w:t>追加投资</w:t>
        <w:tab/>
      </w:r>
      <w:r>
        <w:rPr/>
        <w:t>减少投资</w:t>
      </w:r>
      <w:r>
        <w:rPr>
          <w:b w:val="0"/>
          <w:bCs w:val="0"/>
        </w:rPr>
      </w:r>
    </w:p>
    <w:p>
      <w:pPr>
        <w:spacing w:after="0" w:line="240" w:lineRule="auto"/>
        <w:jc w:val="center"/>
        <w:sectPr>
          <w:type w:val="continuous"/>
          <w:pgSz w:w="11910" w:h="16840"/>
          <w:pgMar w:top="780" w:bottom="840" w:left="0" w:right="0"/>
          <w:cols w:num="2" w:equalWidth="0">
            <w:col w:w="7401" w:space="40"/>
            <w:col w:w="4469"/>
          </w:cols>
        </w:sectPr>
      </w:pPr>
    </w:p>
    <w:p>
      <w:pPr>
        <w:spacing w:line="240" w:lineRule="auto" w:before="9"/>
        <w:rPr>
          <w:rFonts w:ascii="宋体" w:hAnsi="宋体" w:cs="宋体" w:eastAsia="宋体" w:hint="default"/>
          <w:b/>
          <w:bCs/>
          <w:sz w:val="6"/>
          <w:szCs w:val="6"/>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4907;height:2" coordorigin="5,5" coordsize="4907,2">
              <v:shape style="position:absolute;left:5;top:5;width:4907;height:2" coordorigin="5,5" coordsize="4907,0" path="m5,5l4911,5e" filled="false" stroked="true" strokeweight=".48pt" strokecolor="#000000">
                <v:path arrowok="t"/>
              </v:shape>
            </v:group>
            <v:group style="position:absolute;left:4911;top:5;width:10;height:2" coordorigin="4911,5" coordsize="10,2">
              <v:shape style="position:absolute;left:4911;top:5;width:10;height:2" coordorigin="4911,5" coordsize="10,0" path="m4911,5l4921,5e" filled="false" stroked="true" strokeweight=".48pt" strokecolor="#000000">
                <v:path arrowok="t"/>
              </v:shape>
            </v:group>
            <v:group style="position:absolute;left:4921;top:5;width:1640;height:2" coordorigin="4921,5" coordsize="1640,2">
              <v:shape style="position:absolute;left:4921;top:5;width:1640;height:2" coordorigin="4921,5" coordsize="1640,0" path="m4921,5l6560,5e" filled="false" stroked="true" strokeweight=".48pt" strokecolor="#000000">
                <v:path arrowok="t"/>
              </v:shape>
            </v:group>
            <v:group style="position:absolute;left:6560;top:5;width:10;height:2" coordorigin="6560,5" coordsize="10,2">
              <v:shape style="position:absolute;left:6560;top:5;width:10;height:2" coordorigin="6560,5" coordsize="10,0" path="m6560,5l6570,5e" filled="false" stroked="true" strokeweight=".48pt" strokecolor="#000000">
                <v:path arrowok="t"/>
              </v:shape>
            </v:group>
            <v:group style="position:absolute;left:6570;top:5;width:1402;height:2" coordorigin="6570,5" coordsize="1402,2">
              <v:shape style="position:absolute;left:6570;top:5;width:1402;height:2" coordorigin="6570,5" coordsize="1402,0" path="m6570,5l7972,5e" filled="false" stroked="true" strokeweight=".48pt" strokecolor="#000000">
                <v:path arrowok="t"/>
              </v:shape>
            </v:group>
            <v:group style="position:absolute;left:7972;top:5;width:10;height:2" coordorigin="7972,5" coordsize="10,2">
              <v:shape style="position:absolute;left:7972;top:5;width:10;height:2" coordorigin="7972,5" coordsize="10,0" path="m7972,5l7981,5e" filled="false" stroked="true" strokeweight=".48pt" strokecolor="#000000">
                <v:path arrowok="t"/>
              </v:shape>
            </v:group>
            <v:group style="position:absolute;left:7981;top:5;width:1455;height:2" coordorigin="7981,5" coordsize="1455,2">
              <v:shape style="position:absolute;left:7981;top:5;width:1455;height:2" coordorigin="7981,5" coordsize="1455,0" path="m7981,5l943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4"/>
          <w:szCs w:val="4"/>
        </w:rPr>
      </w:pPr>
    </w:p>
    <w:tbl>
      <w:tblPr>
        <w:tblW w:w="0" w:type="auto"/>
        <w:jc w:val="left"/>
        <w:tblInd w:w="1383" w:type="dxa"/>
        <w:tblLayout w:type="fixed"/>
        <w:tblCellMar>
          <w:top w:w="0" w:type="dxa"/>
          <w:left w:w="0" w:type="dxa"/>
          <w:bottom w:w="0" w:type="dxa"/>
          <w:right w:w="0" w:type="dxa"/>
        </w:tblCellMar>
        <w:tblLook w:val="01E0"/>
      </w:tblPr>
      <w:tblGrid>
        <w:gridCol w:w="4741"/>
        <w:gridCol w:w="1760"/>
        <w:gridCol w:w="1499"/>
        <w:gridCol w:w="1285"/>
      </w:tblGrid>
      <w:tr>
        <w:trPr>
          <w:trHeight w:val="41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决胜教育科技集团股份有限公司</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8"/>
              <w:jc w:val="right"/>
              <w:rPr>
                <w:rFonts w:ascii="Times New Roman" w:hAnsi="Times New Roman" w:cs="Times New Roman" w:eastAsia="Times New Roman" w:hint="default"/>
                <w:sz w:val="18"/>
                <w:szCs w:val="18"/>
              </w:rPr>
            </w:pPr>
            <w:r>
              <w:rPr>
                <w:rFonts w:ascii="Times New Roman"/>
                <w:spacing w:val="-1"/>
                <w:sz w:val="18"/>
              </w:rPr>
              <w:t>167,474,363.52</w:t>
            </w:r>
          </w:p>
        </w:tc>
        <w:tc>
          <w:tcPr>
            <w:tcW w:w="1499" w:type="dxa"/>
            <w:tcBorders>
              <w:top w:val="nil" w:sz="6" w:space="0" w:color="auto"/>
              <w:left w:val="nil" w:sz="6" w:space="0" w:color="auto"/>
              <w:bottom w:val="nil" w:sz="6" w:space="0" w:color="auto"/>
              <w:right w:val="nil" w:sz="6" w:space="0" w:color="auto"/>
            </w:tcBorders>
          </w:tcPr>
          <w:p>
            <w:pPr/>
          </w:p>
        </w:tc>
        <w:tc>
          <w:tcPr>
            <w:tcW w:w="1285" w:type="dxa"/>
            <w:vMerge w:val="restart"/>
            <w:tcBorders>
              <w:top w:val="nil" w:sz="6" w:space="0" w:color="auto"/>
              <w:left w:val="nil" w:sz="6" w:space="0" w:color="auto"/>
              <w:right w:val="nil" w:sz="6" w:space="0" w:color="auto"/>
            </w:tcBorders>
          </w:tcPr>
          <w:p>
            <w:pPr/>
          </w:p>
        </w:tc>
      </w:tr>
      <w:tr>
        <w:trPr>
          <w:trHeight w:val="44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宁波梅山保税港区合思益远投资合伙企业（有限合伙）</w:t>
            </w:r>
          </w:p>
        </w:tc>
        <w:tc>
          <w:tcPr>
            <w:tcW w:w="1760"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3"/>
              <w:jc w:val="right"/>
              <w:rPr>
                <w:rFonts w:ascii="Times New Roman" w:hAnsi="Times New Roman" w:cs="Times New Roman" w:eastAsia="Times New Roman" w:hint="default"/>
                <w:sz w:val="18"/>
                <w:szCs w:val="18"/>
              </w:rPr>
            </w:pPr>
            <w:r>
              <w:rPr>
                <w:rFonts w:ascii="Times New Roman"/>
                <w:spacing w:val="-1"/>
                <w:sz w:val="18"/>
              </w:rPr>
              <w:t>30,000,000.00</w:t>
            </w:r>
          </w:p>
        </w:tc>
        <w:tc>
          <w:tcPr>
            <w:tcW w:w="1285" w:type="dxa"/>
            <w:vMerge/>
            <w:tcBorders>
              <w:left w:val="nil" w:sz="6" w:space="0" w:color="auto"/>
              <w:right w:val="nil" w:sz="6" w:space="0" w:color="auto"/>
            </w:tcBorders>
          </w:tcPr>
          <w:p>
            <w:pPr/>
          </w:p>
        </w:tc>
      </w:tr>
      <w:tr>
        <w:trPr>
          <w:trHeight w:val="44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Times New Roman" w:hAnsi="Times New Roman" w:cs="Times New Roman" w:eastAsia="Times New Roman" w:hint="default"/>
                <w:sz w:val="18"/>
                <w:szCs w:val="18"/>
              </w:rPr>
            </w:pPr>
            <w:r>
              <w:rPr>
                <w:rFonts w:ascii="Times New Roman"/>
                <w:spacing w:val="-1"/>
                <w:sz w:val="18"/>
              </w:rPr>
              <w:t>2,797,822.67</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3"/>
              <w:jc w:val="right"/>
              <w:rPr>
                <w:rFonts w:ascii="Times New Roman" w:hAnsi="Times New Roman" w:cs="Times New Roman" w:eastAsia="Times New Roman" w:hint="default"/>
                <w:sz w:val="18"/>
                <w:szCs w:val="18"/>
              </w:rPr>
            </w:pPr>
            <w:r>
              <w:rPr>
                <w:rFonts w:ascii="Times New Roman"/>
                <w:spacing w:val="-1"/>
                <w:sz w:val="18"/>
              </w:rPr>
              <w:t>4,000,000.00</w:t>
            </w:r>
          </w:p>
        </w:tc>
        <w:tc>
          <w:tcPr>
            <w:tcW w:w="1285" w:type="dxa"/>
            <w:vMerge/>
            <w:tcBorders>
              <w:left w:val="nil" w:sz="6" w:space="0" w:color="auto"/>
              <w:right w:val="nil" w:sz="6" w:space="0" w:color="auto"/>
            </w:tcBorders>
          </w:tcPr>
          <w:p>
            <w:pPr/>
          </w:p>
        </w:tc>
      </w:tr>
      <w:tr>
        <w:trPr>
          <w:trHeight w:val="44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北京海德拉科技有限公司</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8"/>
              <w:jc w:val="right"/>
              <w:rPr>
                <w:rFonts w:ascii="Times New Roman" w:hAnsi="Times New Roman" w:cs="Times New Roman" w:eastAsia="Times New Roman" w:hint="default"/>
                <w:sz w:val="18"/>
                <w:szCs w:val="18"/>
              </w:rPr>
            </w:pPr>
            <w:r>
              <w:rPr>
                <w:rFonts w:ascii="Times New Roman"/>
                <w:spacing w:val="-1"/>
                <w:sz w:val="18"/>
              </w:rPr>
              <w:t>2,542,735.90</w:t>
            </w:r>
          </w:p>
        </w:tc>
        <w:tc>
          <w:tcPr>
            <w:tcW w:w="1499" w:type="dxa"/>
            <w:tcBorders>
              <w:top w:val="nil" w:sz="6" w:space="0" w:color="auto"/>
              <w:left w:val="nil" w:sz="6" w:space="0" w:color="auto"/>
              <w:bottom w:val="nil" w:sz="6" w:space="0" w:color="auto"/>
              <w:right w:val="nil" w:sz="6" w:space="0" w:color="auto"/>
            </w:tcBorders>
          </w:tcPr>
          <w:p>
            <w:pPr/>
          </w:p>
        </w:tc>
        <w:tc>
          <w:tcPr>
            <w:tcW w:w="1285" w:type="dxa"/>
            <w:vMerge/>
            <w:tcBorders>
              <w:left w:val="nil" w:sz="6" w:space="0" w:color="auto"/>
              <w:right w:val="nil" w:sz="6" w:space="0" w:color="auto"/>
            </w:tcBorders>
          </w:tcPr>
          <w:p>
            <w:pPr/>
          </w:p>
        </w:tc>
      </w:tr>
      <w:tr>
        <w:trPr>
          <w:trHeight w:val="44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广州炫动信息科技有限公司</w:t>
            </w:r>
          </w:p>
        </w:tc>
        <w:tc>
          <w:tcPr>
            <w:tcW w:w="1760"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3"/>
              <w:jc w:val="right"/>
              <w:rPr>
                <w:rFonts w:ascii="Times New Roman" w:hAnsi="Times New Roman" w:cs="Times New Roman" w:eastAsia="Times New Roman" w:hint="default"/>
                <w:sz w:val="18"/>
                <w:szCs w:val="18"/>
              </w:rPr>
            </w:pPr>
            <w:r>
              <w:rPr>
                <w:rFonts w:ascii="Times New Roman"/>
                <w:spacing w:val="-1"/>
                <w:sz w:val="18"/>
              </w:rPr>
              <w:t>20,000,000.00</w:t>
            </w:r>
          </w:p>
        </w:tc>
        <w:tc>
          <w:tcPr>
            <w:tcW w:w="1285" w:type="dxa"/>
            <w:vMerge/>
            <w:tcBorders>
              <w:left w:val="nil" w:sz="6" w:space="0" w:color="auto"/>
              <w:bottom w:val="nil" w:sz="6" w:space="0" w:color="auto"/>
              <w:right w:val="nil" w:sz="6" w:space="0" w:color="auto"/>
            </w:tcBorders>
          </w:tcPr>
          <w:p>
            <w:pPr/>
          </w:p>
        </w:tc>
      </w:tr>
      <w:tr>
        <w:trPr>
          <w:trHeight w:val="44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成都天纵世纪科技有限公司</w:t>
            </w:r>
          </w:p>
        </w:tc>
        <w:tc>
          <w:tcPr>
            <w:tcW w:w="1760"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3"/>
              <w:jc w:val="right"/>
              <w:rPr>
                <w:rFonts w:ascii="Times New Roman" w:hAnsi="Times New Roman" w:cs="Times New Roman" w:eastAsia="Times New Roman" w:hint="default"/>
                <w:sz w:val="18"/>
                <w:szCs w:val="18"/>
              </w:rPr>
            </w:pPr>
            <w:r>
              <w:rPr>
                <w:rFonts w:ascii="Times New Roman"/>
                <w:spacing w:val="-1"/>
                <w:sz w:val="18"/>
              </w:rPr>
              <w:t>10,000,000.00</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10,200,038.74</w:t>
            </w:r>
          </w:p>
        </w:tc>
      </w:tr>
      <w:tr>
        <w:trPr>
          <w:trHeight w:val="44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1760"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3"/>
              <w:jc w:val="right"/>
              <w:rPr>
                <w:rFonts w:ascii="Times New Roman" w:hAnsi="Times New Roman" w:cs="Times New Roman" w:eastAsia="Times New Roman" w:hint="default"/>
                <w:sz w:val="18"/>
                <w:szCs w:val="18"/>
              </w:rPr>
            </w:pPr>
            <w:r>
              <w:rPr>
                <w:rFonts w:ascii="Times New Roman"/>
                <w:spacing w:val="-1"/>
                <w:sz w:val="18"/>
              </w:rPr>
              <w:t>5,000,000.00</w:t>
            </w:r>
          </w:p>
        </w:tc>
        <w:tc>
          <w:tcPr>
            <w:tcW w:w="1285" w:type="dxa"/>
            <w:tcBorders>
              <w:top w:val="nil" w:sz="6" w:space="0" w:color="auto"/>
              <w:left w:val="nil" w:sz="6" w:space="0" w:color="auto"/>
              <w:bottom w:val="nil" w:sz="6" w:space="0" w:color="auto"/>
              <w:right w:val="nil" w:sz="6" w:space="0" w:color="auto"/>
            </w:tcBorders>
          </w:tcPr>
          <w:p>
            <w:pPr/>
          </w:p>
        </w:tc>
      </w:tr>
      <w:tr>
        <w:trPr>
          <w:trHeight w:val="44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长沙琴石文化科技有限公司</w:t>
            </w:r>
          </w:p>
        </w:tc>
        <w:tc>
          <w:tcPr>
            <w:tcW w:w="1760"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3"/>
              <w:jc w:val="right"/>
              <w:rPr>
                <w:rFonts w:ascii="Times New Roman" w:hAnsi="Times New Roman" w:cs="Times New Roman" w:eastAsia="Times New Roman" w:hint="default"/>
                <w:sz w:val="18"/>
                <w:szCs w:val="18"/>
              </w:rPr>
            </w:pPr>
            <w:r>
              <w:rPr>
                <w:rFonts w:ascii="Times New Roman"/>
                <w:spacing w:val="-1"/>
                <w:sz w:val="18"/>
              </w:rPr>
              <w:t>1,500,000.00</w:t>
            </w:r>
          </w:p>
        </w:tc>
        <w:tc>
          <w:tcPr>
            <w:tcW w:w="1285" w:type="dxa"/>
            <w:tcBorders>
              <w:top w:val="nil" w:sz="6" w:space="0" w:color="auto"/>
              <w:left w:val="nil" w:sz="6" w:space="0" w:color="auto"/>
              <w:bottom w:val="nil" w:sz="6" w:space="0" w:color="auto"/>
              <w:right w:val="nil" w:sz="6" w:space="0" w:color="auto"/>
            </w:tcBorders>
          </w:tcPr>
          <w:p>
            <w:pPr/>
          </w:p>
        </w:tc>
      </w:tr>
      <w:tr>
        <w:trPr>
          <w:trHeight w:val="41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172,814,922.09</w:t>
            </w:r>
            <w:r>
              <w:rPr>
                <w:rFonts w:ascii="Times New Roman"/>
                <w:spacing w:val="-1"/>
                <w:sz w:val="18"/>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70,500,000.00</w:t>
            </w:r>
            <w:r>
              <w:rPr>
                <w:rFonts w:ascii="Times New Roman"/>
                <w:spacing w:val="-1"/>
                <w:sz w:val="18"/>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10,200,038.74</w:t>
            </w:r>
            <w:r>
              <w:rPr>
                <w:rFonts w:ascii="Times New Roman"/>
                <w:spacing w:val="-1"/>
                <w:sz w:val="18"/>
              </w:rPr>
            </w:r>
          </w:p>
        </w:tc>
      </w:tr>
    </w:tbl>
    <w:p>
      <w:pPr>
        <w:spacing w:line="240" w:lineRule="auto" w:before="3"/>
        <w:rPr>
          <w:rFonts w:ascii="宋体" w:hAnsi="宋体" w:cs="宋体" w:eastAsia="宋体" w:hint="default"/>
          <w:b/>
          <w:bCs/>
          <w:sz w:val="22"/>
          <w:szCs w:val="22"/>
        </w:rPr>
      </w:pPr>
    </w:p>
    <w:p>
      <w:pPr>
        <w:pStyle w:val="BodyText"/>
        <w:spacing w:line="240" w:lineRule="auto" w:before="44"/>
        <w:ind w:right="1117"/>
        <w:jc w:val="left"/>
      </w:pPr>
      <w:r>
        <w:rPr/>
        <w:t>接上表：</w:t>
      </w:r>
    </w:p>
    <w:p>
      <w:pPr>
        <w:spacing w:line="240" w:lineRule="auto" w:before="9"/>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3001"/>
        <w:gridCol w:w="2394"/>
        <w:gridCol w:w="2155"/>
        <w:gridCol w:w="1881"/>
      </w:tblGrid>
      <w:tr>
        <w:trPr>
          <w:trHeight w:val="310" w:hRule="exact"/>
        </w:trPr>
        <w:tc>
          <w:tcPr>
            <w:tcW w:w="3001"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nil" w:sz="6" w:space="0" w:color="auto"/>
              <w:right w:val="nil" w:sz="6" w:space="0" w:color="auto"/>
            </w:tcBorders>
          </w:tcPr>
          <w:p>
            <w:pPr>
              <w:pStyle w:val="TableParagraph"/>
              <w:spacing w:line="180" w:lineRule="exact"/>
              <w:ind w:left="1171"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2155"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r>
        <w:trPr>
          <w:trHeight w:val="402" w:hRule="exact"/>
        </w:trPr>
        <w:tc>
          <w:tcPr>
            <w:tcW w:w="300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51" w:right="0"/>
              <w:jc w:val="left"/>
              <w:rPr>
                <w:rFonts w:ascii="宋体" w:hAnsi="宋体" w:cs="宋体" w:eastAsia="宋体" w:hint="default"/>
                <w:sz w:val="18"/>
                <w:szCs w:val="18"/>
              </w:rPr>
            </w:pPr>
            <w:r>
              <w:rPr>
                <w:rFonts w:ascii="宋体" w:hAnsi="宋体" w:cs="宋体" w:eastAsia="宋体" w:hint="default"/>
                <w:b/>
                <w:bCs/>
                <w:sz w:val="18"/>
                <w:szCs w:val="18"/>
              </w:rPr>
              <w:t>权益法下确认的投资损益</w:t>
            </w:r>
            <w:r>
              <w:rPr>
                <w:rFonts w:ascii="宋体" w:hAnsi="宋体" w:cs="宋体" w:eastAsia="宋体" w:hint="default"/>
                <w:sz w:val="18"/>
                <w:szCs w:val="18"/>
              </w:rPr>
            </w:r>
          </w:p>
        </w:tc>
        <w:tc>
          <w:tcPr>
            <w:tcW w:w="239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463"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sz w:val="18"/>
                <w:szCs w:val="18"/>
              </w:rPr>
            </w:r>
          </w:p>
        </w:tc>
        <w:tc>
          <w:tcPr>
            <w:tcW w:w="215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485"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sz w:val="18"/>
                <w:szCs w:val="18"/>
              </w:rPr>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85" w:right="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sz w:val="18"/>
                <w:szCs w:val="18"/>
              </w:rPr>
            </w:r>
          </w:p>
        </w:tc>
      </w:tr>
      <w:tr>
        <w:trPr>
          <w:trHeight w:val="498" w:hRule="exact"/>
        </w:trPr>
        <w:tc>
          <w:tcPr>
            <w:tcW w:w="300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272" w:right="0"/>
              <w:jc w:val="left"/>
              <w:rPr>
                <w:rFonts w:ascii="Times New Roman" w:hAnsi="Times New Roman" w:cs="Times New Roman" w:eastAsia="Times New Roman" w:hint="default"/>
                <w:sz w:val="18"/>
                <w:szCs w:val="18"/>
              </w:rPr>
            </w:pPr>
            <w:r>
              <w:rPr>
                <w:rFonts w:ascii="Times New Roman"/>
                <w:sz w:val="18"/>
              </w:rPr>
              <w:t>-3,783,243.63</w:t>
            </w:r>
          </w:p>
        </w:tc>
        <w:tc>
          <w:tcPr>
            <w:tcW w:w="2394" w:type="dxa"/>
            <w:tcBorders>
              <w:top w:val="single" w:sz="4" w:space="0" w:color="000000"/>
              <w:left w:val="nil" w:sz="6" w:space="0" w:color="auto"/>
              <w:bottom w:val="nil" w:sz="6" w:space="0" w:color="auto"/>
              <w:right w:val="nil" w:sz="6" w:space="0" w:color="auto"/>
            </w:tcBorders>
          </w:tcPr>
          <w:p>
            <w:pPr/>
          </w:p>
        </w:tc>
        <w:tc>
          <w:tcPr>
            <w:tcW w:w="2155" w:type="dxa"/>
            <w:tcBorders>
              <w:top w:val="single" w:sz="4" w:space="0" w:color="000000"/>
              <w:left w:val="nil" w:sz="6" w:space="0" w:color="auto"/>
              <w:bottom w:val="nil" w:sz="6" w:space="0" w:color="auto"/>
              <w:right w:val="nil" w:sz="6" w:space="0" w:color="auto"/>
            </w:tcBorders>
          </w:tcPr>
          <w:p>
            <w:pPr/>
          </w:p>
        </w:tc>
        <w:tc>
          <w:tcPr>
            <w:tcW w:w="1881" w:type="dxa"/>
            <w:tcBorders>
              <w:top w:val="single" w:sz="4" w:space="0" w:color="000000"/>
              <w:left w:val="nil" w:sz="6" w:space="0" w:color="auto"/>
              <w:bottom w:val="nil" w:sz="6" w:space="0" w:color="auto"/>
              <w:right w:val="nil" w:sz="6" w:space="0" w:color="auto"/>
            </w:tcBorders>
          </w:tcPr>
          <w:p>
            <w:pP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06" w:right="0"/>
              <w:jc w:val="left"/>
              <w:rPr>
                <w:rFonts w:ascii="Times New Roman" w:hAnsi="Times New Roman" w:cs="Times New Roman" w:eastAsia="Times New Roman" w:hint="default"/>
                <w:sz w:val="18"/>
                <w:szCs w:val="18"/>
              </w:rPr>
            </w:pPr>
            <w:r>
              <w:rPr>
                <w:rFonts w:ascii="Times New Roman"/>
                <w:sz w:val="18"/>
              </w:rPr>
              <w:t>-742,487.97</w:t>
            </w:r>
          </w:p>
        </w:tc>
        <w:tc>
          <w:tcPr>
            <w:tcW w:w="2394"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272" w:right="0"/>
              <w:jc w:val="left"/>
              <w:rPr>
                <w:rFonts w:ascii="Times New Roman" w:hAnsi="Times New Roman" w:cs="Times New Roman" w:eastAsia="Times New Roman" w:hint="default"/>
                <w:sz w:val="18"/>
                <w:szCs w:val="18"/>
              </w:rPr>
            </w:pPr>
            <w:r>
              <w:rPr>
                <w:rFonts w:ascii="Times New Roman"/>
                <w:sz w:val="18"/>
              </w:rPr>
              <w:t>-1,705,479.41</w:t>
            </w:r>
          </w:p>
        </w:tc>
        <w:tc>
          <w:tcPr>
            <w:tcW w:w="2394"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586" w:right="0"/>
              <w:jc w:val="left"/>
              <w:rPr>
                <w:rFonts w:ascii="Times New Roman" w:hAnsi="Times New Roman" w:cs="Times New Roman" w:eastAsia="Times New Roman" w:hint="default"/>
                <w:sz w:val="18"/>
                <w:szCs w:val="18"/>
              </w:rPr>
            </w:pPr>
            <w:r>
              <w:rPr>
                <w:rFonts w:ascii="Times New Roman"/>
                <w:sz w:val="18"/>
              </w:rPr>
              <w:t>-3,740.46</w:t>
            </w:r>
          </w:p>
        </w:tc>
        <w:tc>
          <w:tcPr>
            <w:tcW w:w="2394"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406" w:right="0"/>
              <w:jc w:val="left"/>
              <w:rPr>
                <w:rFonts w:ascii="Times New Roman" w:hAnsi="Times New Roman" w:cs="Times New Roman" w:eastAsia="Times New Roman" w:hint="default"/>
                <w:sz w:val="18"/>
                <w:szCs w:val="18"/>
              </w:rPr>
            </w:pPr>
            <w:r>
              <w:rPr>
                <w:rFonts w:ascii="Times New Roman"/>
                <w:sz w:val="18"/>
              </w:rPr>
              <w:t>-706,525.35</w:t>
            </w:r>
          </w:p>
        </w:tc>
        <w:tc>
          <w:tcPr>
            <w:tcW w:w="2394"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r>
        <w:trPr>
          <w:trHeight w:val="44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466" w:right="0"/>
              <w:jc w:val="left"/>
              <w:rPr>
                <w:rFonts w:ascii="Times New Roman" w:hAnsi="Times New Roman" w:cs="Times New Roman" w:eastAsia="Times New Roman" w:hint="default"/>
                <w:sz w:val="18"/>
                <w:szCs w:val="18"/>
              </w:rPr>
            </w:pPr>
            <w:r>
              <w:rPr>
                <w:rFonts w:ascii="Times New Roman"/>
                <w:sz w:val="18"/>
              </w:rPr>
              <w:t>200,038.74</w:t>
            </w:r>
          </w:p>
        </w:tc>
        <w:tc>
          <w:tcPr>
            <w:tcW w:w="2394"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r>
        <w:trPr>
          <w:trHeight w:val="310" w:hRule="exact"/>
        </w:trPr>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42" w:right="0"/>
              <w:jc w:val="left"/>
              <w:rPr>
                <w:rFonts w:ascii="Times New Roman" w:hAnsi="Times New Roman" w:cs="Times New Roman" w:eastAsia="Times New Roman" w:hint="default"/>
                <w:sz w:val="18"/>
                <w:szCs w:val="18"/>
              </w:rPr>
            </w:pPr>
            <w:r>
              <w:rPr>
                <w:rFonts w:ascii="Times New Roman"/>
                <w:sz w:val="18"/>
              </w:rPr>
              <w:t>29,536,146.26</w:t>
            </w:r>
          </w:p>
        </w:tc>
        <w:tc>
          <w:tcPr>
            <w:tcW w:w="2394" w:type="dxa"/>
            <w:tcBorders>
              <w:top w:val="nil" w:sz="6" w:space="0" w:color="auto"/>
              <w:left w:val="nil" w:sz="6" w:space="0" w:color="auto"/>
              <w:bottom w:val="nil" w:sz="6" w:space="0" w:color="auto"/>
              <w:right w:val="nil" w:sz="6" w:space="0" w:color="auto"/>
            </w:tcBorders>
          </w:tcPr>
          <w:p>
            <w:pPr/>
          </w:p>
        </w:tc>
        <w:tc>
          <w:tcPr>
            <w:tcW w:w="2155"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780" w:bottom="84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6"/>
        <w:spacing w:line="240" w:lineRule="auto" w:before="44"/>
        <w:ind w:left="144" w:right="0"/>
        <w:jc w:val="center"/>
        <w:rPr>
          <w:b w:val="0"/>
          <w:bCs w:val="0"/>
        </w:rPr>
      </w:pPr>
      <w:r>
        <w:rPr/>
        <w:t>本期增减变动</w:t>
      </w:r>
      <w:r>
        <w:rPr>
          <w:b w:val="0"/>
          <w:bCs w:val="0"/>
        </w:rPr>
      </w:r>
    </w:p>
    <w:p>
      <w:pPr>
        <w:spacing w:line="240" w:lineRule="auto" w:before="12"/>
        <w:rPr>
          <w:rFonts w:ascii="宋体" w:hAnsi="宋体" w:cs="宋体" w:eastAsia="宋体" w:hint="default"/>
          <w:b/>
          <w:bCs/>
          <w:sz w:val="19"/>
          <w:szCs w:val="19"/>
        </w:rPr>
      </w:pPr>
    </w:p>
    <w:tbl>
      <w:tblPr>
        <w:tblW w:w="0" w:type="auto"/>
        <w:jc w:val="left"/>
        <w:tblInd w:w="1310" w:type="dxa"/>
        <w:tblLayout w:type="fixed"/>
        <w:tblCellMar>
          <w:top w:w="0" w:type="dxa"/>
          <w:left w:w="0" w:type="dxa"/>
          <w:bottom w:w="0" w:type="dxa"/>
          <w:right w:w="0" w:type="dxa"/>
        </w:tblCellMar>
        <w:tblLook w:val="01E0"/>
      </w:tblPr>
      <w:tblGrid>
        <w:gridCol w:w="3001"/>
        <w:gridCol w:w="2394"/>
        <w:gridCol w:w="2155"/>
        <w:gridCol w:w="1881"/>
      </w:tblGrid>
      <w:tr>
        <w:trPr>
          <w:trHeight w:val="271" w:hRule="exact"/>
        </w:trPr>
        <w:tc>
          <w:tcPr>
            <w:tcW w:w="3001" w:type="dxa"/>
            <w:tcBorders>
              <w:top w:val="nil" w:sz="6" w:space="0" w:color="auto"/>
              <w:left w:val="nil" w:sz="6" w:space="0" w:color="auto"/>
              <w:bottom w:val="single" w:sz="4" w:space="0" w:color="000000"/>
              <w:right w:val="nil" w:sz="6" w:space="0" w:color="auto"/>
            </w:tcBorders>
          </w:tcPr>
          <w:p>
            <w:pPr>
              <w:pStyle w:val="TableParagraph"/>
              <w:spacing w:line="180" w:lineRule="exact"/>
              <w:ind w:left="551" w:right="0"/>
              <w:jc w:val="left"/>
              <w:rPr>
                <w:rFonts w:ascii="宋体" w:hAnsi="宋体" w:cs="宋体" w:eastAsia="宋体" w:hint="default"/>
                <w:sz w:val="18"/>
                <w:szCs w:val="18"/>
              </w:rPr>
            </w:pPr>
            <w:r>
              <w:rPr>
                <w:rFonts w:ascii="宋体" w:hAnsi="宋体" w:cs="宋体" w:eastAsia="宋体" w:hint="default"/>
                <w:b/>
                <w:bCs/>
                <w:sz w:val="18"/>
                <w:szCs w:val="18"/>
              </w:rPr>
              <w:t>权益法下确认的投资损益</w:t>
            </w:r>
            <w:r>
              <w:rPr>
                <w:rFonts w:ascii="宋体" w:hAnsi="宋体" w:cs="宋体" w:eastAsia="宋体" w:hint="default"/>
                <w:sz w:val="18"/>
                <w:szCs w:val="18"/>
              </w:rPr>
            </w:r>
          </w:p>
        </w:tc>
        <w:tc>
          <w:tcPr>
            <w:tcW w:w="2394" w:type="dxa"/>
            <w:tcBorders>
              <w:top w:val="nil" w:sz="6" w:space="0" w:color="auto"/>
              <w:left w:val="nil" w:sz="6" w:space="0" w:color="auto"/>
              <w:bottom w:val="single" w:sz="4" w:space="0" w:color="000000"/>
              <w:right w:val="nil" w:sz="6" w:space="0" w:color="auto"/>
            </w:tcBorders>
          </w:tcPr>
          <w:p>
            <w:pPr>
              <w:pStyle w:val="TableParagraph"/>
              <w:spacing w:line="180"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sz w:val="18"/>
                <w:szCs w:val="18"/>
              </w:rPr>
            </w:r>
          </w:p>
        </w:tc>
        <w:tc>
          <w:tcPr>
            <w:tcW w:w="2155" w:type="dxa"/>
            <w:tcBorders>
              <w:top w:val="nil" w:sz="6" w:space="0" w:color="auto"/>
              <w:left w:val="nil" w:sz="6" w:space="0" w:color="auto"/>
              <w:bottom w:val="single" w:sz="4" w:space="0" w:color="000000"/>
              <w:right w:val="nil" w:sz="6" w:space="0" w:color="auto"/>
            </w:tcBorders>
          </w:tcPr>
          <w:p>
            <w:pPr>
              <w:pStyle w:val="TableParagraph"/>
              <w:spacing w:line="180" w:lineRule="exact"/>
              <w:ind w:left="485"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sz w:val="18"/>
                <w:szCs w:val="18"/>
              </w:rPr>
            </w:r>
          </w:p>
        </w:tc>
        <w:tc>
          <w:tcPr>
            <w:tcW w:w="1881" w:type="dxa"/>
            <w:tcBorders>
              <w:top w:val="nil" w:sz="6" w:space="0" w:color="auto"/>
              <w:left w:val="nil" w:sz="6" w:space="0" w:color="auto"/>
              <w:bottom w:val="single" w:sz="4" w:space="0" w:color="000000"/>
              <w:right w:val="nil" w:sz="6" w:space="0" w:color="auto"/>
            </w:tcBorders>
          </w:tcPr>
          <w:p>
            <w:pPr>
              <w:pStyle w:val="TableParagraph"/>
              <w:spacing w:line="180"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sz w:val="18"/>
                <w:szCs w:val="18"/>
              </w:rPr>
            </w:r>
          </w:p>
        </w:tc>
      </w:tr>
      <w:tr>
        <w:trPr>
          <w:trHeight w:val="369" w:hRule="exact"/>
        </w:trPr>
        <w:tc>
          <w:tcPr>
            <w:tcW w:w="300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24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22,794,708.18</w:t>
            </w:r>
            <w:r>
              <w:rPr>
                <w:rFonts w:ascii="Times New Roman"/>
                <w:sz w:val="18"/>
              </w:rPr>
            </w:r>
          </w:p>
        </w:tc>
        <w:tc>
          <w:tcPr>
            <w:tcW w:w="2394" w:type="dxa"/>
            <w:tcBorders>
              <w:top w:val="single" w:sz="4" w:space="0" w:color="000000"/>
              <w:left w:val="nil" w:sz="6" w:space="0" w:color="auto"/>
              <w:bottom w:val="nil" w:sz="6" w:space="0" w:color="auto"/>
              <w:right w:val="nil" w:sz="6" w:space="0" w:color="auto"/>
            </w:tcBorders>
          </w:tcPr>
          <w:p>
            <w:pPr/>
          </w:p>
        </w:tc>
        <w:tc>
          <w:tcPr>
            <w:tcW w:w="2155" w:type="dxa"/>
            <w:tcBorders>
              <w:top w:val="single" w:sz="4" w:space="0" w:color="000000"/>
              <w:left w:val="nil" w:sz="6" w:space="0" w:color="auto"/>
              <w:bottom w:val="nil" w:sz="6" w:space="0" w:color="auto"/>
              <w:right w:val="nil" w:sz="6" w:space="0" w:color="auto"/>
            </w:tcBorders>
          </w:tcPr>
          <w:p>
            <w:pPr/>
          </w:p>
        </w:tc>
        <w:tc>
          <w:tcPr>
            <w:tcW w:w="1881" w:type="dxa"/>
            <w:tcBorders>
              <w:top w:val="single" w:sz="4" w:space="0" w:color="000000"/>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b/>
          <w:bCs/>
          <w:sz w:val="29"/>
          <w:szCs w:val="29"/>
        </w:rPr>
      </w:pPr>
    </w:p>
    <w:p>
      <w:pPr>
        <w:pStyle w:val="BodyText"/>
        <w:spacing w:line="240" w:lineRule="auto" w:before="44"/>
        <w:ind w:right="1117"/>
        <w:jc w:val="left"/>
      </w:pPr>
      <w:r>
        <w:rPr/>
        <w:t>接上表：</w:t>
      </w:r>
    </w:p>
    <w:p>
      <w:pPr>
        <w:spacing w:line="240" w:lineRule="auto" w:before="10"/>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2510"/>
        <w:gridCol w:w="4281"/>
        <w:gridCol w:w="2640"/>
      </w:tblGrid>
      <w:tr>
        <w:trPr>
          <w:trHeight w:val="200" w:hRule="exact"/>
        </w:trPr>
        <w:tc>
          <w:tcPr>
            <w:tcW w:w="9431"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634"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220" w:hRule="exact"/>
        </w:trPr>
        <w:tc>
          <w:tcPr>
            <w:tcW w:w="2510" w:type="dxa"/>
            <w:tcBorders>
              <w:top w:val="nil" w:sz="6" w:space="0" w:color="auto"/>
              <w:left w:val="nil" w:sz="6" w:space="0" w:color="auto"/>
              <w:bottom w:val="nil" w:sz="6" w:space="0" w:color="auto"/>
              <w:right w:val="nil" w:sz="6" w:space="0" w:color="auto"/>
            </w:tcBorders>
          </w:tcPr>
          <w:p>
            <w:pPr/>
          </w:p>
        </w:tc>
        <w:tc>
          <w:tcPr>
            <w:tcW w:w="4281" w:type="dxa"/>
            <w:tcBorders>
              <w:top w:val="nil" w:sz="6" w:space="0" w:color="auto"/>
              <w:left w:val="nil" w:sz="6" w:space="0" w:color="auto"/>
              <w:bottom w:val="nil" w:sz="6" w:space="0" w:color="auto"/>
              <w:right w:val="nil" w:sz="6" w:space="0" w:color="auto"/>
            </w:tcBorders>
          </w:tcPr>
          <w:p>
            <w:pPr>
              <w:pStyle w:val="TableParagraph"/>
              <w:spacing w:line="200" w:lineRule="exact"/>
              <w:ind w:left="274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40" w:type="dxa"/>
            <w:tcBorders>
              <w:top w:val="nil" w:sz="6" w:space="0" w:color="auto"/>
              <w:left w:val="nil" w:sz="6" w:space="0" w:color="auto"/>
              <w:bottom w:val="nil" w:sz="6" w:space="0" w:color="auto"/>
              <w:right w:val="nil" w:sz="6" w:space="0" w:color="auto"/>
            </w:tcBorders>
          </w:tcPr>
          <w:p>
            <w:pPr>
              <w:pStyle w:val="TableParagraph"/>
              <w:spacing w:line="200" w:lineRule="exact"/>
              <w:ind w:left="817" w:right="0"/>
              <w:jc w:val="left"/>
              <w:rPr>
                <w:rFonts w:ascii="宋体" w:hAnsi="宋体" w:cs="宋体" w:eastAsia="宋体" w:hint="default"/>
                <w:sz w:val="18"/>
                <w:szCs w:val="18"/>
              </w:rPr>
            </w:pPr>
            <w:r>
              <w:rPr>
                <w:rFonts w:ascii="宋体" w:hAnsi="宋体" w:cs="宋体" w:eastAsia="宋体" w:hint="default"/>
                <w:b/>
                <w:bCs/>
                <w:sz w:val="18"/>
                <w:szCs w:val="18"/>
              </w:rPr>
              <w:t>资产减值准备</w:t>
            </w:r>
            <w:r>
              <w:rPr>
                <w:rFonts w:ascii="宋体" w:hAnsi="宋体" w:cs="宋体" w:eastAsia="宋体" w:hint="default"/>
                <w:sz w:val="18"/>
                <w:szCs w:val="18"/>
              </w:rPr>
            </w:r>
          </w:p>
        </w:tc>
      </w:tr>
      <w:tr>
        <w:trPr>
          <w:trHeight w:val="292" w:hRule="exact"/>
        </w:trPr>
        <w:tc>
          <w:tcPr>
            <w:tcW w:w="2510" w:type="dxa"/>
            <w:tcBorders>
              <w:top w:val="nil" w:sz="6" w:space="0" w:color="auto"/>
              <w:left w:val="nil" w:sz="6" w:space="0" w:color="auto"/>
              <w:bottom w:val="single" w:sz="4" w:space="0" w:color="000000"/>
              <w:right w:val="nil" w:sz="6" w:space="0" w:color="auto"/>
            </w:tcBorders>
          </w:tcPr>
          <w:p>
            <w:pPr>
              <w:pStyle w:val="TableParagraph"/>
              <w:spacing w:line="200" w:lineRule="exact"/>
              <w:ind w:left="428"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sz w:val="18"/>
                <w:szCs w:val="18"/>
              </w:rPr>
            </w:r>
          </w:p>
        </w:tc>
        <w:tc>
          <w:tcPr>
            <w:tcW w:w="4281" w:type="dxa"/>
            <w:tcBorders>
              <w:top w:val="nil" w:sz="6" w:space="0" w:color="auto"/>
              <w:left w:val="nil" w:sz="6" w:space="0" w:color="auto"/>
              <w:bottom w:val="single" w:sz="4" w:space="0" w:color="000000"/>
              <w:right w:val="nil" w:sz="6" w:space="0" w:color="auto"/>
            </w:tcBorders>
          </w:tcPr>
          <w:p>
            <w:pPr>
              <w:pStyle w:val="TableParagraph"/>
              <w:spacing w:line="200" w:lineRule="exact"/>
              <w:ind w:left="63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2640" w:type="dxa"/>
            <w:tcBorders>
              <w:top w:val="nil" w:sz="6" w:space="0" w:color="auto"/>
              <w:left w:val="nil" w:sz="6" w:space="0" w:color="auto"/>
              <w:bottom w:val="single" w:sz="4" w:space="0" w:color="000000"/>
              <w:right w:val="nil" w:sz="6" w:space="0" w:color="auto"/>
            </w:tcBorders>
          </w:tcPr>
          <w:p>
            <w:pPr/>
          </w:p>
        </w:tc>
      </w:tr>
      <w:tr>
        <w:trPr>
          <w:trHeight w:val="498" w:hRule="exact"/>
        </w:trPr>
        <w:tc>
          <w:tcPr>
            <w:tcW w:w="2510" w:type="dxa"/>
            <w:tcBorders>
              <w:top w:val="single" w:sz="4" w:space="0" w:color="000000"/>
              <w:left w:val="nil" w:sz="6" w:space="0" w:color="auto"/>
              <w:bottom w:val="nil" w:sz="6" w:space="0" w:color="auto"/>
              <w:right w:val="nil" w:sz="6" w:space="0" w:color="auto"/>
            </w:tcBorders>
          </w:tcPr>
          <w:p>
            <w:pPr/>
          </w:p>
        </w:tc>
        <w:tc>
          <w:tcPr>
            <w:tcW w:w="428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43"/>
              <w:jc w:val="right"/>
              <w:rPr>
                <w:rFonts w:ascii="Times New Roman" w:hAnsi="Times New Roman" w:cs="Times New Roman" w:eastAsia="Times New Roman" w:hint="default"/>
                <w:sz w:val="18"/>
                <w:szCs w:val="18"/>
              </w:rPr>
            </w:pPr>
            <w:r>
              <w:rPr>
                <w:rFonts w:ascii="Times New Roman"/>
                <w:spacing w:val="-1"/>
                <w:sz w:val="18"/>
              </w:rPr>
              <w:t>163,691,119.89</w:t>
            </w:r>
          </w:p>
        </w:tc>
        <w:tc>
          <w:tcPr>
            <w:tcW w:w="2640"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510" w:type="dxa"/>
            <w:tcBorders>
              <w:top w:val="nil" w:sz="6" w:space="0" w:color="auto"/>
              <w:left w:val="nil" w:sz="6" w:space="0" w:color="auto"/>
              <w:bottom w:val="nil" w:sz="6" w:space="0" w:color="auto"/>
              <w:right w:val="nil" w:sz="6" w:space="0" w:color="auto"/>
            </w:tcBorders>
          </w:tcPr>
          <w:p>
            <w:pPr/>
          </w:p>
        </w:tc>
        <w:tc>
          <w:tcPr>
            <w:tcW w:w="428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3"/>
              <w:jc w:val="right"/>
              <w:rPr>
                <w:rFonts w:ascii="Times New Roman" w:hAnsi="Times New Roman" w:cs="Times New Roman" w:eastAsia="Times New Roman" w:hint="default"/>
                <w:sz w:val="18"/>
                <w:szCs w:val="18"/>
              </w:rPr>
            </w:pPr>
            <w:r>
              <w:rPr>
                <w:rFonts w:ascii="Times New Roman"/>
                <w:spacing w:val="-1"/>
                <w:sz w:val="18"/>
              </w:rPr>
              <w:t>29,257,512.03</w:t>
            </w:r>
          </w:p>
        </w:tc>
        <w:tc>
          <w:tcPr>
            <w:tcW w:w="2640" w:type="dxa"/>
            <w:tcBorders>
              <w:top w:val="nil" w:sz="6" w:space="0" w:color="auto"/>
              <w:left w:val="nil" w:sz="6" w:space="0" w:color="auto"/>
              <w:bottom w:val="nil" w:sz="6" w:space="0" w:color="auto"/>
              <w:right w:val="nil" w:sz="6" w:space="0" w:color="auto"/>
            </w:tcBorders>
          </w:tcPr>
          <w:p>
            <w:pPr/>
          </w:p>
        </w:tc>
      </w:tr>
      <w:tr>
        <w:trPr>
          <w:trHeight w:val="440" w:hRule="exact"/>
        </w:trPr>
        <w:tc>
          <w:tcPr>
            <w:tcW w:w="2510" w:type="dxa"/>
            <w:tcBorders>
              <w:top w:val="nil" w:sz="6" w:space="0" w:color="auto"/>
              <w:left w:val="nil" w:sz="6" w:space="0" w:color="auto"/>
              <w:bottom w:val="nil" w:sz="6" w:space="0" w:color="auto"/>
              <w:right w:val="nil" w:sz="6" w:space="0" w:color="auto"/>
            </w:tcBorders>
          </w:tcPr>
          <w:p>
            <w:pPr/>
          </w:p>
        </w:tc>
        <w:tc>
          <w:tcPr>
            <w:tcW w:w="428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3"/>
              <w:jc w:val="right"/>
              <w:rPr>
                <w:rFonts w:ascii="Times New Roman" w:hAnsi="Times New Roman" w:cs="Times New Roman" w:eastAsia="Times New Roman" w:hint="default"/>
                <w:sz w:val="18"/>
                <w:szCs w:val="18"/>
              </w:rPr>
            </w:pPr>
            <w:r>
              <w:rPr>
                <w:rFonts w:ascii="Times New Roman"/>
                <w:spacing w:val="-1"/>
                <w:sz w:val="18"/>
              </w:rPr>
              <w:t>5,092,343.26</w:t>
            </w:r>
          </w:p>
        </w:tc>
        <w:tc>
          <w:tcPr>
            <w:tcW w:w="2640" w:type="dxa"/>
            <w:tcBorders>
              <w:top w:val="nil" w:sz="6" w:space="0" w:color="auto"/>
              <w:left w:val="nil" w:sz="6" w:space="0" w:color="auto"/>
              <w:bottom w:val="nil" w:sz="6" w:space="0" w:color="auto"/>
              <w:right w:val="nil" w:sz="6" w:space="0" w:color="auto"/>
            </w:tcBorders>
          </w:tcPr>
          <w:p>
            <w:pPr/>
          </w:p>
        </w:tc>
      </w:tr>
      <w:tr>
        <w:trPr>
          <w:trHeight w:val="440" w:hRule="exact"/>
        </w:trPr>
        <w:tc>
          <w:tcPr>
            <w:tcW w:w="2510" w:type="dxa"/>
            <w:tcBorders>
              <w:top w:val="nil" w:sz="6" w:space="0" w:color="auto"/>
              <w:left w:val="nil" w:sz="6" w:space="0" w:color="auto"/>
              <w:bottom w:val="nil" w:sz="6" w:space="0" w:color="auto"/>
              <w:right w:val="nil" w:sz="6" w:space="0" w:color="auto"/>
            </w:tcBorders>
          </w:tcPr>
          <w:p>
            <w:pPr/>
          </w:p>
        </w:tc>
        <w:tc>
          <w:tcPr>
            <w:tcW w:w="428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3"/>
              <w:jc w:val="right"/>
              <w:rPr>
                <w:rFonts w:ascii="Times New Roman" w:hAnsi="Times New Roman" w:cs="Times New Roman" w:eastAsia="Times New Roman" w:hint="default"/>
                <w:sz w:val="18"/>
                <w:szCs w:val="18"/>
              </w:rPr>
            </w:pPr>
            <w:r>
              <w:rPr>
                <w:rFonts w:ascii="Times New Roman"/>
                <w:spacing w:val="-1"/>
                <w:sz w:val="18"/>
              </w:rPr>
              <w:t>2,538,995.44</w:t>
            </w:r>
          </w:p>
        </w:tc>
        <w:tc>
          <w:tcPr>
            <w:tcW w:w="2640" w:type="dxa"/>
            <w:tcBorders>
              <w:top w:val="nil" w:sz="6" w:space="0" w:color="auto"/>
              <w:left w:val="nil" w:sz="6" w:space="0" w:color="auto"/>
              <w:bottom w:val="nil" w:sz="6" w:space="0" w:color="auto"/>
              <w:right w:val="nil" w:sz="6" w:space="0" w:color="auto"/>
            </w:tcBorders>
          </w:tcPr>
          <w:p>
            <w:pPr/>
          </w:p>
        </w:tc>
      </w:tr>
      <w:tr>
        <w:trPr>
          <w:trHeight w:val="660" w:hRule="exact"/>
        </w:trPr>
        <w:tc>
          <w:tcPr>
            <w:tcW w:w="2510" w:type="dxa"/>
            <w:tcBorders>
              <w:top w:val="nil" w:sz="6" w:space="0" w:color="auto"/>
              <w:left w:val="nil" w:sz="6" w:space="0" w:color="auto"/>
              <w:bottom w:val="nil" w:sz="6" w:space="0" w:color="auto"/>
              <w:right w:val="nil" w:sz="6" w:space="0" w:color="auto"/>
            </w:tcBorders>
          </w:tcPr>
          <w:p>
            <w:pPr/>
          </w:p>
        </w:tc>
        <w:tc>
          <w:tcPr>
            <w:tcW w:w="428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3"/>
              <w:jc w:val="right"/>
              <w:rPr>
                <w:rFonts w:ascii="Times New Roman" w:hAnsi="Times New Roman" w:cs="Times New Roman" w:eastAsia="Times New Roman" w:hint="default"/>
                <w:sz w:val="18"/>
                <w:szCs w:val="18"/>
              </w:rPr>
            </w:pPr>
            <w:r>
              <w:rPr>
                <w:rFonts w:ascii="Times New Roman"/>
                <w:spacing w:val="-1"/>
                <w:sz w:val="18"/>
              </w:rPr>
              <w:t>19,293,474.65</w:t>
            </w:r>
          </w:p>
        </w:tc>
        <w:tc>
          <w:tcPr>
            <w:tcW w:w="2640" w:type="dxa"/>
            <w:tcBorders>
              <w:top w:val="nil" w:sz="6" w:space="0" w:color="auto"/>
              <w:left w:val="nil" w:sz="6" w:space="0" w:color="auto"/>
              <w:bottom w:val="nil" w:sz="6" w:space="0" w:color="auto"/>
              <w:right w:val="nil" w:sz="6" w:space="0" w:color="auto"/>
            </w:tcBorders>
          </w:tcPr>
          <w:p>
            <w:pPr/>
          </w:p>
        </w:tc>
      </w:tr>
      <w:tr>
        <w:trPr>
          <w:trHeight w:val="660" w:hRule="exact"/>
        </w:trPr>
        <w:tc>
          <w:tcPr>
            <w:tcW w:w="2510" w:type="dxa"/>
            <w:tcBorders>
              <w:top w:val="nil" w:sz="6" w:space="0" w:color="auto"/>
              <w:left w:val="nil" w:sz="6" w:space="0" w:color="auto"/>
              <w:bottom w:val="nil" w:sz="6" w:space="0" w:color="auto"/>
              <w:right w:val="nil" w:sz="6" w:space="0" w:color="auto"/>
            </w:tcBorders>
          </w:tcPr>
          <w:p>
            <w:pPr/>
          </w:p>
        </w:tc>
        <w:tc>
          <w:tcPr>
            <w:tcW w:w="42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pacing w:val="-1"/>
                <w:sz w:val="18"/>
              </w:rPr>
              <w:t>34,536,146.26</w:t>
            </w:r>
          </w:p>
        </w:tc>
        <w:tc>
          <w:tcPr>
            <w:tcW w:w="2640" w:type="dxa"/>
            <w:tcBorders>
              <w:top w:val="nil" w:sz="6" w:space="0" w:color="auto"/>
              <w:left w:val="nil" w:sz="6" w:space="0" w:color="auto"/>
              <w:bottom w:val="nil" w:sz="6" w:space="0" w:color="auto"/>
              <w:right w:val="nil" w:sz="6" w:space="0" w:color="auto"/>
            </w:tcBorders>
          </w:tcPr>
          <w:p>
            <w:pPr/>
          </w:p>
        </w:tc>
      </w:tr>
      <w:tr>
        <w:trPr>
          <w:trHeight w:val="440" w:hRule="exact"/>
        </w:trPr>
        <w:tc>
          <w:tcPr>
            <w:tcW w:w="2510" w:type="dxa"/>
            <w:tcBorders>
              <w:top w:val="nil" w:sz="6" w:space="0" w:color="auto"/>
              <w:left w:val="nil" w:sz="6" w:space="0" w:color="auto"/>
              <w:bottom w:val="nil" w:sz="6" w:space="0" w:color="auto"/>
              <w:right w:val="nil" w:sz="6" w:space="0" w:color="auto"/>
            </w:tcBorders>
          </w:tcPr>
          <w:p>
            <w:pPr/>
          </w:p>
        </w:tc>
        <w:tc>
          <w:tcPr>
            <w:tcW w:w="428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3"/>
              <w:jc w:val="right"/>
              <w:rPr>
                <w:rFonts w:ascii="Times New Roman" w:hAnsi="Times New Roman" w:cs="Times New Roman" w:eastAsia="Times New Roman" w:hint="default"/>
                <w:sz w:val="18"/>
                <w:szCs w:val="18"/>
              </w:rPr>
            </w:pPr>
            <w:r>
              <w:rPr>
                <w:rFonts w:ascii="Times New Roman"/>
                <w:spacing w:val="-1"/>
                <w:sz w:val="18"/>
              </w:rPr>
              <w:t>1,500,000.00</w:t>
            </w:r>
          </w:p>
        </w:tc>
        <w:tc>
          <w:tcPr>
            <w:tcW w:w="2640" w:type="dxa"/>
            <w:tcBorders>
              <w:top w:val="nil" w:sz="6" w:space="0" w:color="auto"/>
              <w:left w:val="nil" w:sz="6" w:space="0" w:color="auto"/>
              <w:bottom w:val="nil" w:sz="6" w:space="0" w:color="auto"/>
              <w:right w:val="nil" w:sz="6" w:space="0" w:color="auto"/>
            </w:tcBorders>
          </w:tcPr>
          <w:p>
            <w:pPr/>
          </w:p>
        </w:tc>
      </w:tr>
      <w:tr>
        <w:trPr>
          <w:trHeight w:val="310" w:hRule="exact"/>
        </w:trPr>
        <w:tc>
          <w:tcPr>
            <w:tcW w:w="2510" w:type="dxa"/>
            <w:tcBorders>
              <w:top w:val="nil" w:sz="6" w:space="0" w:color="auto"/>
              <w:left w:val="nil" w:sz="6" w:space="0" w:color="auto"/>
              <w:bottom w:val="nil" w:sz="6" w:space="0" w:color="auto"/>
              <w:right w:val="nil" w:sz="6" w:space="0" w:color="auto"/>
            </w:tcBorders>
          </w:tcPr>
          <w:p>
            <w:pPr/>
          </w:p>
        </w:tc>
        <w:tc>
          <w:tcPr>
            <w:tcW w:w="428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255,909,591.53</w:t>
            </w:r>
            <w:r>
              <w:rPr>
                <w:rFonts w:ascii="Times New Roman"/>
                <w:spacing w:val="-1"/>
                <w:sz w:val="18"/>
              </w:rPr>
            </w:r>
          </w:p>
        </w:tc>
        <w:tc>
          <w:tcPr>
            <w:tcW w:w="2640"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1"/>
          <w:szCs w:val="11"/>
        </w:rPr>
      </w:pPr>
    </w:p>
    <w:p>
      <w:pPr>
        <w:pStyle w:val="BodyText"/>
        <w:spacing w:line="240" w:lineRule="auto" w:before="44"/>
        <w:ind w:right="1117"/>
        <w:jc w:val="left"/>
      </w:pPr>
      <w:bookmarkStart w:name="10.投资性房地产" w:id="202"/>
      <w:bookmarkEnd w:id="202"/>
      <w:r>
        <w:rPr/>
      </w:r>
      <w:r>
        <w:rPr>
          <w:rFonts w:ascii="Times New Roman" w:hAnsi="Times New Roman" w:cs="Times New Roman" w:eastAsia="Times New Roman" w:hint="default"/>
        </w:rPr>
        <w:t>10.</w:t>
      </w:r>
      <w:r>
        <w:rPr/>
        <w:t>投资性房地产</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）成本法计量的投资性房地产</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009"/>
        <w:gridCol w:w="3667"/>
        <w:gridCol w:w="2755"/>
      </w:tblGrid>
      <w:tr>
        <w:trPr>
          <w:trHeight w:val="276" w:hRule="exact"/>
        </w:trPr>
        <w:tc>
          <w:tcPr>
            <w:tcW w:w="3009" w:type="dxa"/>
            <w:tcBorders>
              <w:top w:val="nil" w:sz="6" w:space="0" w:color="auto"/>
              <w:left w:val="nil" w:sz="6" w:space="0" w:color="auto"/>
              <w:bottom w:val="single" w:sz="8" w:space="0" w:color="000000"/>
              <w:right w:val="nil" w:sz="6" w:space="0" w:color="auto"/>
            </w:tcBorders>
          </w:tcPr>
          <w:p>
            <w:pPr>
              <w:pStyle w:val="TableParagraph"/>
              <w:spacing w:line="180" w:lineRule="exact"/>
              <w:ind w:left="13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667" w:type="dxa"/>
            <w:tcBorders>
              <w:top w:val="nil" w:sz="6" w:space="0" w:color="auto"/>
              <w:left w:val="nil" w:sz="6" w:space="0" w:color="auto"/>
              <w:bottom w:val="single" w:sz="8" w:space="0" w:color="000000"/>
              <w:right w:val="nil" w:sz="6" w:space="0" w:color="auto"/>
            </w:tcBorders>
          </w:tcPr>
          <w:p>
            <w:pPr>
              <w:pStyle w:val="TableParagraph"/>
              <w:spacing w:line="180" w:lineRule="exact"/>
              <w:ind w:left="1165"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2755" w:type="dxa"/>
            <w:tcBorders>
              <w:top w:val="nil" w:sz="6" w:space="0" w:color="auto"/>
              <w:left w:val="nil" w:sz="6" w:space="0" w:color="auto"/>
              <w:bottom w:val="single" w:sz="8" w:space="0" w:color="000000"/>
              <w:right w:val="nil" w:sz="6" w:space="0" w:color="auto"/>
            </w:tcBorders>
          </w:tcPr>
          <w:p>
            <w:pPr>
              <w:pStyle w:val="TableParagraph"/>
              <w:spacing w:line="180" w:lineRule="exact"/>
              <w:ind w:right="384"/>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4" w:hRule="exact"/>
        </w:trPr>
        <w:tc>
          <w:tcPr>
            <w:tcW w:w="3009"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667" w:type="dxa"/>
            <w:tcBorders>
              <w:top w:val="single" w:sz="8" w:space="0" w:color="000000"/>
              <w:left w:val="nil" w:sz="6" w:space="0" w:color="auto"/>
              <w:bottom w:val="nil" w:sz="6" w:space="0" w:color="auto"/>
              <w:right w:val="nil" w:sz="6" w:space="0" w:color="auto"/>
            </w:tcBorders>
          </w:tcPr>
          <w:p>
            <w:pPr/>
          </w:p>
        </w:tc>
        <w:tc>
          <w:tcPr>
            <w:tcW w:w="2755" w:type="dxa"/>
            <w:tcBorders>
              <w:top w:val="single" w:sz="8" w:space="0" w:color="000000"/>
              <w:left w:val="nil" w:sz="6" w:space="0" w:color="auto"/>
              <w:bottom w:val="nil" w:sz="6" w:space="0" w:color="auto"/>
              <w:right w:val="nil" w:sz="6" w:space="0" w:color="auto"/>
            </w:tcBorders>
          </w:tcPr>
          <w:p>
            <w:pPr/>
          </w:p>
        </w:tc>
      </w:tr>
      <w:tr>
        <w:trPr>
          <w:trHeight w:val="44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01"/>
              <w:jc w:val="right"/>
              <w:rPr>
                <w:rFonts w:ascii="Times New Roman" w:hAnsi="Times New Roman" w:cs="Times New Roman" w:eastAsia="Times New Roman" w:hint="default"/>
                <w:sz w:val="18"/>
                <w:szCs w:val="18"/>
              </w:rPr>
            </w:pPr>
            <w:r>
              <w:rPr>
                <w:rFonts w:ascii="Times New Roman"/>
                <w:spacing w:val="-1"/>
                <w:sz w:val="18"/>
              </w:rPr>
              <w:t>4,779,427.65</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4,779,427.65</w:t>
            </w:r>
            <w:r>
              <w:rPr>
                <w:rFonts w:ascii="Times New Roman"/>
                <w:spacing w:val="-1"/>
                <w:sz w:val="18"/>
              </w:rPr>
            </w: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1"/>
              <w:jc w:val="right"/>
              <w:rPr>
                <w:rFonts w:ascii="Times New Roman" w:hAnsi="Times New Roman" w:cs="Times New Roman" w:eastAsia="Times New Roman" w:hint="default"/>
                <w:sz w:val="18"/>
                <w:szCs w:val="18"/>
              </w:rPr>
            </w:pPr>
            <w:r>
              <w:rPr>
                <w:rFonts w:ascii="Times New Roman"/>
                <w:spacing w:val="-1"/>
                <w:sz w:val="18"/>
              </w:rPr>
              <w:t>5,426,310.91</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5,426,310.91</w:t>
            </w:r>
            <w:r>
              <w:rPr>
                <w:rFonts w:ascii="Times New Roman"/>
                <w:spacing w:val="-1"/>
                <w:sz w:val="18"/>
              </w:rPr>
            </w: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）固定资产转入</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1"/>
              <w:jc w:val="right"/>
              <w:rPr>
                <w:rFonts w:ascii="Times New Roman" w:hAnsi="Times New Roman" w:cs="Times New Roman" w:eastAsia="Times New Roman" w:hint="default"/>
                <w:sz w:val="18"/>
                <w:szCs w:val="18"/>
              </w:rPr>
            </w:pPr>
            <w:r>
              <w:rPr>
                <w:rFonts w:ascii="Times New Roman"/>
                <w:spacing w:val="-1"/>
                <w:sz w:val="18"/>
              </w:rPr>
              <w:t>5,426,310.91</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5,426,310.91</w:t>
            </w:r>
            <w:r>
              <w:rPr>
                <w:rFonts w:ascii="Times New Roman"/>
                <w:spacing w:val="-1"/>
                <w:sz w:val="18"/>
              </w:rPr>
            </w: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667"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1"/>
              <w:jc w:val="right"/>
              <w:rPr>
                <w:rFonts w:ascii="Times New Roman" w:hAnsi="Times New Roman" w:cs="Times New Roman" w:eastAsia="Times New Roman" w:hint="default"/>
                <w:sz w:val="18"/>
                <w:szCs w:val="18"/>
              </w:rPr>
            </w:pPr>
            <w:r>
              <w:rPr>
                <w:rFonts w:ascii="Times New Roman"/>
                <w:spacing w:val="-1"/>
                <w:sz w:val="18"/>
              </w:rPr>
              <w:t>10,205,738.56</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10,205,738.56</w:t>
            </w:r>
            <w:r>
              <w:rPr>
                <w:rFonts w:ascii="Times New Roman"/>
                <w:spacing w:val="-1"/>
                <w:sz w:val="18"/>
              </w:rPr>
            </w:r>
          </w:p>
        </w:tc>
      </w:tr>
      <w:tr>
        <w:trPr>
          <w:trHeight w:val="43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3667"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r>
      <w:tr>
        <w:trPr>
          <w:trHeight w:val="44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01"/>
              <w:jc w:val="right"/>
              <w:rPr>
                <w:rFonts w:ascii="Times New Roman" w:hAnsi="Times New Roman" w:cs="Times New Roman" w:eastAsia="Times New Roman" w:hint="default"/>
                <w:sz w:val="18"/>
                <w:szCs w:val="18"/>
              </w:rPr>
            </w:pPr>
            <w:r>
              <w:rPr>
                <w:rFonts w:ascii="Times New Roman"/>
                <w:spacing w:val="-1"/>
                <w:sz w:val="18"/>
              </w:rPr>
              <w:t>1,065,438.18</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1,065,438.18</w:t>
            </w:r>
            <w:r>
              <w:rPr>
                <w:rFonts w:ascii="Times New Roman"/>
                <w:spacing w:val="-1"/>
                <w:sz w:val="18"/>
              </w:rPr>
            </w: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01"/>
              <w:jc w:val="right"/>
              <w:rPr>
                <w:rFonts w:ascii="Times New Roman" w:hAnsi="Times New Roman" w:cs="Times New Roman" w:eastAsia="Times New Roman" w:hint="default"/>
                <w:sz w:val="18"/>
                <w:szCs w:val="18"/>
              </w:rPr>
            </w:pPr>
            <w:r>
              <w:rPr>
                <w:rFonts w:ascii="Times New Roman"/>
                <w:spacing w:val="-1"/>
                <w:sz w:val="18"/>
              </w:rPr>
              <w:t>2,036,986.98</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2,036,986.98</w:t>
            </w:r>
            <w:r>
              <w:rPr>
                <w:rFonts w:ascii="Times New Roman"/>
                <w:spacing w:val="-1"/>
                <w:sz w:val="18"/>
              </w:rPr>
            </w:r>
          </w:p>
        </w:tc>
      </w:tr>
      <w:tr>
        <w:trPr>
          <w:trHeight w:val="441"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）固定资产转入</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1"/>
              <w:jc w:val="right"/>
              <w:rPr>
                <w:rFonts w:ascii="Times New Roman" w:hAnsi="Times New Roman" w:cs="Times New Roman" w:eastAsia="Times New Roman" w:hint="default"/>
                <w:sz w:val="18"/>
                <w:szCs w:val="18"/>
              </w:rPr>
            </w:pPr>
            <w:r>
              <w:rPr>
                <w:rFonts w:ascii="Times New Roman"/>
                <w:spacing w:val="-1"/>
                <w:sz w:val="18"/>
              </w:rPr>
              <w:t>1,816,072.06</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1,816,072.06</w:t>
            </w:r>
            <w:r>
              <w:rPr>
                <w:rFonts w:ascii="Times New Roman"/>
                <w:spacing w:val="-1"/>
                <w:sz w:val="18"/>
              </w:rPr>
            </w: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）计提或摊销</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1"/>
              <w:jc w:val="right"/>
              <w:rPr>
                <w:rFonts w:ascii="Times New Roman" w:hAnsi="Times New Roman" w:cs="Times New Roman" w:eastAsia="Times New Roman" w:hint="default"/>
                <w:sz w:val="18"/>
                <w:szCs w:val="18"/>
              </w:rPr>
            </w:pPr>
            <w:r>
              <w:rPr>
                <w:rFonts w:ascii="Times New Roman"/>
                <w:sz w:val="18"/>
              </w:rPr>
              <w:t>220,914.92</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220,914.92</w:t>
            </w:r>
            <w:r>
              <w:rPr>
                <w:rFonts w:ascii="Times New Roman"/>
                <w:sz w:val="18"/>
              </w:rPr>
            </w:r>
          </w:p>
        </w:tc>
      </w:tr>
      <w:tr>
        <w:trPr>
          <w:trHeight w:val="31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667"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3009"/>
        <w:gridCol w:w="3667"/>
        <w:gridCol w:w="2755"/>
      </w:tblGrid>
      <w:tr>
        <w:trPr>
          <w:trHeight w:val="277" w:hRule="exact"/>
        </w:trPr>
        <w:tc>
          <w:tcPr>
            <w:tcW w:w="3009" w:type="dxa"/>
            <w:tcBorders>
              <w:top w:val="nil" w:sz="6" w:space="0" w:color="auto"/>
              <w:left w:val="nil" w:sz="6" w:space="0" w:color="auto"/>
              <w:bottom w:val="single" w:sz="8" w:space="0" w:color="000000"/>
              <w:right w:val="nil" w:sz="6" w:space="0" w:color="auto"/>
            </w:tcBorders>
          </w:tcPr>
          <w:p>
            <w:pPr>
              <w:pStyle w:val="TableParagraph"/>
              <w:spacing w:line="180" w:lineRule="exact"/>
              <w:ind w:left="13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667" w:type="dxa"/>
            <w:tcBorders>
              <w:top w:val="nil" w:sz="6" w:space="0" w:color="auto"/>
              <w:left w:val="nil" w:sz="6" w:space="0" w:color="auto"/>
              <w:bottom w:val="single" w:sz="8" w:space="0" w:color="000000"/>
              <w:right w:val="nil" w:sz="6" w:space="0" w:color="auto"/>
            </w:tcBorders>
          </w:tcPr>
          <w:p>
            <w:pPr>
              <w:pStyle w:val="TableParagraph"/>
              <w:spacing w:line="180" w:lineRule="exact"/>
              <w:ind w:left="1165"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2755" w:type="dxa"/>
            <w:tcBorders>
              <w:top w:val="nil" w:sz="6" w:space="0" w:color="auto"/>
              <w:left w:val="nil" w:sz="6" w:space="0" w:color="auto"/>
              <w:bottom w:val="single" w:sz="8" w:space="0" w:color="000000"/>
              <w:right w:val="nil" w:sz="6" w:space="0" w:color="auto"/>
            </w:tcBorders>
          </w:tcPr>
          <w:p>
            <w:pPr>
              <w:pStyle w:val="TableParagraph"/>
              <w:spacing w:line="180" w:lineRule="exact"/>
              <w:ind w:right="384"/>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8" w:hRule="exact"/>
        </w:trPr>
        <w:tc>
          <w:tcPr>
            <w:tcW w:w="3009"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667" w:type="dxa"/>
            <w:tcBorders>
              <w:top w:val="single" w:sz="8" w:space="0" w:color="000000"/>
              <w:left w:val="nil" w:sz="6" w:space="0" w:color="auto"/>
              <w:bottom w:val="nil" w:sz="6" w:space="0" w:color="auto"/>
              <w:right w:val="nil" w:sz="6" w:space="0" w:color="auto"/>
            </w:tcBorders>
          </w:tcPr>
          <w:p>
            <w:pPr>
              <w:pStyle w:val="TableParagraph"/>
              <w:spacing w:line="240" w:lineRule="auto" w:before="159"/>
              <w:ind w:right="1001"/>
              <w:jc w:val="right"/>
              <w:rPr>
                <w:rFonts w:ascii="Times New Roman" w:hAnsi="Times New Roman" w:cs="Times New Roman" w:eastAsia="Times New Roman" w:hint="default"/>
                <w:sz w:val="18"/>
                <w:szCs w:val="18"/>
              </w:rPr>
            </w:pPr>
            <w:r>
              <w:rPr>
                <w:rFonts w:ascii="Times New Roman"/>
                <w:spacing w:val="-1"/>
                <w:sz w:val="18"/>
              </w:rPr>
              <w:t>3,102,425.16</w:t>
            </w:r>
          </w:p>
        </w:tc>
        <w:tc>
          <w:tcPr>
            <w:tcW w:w="2755" w:type="dxa"/>
            <w:tcBorders>
              <w:top w:val="single" w:sz="8" w:space="0" w:color="000000"/>
              <w:left w:val="nil" w:sz="6" w:space="0" w:color="auto"/>
              <w:bottom w:val="nil" w:sz="6" w:space="0" w:color="auto"/>
              <w:right w:val="nil" w:sz="6" w:space="0" w:color="auto"/>
            </w:tcBorders>
          </w:tcPr>
          <w:p>
            <w:pPr>
              <w:pStyle w:val="TableParagraph"/>
              <w:spacing w:line="240" w:lineRule="auto" w:before="159"/>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3,102,425.16</w:t>
            </w:r>
            <w:r>
              <w:rPr>
                <w:rFonts w:ascii="Times New Roman"/>
                <w:spacing w:val="-1"/>
                <w:sz w:val="18"/>
              </w:rPr>
            </w:r>
          </w:p>
        </w:tc>
      </w:tr>
      <w:tr>
        <w:trPr>
          <w:trHeight w:val="436"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3667"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667"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
        </w:tc>
      </w:tr>
      <w:tr>
        <w:trPr>
          <w:trHeight w:val="44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7,103,313.40</w:t>
            </w:r>
            <w:r>
              <w:rPr>
                <w:rFonts w:ascii="Times New Roman"/>
                <w:spacing w:val="-1"/>
                <w:sz w:val="18"/>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7,103,313.40</w:t>
            </w:r>
            <w:r>
              <w:rPr>
                <w:rFonts w:ascii="Times New Roman"/>
                <w:spacing w:val="-1"/>
                <w:sz w:val="18"/>
              </w:rPr>
            </w:r>
          </w:p>
        </w:tc>
      </w:tr>
      <w:tr>
        <w:trPr>
          <w:trHeight w:val="31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3,713,989.47</w:t>
            </w:r>
            <w:r>
              <w:rPr>
                <w:rFonts w:ascii="Times New Roman"/>
                <w:spacing w:val="-1"/>
                <w:sz w:val="18"/>
              </w:rPr>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3,713,989.47</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）未办妥产权证书的投资性房地产</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176"/>
        <w:gridCol w:w="2939"/>
        <w:gridCol w:w="3315"/>
      </w:tblGrid>
      <w:tr>
        <w:trPr>
          <w:trHeight w:val="272" w:hRule="exact"/>
        </w:trPr>
        <w:tc>
          <w:tcPr>
            <w:tcW w:w="3176" w:type="dxa"/>
            <w:tcBorders>
              <w:top w:val="nil" w:sz="6" w:space="0" w:color="auto"/>
              <w:left w:val="nil" w:sz="6" w:space="0" w:color="auto"/>
              <w:bottom w:val="single" w:sz="4" w:space="0" w:color="000000"/>
              <w:right w:val="nil" w:sz="6" w:space="0" w:color="auto"/>
            </w:tcBorders>
          </w:tcPr>
          <w:p>
            <w:pPr>
              <w:pStyle w:val="TableParagraph"/>
              <w:spacing w:line="180" w:lineRule="exact"/>
              <w:ind w:right="32"/>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39" w:type="dxa"/>
            <w:tcBorders>
              <w:top w:val="nil" w:sz="6" w:space="0" w:color="auto"/>
              <w:left w:val="nil" w:sz="6" w:space="0" w:color="auto"/>
              <w:bottom w:val="single" w:sz="4" w:space="0" w:color="000000"/>
              <w:right w:val="nil" w:sz="6" w:space="0" w:color="auto"/>
            </w:tcBorders>
          </w:tcPr>
          <w:p>
            <w:pPr>
              <w:pStyle w:val="TableParagraph"/>
              <w:spacing w:line="180" w:lineRule="exact"/>
              <w:ind w:left="13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315" w:type="dxa"/>
            <w:tcBorders>
              <w:top w:val="nil" w:sz="6" w:space="0" w:color="auto"/>
              <w:left w:val="nil" w:sz="6" w:space="0" w:color="auto"/>
              <w:bottom w:val="single" w:sz="4" w:space="0" w:color="000000"/>
              <w:right w:val="nil" w:sz="6" w:space="0" w:color="auto"/>
            </w:tcBorders>
          </w:tcPr>
          <w:p>
            <w:pPr>
              <w:pStyle w:val="TableParagraph"/>
              <w:spacing w:line="180" w:lineRule="exact"/>
              <w:ind w:left="169" w:right="0"/>
              <w:jc w:val="center"/>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sz w:val="18"/>
                <w:szCs w:val="18"/>
              </w:rPr>
            </w:r>
          </w:p>
        </w:tc>
      </w:tr>
      <w:tr>
        <w:trPr>
          <w:trHeight w:val="493" w:hRule="exact"/>
        </w:trPr>
        <w:tc>
          <w:tcPr>
            <w:tcW w:w="317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3"/>
              <w:jc w:val="center"/>
              <w:rPr>
                <w:rFonts w:ascii="宋体" w:hAnsi="宋体" w:cs="宋体" w:eastAsia="宋体" w:hint="default"/>
                <w:sz w:val="18"/>
                <w:szCs w:val="18"/>
              </w:rPr>
            </w:pPr>
            <w:r>
              <w:rPr>
                <w:rFonts w:ascii="宋体" w:hAnsi="宋体" w:cs="宋体" w:eastAsia="宋体" w:hint="default"/>
                <w:sz w:val="18"/>
                <w:szCs w:val="18"/>
              </w:rPr>
              <w:t>常德中德房产</w:t>
            </w:r>
          </w:p>
        </w:tc>
        <w:tc>
          <w:tcPr>
            <w:tcW w:w="293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35" w:right="0"/>
              <w:jc w:val="center"/>
              <w:rPr>
                <w:rFonts w:ascii="Times New Roman" w:hAnsi="Times New Roman" w:cs="Times New Roman" w:eastAsia="Times New Roman" w:hint="default"/>
                <w:sz w:val="18"/>
                <w:szCs w:val="18"/>
              </w:rPr>
            </w:pPr>
            <w:r>
              <w:rPr>
                <w:rFonts w:ascii="Times New Roman"/>
                <w:sz w:val="18"/>
              </w:rPr>
              <w:t>1,103,097.65</w:t>
            </w:r>
          </w:p>
        </w:tc>
        <w:tc>
          <w:tcPr>
            <w:tcW w:w="331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70" w:right="0"/>
              <w:jc w:val="center"/>
              <w:rPr>
                <w:rFonts w:ascii="宋体" w:hAnsi="宋体" w:cs="宋体" w:eastAsia="宋体" w:hint="default"/>
                <w:sz w:val="18"/>
                <w:szCs w:val="18"/>
              </w:rPr>
            </w:pPr>
            <w:r>
              <w:rPr>
                <w:rFonts w:ascii="宋体" w:hAnsi="宋体" w:cs="宋体" w:eastAsia="宋体" w:hint="default"/>
                <w:sz w:val="18"/>
                <w:szCs w:val="18"/>
              </w:rPr>
              <w:t>正在办理</w:t>
            </w:r>
          </w:p>
        </w:tc>
      </w:tr>
      <w:tr>
        <w:trPr>
          <w:trHeight w:val="315" w:hRule="exact"/>
        </w:trPr>
        <w:tc>
          <w:tcPr>
            <w:tcW w:w="317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2"/>
              <w:jc w:val="center"/>
              <w:rPr>
                <w:rFonts w:ascii="宋体" w:hAnsi="宋体" w:cs="宋体" w:eastAsia="宋体" w:hint="default"/>
                <w:sz w:val="18"/>
                <w:szCs w:val="18"/>
              </w:rPr>
            </w:pPr>
            <w:r>
              <w:rPr>
                <w:rFonts w:ascii="宋体" w:hAnsi="宋体" w:cs="宋体" w:eastAsia="宋体" w:hint="default"/>
                <w:sz w:val="18"/>
                <w:szCs w:val="18"/>
              </w:rPr>
              <w:t>合  计</w:t>
            </w:r>
          </w:p>
        </w:tc>
        <w:tc>
          <w:tcPr>
            <w:tcW w:w="293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3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1,103,097.65</w:t>
            </w:r>
            <w:r>
              <w:rPr>
                <w:rFonts w:ascii="Times New Roman"/>
                <w:sz w:val="18"/>
              </w:rPr>
            </w:r>
          </w:p>
        </w:tc>
        <w:tc>
          <w:tcPr>
            <w:tcW w:w="3315"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11.固定资产" w:id="203"/>
      <w:bookmarkEnd w:id="203"/>
      <w:r>
        <w:rPr/>
      </w:r>
      <w:r>
        <w:rPr>
          <w:rFonts w:ascii="Times New Roman" w:hAnsi="Times New Roman" w:cs="Times New Roman" w:eastAsia="Times New Roman" w:hint="default"/>
        </w:rPr>
        <w:t>11.</w:t>
      </w:r>
      <w:r>
        <w:rPr/>
        <w:t>固定资产</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251"/>
        <w:gridCol w:w="1839"/>
        <w:gridCol w:w="1301"/>
        <w:gridCol w:w="1698"/>
        <w:gridCol w:w="1341"/>
      </w:tblGrid>
      <w:tr>
        <w:trPr>
          <w:trHeight w:val="276" w:hRule="exact"/>
        </w:trPr>
        <w:tc>
          <w:tcPr>
            <w:tcW w:w="3251" w:type="dxa"/>
            <w:tcBorders>
              <w:top w:val="nil" w:sz="6" w:space="0" w:color="auto"/>
              <w:left w:val="nil" w:sz="6" w:space="0" w:color="auto"/>
              <w:bottom w:val="single" w:sz="8" w:space="0" w:color="000000"/>
              <w:right w:val="nil" w:sz="6" w:space="0" w:color="auto"/>
            </w:tcBorders>
          </w:tcPr>
          <w:p>
            <w:pPr>
              <w:pStyle w:val="TableParagraph"/>
              <w:spacing w:line="180" w:lineRule="exact"/>
              <w:ind w:left="24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39" w:type="dxa"/>
            <w:tcBorders>
              <w:top w:val="nil" w:sz="6" w:space="0" w:color="auto"/>
              <w:left w:val="nil" w:sz="6" w:space="0" w:color="auto"/>
              <w:bottom w:val="single" w:sz="8" w:space="0" w:color="000000"/>
              <w:right w:val="nil" w:sz="6" w:space="0" w:color="auto"/>
            </w:tcBorders>
          </w:tcPr>
          <w:p>
            <w:pPr>
              <w:pStyle w:val="TableParagraph"/>
              <w:spacing w:line="180"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房屋及建筑物</w:t>
            </w:r>
            <w:r>
              <w:rPr>
                <w:rFonts w:ascii="宋体" w:hAnsi="宋体" w:cs="宋体" w:eastAsia="宋体" w:hint="default"/>
                <w:sz w:val="18"/>
                <w:szCs w:val="18"/>
              </w:rPr>
            </w:r>
          </w:p>
        </w:tc>
        <w:tc>
          <w:tcPr>
            <w:tcW w:w="1301" w:type="dxa"/>
            <w:tcBorders>
              <w:top w:val="nil" w:sz="6" w:space="0" w:color="auto"/>
              <w:left w:val="nil" w:sz="6" w:space="0" w:color="auto"/>
              <w:bottom w:val="single" w:sz="8" w:space="0" w:color="000000"/>
              <w:right w:val="nil" w:sz="6" w:space="0" w:color="auto"/>
            </w:tcBorders>
          </w:tcPr>
          <w:p>
            <w:pPr>
              <w:pStyle w:val="TableParagraph"/>
              <w:spacing w:line="180"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sz w:val="18"/>
                <w:szCs w:val="18"/>
              </w:rPr>
            </w:r>
          </w:p>
        </w:tc>
        <w:tc>
          <w:tcPr>
            <w:tcW w:w="1698" w:type="dxa"/>
            <w:tcBorders>
              <w:top w:val="nil" w:sz="6" w:space="0" w:color="auto"/>
              <w:left w:val="nil" w:sz="6" w:space="0" w:color="auto"/>
              <w:bottom w:val="single" w:sz="8"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电子设备及其他</w:t>
            </w:r>
            <w:r>
              <w:rPr>
                <w:rFonts w:ascii="宋体" w:hAnsi="宋体" w:cs="宋体" w:eastAsia="宋体" w:hint="default"/>
                <w:sz w:val="18"/>
                <w:szCs w:val="18"/>
              </w:rPr>
            </w:r>
          </w:p>
        </w:tc>
        <w:tc>
          <w:tcPr>
            <w:tcW w:w="1341" w:type="dxa"/>
            <w:tcBorders>
              <w:top w:val="nil" w:sz="6" w:space="0" w:color="auto"/>
              <w:left w:val="nil" w:sz="6" w:space="0" w:color="auto"/>
              <w:bottom w:val="single" w:sz="8" w:space="0" w:color="000000"/>
              <w:right w:val="nil" w:sz="6" w:space="0" w:color="auto"/>
            </w:tcBorders>
          </w:tcPr>
          <w:p>
            <w:pPr>
              <w:pStyle w:val="TableParagraph"/>
              <w:spacing w:line="180" w:lineRule="exact"/>
              <w:ind w:left="44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4" w:hRule="exact"/>
        </w:trPr>
        <w:tc>
          <w:tcPr>
            <w:tcW w:w="325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39" w:type="dxa"/>
            <w:tcBorders>
              <w:top w:val="single" w:sz="8" w:space="0" w:color="000000"/>
              <w:left w:val="nil" w:sz="6" w:space="0" w:color="auto"/>
              <w:bottom w:val="nil" w:sz="6" w:space="0" w:color="auto"/>
              <w:right w:val="nil" w:sz="6" w:space="0" w:color="auto"/>
            </w:tcBorders>
          </w:tcPr>
          <w:p>
            <w:pPr/>
          </w:p>
        </w:tc>
        <w:tc>
          <w:tcPr>
            <w:tcW w:w="1301" w:type="dxa"/>
            <w:tcBorders>
              <w:top w:val="single" w:sz="8" w:space="0" w:color="000000"/>
              <w:left w:val="nil" w:sz="6" w:space="0" w:color="auto"/>
              <w:bottom w:val="nil" w:sz="6" w:space="0" w:color="auto"/>
              <w:right w:val="nil" w:sz="6" w:space="0" w:color="auto"/>
            </w:tcBorders>
          </w:tcPr>
          <w:p>
            <w:pPr/>
          </w:p>
        </w:tc>
        <w:tc>
          <w:tcPr>
            <w:tcW w:w="1698" w:type="dxa"/>
            <w:tcBorders>
              <w:top w:val="single" w:sz="8" w:space="0" w:color="000000"/>
              <w:left w:val="nil" w:sz="6" w:space="0" w:color="auto"/>
              <w:bottom w:val="nil" w:sz="6" w:space="0" w:color="auto"/>
              <w:right w:val="nil" w:sz="6" w:space="0" w:color="auto"/>
            </w:tcBorders>
          </w:tcPr>
          <w:p>
            <w:pPr/>
          </w:p>
        </w:tc>
        <w:tc>
          <w:tcPr>
            <w:tcW w:w="1341" w:type="dxa"/>
            <w:tcBorders>
              <w:top w:val="single" w:sz="8" w:space="0" w:color="000000"/>
              <w:left w:val="nil" w:sz="6" w:space="0" w:color="auto"/>
              <w:bottom w:val="nil" w:sz="6" w:space="0" w:color="auto"/>
              <w:right w:val="nil" w:sz="6" w:space="0" w:color="auto"/>
            </w:tcBorders>
          </w:tcPr>
          <w:p>
            <w:pPr/>
          </w:p>
        </w:tc>
      </w:tr>
      <w:tr>
        <w:trPr>
          <w:trHeight w:val="445"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6"/>
              <w:jc w:val="right"/>
              <w:rPr>
                <w:rFonts w:ascii="Times New Roman" w:hAnsi="Times New Roman" w:cs="Times New Roman" w:eastAsia="Times New Roman" w:hint="default"/>
                <w:sz w:val="18"/>
                <w:szCs w:val="18"/>
              </w:rPr>
            </w:pPr>
            <w:r>
              <w:rPr>
                <w:rFonts w:ascii="Times New Roman"/>
                <w:spacing w:val="-1"/>
                <w:sz w:val="18"/>
              </w:rPr>
              <w:t>57,094,703.69</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18"/>
                <w:szCs w:val="18"/>
              </w:rPr>
            </w:pPr>
            <w:r>
              <w:rPr>
                <w:rFonts w:ascii="Times New Roman"/>
                <w:spacing w:val="-1"/>
                <w:sz w:val="18"/>
              </w:rPr>
              <w:t>13,590,019.11</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7"/>
              <w:jc w:val="right"/>
              <w:rPr>
                <w:rFonts w:ascii="Times New Roman" w:hAnsi="Times New Roman" w:cs="Times New Roman" w:eastAsia="Times New Roman" w:hint="default"/>
                <w:sz w:val="18"/>
                <w:szCs w:val="18"/>
              </w:rPr>
            </w:pPr>
            <w:r>
              <w:rPr>
                <w:rFonts w:ascii="Times New Roman"/>
                <w:spacing w:val="-1"/>
                <w:sz w:val="18"/>
              </w:rPr>
              <w:t>19,316,576.07</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90,001,298.87</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3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474,784.75</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7"/>
              <w:jc w:val="right"/>
              <w:rPr>
                <w:rFonts w:ascii="Times New Roman" w:hAnsi="Times New Roman" w:cs="Times New Roman" w:eastAsia="Times New Roman" w:hint="default"/>
                <w:sz w:val="18"/>
                <w:szCs w:val="18"/>
              </w:rPr>
            </w:pPr>
            <w:r>
              <w:rPr>
                <w:rFonts w:ascii="Times New Roman"/>
                <w:spacing w:val="-1"/>
                <w:sz w:val="18"/>
              </w:rPr>
              <w:t>2,245,473.32</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2,720,258.0</w:t>
            </w:r>
            <w:r>
              <w:rPr>
                <w:rFonts w:ascii="Times New Roman"/>
                <w:spacing w:val="-1"/>
                <w:sz w:val="18"/>
              </w:rPr>
              <w:t>7</w:t>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3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474,784.75</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8"/>
                <w:szCs w:val="18"/>
              </w:rPr>
            </w:pPr>
            <w:r>
              <w:rPr>
                <w:rFonts w:ascii="Times New Roman"/>
                <w:spacing w:val="-1"/>
                <w:sz w:val="18"/>
              </w:rPr>
              <w:t>2,245,473.32</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2,720,258.07</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5,426,310.91</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253,917.00</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6"/>
              <w:jc w:val="right"/>
              <w:rPr>
                <w:rFonts w:ascii="Times New Roman" w:hAnsi="Times New Roman" w:cs="Times New Roman" w:eastAsia="Times New Roman" w:hint="default"/>
                <w:sz w:val="18"/>
                <w:szCs w:val="18"/>
              </w:rPr>
            </w:pPr>
            <w:r>
              <w:rPr>
                <w:rFonts w:ascii="Times New Roman"/>
                <w:sz w:val="18"/>
              </w:rPr>
              <w:t>819,069.12</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6,499,297.0</w:t>
            </w:r>
            <w:r>
              <w:rPr>
                <w:rFonts w:ascii="Times New Roman"/>
                <w:spacing w:val="-1"/>
                <w:sz w:val="18"/>
              </w:rPr>
              <w:t>3</w:t>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3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t>253,917.00</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6"/>
              <w:jc w:val="right"/>
              <w:rPr>
                <w:rFonts w:ascii="Times New Roman" w:hAnsi="Times New Roman" w:cs="Times New Roman" w:eastAsia="Times New Roman" w:hint="default"/>
                <w:sz w:val="18"/>
                <w:szCs w:val="18"/>
              </w:rPr>
            </w:pPr>
            <w:r>
              <w:rPr>
                <w:rFonts w:ascii="Times New Roman"/>
                <w:sz w:val="18"/>
              </w:rPr>
              <w:t>819,069.12</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1,072,986.12</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转出至投资性房地产</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5,426,310.91</w:t>
            </w:r>
          </w:p>
        </w:tc>
        <w:tc>
          <w:tcPr>
            <w:tcW w:w="1301"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5,426,310.91</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51,668,392.78</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pacing w:val="-1"/>
                <w:sz w:val="18"/>
              </w:rPr>
              <w:t>13,810,886.86</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8"/>
                <w:szCs w:val="18"/>
              </w:rPr>
            </w:pPr>
            <w:r>
              <w:rPr>
                <w:rFonts w:ascii="Times New Roman"/>
                <w:spacing w:val="-1"/>
                <w:sz w:val="18"/>
              </w:rPr>
              <w:t>20,742,980.27</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86,222,259.91</w:t>
            </w:r>
            <w:r>
              <w:rPr>
                <w:rFonts w:ascii="Times New Roman"/>
                <w:spacing w:val="-1"/>
                <w:sz w:val="18"/>
              </w:rPr>
            </w:r>
          </w:p>
        </w:tc>
      </w:tr>
      <w:tr>
        <w:trPr>
          <w:trHeight w:val="435"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83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r>
      <w:tr>
        <w:trPr>
          <w:trHeight w:val="445"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6"/>
              <w:jc w:val="right"/>
              <w:rPr>
                <w:rFonts w:ascii="Times New Roman" w:hAnsi="Times New Roman" w:cs="Times New Roman" w:eastAsia="Times New Roman" w:hint="default"/>
                <w:sz w:val="18"/>
                <w:szCs w:val="18"/>
              </w:rPr>
            </w:pPr>
            <w:r>
              <w:rPr>
                <w:rFonts w:ascii="Times New Roman"/>
                <w:spacing w:val="-1"/>
                <w:sz w:val="18"/>
              </w:rPr>
              <w:t>9,724,363.85</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8,151,939.39</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7"/>
              <w:jc w:val="right"/>
              <w:rPr>
                <w:rFonts w:ascii="Times New Roman" w:hAnsi="Times New Roman" w:cs="Times New Roman" w:eastAsia="Times New Roman" w:hint="default"/>
                <w:sz w:val="18"/>
                <w:szCs w:val="18"/>
              </w:rPr>
            </w:pPr>
            <w:r>
              <w:rPr>
                <w:rFonts w:ascii="Times New Roman"/>
                <w:spacing w:val="-1"/>
                <w:sz w:val="18"/>
              </w:rPr>
              <w:t>14,352,547.47</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32,228,850.71</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1,569,005.22</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pacing w:val="-1"/>
                <w:sz w:val="18"/>
              </w:rPr>
              <w:t>1,459,617.33</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8"/>
                <w:szCs w:val="18"/>
              </w:rPr>
            </w:pPr>
            <w:r>
              <w:rPr>
                <w:rFonts w:ascii="Times New Roman"/>
                <w:spacing w:val="-1"/>
                <w:sz w:val="18"/>
              </w:rPr>
              <w:t>2,089,565.99</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5,118,188.54</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6"/>
              <w:jc w:val="right"/>
              <w:rPr>
                <w:rFonts w:ascii="Times New Roman" w:hAnsi="Times New Roman" w:cs="Times New Roman" w:eastAsia="Times New Roman" w:hint="default"/>
                <w:sz w:val="18"/>
                <w:szCs w:val="18"/>
              </w:rPr>
            </w:pPr>
            <w:r>
              <w:rPr>
                <w:rFonts w:ascii="Times New Roman"/>
                <w:spacing w:val="-1"/>
                <w:sz w:val="18"/>
              </w:rPr>
              <w:t>1,569,005.22</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pacing w:val="-1"/>
                <w:sz w:val="18"/>
              </w:rPr>
              <w:t>1,459,617.33</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7"/>
              <w:jc w:val="right"/>
              <w:rPr>
                <w:rFonts w:ascii="Times New Roman" w:hAnsi="Times New Roman" w:cs="Times New Roman" w:eastAsia="Times New Roman" w:hint="default"/>
                <w:sz w:val="18"/>
                <w:szCs w:val="18"/>
              </w:rPr>
            </w:pPr>
            <w:r>
              <w:rPr>
                <w:rFonts w:ascii="Times New Roman"/>
                <w:spacing w:val="-1"/>
                <w:sz w:val="18"/>
              </w:rPr>
              <w:t>2,089,565.99</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5,118,188.54</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1,816,072.06</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246,300.00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6"/>
              <w:jc w:val="right"/>
              <w:rPr>
                <w:rFonts w:ascii="Times New Roman" w:hAnsi="Times New Roman" w:cs="Times New Roman" w:eastAsia="Times New Roman" w:hint="default"/>
                <w:sz w:val="18"/>
                <w:szCs w:val="18"/>
              </w:rPr>
            </w:pPr>
            <w:r>
              <w:rPr>
                <w:rFonts w:ascii="Times New Roman"/>
                <w:sz w:val="18"/>
              </w:rPr>
              <w:t>767,513.39</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2,829,885.45</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3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t>246,300.00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6"/>
              <w:jc w:val="right"/>
              <w:rPr>
                <w:rFonts w:ascii="Times New Roman" w:hAnsi="Times New Roman" w:cs="Times New Roman" w:eastAsia="Times New Roman" w:hint="default"/>
                <w:sz w:val="18"/>
                <w:szCs w:val="18"/>
              </w:rPr>
            </w:pPr>
            <w:r>
              <w:rPr>
                <w:rFonts w:ascii="Times New Roman"/>
                <w:sz w:val="18"/>
              </w:rPr>
              <w:t>767,513.39</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1,013,813.39</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转出至投资性房地产累计折旧</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6"/>
              <w:jc w:val="right"/>
              <w:rPr>
                <w:rFonts w:ascii="Times New Roman" w:hAnsi="Times New Roman" w:cs="Times New Roman" w:eastAsia="Times New Roman" w:hint="default"/>
                <w:sz w:val="18"/>
                <w:szCs w:val="18"/>
              </w:rPr>
            </w:pPr>
            <w:r>
              <w:rPr>
                <w:rFonts w:ascii="Times New Roman"/>
                <w:spacing w:val="-1"/>
                <w:sz w:val="18"/>
              </w:rPr>
              <w:t>1,816,072.06</w:t>
            </w:r>
          </w:p>
        </w:tc>
        <w:tc>
          <w:tcPr>
            <w:tcW w:w="1301"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1,816,072.06</w:t>
            </w:r>
            <w:r>
              <w:rPr>
                <w:rFonts w:ascii="Times New Roman"/>
                <w:spacing w:val="-1"/>
                <w:sz w:val="18"/>
              </w:rPr>
            </w:r>
          </w:p>
        </w:tc>
      </w:tr>
      <w:tr>
        <w:trPr>
          <w:trHeight w:val="440"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9,477,297.01</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pacing w:val="-1"/>
                <w:sz w:val="18"/>
              </w:rPr>
              <w:t>9,365,256.72</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7"/>
              <w:jc w:val="right"/>
              <w:rPr>
                <w:rFonts w:ascii="Times New Roman" w:hAnsi="Times New Roman" w:cs="Times New Roman" w:eastAsia="Times New Roman" w:hint="default"/>
                <w:sz w:val="18"/>
                <w:szCs w:val="18"/>
              </w:rPr>
            </w:pPr>
            <w:r>
              <w:rPr>
                <w:rFonts w:ascii="Times New Roman"/>
                <w:spacing w:val="-1"/>
                <w:sz w:val="18"/>
              </w:rPr>
              <w:t>15,674,600.07</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34,517,153.80</w:t>
            </w:r>
            <w:r>
              <w:rPr>
                <w:rFonts w:ascii="Times New Roman"/>
                <w:spacing w:val="-1"/>
                <w:sz w:val="18"/>
              </w:rPr>
            </w:r>
          </w:p>
        </w:tc>
      </w:tr>
      <w:tr>
        <w:trPr>
          <w:trHeight w:val="305"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39"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698"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2871"/>
        <w:gridCol w:w="2264"/>
        <w:gridCol w:w="1256"/>
        <w:gridCol w:w="1698"/>
        <w:gridCol w:w="1341"/>
      </w:tblGrid>
      <w:tr>
        <w:trPr>
          <w:trHeight w:val="277" w:hRule="exact"/>
        </w:trPr>
        <w:tc>
          <w:tcPr>
            <w:tcW w:w="2871" w:type="dxa"/>
            <w:tcBorders>
              <w:top w:val="nil" w:sz="6" w:space="0" w:color="auto"/>
              <w:left w:val="nil" w:sz="6" w:space="0" w:color="auto"/>
              <w:bottom w:val="single" w:sz="8" w:space="0" w:color="000000"/>
              <w:right w:val="nil" w:sz="6" w:space="0" w:color="auto"/>
            </w:tcBorders>
          </w:tcPr>
          <w:p>
            <w:pPr>
              <w:pStyle w:val="TableParagraph"/>
              <w:spacing w:line="180" w:lineRule="exact"/>
              <w:ind w:left="1475"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64" w:type="dxa"/>
            <w:tcBorders>
              <w:top w:val="nil" w:sz="6" w:space="0" w:color="auto"/>
              <w:left w:val="nil" w:sz="6" w:space="0" w:color="auto"/>
              <w:bottom w:val="single" w:sz="8" w:space="0" w:color="000000"/>
              <w:right w:val="nil" w:sz="6" w:space="0" w:color="auto"/>
            </w:tcBorders>
          </w:tcPr>
          <w:p>
            <w:pPr>
              <w:pStyle w:val="TableParagraph"/>
              <w:spacing w:line="180" w:lineRule="exact"/>
              <w:ind w:left="853" w:right="0"/>
              <w:jc w:val="left"/>
              <w:rPr>
                <w:rFonts w:ascii="宋体" w:hAnsi="宋体" w:cs="宋体" w:eastAsia="宋体" w:hint="default"/>
                <w:sz w:val="18"/>
                <w:szCs w:val="18"/>
              </w:rPr>
            </w:pPr>
            <w:r>
              <w:rPr>
                <w:rFonts w:ascii="宋体" w:hAnsi="宋体" w:cs="宋体" w:eastAsia="宋体" w:hint="default"/>
                <w:b/>
                <w:bCs/>
                <w:sz w:val="18"/>
                <w:szCs w:val="18"/>
              </w:rPr>
              <w:t>房屋及建筑物</w:t>
            </w:r>
            <w:r>
              <w:rPr>
                <w:rFonts w:ascii="宋体" w:hAnsi="宋体" w:cs="宋体" w:eastAsia="宋体" w:hint="default"/>
                <w:sz w:val="18"/>
                <w:szCs w:val="18"/>
              </w:rPr>
            </w:r>
          </w:p>
        </w:tc>
        <w:tc>
          <w:tcPr>
            <w:tcW w:w="1256" w:type="dxa"/>
            <w:tcBorders>
              <w:top w:val="nil" w:sz="6" w:space="0" w:color="auto"/>
              <w:left w:val="nil" w:sz="6" w:space="0" w:color="auto"/>
              <w:bottom w:val="single" w:sz="8" w:space="0" w:color="000000"/>
              <w:right w:val="nil" w:sz="6" w:space="0" w:color="auto"/>
            </w:tcBorders>
          </w:tcPr>
          <w:p>
            <w:pPr>
              <w:pStyle w:val="TableParagraph"/>
              <w:spacing w:line="180"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sz w:val="18"/>
                <w:szCs w:val="18"/>
              </w:rPr>
            </w:r>
          </w:p>
        </w:tc>
        <w:tc>
          <w:tcPr>
            <w:tcW w:w="1698" w:type="dxa"/>
            <w:tcBorders>
              <w:top w:val="nil" w:sz="6" w:space="0" w:color="auto"/>
              <w:left w:val="nil" w:sz="6" w:space="0" w:color="auto"/>
              <w:bottom w:val="single" w:sz="8"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电子设备及其他</w:t>
            </w:r>
            <w:r>
              <w:rPr>
                <w:rFonts w:ascii="宋体" w:hAnsi="宋体" w:cs="宋体" w:eastAsia="宋体" w:hint="default"/>
                <w:sz w:val="18"/>
                <w:szCs w:val="18"/>
              </w:rPr>
            </w:r>
          </w:p>
        </w:tc>
        <w:tc>
          <w:tcPr>
            <w:tcW w:w="1341" w:type="dxa"/>
            <w:tcBorders>
              <w:top w:val="nil" w:sz="6" w:space="0" w:color="auto"/>
              <w:left w:val="nil" w:sz="6" w:space="0" w:color="auto"/>
              <w:bottom w:val="single" w:sz="8" w:space="0" w:color="000000"/>
              <w:right w:val="nil" w:sz="6" w:space="0" w:color="auto"/>
            </w:tcBorders>
          </w:tcPr>
          <w:p>
            <w:pPr>
              <w:pStyle w:val="TableParagraph"/>
              <w:spacing w:line="180" w:lineRule="exact"/>
              <w:ind w:left="44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3" w:hRule="exact"/>
        </w:trPr>
        <w:tc>
          <w:tcPr>
            <w:tcW w:w="2871"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264" w:type="dxa"/>
            <w:tcBorders>
              <w:top w:val="single" w:sz="8" w:space="0" w:color="000000"/>
              <w:left w:val="nil" w:sz="6" w:space="0" w:color="auto"/>
              <w:bottom w:val="nil" w:sz="6" w:space="0" w:color="auto"/>
              <w:right w:val="nil" w:sz="6" w:space="0" w:color="auto"/>
            </w:tcBorders>
          </w:tcPr>
          <w:p>
            <w:pPr/>
          </w:p>
        </w:tc>
        <w:tc>
          <w:tcPr>
            <w:tcW w:w="1256" w:type="dxa"/>
            <w:tcBorders>
              <w:top w:val="single" w:sz="8" w:space="0" w:color="000000"/>
              <w:left w:val="nil" w:sz="6" w:space="0" w:color="auto"/>
              <w:bottom w:val="nil" w:sz="6" w:space="0" w:color="auto"/>
              <w:right w:val="nil" w:sz="6" w:space="0" w:color="auto"/>
            </w:tcBorders>
          </w:tcPr>
          <w:p>
            <w:pPr/>
          </w:p>
        </w:tc>
        <w:tc>
          <w:tcPr>
            <w:tcW w:w="1698" w:type="dxa"/>
            <w:tcBorders>
              <w:top w:val="single" w:sz="8" w:space="0" w:color="000000"/>
              <w:left w:val="nil" w:sz="6" w:space="0" w:color="auto"/>
              <w:bottom w:val="nil" w:sz="6" w:space="0" w:color="auto"/>
              <w:right w:val="nil" w:sz="6" w:space="0" w:color="auto"/>
            </w:tcBorders>
          </w:tcPr>
          <w:p>
            <w:pPr/>
          </w:p>
        </w:tc>
        <w:tc>
          <w:tcPr>
            <w:tcW w:w="1341" w:type="dxa"/>
            <w:tcBorders>
              <w:top w:val="single" w:sz="8" w:space="0" w:color="000000"/>
              <w:left w:val="nil" w:sz="6" w:space="0" w:color="auto"/>
              <w:bottom w:val="nil" w:sz="6" w:space="0" w:color="auto"/>
              <w:right w:val="nil" w:sz="6" w:space="0" w:color="auto"/>
            </w:tcBorders>
          </w:tcPr>
          <w:p>
            <w:pPr/>
          </w:p>
        </w:tc>
      </w:tr>
      <w:tr>
        <w:trPr>
          <w:trHeight w:val="446"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42,191,095.77</w:t>
            </w:r>
            <w:r>
              <w:rPr>
                <w:rFonts w:ascii="Times New Roman"/>
                <w:spacing w:val="-1"/>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4,445,630.14</w:t>
            </w:r>
            <w:r>
              <w:rPr>
                <w:rFonts w:ascii="Times New Roman"/>
                <w:sz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5,068,380.20</w:t>
            </w:r>
            <w:r>
              <w:rPr>
                <w:rFonts w:ascii="Times New Roman"/>
                <w:spacing w:val="-1"/>
                <w:sz w:val="18"/>
              </w:rPr>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51,705,106.11</w:t>
            </w:r>
            <w:r>
              <w:rPr>
                <w:rFonts w:ascii="Times New Roman"/>
                <w:spacing w:val="-1"/>
                <w:sz w:val="18"/>
              </w:rPr>
            </w:r>
          </w:p>
        </w:tc>
      </w:tr>
      <w:tr>
        <w:trPr>
          <w:trHeight w:val="315"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47,370,339.84</w:t>
            </w:r>
            <w:r>
              <w:rPr>
                <w:rFonts w:ascii="Times New Roman"/>
                <w:spacing w:val="-1"/>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0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5,438,079.72</w:t>
            </w:r>
            <w:r>
              <w:rPr>
                <w:rFonts w:ascii="Times New Roman"/>
                <w:sz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4,964,028.60</w:t>
            </w:r>
            <w:r>
              <w:rPr>
                <w:rFonts w:ascii="Times New Roman"/>
                <w:spacing w:val="-1"/>
                <w:sz w:val="18"/>
              </w:rPr>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57,772,448.16</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）期末无未办妥产权证书的固定资产</w:t>
      </w:r>
    </w:p>
    <w:p>
      <w:pPr>
        <w:spacing w:line="240" w:lineRule="auto" w:before="6"/>
        <w:rPr>
          <w:rFonts w:ascii="宋体" w:hAnsi="宋体" w:cs="宋体" w:eastAsia="宋体" w:hint="default"/>
          <w:sz w:val="20"/>
          <w:szCs w:val="20"/>
        </w:rPr>
      </w:pPr>
    </w:p>
    <w:p>
      <w:pPr>
        <w:pStyle w:val="BodyText"/>
        <w:spacing w:line="240" w:lineRule="auto"/>
        <w:ind w:right="1117"/>
        <w:jc w:val="left"/>
      </w:pPr>
      <w:bookmarkStart w:name="12.无形资产" w:id="204"/>
      <w:bookmarkEnd w:id="204"/>
      <w:r>
        <w:rPr/>
      </w:r>
      <w:r>
        <w:rPr>
          <w:rFonts w:ascii="Times New Roman" w:hAnsi="Times New Roman" w:cs="Times New Roman" w:eastAsia="Times New Roman" w:hint="default"/>
        </w:rPr>
        <w:t>12.</w:t>
      </w:r>
      <w:r>
        <w:rPr/>
        <w:t>无形资产</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2065"/>
        <w:gridCol w:w="1761"/>
        <w:gridCol w:w="2181"/>
        <w:gridCol w:w="1667"/>
        <w:gridCol w:w="1757"/>
      </w:tblGrid>
      <w:tr>
        <w:trPr>
          <w:trHeight w:val="996" w:hRule="exact"/>
        </w:trPr>
        <w:tc>
          <w:tcPr>
            <w:tcW w:w="2065"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61"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b/>
                <w:bCs/>
                <w:sz w:val="18"/>
                <w:szCs w:val="18"/>
              </w:rPr>
              <w:t>商标</w:t>
            </w:r>
            <w:r>
              <w:rPr>
                <w:rFonts w:ascii="宋体" w:hAnsi="宋体" w:cs="宋体" w:eastAsia="宋体" w:hint="default"/>
                <w:sz w:val="18"/>
                <w:szCs w:val="18"/>
              </w:rPr>
            </w:r>
          </w:p>
        </w:tc>
        <w:tc>
          <w:tcPr>
            <w:tcW w:w="2181" w:type="dxa"/>
            <w:tcBorders>
              <w:top w:val="nil" w:sz="6" w:space="0" w:color="auto"/>
              <w:left w:val="nil" w:sz="6" w:space="0" w:color="auto"/>
              <w:bottom w:val="single" w:sz="8" w:space="0" w:color="000000"/>
              <w:right w:val="nil" w:sz="6" w:space="0" w:color="auto"/>
            </w:tcBorders>
          </w:tcPr>
          <w:p>
            <w:pPr>
              <w:pStyle w:val="TableParagraph"/>
              <w:spacing w:line="180" w:lineRule="exact"/>
              <w:ind w:left="281" w:right="0" w:hanging="90"/>
              <w:jc w:val="left"/>
              <w:rPr>
                <w:rFonts w:ascii="宋体" w:hAnsi="宋体" w:cs="宋体" w:eastAsia="宋体" w:hint="default"/>
                <w:sz w:val="18"/>
                <w:szCs w:val="18"/>
              </w:rPr>
            </w:pPr>
            <w:r>
              <w:rPr>
                <w:rFonts w:ascii="宋体" w:hAnsi="宋体" w:cs="宋体" w:eastAsia="宋体" w:hint="default"/>
                <w:b/>
                <w:bCs/>
                <w:sz w:val="18"/>
                <w:szCs w:val="18"/>
              </w:rPr>
              <w:t>著作权、版权、业务</w:t>
            </w:r>
            <w:r>
              <w:rPr>
                <w:rFonts w:ascii="宋体" w:hAnsi="宋体" w:cs="宋体" w:eastAsia="宋体" w:hint="default"/>
                <w:sz w:val="18"/>
                <w:szCs w:val="18"/>
              </w:rPr>
            </w:r>
          </w:p>
          <w:p>
            <w:pPr>
              <w:pStyle w:val="TableParagraph"/>
              <w:spacing w:line="367" w:lineRule="auto" w:before="124"/>
              <w:ind w:left="461" w:right="452" w:hanging="180"/>
              <w:jc w:val="left"/>
              <w:rPr>
                <w:rFonts w:ascii="宋体" w:hAnsi="宋体" w:cs="宋体" w:eastAsia="宋体" w:hint="default"/>
                <w:sz w:val="18"/>
                <w:szCs w:val="18"/>
              </w:rPr>
            </w:pPr>
            <w:r>
              <w:rPr>
                <w:rFonts w:ascii="宋体" w:hAnsi="宋体" w:cs="宋体" w:eastAsia="宋体" w:hint="default"/>
                <w:b/>
                <w:bCs/>
                <w:sz w:val="18"/>
                <w:szCs w:val="18"/>
              </w:rPr>
              <w:t>独家经营权及成套</w:t>
            </w:r>
            <w:r>
              <w:rPr>
                <w:rFonts w:ascii="宋体" w:hAnsi="宋体" w:cs="宋体" w:eastAsia="宋体" w:hint="default"/>
                <w:b/>
                <w:bCs/>
                <w:w w:val="99"/>
                <w:sz w:val="18"/>
                <w:szCs w:val="18"/>
              </w:rPr>
              <w:t> </w:t>
            </w:r>
            <w:r>
              <w:rPr>
                <w:rFonts w:ascii="宋体" w:hAnsi="宋体" w:cs="宋体" w:eastAsia="宋体" w:hint="default"/>
                <w:b/>
                <w:bCs/>
                <w:sz w:val="18"/>
                <w:szCs w:val="18"/>
              </w:rPr>
              <w:t>研发运营系统</w:t>
            </w:r>
            <w:r>
              <w:rPr>
                <w:rFonts w:ascii="宋体" w:hAnsi="宋体" w:cs="宋体" w:eastAsia="宋体" w:hint="default"/>
                <w:sz w:val="18"/>
                <w:szCs w:val="18"/>
              </w:rPr>
            </w:r>
          </w:p>
        </w:tc>
        <w:tc>
          <w:tcPr>
            <w:tcW w:w="1667"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757"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4" w:hRule="exact"/>
        </w:trPr>
        <w:tc>
          <w:tcPr>
            <w:tcW w:w="2065"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61" w:type="dxa"/>
            <w:tcBorders>
              <w:top w:val="single" w:sz="8" w:space="0" w:color="000000"/>
              <w:left w:val="nil" w:sz="6" w:space="0" w:color="auto"/>
              <w:bottom w:val="nil" w:sz="6" w:space="0" w:color="auto"/>
              <w:right w:val="nil" w:sz="6" w:space="0" w:color="auto"/>
            </w:tcBorders>
          </w:tcPr>
          <w:p>
            <w:pPr/>
          </w:p>
        </w:tc>
        <w:tc>
          <w:tcPr>
            <w:tcW w:w="2181" w:type="dxa"/>
            <w:tcBorders>
              <w:top w:val="single" w:sz="8" w:space="0" w:color="000000"/>
              <w:left w:val="nil" w:sz="6" w:space="0" w:color="auto"/>
              <w:bottom w:val="nil" w:sz="6" w:space="0" w:color="auto"/>
              <w:right w:val="nil" w:sz="6" w:space="0" w:color="auto"/>
            </w:tcBorders>
          </w:tcPr>
          <w:p>
            <w:pPr/>
          </w:p>
        </w:tc>
        <w:tc>
          <w:tcPr>
            <w:tcW w:w="1667" w:type="dxa"/>
            <w:tcBorders>
              <w:top w:val="single" w:sz="8" w:space="0" w:color="000000"/>
              <w:left w:val="nil" w:sz="6" w:space="0" w:color="auto"/>
              <w:bottom w:val="nil" w:sz="6" w:space="0" w:color="auto"/>
              <w:right w:val="nil" w:sz="6" w:space="0" w:color="auto"/>
            </w:tcBorders>
          </w:tcPr>
          <w:p>
            <w:pPr/>
          </w:p>
        </w:tc>
        <w:tc>
          <w:tcPr>
            <w:tcW w:w="1757" w:type="dxa"/>
            <w:tcBorders>
              <w:top w:val="single" w:sz="8" w:space="0" w:color="000000"/>
              <w:left w:val="nil" w:sz="6" w:space="0" w:color="auto"/>
              <w:bottom w:val="nil" w:sz="6" w:space="0" w:color="auto"/>
              <w:right w:val="nil" w:sz="6" w:space="0" w:color="auto"/>
            </w:tcBorders>
          </w:tcPr>
          <w:p>
            <w:pPr/>
          </w:p>
        </w:tc>
      </w:tr>
      <w:tr>
        <w:trPr>
          <w:trHeight w:val="445"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89"/>
              <w:jc w:val="right"/>
              <w:rPr>
                <w:rFonts w:ascii="Times New Roman" w:hAnsi="Times New Roman" w:cs="Times New Roman" w:eastAsia="Times New Roman" w:hint="default"/>
                <w:sz w:val="18"/>
                <w:szCs w:val="18"/>
              </w:rPr>
            </w:pPr>
            <w:r>
              <w:rPr>
                <w:rFonts w:ascii="Times New Roman"/>
                <w:sz w:val="18"/>
              </w:rPr>
              <w:t>346,978.89</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28"/>
              <w:jc w:val="right"/>
              <w:rPr>
                <w:rFonts w:ascii="Times New Roman" w:hAnsi="Times New Roman" w:cs="Times New Roman" w:eastAsia="Times New Roman" w:hint="default"/>
                <w:sz w:val="18"/>
                <w:szCs w:val="18"/>
              </w:rPr>
            </w:pPr>
            <w:r>
              <w:rPr>
                <w:rFonts w:ascii="Times New Roman"/>
                <w:spacing w:val="-1"/>
                <w:sz w:val="18"/>
              </w:rPr>
              <w:t>130,663,628.59</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55"/>
              <w:jc w:val="right"/>
              <w:rPr>
                <w:rFonts w:ascii="Times New Roman" w:hAnsi="Times New Roman" w:cs="Times New Roman" w:eastAsia="Times New Roman" w:hint="default"/>
                <w:sz w:val="18"/>
                <w:szCs w:val="18"/>
              </w:rPr>
            </w:pPr>
            <w:r>
              <w:rPr>
                <w:rFonts w:ascii="Times New Roman"/>
                <w:spacing w:val="-1"/>
                <w:sz w:val="18"/>
              </w:rPr>
              <w:t>2,747,575.28</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133,758,182.76</w:t>
            </w:r>
            <w:r>
              <w:rPr>
                <w:rFonts w:ascii="Times New Roman"/>
                <w:spacing w:val="-1"/>
                <w:sz w:val="18"/>
              </w:rPr>
            </w: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9"/>
              <w:jc w:val="right"/>
              <w:rPr>
                <w:rFonts w:ascii="Times New Roman" w:hAnsi="Times New Roman" w:cs="Times New Roman" w:eastAsia="Times New Roman" w:hint="default"/>
                <w:sz w:val="18"/>
                <w:szCs w:val="18"/>
              </w:rPr>
            </w:pPr>
            <w:r>
              <w:rPr>
                <w:rFonts w:ascii="Times New Roman"/>
                <w:sz w:val="18"/>
              </w:rPr>
              <w:t>36,500.00</w:t>
            </w: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4"/>
              <w:jc w:val="right"/>
              <w:rPr>
                <w:rFonts w:ascii="Times New Roman" w:hAnsi="Times New Roman" w:cs="Times New Roman" w:eastAsia="Times New Roman" w:hint="default"/>
                <w:sz w:val="18"/>
                <w:szCs w:val="18"/>
              </w:rPr>
            </w:pPr>
            <w:r>
              <w:rPr>
                <w:rFonts w:ascii="Times New Roman"/>
                <w:sz w:val="18"/>
              </w:rPr>
              <w:t>47,452.02</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83,952.02</w:t>
            </w:r>
            <w:r>
              <w:rPr>
                <w:rFonts w:ascii="Times New Roman"/>
                <w:sz w:val="18"/>
              </w:rPr>
            </w: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9"/>
              <w:jc w:val="right"/>
              <w:rPr>
                <w:rFonts w:ascii="Times New Roman" w:hAnsi="Times New Roman" w:cs="Times New Roman" w:eastAsia="Times New Roman" w:hint="default"/>
                <w:sz w:val="18"/>
                <w:szCs w:val="18"/>
              </w:rPr>
            </w:pPr>
            <w:r>
              <w:rPr>
                <w:rFonts w:ascii="Times New Roman"/>
                <w:sz w:val="18"/>
              </w:rPr>
              <w:t>36,500.00</w:t>
            </w: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4"/>
              <w:jc w:val="right"/>
              <w:rPr>
                <w:rFonts w:ascii="Times New Roman" w:hAnsi="Times New Roman" w:cs="Times New Roman" w:eastAsia="Times New Roman" w:hint="default"/>
                <w:sz w:val="18"/>
                <w:szCs w:val="18"/>
              </w:rPr>
            </w:pPr>
            <w:r>
              <w:rPr>
                <w:rFonts w:ascii="Times New Roman"/>
                <w:sz w:val="18"/>
              </w:rPr>
              <w:t>47,452.02</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83,952.02</w:t>
            </w:r>
            <w:r>
              <w:rPr>
                <w:rFonts w:ascii="Times New Roman"/>
                <w:sz w:val="18"/>
              </w:rPr>
            </w: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61"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9"/>
              <w:jc w:val="right"/>
              <w:rPr>
                <w:rFonts w:ascii="Times New Roman" w:hAnsi="Times New Roman" w:cs="Times New Roman" w:eastAsia="Times New Roman" w:hint="default"/>
                <w:sz w:val="18"/>
                <w:szCs w:val="18"/>
              </w:rPr>
            </w:pPr>
            <w:r>
              <w:rPr>
                <w:rFonts w:ascii="Times New Roman"/>
                <w:sz w:val="18"/>
              </w:rPr>
              <w:t>383,478.89</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8"/>
              <w:jc w:val="right"/>
              <w:rPr>
                <w:rFonts w:ascii="Times New Roman" w:hAnsi="Times New Roman" w:cs="Times New Roman" w:eastAsia="Times New Roman" w:hint="default"/>
                <w:sz w:val="18"/>
                <w:szCs w:val="18"/>
              </w:rPr>
            </w:pPr>
            <w:r>
              <w:rPr>
                <w:rFonts w:ascii="Times New Roman"/>
                <w:spacing w:val="-1"/>
                <w:sz w:val="18"/>
              </w:rPr>
              <w:t>130,663,628.59</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5"/>
              <w:jc w:val="right"/>
              <w:rPr>
                <w:rFonts w:ascii="Times New Roman" w:hAnsi="Times New Roman" w:cs="Times New Roman" w:eastAsia="Times New Roman" w:hint="default"/>
                <w:sz w:val="18"/>
                <w:szCs w:val="18"/>
              </w:rPr>
            </w:pPr>
            <w:r>
              <w:rPr>
                <w:rFonts w:ascii="Times New Roman"/>
                <w:spacing w:val="-1"/>
                <w:sz w:val="18"/>
              </w:rPr>
              <w:t>2,795,027.30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133,842,134.78</w:t>
            </w:r>
            <w:r>
              <w:rPr>
                <w:rFonts w:ascii="Times New Roman"/>
                <w:spacing w:val="-1"/>
                <w:sz w:val="18"/>
              </w:rPr>
            </w:r>
          </w:p>
        </w:tc>
      </w:tr>
      <w:tr>
        <w:trPr>
          <w:trHeight w:val="436"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761"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45"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89"/>
              <w:jc w:val="right"/>
              <w:rPr>
                <w:rFonts w:ascii="Times New Roman" w:hAnsi="Times New Roman" w:cs="Times New Roman" w:eastAsia="Times New Roman" w:hint="default"/>
                <w:sz w:val="18"/>
                <w:szCs w:val="18"/>
              </w:rPr>
            </w:pPr>
            <w:r>
              <w:rPr>
                <w:rFonts w:ascii="Times New Roman"/>
                <w:sz w:val="18"/>
              </w:rPr>
              <w:t>248,469.48</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28"/>
              <w:jc w:val="right"/>
              <w:rPr>
                <w:rFonts w:ascii="Times New Roman" w:hAnsi="Times New Roman" w:cs="Times New Roman" w:eastAsia="Times New Roman" w:hint="default"/>
                <w:sz w:val="18"/>
                <w:szCs w:val="18"/>
              </w:rPr>
            </w:pPr>
            <w:r>
              <w:rPr>
                <w:rFonts w:ascii="Times New Roman"/>
                <w:spacing w:val="-1"/>
                <w:sz w:val="18"/>
              </w:rPr>
              <w:t>13,805,615.28</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55"/>
              <w:jc w:val="right"/>
              <w:rPr>
                <w:rFonts w:ascii="Times New Roman" w:hAnsi="Times New Roman" w:cs="Times New Roman" w:eastAsia="Times New Roman" w:hint="default"/>
                <w:sz w:val="18"/>
                <w:szCs w:val="18"/>
              </w:rPr>
            </w:pPr>
            <w:r>
              <w:rPr>
                <w:rFonts w:ascii="Times New Roman"/>
                <w:spacing w:val="-1"/>
                <w:sz w:val="18"/>
              </w:rPr>
              <w:t>1,795,607.64</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15,849,692.40</w:t>
            </w:r>
            <w:r>
              <w:rPr>
                <w:rFonts w:ascii="Times New Roman"/>
                <w:spacing w:val="-1"/>
                <w:sz w:val="18"/>
              </w:rPr>
            </w: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9"/>
              <w:jc w:val="right"/>
              <w:rPr>
                <w:rFonts w:ascii="Times New Roman" w:hAnsi="Times New Roman" w:cs="Times New Roman" w:eastAsia="Times New Roman" w:hint="default"/>
                <w:sz w:val="18"/>
                <w:szCs w:val="18"/>
              </w:rPr>
            </w:pPr>
            <w:r>
              <w:rPr>
                <w:rFonts w:ascii="Times New Roman"/>
                <w:sz w:val="18"/>
              </w:rPr>
              <w:t>32,409.63</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8"/>
              <w:jc w:val="right"/>
              <w:rPr>
                <w:rFonts w:ascii="Times New Roman" w:hAnsi="Times New Roman" w:cs="Times New Roman" w:eastAsia="Times New Roman" w:hint="default"/>
                <w:sz w:val="18"/>
                <w:szCs w:val="18"/>
              </w:rPr>
            </w:pPr>
            <w:r>
              <w:rPr>
                <w:rFonts w:ascii="Times New Roman"/>
                <w:spacing w:val="-1"/>
                <w:sz w:val="18"/>
              </w:rPr>
              <w:t>16,841,232.86</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4"/>
              <w:jc w:val="right"/>
              <w:rPr>
                <w:rFonts w:ascii="Times New Roman" w:hAnsi="Times New Roman" w:cs="Times New Roman" w:eastAsia="Times New Roman" w:hint="default"/>
                <w:sz w:val="18"/>
                <w:szCs w:val="18"/>
              </w:rPr>
            </w:pPr>
            <w:r>
              <w:rPr>
                <w:rFonts w:ascii="Times New Roman"/>
                <w:sz w:val="18"/>
              </w:rPr>
              <w:t>402,826.56</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17,276,469.05</w:t>
            </w:r>
            <w:r>
              <w:rPr>
                <w:rFonts w:ascii="Times New Roman"/>
                <w:spacing w:val="-1"/>
                <w:sz w:val="18"/>
              </w:rPr>
            </w: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9"/>
              <w:jc w:val="right"/>
              <w:rPr>
                <w:rFonts w:ascii="Times New Roman" w:hAnsi="Times New Roman" w:cs="Times New Roman" w:eastAsia="Times New Roman" w:hint="default"/>
                <w:sz w:val="18"/>
                <w:szCs w:val="18"/>
              </w:rPr>
            </w:pPr>
            <w:r>
              <w:rPr>
                <w:rFonts w:ascii="Times New Roman"/>
                <w:sz w:val="18"/>
              </w:rPr>
              <w:t>32,409.63</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8"/>
              <w:jc w:val="right"/>
              <w:rPr>
                <w:rFonts w:ascii="Times New Roman" w:hAnsi="Times New Roman" w:cs="Times New Roman" w:eastAsia="Times New Roman" w:hint="default"/>
                <w:sz w:val="18"/>
                <w:szCs w:val="18"/>
              </w:rPr>
            </w:pPr>
            <w:r>
              <w:rPr>
                <w:rFonts w:ascii="Times New Roman"/>
                <w:spacing w:val="-1"/>
                <w:sz w:val="18"/>
              </w:rPr>
              <w:t>16,841,232.86</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4"/>
              <w:jc w:val="right"/>
              <w:rPr>
                <w:rFonts w:ascii="Times New Roman" w:hAnsi="Times New Roman" w:cs="Times New Roman" w:eastAsia="Times New Roman" w:hint="default"/>
                <w:sz w:val="18"/>
                <w:szCs w:val="18"/>
              </w:rPr>
            </w:pPr>
            <w:r>
              <w:rPr>
                <w:rFonts w:ascii="Times New Roman"/>
                <w:sz w:val="18"/>
              </w:rPr>
              <w:t>402,826.56</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17,276,469.05</w:t>
            </w:r>
            <w:r>
              <w:rPr>
                <w:rFonts w:ascii="Times New Roman"/>
                <w:spacing w:val="-1"/>
                <w:sz w:val="18"/>
              </w:rPr>
            </w: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61"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9"/>
              <w:jc w:val="right"/>
              <w:rPr>
                <w:rFonts w:ascii="Times New Roman" w:hAnsi="Times New Roman" w:cs="Times New Roman" w:eastAsia="Times New Roman" w:hint="default"/>
                <w:sz w:val="18"/>
                <w:szCs w:val="18"/>
              </w:rPr>
            </w:pPr>
            <w:r>
              <w:rPr>
                <w:rFonts w:ascii="Times New Roman"/>
                <w:sz w:val="18"/>
              </w:rPr>
              <w:t>280,879.11</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8"/>
              <w:jc w:val="right"/>
              <w:rPr>
                <w:rFonts w:ascii="Times New Roman" w:hAnsi="Times New Roman" w:cs="Times New Roman" w:eastAsia="Times New Roman" w:hint="default"/>
                <w:sz w:val="18"/>
                <w:szCs w:val="18"/>
              </w:rPr>
            </w:pPr>
            <w:r>
              <w:rPr>
                <w:rFonts w:ascii="Times New Roman"/>
                <w:spacing w:val="-1"/>
                <w:sz w:val="18"/>
              </w:rPr>
              <w:t>30,646,848.14</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5"/>
              <w:jc w:val="right"/>
              <w:rPr>
                <w:rFonts w:ascii="Times New Roman" w:hAnsi="Times New Roman" w:cs="Times New Roman" w:eastAsia="Times New Roman" w:hint="default"/>
                <w:sz w:val="18"/>
                <w:szCs w:val="18"/>
              </w:rPr>
            </w:pPr>
            <w:r>
              <w:rPr>
                <w:rFonts w:ascii="Times New Roman"/>
                <w:spacing w:val="-1"/>
                <w:sz w:val="18"/>
              </w:rPr>
              <w:t>2,198,434.20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33,126,161.45</w:t>
            </w:r>
            <w:r>
              <w:rPr>
                <w:rFonts w:ascii="Times New Roman"/>
                <w:spacing w:val="-1"/>
                <w:sz w:val="18"/>
              </w:rPr>
            </w:r>
          </w:p>
        </w:tc>
      </w:tr>
      <w:tr>
        <w:trPr>
          <w:trHeight w:val="435"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61"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45"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61"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61"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61"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40"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61"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35"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61" w:type="dxa"/>
            <w:tcBorders>
              <w:top w:val="nil" w:sz="6" w:space="0" w:color="auto"/>
              <w:left w:val="nil" w:sz="6" w:space="0" w:color="auto"/>
              <w:bottom w:val="nil" w:sz="6" w:space="0" w:color="auto"/>
              <w:right w:val="nil" w:sz="6" w:space="0" w:color="auto"/>
            </w:tcBorders>
          </w:tcPr>
          <w:p>
            <w:pPr/>
          </w:p>
        </w:tc>
        <w:tc>
          <w:tcPr>
            <w:tcW w:w="2181"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757" w:type="dxa"/>
            <w:tcBorders>
              <w:top w:val="nil" w:sz="6" w:space="0" w:color="auto"/>
              <w:left w:val="nil" w:sz="6" w:space="0" w:color="auto"/>
              <w:bottom w:val="nil" w:sz="6" w:space="0" w:color="auto"/>
              <w:right w:val="nil" w:sz="6" w:space="0" w:color="auto"/>
            </w:tcBorders>
          </w:tcPr>
          <w:p>
            <w:pPr/>
          </w:p>
        </w:tc>
      </w:tr>
      <w:tr>
        <w:trPr>
          <w:trHeight w:val="446"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8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102,599.78</w:t>
            </w:r>
            <w:r>
              <w:rPr>
                <w:rFonts w:ascii="Times New Roman"/>
                <w:sz w:val="18"/>
              </w:rPr>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100,016,780.45</w:t>
            </w:r>
            <w:r>
              <w:rPr>
                <w:rFonts w:ascii="Times New Roman"/>
                <w:spacing w:val="-1"/>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5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596,593.10</w:t>
            </w:r>
            <w:r>
              <w:rPr>
                <w:rFonts w:ascii="Times New Roman"/>
                <w:sz w:val="18"/>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100,715,973.33</w:t>
            </w:r>
            <w:r>
              <w:rPr>
                <w:rFonts w:ascii="Times New Roman"/>
                <w:spacing w:val="-1"/>
                <w:sz w:val="18"/>
              </w:rPr>
            </w:r>
          </w:p>
        </w:tc>
      </w:tr>
      <w:tr>
        <w:trPr>
          <w:trHeight w:val="315" w:hRule="exact"/>
        </w:trPr>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98,509.41</w:t>
            </w:r>
            <w:r>
              <w:rPr>
                <w:rFonts w:ascii="Times New Roman"/>
                <w:sz w:val="18"/>
              </w:rPr>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116,858,013.31</w:t>
            </w:r>
            <w:r>
              <w:rPr>
                <w:rFonts w:ascii="Times New Roman"/>
                <w:spacing w:val="-1"/>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4"/>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951,967.64</w:t>
            </w:r>
            <w:r>
              <w:rPr>
                <w:rFonts w:ascii="Times New Roman"/>
                <w:sz w:val="18"/>
              </w:rPr>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117,908,490.36</w:t>
            </w:r>
            <w:r>
              <w:rPr>
                <w:rFonts w:ascii="Times New Roman"/>
                <w:spacing w:val="-1"/>
                <w:sz w:val="18"/>
              </w:rPr>
            </w: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13.商誉" w:id="205"/>
      <w:bookmarkEnd w:id="205"/>
      <w:r>
        <w:rPr/>
      </w:r>
      <w:r>
        <w:rPr>
          <w:rFonts w:ascii="Times New Roman" w:hAnsi="Times New Roman" w:cs="Times New Roman" w:eastAsia="Times New Roman" w:hint="default"/>
        </w:rPr>
        <w:t>13.</w:t>
      </w:r>
      <w:r>
        <w:rPr/>
        <w:t>商誉</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1</w:t>
      </w:r>
      <w:r>
        <w:rPr/>
        <w:t>）商誉账面原值</w:t>
      </w:r>
    </w:p>
    <w:p>
      <w:pPr>
        <w:spacing w:line="240" w:lineRule="auto" w:before="8"/>
        <w:rPr>
          <w:rFonts w:ascii="宋体" w:hAnsi="宋体" w:cs="宋体" w:eastAsia="宋体" w:hint="default"/>
          <w:sz w:val="29"/>
          <w:szCs w:val="29"/>
        </w:rPr>
      </w:pPr>
    </w:p>
    <w:tbl>
      <w:tblPr>
        <w:tblW w:w="0" w:type="auto"/>
        <w:jc w:val="left"/>
        <w:tblInd w:w="1310" w:type="dxa"/>
        <w:tblLayout w:type="fixed"/>
        <w:tblCellMar>
          <w:top w:w="0" w:type="dxa"/>
          <w:left w:w="0" w:type="dxa"/>
          <w:bottom w:w="0" w:type="dxa"/>
          <w:right w:w="0" w:type="dxa"/>
        </w:tblCellMar>
        <w:tblLook w:val="01E0"/>
      </w:tblPr>
      <w:tblGrid>
        <w:gridCol w:w="3467"/>
        <w:gridCol w:w="1576"/>
        <w:gridCol w:w="1326"/>
        <w:gridCol w:w="1531"/>
        <w:gridCol w:w="1531"/>
      </w:tblGrid>
      <w:tr>
        <w:trPr>
          <w:trHeight w:val="247" w:hRule="exact"/>
        </w:trPr>
        <w:tc>
          <w:tcPr>
            <w:tcW w:w="3467" w:type="dxa"/>
            <w:tcBorders>
              <w:top w:val="nil" w:sz="6" w:space="0" w:color="auto"/>
              <w:left w:val="nil" w:sz="6" w:space="0" w:color="auto"/>
              <w:bottom w:val="single" w:sz="4" w:space="0" w:color="000000"/>
              <w:right w:val="nil" w:sz="6" w:space="0" w:color="auto"/>
            </w:tcBorders>
          </w:tcPr>
          <w:p>
            <w:pPr>
              <w:pStyle w:val="TableParagraph"/>
              <w:spacing w:line="150" w:lineRule="exact"/>
              <w:ind w:left="942" w:right="0"/>
              <w:jc w:val="left"/>
              <w:rPr>
                <w:rFonts w:ascii="宋体" w:hAnsi="宋体" w:cs="宋体" w:eastAsia="宋体" w:hint="default"/>
                <w:sz w:val="15"/>
                <w:szCs w:val="15"/>
              </w:rPr>
            </w:pPr>
            <w:r>
              <w:rPr>
                <w:rFonts w:ascii="宋体" w:hAnsi="宋体" w:cs="宋体" w:eastAsia="宋体" w:hint="default"/>
                <w:b/>
                <w:bCs/>
                <w:sz w:val="15"/>
                <w:szCs w:val="15"/>
              </w:rPr>
              <w:t>被投资单位名称或形成商誉的事项</w:t>
            </w:r>
            <w:r>
              <w:rPr>
                <w:rFonts w:ascii="宋体" w:hAnsi="宋体" w:cs="宋体" w:eastAsia="宋体" w:hint="default"/>
                <w:sz w:val="15"/>
                <w:szCs w:val="15"/>
              </w:rPr>
            </w:r>
          </w:p>
        </w:tc>
        <w:tc>
          <w:tcPr>
            <w:tcW w:w="1576" w:type="dxa"/>
            <w:tcBorders>
              <w:top w:val="nil" w:sz="6" w:space="0" w:color="auto"/>
              <w:left w:val="nil" w:sz="6" w:space="0" w:color="auto"/>
              <w:bottom w:val="single" w:sz="4" w:space="0" w:color="000000"/>
              <w:right w:val="nil" w:sz="6" w:space="0" w:color="auto"/>
            </w:tcBorders>
          </w:tcPr>
          <w:p>
            <w:pPr>
              <w:pStyle w:val="TableParagraph"/>
              <w:spacing w:line="150" w:lineRule="exact"/>
              <w:ind w:left="304"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326" w:type="dxa"/>
            <w:tcBorders>
              <w:top w:val="nil" w:sz="6" w:space="0" w:color="auto"/>
              <w:left w:val="nil" w:sz="6" w:space="0" w:color="auto"/>
              <w:bottom w:val="single" w:sz="4" w:space="0" w:color="000000"/>
              <w:right w:val="nil" w:sz="6" w:space="0" w:color="auto"/>
            </w:tcBorders>
          </w:tcPr>
          <w:p>
            <w:pPr>
              <w:pStyle w:val="TableParagraph"/>
              <w:spacing w:line="150" w:lineRule="exact"/>
              <w:ind w:left="259"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1531" w:type="dxa"/>
            <w:tcBorders>
              <w:top w:val="nil" w:sz="6" w:space="0" w:color="auto"/>
              <w:left w:val="nil" w:sz="6" w:space="0" w:color="auto"/>
              <w:bottom w:val="single" w:sz="4" w:space="0" w:color="000000"/>
              <w:right w:val="nil" w:sz="6" w:space="0" w:color="auto"/>
            </w:tcBorders>
          </w:tcPr>
          <w:p>
            <w:pPr>
              <w:pStyle w:val="TableParagraph"/>
              <w:spacing w:line="150" w:lineRule="exact"/>
              <w:ind w:left="464" w:right="0"/>
              <w:jc w:val="left"/>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1531" w:type="dxa"/>
            <w:tcBorders>
              <w:top w:val="nil" w:sz="6" w:space="0" w:color="auto"/>
              <w:left w:val="nil" w:sz="6" w:space="0" w:color="auto"/>
              <w:bottom w:val="single" w:sz="4" w:space="0" w:color="000000"/>
              <w:right w:val="nil" w:sz="6" w:space="0" w:color="auto"/>
            </w:tcBorders>
          </w:tcPr>
          <w:p>
            <w:pPr>
              <w:pStyle w:val="TableParagraph"/>
              <w:spacing w:line="150" w:lineRule="exact"/>
              <w:ind w:left="464"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503" w:hRule="exact"/>
        </w:trPr>
        <w:tc>
          <w:tcPr>
            <w:tcW w:w="34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广州游爱网络技术有限公司</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7" w:right="0"/>
              <w:jc w:val="left"/>
              <w:rPr>
                <w:rFonts w:ascii="Times New Roman" w:hAnsi="Times New Roman" w:cs="Times New Roman" w:eastAsia="Times New Roman" w:hint="default"/>
                <w:sz w:val="15"/>
                <w:szCs w:val="15"/>
              </w:rPr>
            </w:pPr>
            <w:r>
              <w:rPr>
                <w:rFonts w:ascii="Times New Roman"/>
                <w:sz w:val="15"/>
              </w:rPr>
              <w:t>1,422,078,148.08</w:t>
            </w:r>
          </w:p>
        </w:tc>
        <w:tc>
          <w:tcPr>
            <w:tcW w:w="1326" w:type="dxa"/>
            <w:tcBorders>
              <w:top w:val="single" w:sz="4" w:space="0" w:color="000000"/>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1,422,078,148.08</w:t>
            </w:r>
          </w:p>
        </w:tc>
      </w:tr>
      <w:tr>
        <w:trPr>
          <w:trHeight w:val="440"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宋体" w:hAnsi="宋体" w:cs="宋体" w:eastAsia="宋体" w:hint="default"/>
                <w:sz w:val="15"/>
                <w:szCs w:val="15"/>
              </w:rPr>
              <w:t>北京神奇时代网络有限公司</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67" w:right="0"/>
              <w:jc w:val="left"/>
              <w:rPr>
                <w:rFonts w:ascii="Times New Roman" w:hAnsi="Times New Roman" w:cs="Times New Roman" w:eastAsia="Times New Roman" w:hint="default"/>
                <w:sz w:val="15"/>
                <w:szCs w:val="15"/>
              </w:rPr>
            </w:pPr>
            <w:r>
              <w:rPr>
                <w:rFonts w:ascii="Times New Roman"/>
                <w:sz w:val="15"/>
              </w:rPr>
              <w:t>1,124,037,462.81</w:t>
            </w:r>
          </w:p>
        </w:tc>
        <w:tc>
          <w:tcPr>
            <w:tcW w:w="132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1,124,037,462.81</w:t>
            </w:r>
          </w:p>
        </w:tc>
      </w:tr>
      <w:tr>
        <w:trPr>
          <w:trHeight w:val="440"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宋体" w:hAnsi="宋体" w:cs="宋体" w:eastAsia="宋体" w:hint="default"/>
                <w:sz w:val="15"/>
                <w:szCs w:val="15"/>
              </w:rPr>
              <w:t>人民今典科教传媒有限公司</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84" w:right="0"/>
              <w:jc w:val="left"/>
              <w:rPr>
                <w:rFonts w:ascii="Times New Roman" w:hAnsi="Times New Roman" w:cs="Times New Roman" w:eastAsia="Times New Roman" w:hint="default"/>
                <w:sz w:val="15"/>
                <w:szCs w:val="15"/>
              </w:rPr>
            </w:pPr>
            <w:r>
              <w:rPr>
                <w:rFonts w:ascii="Times New Roman"/>
                <w:sz w:val="15"/>
              </w:rPr>
              <w:t>138,606,411.63</w:t>
            </w:r>
          </w:p>
        </w:tc>
        <w:tc>
          <w:tcPr>
            <w:tcW w:w="132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138,606,411.63</w:t>
            </w:r>
          </w:p>
        </w:tc>
      </w:tr>
      <w:tr>
        <w:trPr>
          <w:trHeight w:val="299"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6"/>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67"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2,684,722,022.52</w:t>
            </w:r>
            <w:r>
              <w:rPr>
                <w:rFonts w:ascii="Times New Roman"/>
                <w:sz w:val="15"/>
              </w:rPr>
            </w:r>
          </w:p>
        </w:tc>
        <w:tc>
          <w:tcPr>
            <w:tcW w:w="1326"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2,684,722,022.52</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2</w:t>
      </w:r>
      <w:r>
        <w:rPr/>
        <w:t>）商誉减值准备</w:t>
      </w:r>
    </w:p>
    <w:p>
      <w:pPr>
        <w:spacing w:line="240" w:lineRule="auto" w:before="8"/>
        <w:rPr>
          <w:rFonts w:ascii="宋体" w:hAnsi="宋体" w:cs="宋体" w:eastAsia="宋体" w:hint="default"/>
          <w:sz w:val="29"/>
          <w:szCs w:val="29"/>
        </w:rPr>
      </w:pPr>
    </w:p>
    <w:tbl>
      <w:tblPr>
        <w:tblW w:w="0" w:type="auto"/>
        <w:jc w:val="left"/>
        <w:tblInd w:w="1310" w:type="dxa"/>
        <w:tblLayout w:type="fixed"/>
        <w:tblCellMar>
          <w:top w:w="0" w:type="dxa"/>
          <w:left w:w="0" w:type="dxa"/>
          <w:bottom w:w="0" w:type="dxa"/>
          <w:right w:w="0" w:type="dxa"/>
        </w:tblCellMar>
        <w:tblLook w:val="01E0"/>
      </w:tblPr>
      <w:tblGrid>
        <w:gridCol w:w="3200"/>
        <w:gridCol w:w="1410"/>
        <w:gridCol w:w="1672"/>
        <w:gridCol w:w="1541"/>
        <w:gridCol w:w="1607"/>
      </w:tblGrid>
      <w:tr>
        <w:trPr>
          <w:trHeight w:val="247" w:hRule="exact"/>
        </w:trPr>
        <w:tc>
          <w:tcPr>
            <w:tcW w:w="3200" w:type="dxa"/>
            <w:tcBorders>
              <w:top w:val="nil" w:sz="6" w:space="0" w:color="auto"/>
              <w:left w:val="nil" w:sz="6" w:space="0" w:color="auto"/>
              <w:bottom w:val="single" w:sz="4" w:space="0" w:color="000000"/>
              <w:right w:val="nil" w:sz="6" w:space="0" w:color="auto"/>
            </w:tcBorders>
          </w:tcPr>
          <w:p>
            <w:pPr>
              <w:pStyle w:val="TableParagraph"/>
              <w:spacing w:line="150" w:lineRule="exact"/>
              <w:ind w:left="637" w:right="0"/>
              <w:jc w:val="left"/>
              <w:rPr>
                <w:rFonts w:ascii="宋体" w:hAnsi="宋体" w:cs="宋体" w:eastAsia="宋体" w:hint="default"/>
                <w:sz w:val="15"/>
                <w:szCs w:val="15"/>
              </w:rPr>
            </w:pPr>
            <w:r>
              <w:rPr>
                <w:rFonts w:ascii="宋体" w:hAnsi="宋体" w:cs="宋体" w:eastAsia="宋体" w:hint="default"/>
                <w:b/>
                <w:bCs/>
                <w:sz w:val="15"/>
                <w:szCs w:val="15"/>
              </w:rPr>
              <w:t>被投资单位名称或形成商誉的事项</w:t>
            </w:r>
            <w:r>
              <w:rPr>
                <w:rFonts w:ascii="宋体" w:hAnsi="宋体" w:cs="宋体" w:eastAsia="宋体" w:hint="default"/>
                <w:sz w:val="15"/>
                <w:szCs w:val="15"/>
              </w:rPr>
            </w:r>
          </w:p>
        </w:tc>
        <w:tc>
          <w:tcPr>
            <w:tcW w:w="1410" w:type="dxa"/>
            <w:tcBorders>
              <w:top w:val="nil" w:sz="6" w:space="0" w:color="auto"/>
              <w:left w:val="nil" w:sz="6" w:space="0" w:color="auto"/>
              <w:bottom w:val="single" w:sz="4" w:space="0" w:color="000000"/>
              <w:right w:val="nil" w:sz="6" w:space="0" w:color="auto"/>
            </w:tcBorders>
          </w:tcPr>
          <w:p>
            <w:pPr>
              <w:pStyle w:val="TableParagraph"/>
              <w:spacing w:line="150" w:lineRule="exact"/>
              <w:ind w:left="305"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672" w:type="dxa"/>
            <w:tcBorders>
              <w:top w:val="nil" w:sz="6" w:space="0" w:color="auto"/>
              <w:left w:val="nil" w:sz="6" w:space="0" w:color="auto"/>
              <w:bottom w:val="single" w:sz="4" w:space="0" w:color="000000"/>
              <w:right w:val="nil" w:sz="6" w:space="0" w:color="auto"/>
            </w:tcBorders>
          </w:tcPr>
          <w:p>
            <w:pPr>
              <w:pStyle w:val="TableParagraph"/>
              <w:spacing w:line="150" w:lineRule="exact"/>
              <w:ind w:right="63"/>
              <w:jc w:val="center"/>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1541" w:type="dxa"/>
            <w:tcBorders>
              <w:top w:val="nil" w:sz="6" w:space="0" w:color="auto"/>
              <w:left w:val="nil" w:sz="6" w:space="0" w:color="auto"/>
              <w:bottom w:val="single" w:sz="4" w:space="0" w:color="000000"/>
              <w:right w:val="nil" w:sz="6" w:space="0" w:color="auto"/>
            </w:tcBorders>
          </w:tcPr>
          <w:p>
            <w:pPr>
              <w:pStyle w:val="TableParagraph"/>
              <w:spacing w:line="150" w:lineRule="exact"/>
              <w:ind w:left="437" w:right="0"/>
              <w:jc w:val="left"/>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1607" w:type="dxa"/>
            <w:tcBorders>
              <w:top w:val="nil" w:sz="6" w:space="0" w:color="auto"/>
              <w:left w:val="nil" w:sz="6" w:space="0" w:color="auto"/>
              <w:bottom w:val="single" w:sz="4" w:space="0" w:color="000000"/>
              <w:right w:val="nil" w:sz="6" w:space="0" w:color="auto"/>
            </w:tcBorders>
          </w:tcPr>
          <w:p>
            <w:pPr>
              <w:pStyle w:val="TableParagraph"/>
              <w:spacing w:line="150" w:lineRule="exact"/>
              <w:ind w:right="1"/>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503" w:hRule="exact"/>
        </w:trPr>
        <w:tc>
          <w:tcPr>
            <w:tcW w:w="320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北京神奇时代网络有限公司</w:t>
            </w:r>
          </w:p>
        </w:tc>
        <w:tc>
          <w:tcPr>
            <w:tcW w:w="1410" w:type="dxa"/>
            <w:tcBorders>
              <w:top w:val="single" w:sz="4" w:space="0" w:color="000000"/>
              <w:left w:val="nil" w:sz="6" w:space="0" w:color="auto"/>
              <w:bottom w:val="nil" w:sz="6" w:space="0" w:color="auto"/>
              <w:right w:val="nil" w:sz="6" w:space="0" w:color="auto"/>
            </w:tcBorders>
          </w:tcPr>
          <w:p>
            <w:pP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2"/>
              <w:jc w:val="center"/>
              <w:rPr>
                <w:rFonts w:ascii="Times New Roman" w:hAnsi="Times New Roman" w:cs="Times New Roman" w:eastAsia="Times New Roman" w:hint="default"/>
                <w:sz w:val="15"/>
                <w:szCs w:val="15"/>
              </w:rPr>
            </w:pPr>
            <w:r>
              <w:rPr>
                <w:rFonts w:ascii="Times New Roman"/>
                <w:sz w:val="15"/>
              </w:rPr>
              <w:t>74,053,614.35</w:t>
            </w:r>
          </w:p>
        </w:tc>
        <w:tc>
          <w:tcPr>
            <w:tcW w:w="1541" w:type="dxa"/>
            <w:tcBorders>
              <w:top w:val="single" w:sz="4" w:space="0" w:color="000000"/>
              <w:left w:val="nil" w:sz="6" w:space="0" w:color="auto"/>
              <w:bottom w:val="nil" w:sz="6" w:space="0" w:color="auto"/>
              <w:right w:val="nil" w:sz="6" w:space="0" w:color="auto"/>
            </w:tcBorders>
          </w:tcPr>
          <w:p>
            <w:pPr/>
          </w:p>
        </w:tc>
        <w:tc>
          <w:tcPr>
            <w:tcW w:w="160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74,053,614.35</w:t>
            </w:r>
          </w:p>
        </w:tc>
      </w:tr>
      <w:tr>
        <w:trPr>
          <w:trHeight w:val="440"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宋体" w:hAnsi="宋体" w:cs="宋体" w:eastAsia="宋体" w:hint="default"/>
                <w:sz w:val="15"/>
                <w:szCs w:val="15"/>
              </w:rPr>
              <w:t>人民今典科教传媒有限公司</w:t>
            </w:r>
          </w:p>
        </w:tc>
        <w:tc>
          <w:tcPr>
            <w:tcW w:w="1410"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62"/>
              <w:jc w:val="center"/>
              <w:rPr>
                <w:rFonts w:ascii="Times New Roman" w:hAnsi="Times New Roman" w:cs="Times New Roman" w:eastAsia="Times New Roman" w:hint="default"/>
                <w:sz w:val="15"/>
                <w:szCs w:val="15"/>
              </w:rPr>
            </w:pPr>
            <w:r>
              <w:rPr>
                <w:rFonts w:ascii="Times New Roman"/>
                <w:sz w:val="15"/>
              </w:rPr>
              <w:t>14,162,655.63</w:t>
            </w:r>
          </w:p>
        </w:tc>
        <w:tc>
          <w:tcPr>
            <w:tcW w:w="154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14,162,655.63</w:t>
            </w:r>
          </w:p>
        </w:tc>
      </w:tr>
      <w:tr>
        <w:trPr>
          <w:trHeight w:val="299" w:hRule="exact"/>
        </w:trPr>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5"/>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410"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62"/>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88,216,269.98</w:t>
            </w:r>
            <w:r>
              <w:rPr>
                <w:rFonts w:ascii="Times New Roman"/>
                <w:sz w:val="15"/>
              </w:rPr>
            </w:r>
          </w:p>
        </w:tc>
        <w:tc>
          <w:tcPr>
            <w:tcW w:w="1541"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88,216,269.98</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3</w:t>
      </w:r>
      <w:r>
        <w:rPr/>
        <w:t>）商誉减值测试过程、参数及商誉减值损失的确认方法</w:t>
      </w:r>
    </w:p>
    <w:p>
      <w:pPr>
        <w:pStyle w:val="BodyText"/>
        <w:spacing w:line="500" w:lineRule="atLeast" w:before="16"/>
        <w:ind w:right="1117"/>
        <w:jc w:val="left"/>
      </w:pPr>
      <w:r>
        <w:rPr>
          <w:rFonts w:ascii="Times New Roman" w:hAnsi="Times New Roman" w:cs="Times New Roman" w:eastAsia="Times New Roman" w:hint="default"/>
        </w:rPr>
        <w:t>1</w:t>
      </w:r>
      <w:r>
        <w:rPr/>
        <w:t>）广州游爱网络技术有限公司商誉减值 资产组的可回收金额按照资产组预计未来现金流量的现值确定，现金流量预测期为五年，现金流量的预测考虑了</w:t>
      </w:r>
    </w:p>
    <w:p>
      <w:pPr>
        <w:pStyle w:val="BodyText"/>
        <w:spacing w:line="357" w:lineRule="auto" w:before="125"/>
        <w:ind w:left="0" w:right="1269"/>
        <w:jc w:val="right"/>
      </w:pPr>
      <w:r>
        <w:rPr/>
        <w:t>被收购方的历史财务资料、预测销售增长率、市场前景以及其他可获得的市场信息，五年以后为永续年份，现金流量</w:t>
      </w:r>
      <w:r>
        <w:rPr>
          <w:spacing w:val="-78"/>
        </w:rPr>
        <w:t> </w:t>
      </w:r>
      <w:r>
        <w:rPr>
          <w:spacing w:val="-78"/>
        </w:rPr>
      </w:r>
      <w:r>
        <w:rPr/>
        <w:t>假设每年均不变。折现率在</w:t>
      </w:r>
      <w:r>
        <w:rPr>
          <w:rFonts w:ascii="Times New Roman" w:hAnsi="Times New Roman" w:cs="Times New Roman" w:eastAsia="Times New Roman" w:hint="default"/>
        </w:rPr>
        <w:t>13.04%</w:t>
      </w:r>
      <w:r>
        <w:rPr/>
        <w:t>至</w:t>
      </w:r>
      <w:r>
        <w:rPr>
          <w:rFonts w:ascii="Times New Roman" w:hAnsi="Times New Roman" w:cs="Times New Roman" w:eastAsia="Times New Roman" w:hint="default"/>
        </w:rPr>
        <w:t>13.09%</w:t>
      </w:r>
      <w:r>
        <w:rPr/>
        <w:t>之间，折现率根据被收购方的加权平均资本成本确定，折现率反映了货币 </w:t>
      </w:r>
      <w:r>
        <w:rPr>
          <w:spacing w:val="-3"/>
        </w:rPr>
        <w:t>的时间价值和被收购方的各自业务的特定风险。以上假设基于管理层对特定市场的历史经验，并参考了外部信息资源。</w:t>
      </w:r>
    </w:p>
    <w:p>
      <w:pPr>
        <w:spacing w:line="240" w:lineRule="auto" w:before="9"/>
        <w:rPr>
          <w:rFonts w:ascii="宋体" w:hAnsi="宋体" w:cs="宋体" w:eastAsia="宋体" w:hint="default"/>
          <w:sz w:val="14"/>
          <w:szCs w:val="14"/>
        </w:rPr>
      </w:pPr>
    </w:p>
    <w:p>
      <w:pPr>
        <w:pStyle w:val="BodyText"/>
        <w:spacing w:line="345" w:lineRule="auto"/>
        <w:ind w:left="1418" w:right="1269" w:firstLine="360"/>
        <w:jc w:val="both"/>
      </w:pPr>
      <w:r>
        <w:rPr>
          <w:spacing w:val="-1"/>
        </w:rPr>
        <w:t>经评估，截至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日广州游爱网络技术有限公司资产组可回收金额为</w:t>
      </w:r>
      <w:r>
        <w:rPr>
          <w:rFonts w:ascii="Times New Roman" w:hAnsi="Times New Roman" w:cs="Times New Roman" w:eastAsia="Times New Roman" w:hint="default"/>
          <w:spacing w:val="-1"/>
        </w:rPr>
        <w:t>181,029.71</w:t>
      </w:r>
      <w:r>
        <w:rPr>
          <w:spacing w:val="-1"/>
        </w:rPr>
        <w:t>万元，开元资产评估有限</w:t>
      </w:r>
      <w:r>
        <w:rPr/>
        <w:t>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日出具了编号为</w:t>
      </w:r>
      <w:r>
        <w:rPr>
          <w:rFonts w:ascii="Times New Roman" w:hAnsi="Times New Roman" w:cs="Times New Roman" w:eastAsia="Times New Roman" w:hint="default"/>
        </w:rPr>
        <w:t>“</w:t>
      </w:r>
      <w:r>
        <w:rPr/>
        <w:t>开元评报字</w:t>
      </w:r>
      <w:r>
        <w:rPr>
          <w:rFonts w:ascii="Times New Roman" w:hAnsi="Times New Roman" w:cs="Times New Roman" w:eastAsia="Times New Roman" w:hint="default"/>
        </w:rPr>
        <w:t>[2018]184</w:t>
      </w:r>
      <w:r>
        <w:rPr/>
        <w:t>号</w:t>
      </w:r>
      <w:r>
        <w:rPr>
          <w:rFonts w:ascii="Times New Roman" w:hAnsi="Times New Roman" w:cs="Times New Roman" w:eastAsia="Times New Roman" w:hint="default"/>
        </w:rPr>
        <w:t>”</w:t>
      </w:r>
      <w:r>
        <w:rPr/>
        <w:t>的评估报告，经测试收购广州游爱网络技术有限公司股权</w:t>
      </w:r>
      <w:r>
        <w:rPr>
          <w:spacing w:val="-71"/>
        </w:rPr>
        <w:t> </w:t>
      </w:r>
      <w:r>
        <w:rPr>
          <w:spacing w:val="-71"/>
        </w:rPr>
      </w:r>
      <w:r>
        <w:rPr/>
        <w:t>形成的商誉未发生减值。</w:t>
      </w:r>
    </w:p>
    <w:p>
      <w:pPr>
        <w:spacing w:line="240" w:lineRule="auto" w:before="5"/>
        <w:rPr>
          <w:rFonts w:ascii="宋体" w:hAnsi="宋体" w:cs="宋体" w:eastAsia="宋体" w:hint="default"/>
          <w:sz w:val="15"/>
          <w:szCs w:val="15"/>
        </w:rPr>
      </w:pPr>
    </w:p>
    <w:p>
      <w:pPr>
        <w:pStyle w:val="BodyText"/>
        <w:spacing w:line="240" w:lineRule="auto"/>
        <w:ind w:right="1117"/>
        <w:jc w:val="left"/>
      </w:pPr>
      <w:r>
        <w:rPr>
          <w:rFonts w:ascii="Times New Roman" w:hAnsi="Times New Roman" w:cs="Times New Roman" w:eastAsia="Times New Roman" w:hint="default"/>
        </w:rPr>
        <w:t>2</w:t>
      </w:r>
      <w:r>
        <w:rPr/>
        <w:t>）北京神奇时代网络有限公司商誉减值</w:t>
      </w:r>
    </w:p>
    <w:p>
      <w:pPr>
        <w:spacing w:line="240" w:lineRule="auto" w:before="5"/>
        <w:rPr>
          <w:rFonts w:ascii="宋体" w:hAnsi="宋体" w:cs="宋体" w:eastAsia="宋体" w:hint="default"/>
          <w:sz w:val="20"/>
          <w:szCs w:val="20"/>
        </w:rPr>
      </w:pPr>
    </w:p>
    <w:p>
      <w:pPr>
        <w:pStyle w:val="BodyText"/>
        <w:spacing w:line="360" w:lineRule="auto"/>
        <w:ind w:left="1418" w:right="1271" w:firstLine="360"/>
        <w:jc w:val="both"/>
      </w:pPr>
      <w:r>
        <w:rPr/>
        <w:t>资产组的可回收金额按照资产组预计未来现金流量的现值确定，现金流量预测期为五年，现金流量的预测考虑了 被收购方的历史财务资料、预测销售增长率、市场前景以及其他可获得的市场信息，五年以后为永续年份，现金流量</w:t>
      </w:r>
      <w:r>
        <w:rPr>
          <w:spacing w:val="-63"/>
        </w:rPr>
        <w:t> </w:t>
      </w:r>
      <w:r>
        <w:rPr>
          <w:spacing w:val="-63"/>
        </w:rPr>
      </w:r>
      <w:r>
        <w:rPr/>
        <w:t>假设每年均不变。折现率为</w:t>
      </w:r>
      <w:r>
        <w:rPr>
          <w:rFonts w:ascii="Times New Roman" w:hAnsi="Times New Roman" w:cs="Times New Roman" w:eastAsia="Times New Roman" w:hint="default"/>
        </w:rPr>
        <w:t>13.44%</w:t>
      </w:r>
      <w:r>
        <w:rPr/>
        <w:t>。折现率根据被收购方的加权平均资本成本确定，折现率反映了货币的时间价值和</w:t>
      </w:r>
      <w:r>
        <w:rPr>
          <w:spacing w:val="-75"/>
        </w:rPr>
        <w:t> </w:t>
      </w:r>
      <w:r>
        <w:rPr>
          <w:spacing w:val="-75"/>
        </w:rPr>
      </w:r>
      <w:r>
        <w:rPr/>
        <w:t>被收购方的各自业务的特定风险。以上假设基于管理层对特定市场的历史经验，并参考了外部信息资源。</w:t>
      </w:r>
    </w:p>
    <w:p>
      <w:pPr>
        <w:spacing w:line="240" w:lineRule="auto" w:before="7"/>
        <w:rPr>
          <w:rFonts w:ascii="宋体" w:hAnsi="宋体" w:cs="宋体" w:eastAsia="宋体" w:hint="default"/>
          <w:sz w:val="14"/>
          <w:szCs w:val="14"/>
        </w:rPr>
      </w:pPr>
    </w:p>
    <w:p>
      <w:pPr>
        <w:pStyle w:val="BodyText"/>
        <w:spacing w:line="345" w:lineRule="auto"/>
        <w:ind w:left="1418" w:right="1269" w:firstLine="360"/>
        <w:jc w:val="both"/>
      </w:pPr>
      <w:r>
        <w:rPr>
          <w:spacing w:val="-1"/>
        </w:rPr>
        <w:t>经评估，截至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日北京神奇时代网络有限公司资产组可回收金额为</w:t>
      </w:r>
      <w:r>
        <w:rPr>
          <w:rFonts w:ascii="Times New Roman" w:hAnsi="Times New Roman" w:cs="Times New Roman" w:eastAsia="Times New Roman" w:hint="default"/>
          <w:spacing w:val="-1"/>
        </w:rPr>
        <w:t>130,250.00</w:t>
      </w:r>
      <w:r>
        <w:rPr>
          <w:spacing w:val="-1"/>
        </w:rPr>
        <w:t>万元，开元资产评估有限</w:t>
      </w:r>
      <w:r>
        <w:rPr/>
        <w:t>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日出具了编号为</w:t>
      </w:r>
      <w:r>
        <w:rPr>
          <w:rFonts w:ascii="Times New Roman" w:hAnsi="Times New Roman" w:cs="Times New Roman" w:eastAsia="Times New Roman" w:hint="default"/>
          <w:spacing w:val="-2"/>
        </w:rPr>
        <w:t>“</w:t>
      </w:r>
      <w:r>
        <w:rPr>
          <w:spacing w:val="-2"/>
        </w:rPr>
        <w:t>开元评报字</w:t>
      </w:r>
      <w:r>
        <w:rPr>
          <w:rFonts w:ascii="Times New Roman" w:hAnsi="Times New Roman" w:cs="Times New Roman" w:eastAsia="Times New Roman" w:hint="default"/>
          <w:spacing w:val="-2"/>
        </w:rPr>
        <w:t>[2018]117</w:t>
      </w:r>
      <w:r>
        <w:rPr>
          <w:spacing w:val="-2"/>
        </w:rPr>
        <w:t>号</w:t>
      </w:r>
      <w:r>
        <w:rPr>
          <w:rFonts w:ascii="Times New Roman" w:hAnsi="Times New Roman" w:cs="Times New Roman" w:eastAsia="Times New Roman" w:hint="default"/>
          <w:spacing w:val="-2"/>
        </w:rPr>
        <w:t>”</w:t>
      </w:r>
      <w:r>
        <w:rPr>
          <w:spacing w:val="-2"/>
        </w:rPr>
        <w:t>的评估报告，经测试对收购北京神奇时代网络有限公司股</w:t>
      </w:r>
      <w:r>
        <w:rPr>
          <w:spacing w:val="-36"/>
        </w:rPr>
        <w:t> </w:t>
      </w:r>
      <w:r>
        <w:rPr>
          <w:spacing w:val="-36"/>
        </w:rPr>
      </w:r>
      <w:r>
        <w:rPr/>
        <w:t>权形成的商誉本期发生减值</w:t>
      </w:r>
      <w:r>
        <w:rPr>
          <w:rFonts w:ascii="Times New Roman" w:hAnsi="Times New Roman" w:cs="Times New Roman" w:eastAsia="Times New Roman" w:hint="default"/>
        </w:rPr>
        <w:t>7,405.36</w:t>
      </w:r>
      <w:r>
        <w:rPr/>
        <w:t>万元。</w:t>
      </w:r>
    </w:p>
    <w:p>
      <w:pPr>
        <w:spacing w:line="240" w:lineRule="auto" w:before="9"/>
        <w:rPr>
          <w:rFonts w:ascii="宋体" w:hAnsi="宋体" w:cs="宋体" w:eastAsia="宋体" w:hint="default"/>
          <w:sz w:val="13"/>
          <w:szCs w:val="13"/>
        </w:rPr>
      </w:pPr>
    </w:p>
    <w:p>
      <w:pPr>
        <w:pStyle w:val="BodyText"/>
        <w:spacing w:line="496" w:lineRule="auto"/>
        <w:ind w:right="1117"/>
        <w:jc w:val="left"/>
      </w:pPr>
      <w:r>
        <w:rPr>
          <w:rFonts w:ascii="Times New Roman" w:hAnsi="Times New Roman" w:cs="Times New Roman" w:eastAsia="Times New Roman" w:hint="default"/>
        </w:rPr>
        <w:t>3</w:t>
      </w:r>
      <w:r>
        <w:rPr/>
        <w:t>）人民今典科教传媒有限公司商誉减值 资产组的可回收金额按照资产组预计未来现金流量的现值确定，现金流量预测期为五年现金流量的预测考虑了被</w:t>
      </w:r>
    </w:p>
    <w:p>
      <w:pPr>
        <w:spacing w:after="0" w:line="496"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57" w:lineRule="auto"/>
        <w:ind w:left="1418" w:right="1273"/>
        <w:jc w:val="both"/>
      </w:pPr>
      <w:r>
        <w:rPr/>
        <w:t>收购方的历史财务资料、预测销售增长率、市场前景以及其他可获得的市场信息，五年以后为永续年份，现金流量假</w:t>
      </w:r>
      <w:r>
        <w:rPr>
          <w:spacing w:val="-63"/>
        </w:rPr>
        <w:t> </w:t>
      </w:r>
      <w:r>
        <w:rPr>
          <w:spacing w:val="-63"/>
        </w:rPr>
      </w:r>
      <w:r>
        <w:rPr/>
        <w:t>设每年均不变。折现率为</w:t>
      </w:r>
      <w:r>
        <w:rPr>
          <w:rFonts w:ascii="Times New Roman" w:hAnsi="Times New Roman" w:cs="Times New Roman" w:eastAsia="Times New Roman" w:hint="default"/>
        </w:rPr>
        <w:t>12.98%</w:t>
      </w:r>
      <w:r>
        <w:rPr/>
        <w:t>，折现率根据被收购方的加权平均资本成本确定，折现率反映了货币的时间价值和被</w:t>
      </w:r>
      <w:r>
        <w:rPr>
          <w:spacing w:val="-76"/>
        </w:rPr>
        <w:t> </w:t>
      </w:r>
      <w:r>
        <w:rPr>
          <w:spacing w:val="-76"/>
        </w:rPr>
      </w:r>
      <w:r>
        <w:rPr/>
        <w:t>收购方的各自业务的特定风险。以上假设基于管理层对特定市场的历史经验，并参考了外部信息资源。</w:t>
      </w:r>
    </w:p>
    <w:p>
      <w:pPr>
        <w:spacing w:line="240" w:lineRule="auto" w:before="9"/>
        <w:rPr>
          <w:rFonts w:ascii="宋体" w:hAnsi="宋体" w:cs="宋体" w:eastAsia="宋体" w:hint="default"/>
          <w:sz w:val="14"/>
          <w:szCs w:val="14"/>
        </w:rPr>
      </w:pPr>
    </w:p>
    <w:p>
      <w:pPr>
        <w:pStyle w:val="BodyText"/>
        <w:spacing w:line="345" w:lineRule="auto"/>
        <w:ind w:left="1418" w:right="1269" w:firstLine="360"/>
        <w:jc w:val="both"/>
      </w:pPr>
      <w:r>
        <w:rPr/>
        <w:t>经评估，截至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日人民今典科教传媒有限公司资产组可回收金额为</w:t>
      </w:r>
      <w:r>
        <w:rPr>
          <w:rFonts w:ascii="Times New Roman" w:hAnsi="Times New Roman" w:cs="Times New Roman" w:eastAsia="Times New Roman" w:hint="default"/>
        </w:rPr>
        <w:t>40,601.40</w:t>
      </w:r>
      <w:r>
        <w:rPr/>
        <w:t>万元，开元资产评估有限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日出具了编号为</w:t>
      </w:r>
      <w:r>
        <w:rPr>
          <w:rFonts w:ascii="Times New Roman" w:hAnsi="Times New Roman" w:cs="Times New Roman" w:eastAsia="Times New Roman" w:hint="default"/>
        </w:rPr>
        <w:t>“</w:t>
      </w:r>
      <w:r>
        <w:rPr/>
        <w:t>开元评报字</w:t>
      </w:r>
      <w:r>
        <w:rPr>
          <w:rFonts w:ascii="Times New Roman" w:hAnsi="Times New Roman" w:cs="Times New Roman" w:eastAsia="Times New Roman" w:hint="default"/>
        </w:rPr>
        <w:t>[2018]103</w:t>
      </w:r>
      <w:r>
        <w:rPr/>
        <w:t>号</w:t>
      </w:r>
      <w:r>
        <w:rPr>
          <w:rFonts w:ascii="Times New Roman" w:hAnsi="Times New Roman" w:cs="Times New Roman" w:eastAsia="Times New Roman" w:hint="default"/>
        </w:rPr>
        <w:t>”</w:t>
      </w:r>
      <w:r>
        <w:rPr/>
        <w:t>的评估报告，经测试对收购人民今典科教传媒有限公司股</w:t>
      </w:r>
      <w:r>
        <w:rPr>
          <w:spacing w:val="-71"/>
        </w:rPr>
        <w:t> </w:t>
      </w:r>
      <w:r>
        <w:rPr>
          <w:spacing w:val="-71"/>
        </w:rPr>
      </w:r>
      <w:r>
        <w:rPr/>
        <w:t>权形成的商誉本期发生减值</w:t>
      </w:r>
      <w:r>
        <w:rPr>
          <w:rFonts w:ascii="Times New Roman" w:hAnsi="Times New Roman" w:cs="Times New Roman" w:eastAsia="Times New Roman" w:hint="default"/>
        </w:rPr>
        <w:t>1,416.27</w:t>
      </w:r>
      <w:r>
        <w:rPr/>
        <w:t>万元。</w:t>
      </w:r>
    </w:p>
    <w:p>
      <w:pPr>
        <w:spacing w:line="240" w:lineRule="auto" w:before="9"/>
        <w:rPr>
          <w:rFonts w:ascii="宋体" w:hAnsi="宋体" w:cs="宋体" w:eastAsia="宋体" w:hint="default"/>
          <w:sz w:val="13"/>
          <w:szCs w:val="13"/>
        </w:rPr>
      </w:pPr>
    </w:p>
    <w:p>
      <w:pPr>
        <w:pStyle w:val="BodyText"/>
        <w:spacing w:line="240" w:lineRule="auto"/>
        <w:ind w:right="1117"/>
        <w:jc w:val="left"/>
      </w:pPr>
      <w:bookmarkStart w:name="14.长期待摊费用" w:id="206"/>
      <w:bookmarkEnd w:id="206"/>
      <w:r>
        <w:rPr/>
      </w:r>
      <w:r>
        <w:rPr>
          <w:rFonts w:ascii="Times New Roman" w:hAnsi="Times New Roman" w:cs="Times New Roman" w:eastAsia="Times New Roman" w:hint="default"/>
        </w:rPr>
        <w:t>14.</w:t>
      </w:r>
      <w:r>
        <w:rPr/>
        <w:t>长期待摊费用</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1731"/>
        <w:gridCol w:w="1381"/>
        <w:gridCol w:w="1628"/>
        <w:gridCol w:w="1548"/>
        <w:gridCol w:w="1617"/>
        <w:gridCol w:w="1526"/>
      </w:tblGrid>
      <w:tr>
        <w:trPr>
          <w:trHeight w:val="272" w:hRule="exact"/>
        </w:trPr>
        <w:tc>
          <w:tcPr>
            <w:tcW w:w="1731" w:type="dxa"/>
            <w:tcBorders>
              <w:top w:val="nil" w:sz="6" w:space="0" w:color="auto"/>
              <w:left w:val="nil" w:sz="6" w:space="0" w:color="auto"/>
              <w:bottom w:val="single" w:sz="4" w:space="0" w:color="000000"/>
              <w:right w:val="nil" w:sz="6" w:space="0" w:color="auto"/>
            </w:tcBorders>
          </w:tcPr>
          <w:p>
            <w:pPr>
              <w:pStyle w:val="TableParagraph"/>
              <w:spacing w:line="180" w:lineRule="exact"/>
              <w:ind w:left="92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81" w:type="dxa"/>
            <w:tcBorders>
              <w:top w:val="nil" w:sz="6" w:space="0" w:color="auto"/>
              <w:left w:val="nil" w:sz="6" w:space="0" w:color="auto"/>
              <w:bottom w:val="single" w:sz="4" w:space="0" w:color="000000"/>
              <w:right w:val="nil" w:sz="6" w:space="0" w:color="auto"/>
            </w:tcBorders>
          </w:tcPr>
          <w:p>
            <w:pPr>
              <w:pStyle w:val="TableParagraph"/>
              <w:spacing w:line="180"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28"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548" w:type="dxa"/>
            <w:tcBorders>
              <w:top w:val="nil" w:sz="6" w:space="0" w:color="auto"/>
              <w:left w:val="nil" w:sz="6" w:space="0" w:color="auto"/>
              <w:bottom w:val="single" w:sz="4" w:space="0" w:color="000000"/>
              <w:right w:val="nil" w:sz="6" w:space="0" w:color="auto"/>
            </w:tcBorders>
          </w:tcPr>
          <w:p>
            <w:pPr>
              <w:pStyle w:val="TableParagraph"/>
              <w:spacing w:line="180" w:lineRule="exact"/>
              <w:ind w:right="22"/>
              <w:jc w:val="center"/>
              <w:rPr>
                <w:rFonts w:ascii="宋体" w:hAnsi="宋体" w:cs="宋体" w:eastAsia="宋体" w:hint="default"/>
                <w:sz w:val="18"/>
                <w:szCs w:val="18"/>
              </w:rPr>
            </w:pPr>
            <w:r>
              <w:rPr>
                <w:rFonts w:ascii="宋体" w:hAnsi="宋体" w:cs="宋体" w:eastAsia="宋体" w:hint="default"/>
                <w:b/>
                <w:bCs/>
                <w:sz w:val="18"/>
                <w:szCs w:val="18"/>
              </w:rPr>
              <w:t>本期摊销额</w:t>
            </w:r>
            <w:r>
              <w:rPr>
                <w:rFonts w:ascii="宋体" w:hAnsi="宋体" w:cs="宋体" w:eastAsia="宋体" w:hint="default"/>
                <w:sz w:val="18"/>
                <w:szCs w:val="18"/>
              </w:rPr>
            </w:r>
          </w:p>
        </w:tc>
        <w:tc>
          <w:tcPr>
            <w:tcW w:w="1617" w:type="dxa"/>
            <w:tcBorders>
              <w:top w:val="nil" w:sz="6" w:space="0" w:color="auto"/>
              <w:left w:val="nil" w:sz="6" w:space="0" w:color="auto"/>
              <w:bottom w:val="single" w:sz="4" w:space="0" w:color="000000"/>
              <w:right w:val="nil" w:sz="6" w:space="0" w:color="auto"/>
            </w:tcBorders>
          </w:tcPr>
          <w:p>
            <w:pPr>
              <w:pStyle w:val="TableParagraph"/>
              <w:spacing w:line="180"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526" w:type="dxa"/>
            <w:tcBorders>
              <w:top w:val="nil" w:sz="6" w:space="0" w:color="auto"/>
              <w:left w:val="nil" w:sz="6" w:space="0" w:color="auto"/>
              <w:bottom w:val="single" w:sz="4" w:space="0" w:color="000000"/>
              <w:right w:val="nil" w:sz="6" w:space="0" w:color="auto"/>
            </w:tcBorders>
          </w:tcPr>
          <w:p>
            <w:pPr>
              <w:pStyle w:val="TableParagraph"/>
              <w:spacing w:line="180" w:lineRule="exact"/>
              <w:ind w:right="4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3" w:hRule="exact"/>
        </w:trPr>
        <w:tc>
          <w:tcPr>
            <w:tcW w:w="173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36"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293" w:right="0"/>
              <w:jc w:val="left"/>
              <w:rPr>
                <w:rFonts w:ascii="Times New Roman" w:hAnsi="Times New Roman" w:cs="Times New Roman" w:eastAsia="Times New Roman" w:hint="default"/>
                <w:sz w:val="18"/>
                <w:szCs w:val="18"/>
              </w:rPr>
            </w:pPr>
            <w:r>
              <w:rPr>
                <w:rFonts w:ascii="Times New Roman"/>
                <w:sz w:val="18"/>
              </w:rPr>
              <w:t>26,081.65</w:t>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63" w:right="0"/>
              <w:jc w:val="center"/>
              <w:rPr>
                <w:rFonts w:ascii="Times New Roman" w:hAnsi="Times New Roman" w:cs="Times New Roman" w:eastAsia="Times New Roman" w:hint="default"/>
                <w:sz w:val="18"/>
                <w:szCs w:val="18"/>
              </w:rPr>
            </w:pPr>
            <w:r>
              <w:rPr>
                <w:rFonts w:ascii="Times New Roman"/>
                <w:sz w:val="18"/>
              </w:rPr>
              <w:t>2,673,673.43</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32" w:right="0"/>
              <w:jc w:val="center"/>
              <w:rPr>
                <w:rFonts w:ascii="Times New Roman" w:hAnsi="Times New Roman" w:cs="Times New Roman" w:eastAsia="Times New Roman" w:hint="default"/>
                <w:sz w:val="18"/>
                <w:szCs w:val="18"/>
              </w:rPr>
            </w:pPr>
            <w:r>
              <w:rPr>
                <w:rFonts w:ascii="Times New Roman"/>
                <w:sz w:val="18"/>
              </w:rPr>
              <w:t>414,107.55</w:t>
            </w:r>
          </w:p>
        </w:tc>
        <w:tc>
          <w:tcPr>
            <w:tcW w:w="1617" w:type="dxa"/>
            <w:tcBorders>
              <w:top w:val="single" w:sz="4" w:space="0" w:color="000000"/>
              <w:left w:val="nil" w:sz="6" w:space="0" w:color="auto"/>
              <w:bottom w:val="nil" w:sz="6" w:space="0" w:color="auto"/>
              <w:right w:val="nil" w:sz="6" w:space="0" w:color="auto"/>
            </w:tcBorders>
          </w:tcPr>
          <w:p>
            <w:pP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8" w:right="0"/>
              <w:jc w:val="center"/>
              <w:rPr>
                <w:rFonts w:ascii="Times New Roman" w:hAnsi="Times New Roman" w:cs="Times New Roman" w:eastAsia="Times New Roman" w:hint="default"/>
                <w:sz w:val="18"/>
                <w:szCs w:val="18"/>
              </w:rPr>
            </w:pPr>
            <w:r>
              <w:rPr>
                <w:rFonts w:ascii="Times New Roman"/>
                <w:sz w:val="18"/>
              </w:rPr>
              <w:t>2,285,647.53</w:t>
            </w:r>
          </w:p>
        </w:tc>
      </w:tr>
      <w:tr>
        <w:trPr>
          <w:trHeight w:val="315" w:hRule="exact"/>
        </w:trPr>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1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26,081.65</w:t>
            </w:r>
            <w:r>
              <w:rPr>
                <w:rFonts w:ascii="Times New Roman"/>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3"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2,673,673.43</w:t>
            </w:r>
            <w:r>
              <w:rPr>
                <w:rFonts w:ascii="Times New Roman"/>
                <w:sz w:val="18"/>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414,107.55</w:t>
            </w:r>
            <w:r>
              <w:rPr>
                <w:rFonts w:ascii="Times New Roman"/>
                <w:sz w:val="18"/>
              </w:rPr>
            </w:r>
          </w:p>
        </w:tc>
        <w:tc>
          <w:tcPr>
            <w:tcW w:w="1617"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2,285,647.53</w:t>
            </w:r>
            <w:r>
              <w:rPr>
                <w:rFonts w:ascii="Times New Roman"/>
                <w:sz w:val="18"/>
              </w:rPr>
            </w:r>
          </w:p>
        </w:tc>
      </w:tr>
    </w:tbl>
    <w:p>
      <w:pPr>
        <w:spacing w:line="240" w:lineRule="auto" w:before="5"/>
        <w:rPr>
          <w:rFonts w:ascii="宋体" w:hAnsi="宋体" w:cs="宋体" w:eastAsia="宋体" w:hint="default"/>
          <w:sz w:val="11"/>
          <w:szCs w:val="11"/>
        </w:rPr>
      </w:pPr>
    </w:p>
    <w:tbl>
      <w:tblPr>
        <w:tblW w:w="0" w:type="auto"/>
        <w:jc w:val="left"/>
        <w:tblInd w:w="1310" w:type="dxa"/>
        <w:tblLayout w:type="fixed"/>
        <w:tblCellMar>
          <w:top w:w="0" w:type="dxa"/>
          <w:left w:w="0" w:type="dxa"/>
          <w:bottom w:w="0" w:type="dxa"/>
          <w:right w:w="0" w:type="dxa"/>
        </w:tblCellMar>
        <w:tblLook w:val="01E0"/>
      </w:tblPr>
      <w:tblGrid>
        <w:gridCol w:w="4240"/>
        <w:gridCol w:w="1734"/>
        <w:gridCol w:w="1859"/>
        <w:gridCol w:w="1598"/>
      </w:tblGrid>
      <w:tr>
        <w:trPr>
          <w:trHeight w:val="979"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bookmarkStart w:name="15.递延所得税资产及递延所得税负债" w:id="207"/>
            <w:bookmarkEnd w:id="207"/>
            <w:r>
              <w:rPr/>
            </w:r>
            <w:r>
              <w:rPr>
                <w:rFonts w:ascii="Times New Roman" w:hAnsi="Times New Roman" w:cs="Times New Roman" w:eastAsia="Times New Roman" w:hint="default"/>
                <w:sz w:val="18"/>
                <w:szCs w:val="18"/>
              </w:rPr>
              <w:t>15.</w:t>
            </w:r>
            <w:r>
              <w:rPr>
                <w:rFonts w:ascii="宋体" w:hAnsi="宋体" w:cs="宋体" w:eastAsia="宋体" w:hint="default"/>
                <w:sz w:val="18"/>
                <w:szCs w:val="18"/>
              </w:rPr>
              <w:t>递延所得税资产及递延所得税负债</w:t>
            </w: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）未抵销的递延所得税资产</w:t>
            </w:r>
          </w:p>
        </w:tc>
        <w:tc>
          <w:tcPr>
            <w:tcW w:w="5191" w:type="dxa"/>
            <w:gridSpan w:val="3"/>
            <w:tcBorders>
              <w:top w:val="nil" w:sz="6" w:space="0" w:color="auto"/>
              <w:left w:val="nil" w:sz="6" w:space="0" w:color="auto"/>
              <w:bottom w:val="nil" w:sz="6" w:space="0" w:color="auto"/>
              <w:right w:val="nil" w:sz="6" w:space="0" w:color="auto"/>
            </w:tcBorders>
          </w:tcPr>
          <w:p>
            <w:pPr/>
          </w:p>
        </w:tc>
      </w:tr>
      <w:tr>
        <w:trPr>
          <w:trHeight w:val="560"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774"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7"/>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859"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r>
      <w:tr>
        <w:trPr>
          <w:trHeight w:val="259" w:hRule="exact"/>
        </w:trPr>
        <w:tc>
          <w:tcPr>
            <w:tcW w:w="4240" w:type="dxa"/>
            <w:tcBorders>
              <w:top w:val="nil" w:sz="6" w:space="0" w:color="auto"/>
              <w:left w:val="nil" w:sz="6" w:space="0" w:color="auto"/>
              <w:bottom w:val="single" w:sz="4" w:space="0" w:color="000000"/>
              <w:right w:val="nil" w:sz="6" w:space="0" w:color="auto"/>
            </w:tcBorders>
          </w:tcPr>
          <w:p>
            <w:pPr>
              <w:pStyle w:val="TableParagraph"/>
              <w:spacing w:line="190" w:lineRule="exact"/>
              <w:ind w:left="2515"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734" w:type="dxa"/>
            <w:tcBorders>
              <w:top w:val="nil" w:sz="6" w:space="0" w:color="auto"/>
              <w:left w:val="nil" w:sz="6" w:space="0" w:color="auto"/>
              <w:bottom w:val="single" w:sz="4" w:space="0" w:color="000000"/>
              <w:right w:val="nil" w:sz="6" w:space="0" w:color="auto"/>
            </w:tcBorders>
          </w:tcPr>
          <w:p>
            <w:pPr>
              <w:pStyle w:val="TableParagraph"/>
              <w:spacing w:line="190" w:lineRule="exact"/>
              <w:ind w:right="189"/>
              <w:jc w:val="right"/>
              <w:rPr>
                <w:rFonts w:ascii="宋体" w:hAnsi="宋体" w:cs="宋体" w:eastAsia="宋体" w:hint="default"/>
                <w:sz w:val="18"/>
                <w:szCs w:val="18"/>
              </w:rPr>
            </w:pPr>
            <w:r>
              <w:rPr>
                <w:rFonts w:ascii="宋体" w:hAnsi="宋体" w:cs="宋体" w:eastAsia="宋体" w:hint="default"/>
                <w:b/>
                <w:bCs/>
                <w:w w:val="95"/>
                <w:sz w:val="18"/>
                <w:szCs w:val="18"/>
              </w:rPr>
              <w:t>递延所得税资产</w:t>
            </w:r>
            <w:r>
              <w:rPr>
                <w:rFonts w:ascii="宋体" w:hAnsi="宋体" w:cs="宋体" w:eastAsia="宋体" w:hint="default"/>
                <w:sz w:val="18"/>
                <w:szCs w:val="18"/>
              </w:rPr>
            </w:r>
          </w:p>
        </w:tc>
        <w:tc>
          <w:tcPr>
            <w:tcW w:w="1859" w:type="dxa"/>
            <w:tcBorders>
              <w:top w:val="nil" w:sz="6" w:space="0" w:color="auto"/>
              <w:left w:val="nil" w:sz="6" w:space="0" w:color="auto"/>
              <w:bottom w:val="single" w:sz="4" w:space="0" w:color="000000"/>
              <w:right w:val="nil" w:sz="6" w:space="0" w:color="auto"/>
            </w:tcBorders>
          </w:tcPr>
          <w:p>
            <w:pPr>
              <w:pStyle w:val="TableParagraph"/>
              <w:spacing w:line="190" w:lineRule="exact"/>
              <w:ind w:right="33"/>
              <w:jc w:val="center"/>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598" w:type="dxa"/>
            <w:tcBorders>
              <w:top w:val="nil" w:sz="6" w:space="0" w:color="auto"/>
              <w:left w:val="nil" w:sz="6" w:space="0" w:color="auto"/>
              <w:bottom w:val="single" w:sz="4" w:space="0" w:color="000000"/>
              <w:right w:val="nil" w:sz="6" w:space="0" w:color="auto"/>
            </w:tcBorders>
          </w:tcPr>
          <w:p>
            <w:pPr>
              <w:pStyle w:val="TableParagraph"/>
              <w:spacing w:line="190"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递延所得税资产</w:t>
            </w:r>
            <w:r>
              <w:rPr>
                <w:rFonts w:ascii="宋体" w:hAnsi="宋体" w:cs="宋体" w:eastAsia="宋体" w:hint="default"/>
                <w:sz w:val="18"/>
                <w:szCs w:val="18"/>
              </w:rPr>
            </w:r>
          </w:p>
        </w:tc>
      </w:tr>
      <w:tr>
        <w:trPr>
          <w:trHeight w:val="493" w:hRule="exact"/>
        </w:trPr>
        <w:tc>
          <w:tcPr>
            <w:tcW w:w="4240" w:type="dxa"/>
            <w:tcBorders>
              <w:top w:val="single" w:sz="4" w:space="0" w:color="000000"/>
              <w:left w:val="nil" w:sz="6" w:space="0" w:color="auto"/>
              <w:bottom w:val="nil" w:sz="6" w:space="0" w:color="auto"/>
              <w:right w:val="nil" w:sz="6" w:space="0" w:color="auto"/>
            </w:tcBorders>
          </w:tcPr>
          <w:p>
            <w:pPr>
              <w:pStyle w:val="TableParagraph"/>
              <w:tabs>
                <w:tab w:pos="2709" w:val="left" w:leader="none"/>
              </w:tabs>
              <w:spacing w:line="240" w:lineRule="auto" w:before="118"/>
              <w:ind w:left="5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资产减值准备</w:t>
              <w:tab/>
            </w:r>
            <w:r>
              <w:rPr>
                <w:rFonts w:ascii="Times New Roman" w:hAnsi="Times New Roman" w:cs="Times New Roman" w:eastAsia="Times New Roman" w:hint="default"/>
                <w:sz w:val="18"/>
                <w:szCs w:val="18"/>
              </w:rPr>
              <w:t>1,593,082.69</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428" w:right="0"/>
              <w:jc w:val="left"/>
              <w:rPr>
                <w:rFonts w:ascii="Times New Roman" w:hAnsi="Times New Roman" w:cs="Times New Roman" w:eastAsia="Times New Roman" w:hint="default"/>
                <w:sz w:val="18"/>
                <w:szCs w:val="18"/>
              </w:rPr>
            </w:pPr>
            <w:r>
              <w:rPr>
                <w:rFonts w:ascii="Times New Roman"/>
                <w:sz w:val="18"/>
              </w:rPr>
              <w:t>398,270.66</w:t>
            </w:r>
          </w:p>
        </w:tc>
        <w:tc>
          <w:tcPr>
            <w:tcW w:w="185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43"/>
              <w:jc w:val="center"/>
              <w:rPr>
                <w:rFonts w:ascii="Times New Roman" w:hAnsi="Times New Roman" w:cs="Times New Roman" w:eastAsia="Times New Roman" w:hint="default"/>
                <w:sz w:val="18"/>
                <w:szCs w:val="18"/>
              </w:rPr>
            </w:pPr>
            <w:r>
              <w:rPr>
                <w:rFonts w:ascii="Times New Roman"/>
                <w:sz w:val="18"/>
              </w:rPr>
              <w:t>4,752,631.20</w:t>
            </w: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239" w:right="0"/>
              <w:jc w:val="left"/>
              <w:rPr>
                <w:rFonts w:ascii="Times New Roman" w:hAnsi="Times New Roman" w:cs="Times New Roman" w:eastAsia="Times New Roman" w:hint="default"/>
                <w:sz w:val="18"/>
                <w:szCs w:val="18"/>
              </w:rPr>
            </w:pPr>
            <w:r>
              <w:rPr>
                <w:rFonts w:ascii="Times New Roman"/>
                <w:sz w:val="18"/>
              </w:rPr>
              <w:t>1,188,157.80</w:t>
            </w:r>
          </w:p>
        </w:tc>
      </w:tr>
      <w:tr>
        <w:trPr>
          <w:trHeight w:val="560" w:hRule="exact"/>
        </w:trPr>
        <w:tc>
          <w:tcPr>
            <w:tcW w:w="4240" w:type="dxa"/>
            <w:tcBorders>
              <w:top w:val="nil" w:sz="6" w:space="0" w:color="auto"/>
              <w:left w:val="nil" w:sz="6" w:space="0" w:color="auto"/>
              <w:bottom w:val="nil" w:sz="6" w:space="0" w:color="auto"/>
              <w:right w:val="nil" w:sz="6" w:space="0" w:color="auto"/>
            </w:tcBorders>
          </w:tcPr>
          <w:p>
            <w:pPr>
              <w:pStyle w:val="TableParagraph"/>
              <w:tabs>
                <w:tab w:pos="2709" w:val="left" w:leader="none"/>
              </w:tabs>
              <w:spacing w:line="240" w:lineRule="auto" w:before="69"/>
              <w:ind w:left="7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1,593,082.69</w:t>
            </w:r>
            <w:r>
              <w:rPr>
                <w:rFonts w:ascii="Times New Roman" w:hAnsi="Times New Roman" w:cs="Times New Roman" w:eastAsia="Times New Roman" w:hint="default"/>
                <w:sz w:val="18"/>
                <w:szCs w:val="18"/>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42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398,270.66</w:t>
            </w:r>
            <w:r>
              <w:rPr>
                <w:rFonts w:ascii="Times New Roman"/>
                <w:sz w:val="18"/>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3"/>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4,752,631.20</w:t>
            </w:r>
            <w:r>
              <w:rPr>
                <w:rFonts w:ascii="Times New Roman"/>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3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1,188,157.80</w:t>
            </w:r>
            <w:r>
              <w:rPr>
                <w:rFonts w:ascii="Times New Roman"/>
                <w:sz w:val="18"/>
              </w:rPr>
            </w:r>
          </w:p>
        </w:tc>
      </w:tr>
      <w:tr>
        <w:trPr>
          <w:trHeight w:val="598"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）未抵销的递延所得税负债</w:t>
            </w:r>
          </w:p>
        </w:tc>
        <w:tc>
          <w:tcPr>
            <w:tcW w:w="1734"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62" w:hRule="exact"/>
        </w:trPr>
        <w:tc>
          <w:tcPr>
            <w:tcW w:w="4240"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7"/>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859"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6"/>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r>
    </w:tbl>
    <w:p>
      <w:pPr>
        <w:pStyle w:val="Heading6"/>
        <w:spacing w:line="170" w:lineRule="exact"/>
        <w:ind w:left="2084" w:right="1117"/>
        <w:jc w:val="left"/>
        <w:rPr>
          <w:b w:val="0"/>
          <w:bCs w:val="0"/>
        </w:rPr>
      </w:pPr>
      <w:r>
        <w:rPr/>
        <w:t>项</w:t>
      </w:r>
      <w:r>
        <w:rPr>
          <w:spacing w:val="90"/>
        </w:rPr>
        <w:t> </w:t>
      </w:r>
      <w:r>
        <w:rPr/>
        <w:t>目</w:t>
      </w:r>
      <w:r>
        <w:rPr>
          <w:b w:val="0"/>
          <w:bCs w:val="0"/>
        </w:rPr>
      </w:r>
    </w:p>
    <w:p>
      <w:pPr>
        <w:pStyle w:val="Heading6"/>
        <w:tabs>
          <w:tab w:pos="5830" w:val="left" w:leader="none"/>
          <w:tab w:pos="7474" w:val="left" w:leader="none"/>
          <w:tab w:pos="9368" w:val="left" w:leader="none"/>
        </w:tabs>
        <w:spacing w:line="227" w:lineRule="exact"/>
        <w:ind w:left="3826" w:right="1117"/>
        <w:jc w:val="left"/>
        <w:rPr>
          <w:b w:val="0"/>
          <w:bCs w:val="0"/>
        </w:rPr>
      </w:pPr>
      <w:r>
        <w:rPr>
          <w:w w:val="95"/>
        </w:rPr>
        <w:t>应纳税暂时性差异</w:t>
        <w:tab/>
      </w:r>
      <w:r>
        <w:rPr>
          <w:w w:val="95"/>
          <w:position w:val="2"/>
        </w:rPr>
        <w:t>递延所得税负债</w:t>
        <w:tab/>
      </w:r>
      <w:r>
        <w:rPr>
          <w:w w:val="95"/>
        </w:rPr>
        <w:t>应纳税暂时性差异</w:t>
        <w:tab/>
      </w:r>
      <w:r>
        <w:rPr>
          <w:position w:val="2"/>
        </w:rPr>
        <w:t>递延所得税负债</w:t>
      </w:r>
      <w:r>
        <w:rPr>
          <w:b w:val="0"/>
          <w:bCs w:val="0"/>
        </w:rPr>
      </w:r>
    </w:p>
    <w:p>
      <w:pPr>
        <w:spacing w:line="240" w:lineRule="auto" w:before="12"/>
        <w:rPr>
          <w:rFonts w:ascii="宋体" w:hAnsi="宋体" w:cs="宋体" w:eastAsia="宋体" w:hint="default"/>
          <w:b/>
          <w:bCs/>
          <w:sz w:val="4"/>
          <w:szCs w:val="4"/>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2092;height:2" coordorigin="5,5" coordsize="2092,2">
              <v:shape style="position:absolute;left:5;top:5;width:2092;height:2" coordorigin="5,5" coordsize="2092,0" path="m5,5l2097,5e" filled="false" stroked="true" strokeweight=".48pt" strokecolor="#000000">
                <v:path arrowok="t"/>
              </v:shape>
            </v:group>
            <v:group style="position:absolute;left:2097;top:5;width:10;height:2" coordorigin="2097,5" coordsize="10,2">
              <v:shape style="position:absolute;left:2097;top:5;width:10;height:2" coordorigin="2097,5" coordsize="10,0" path="m2097,5l2106,5e" filled="false" stroked="true" strokeweight=".48pt" strokecolor="#000000">
                <v:path arrowok="t"/>
              </v:shape>
            </v:group>
            <v:group style="position:absolute;left:2106;top:5;width:1968;height:2" coordorigin="2106,5" coordsize="1968,2">
              <v:shape style="position:absolute;left:2106;top:5;width:1968;height:2" coordorigin="2106,5" coordsize="1968,0" path="m2106,5l4074,5e" filled="false" stroked="true" strokeweight=".48pt" strokecolor="#000000">
                <v:path arrowok="t"/>
              </v:shape>
            </v:group>
            <v:group style="position:absolute;left:4074;top:5;width:10;height:2" coordorigin="4074,5" coordsize="10,2">
              <v:shape style="position:absolute;left:4074;top:5;width:10;height:2" coordorigin="4074,5" coordsize="10,0" path="m4074,5l4083,5e" filled="false" stroked="true" strokeweight=".48pt" strokecolor="#000000">
                <v:path arrowok="t"/>
              </v:shape>
            </v:group>
            <v:group style="position:absolute;left:4083;top:5;width:1815;height:2" coordorigin="4083,5" coordsize="1815,2">
              <v:shape style="position:absolute;left:4083;top:5;width:1815;height:2" coordorigin="4083,5" coordsize="1815,0" path="m4083,5l5898,5e" filled="false" stroked="true" strokeweight=".48pt" strokecolor="#000000">
                <v:path arrowok="t"/>
              </v:shape>
            </v:group>
            <v:group style="position:absolute;left:5898;top:5;width:10;height:2" coordorigin="5898,5" coordsize="10,2">
              <v:shape style="position:absolute;left:5898;top:5;width:10;height:2" coordorigin="5898,5" coordsize="10,0" path="m5898,5l5907,5e" filled="false" stroked="true" strokeweight=".48pt" strokecolor="#000000">
                <v:path arrowok="t"/>
              </v:shape>
            </v:group>
            <v:group style="position:absolute;left:5907;top:5;width:1815;height:2" coordorigin="5907,5" coordsize="1815,2">
              <v:shape style="position:absolute;left:5907;top:5;width:1815;height:2" coordorigin="5907,5" coordsize="1815,0" path="m5907,5l7722,5e" filled="false" stroked="true" strokeweight=".48pt" strokecolor="#000000">
                <v:path arrowok="t"/>
              </v:shape>
            </v:group>
            <v:group style="position:absolute;left:7722;top:5;width:10;height:2" coordorigin="7722,5" coordsize="10,2">
              <v:shape style="position:absolute;left:7722;top:5;width:10;height:2" coordorigin="7722,5" coordsize="10,0" path="m7722,5l7732,5e" filled="false" stroked="true" strokeweight=".48pt" strokecolor="#000000">
                <v:path arrowok="t"/>
              </v:shape>
            </v:group>
            <v:group style="position:absolute;left:7732;top:5;width:1704;height:2" coordorigin="7732,5" coordsize="1704,2">
              <v:shape style="position:absolute;left:7732;top:5;width:1704;height:2" coordorigin="7732,5" coordsize="1704,0" path="m7732,5l943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pgSz w:w="11910" w:h="16840"/>
          <w:pgMar w:header="877" w:footer="979" w:top="1060" w:bottom="1160" w:left="0" w:right="0"/>
        </w:sectPr>
      </w:pPr>
    </w:p>
    <w:p>
      <w:pPr>
        <w:pStyle w:val="BodyText"/>
        <w:spacing w:line="367" w:lineRule="auto" w:before="44"/>
        <w:ind w:left="1418" w:right="-16"/>
        <w:jc w:val="left"/>
      </w:pPr>
      <w:r>
        <w:rPr>
          <w:spacing w:val="8"/>
        </w:rPr>
        <w:t>非同一控制企业合并资 </w:t>
      </w:r>
      <w:r>
        <w:rPr/>
        <w:t>产评估增值</w:t>
      </w:r>
    </w:p>
    <w:p>
      <w:pPr>
        <w:spacing w:line="240" w:lineRule="auto" w:before="5"/>
        <w:rPr>
          <w:rFonts w:ascii="宋体" w:hAnsi="宋体" w:cs="宋体" w:eastAsia="宋体" w:hint="default"/>
          <w:sz w:val="20"/>
          <w:szCs w:val="20"/>
        </w:rPr>
      </w:pPr>
      <w:r>
        <w:rPr/>
        <w:br w:type="column"/>
      </w:r>
      <w:r>
        <w:rPr>
          <w:rFonts w:ascii="宋体"/>
          <w:sz w:val="20"/>
        </w:rPr>
      </w:r>
    </w:p>
    <w:p>
      <w:pPr>
        <w:pStyle w:val="BodyText"/>
        <w:tabs>
          <w:tab w:pos="2659" w:val="left" w:leader="none"/>
          <w:tab w:pos="4393" w:val="left" w:leader="none"/>
          <w:tab w:pos="6345" w:val="left" w:leader="none"/>
        </w:tabs>
        <w:spacing w:line="240" w:lineRule="auto"/>
        <w:ind w:left="743" w:right="0"/>
        <w:jc w:val="left"/>
        <w:rPr>
          <w:rFonts w:ascii="Times New Roman" w:hAnsi="Times New Roman" w:cs="Times New Roman" w:eastAsia="Times New Roman" w:hint="default"/>
        </w:rPr>
      </w:pPr>
      <w:r>
        <w:rPr>
          <w:rFonts w:ascii="Times New Roman"/>
          <w:spacing w:val="-1"/>
        </w:rPr>
        <w:t>22,683,840.00</w:t>
        <w:tab/>
        <w:t>3,402,576.00</w:t>
        <w:tab/>
        <w:t>30,245,120.00</w:t>
        <w:tab/>
        <w:t>4,347,736.00</w:t>
      </w:r>
    </w:p>
    <w:p>
      <w:pPr>
        <w:spacing w:after="0" w:line="240" w:lineRule="auto"/>
        <w:jc w:val="left"/>
        <w:rPr>
          <w:rFonts w:ascii="Times New Roman" w:hAnsi="Times New Roman" w:cs="Times New Roman" w:eastAsia="Times New Roman" w:hint="default"/>
        </w:rPr>
        <w:sectPr>
          <w:type w:val="continuous"/>
          <w:pgSz w:w="11910" w:h="16840"/>
          <w:pgMar w:top="780" w:bottom="840" w:left="0" w:right="0"/>
          <w:cols w:num="2" w:equalWidth="0">
            <w:col w:w="3303" w:space="40"/>
            <w:col w:w="8567"/>
          </w:cols>
        </w:sectPr>
      </w:pPr>
    </w:p>
    <w:p>
      <w:pPr>
        <w:pStyle w:val="BodyText"/>
        <w:tabs>
          <w:tab w:pos="4086" w:val="left" w:leader="none"/>
          <w:tab w:pos="6001" w:val="left" w:leader="none"/>
          <w:tab w:pos="7735" w:val="left" w:leader="none"/>
          <w:tab w:pos="9687" w:val="left" w:leader="none"/>
        </w:tabs>
        <w:spacing w:line="240" w:lineRule="auto" w:before="108"/>
        <w:ind w:left="2086" w:right="1117"/>
        <w:jc w:val="left"/>
        <w:rPr>
          <w:rFonts w:ascii="Times New Roman" w:hAnsi="Times New Roman" w:cs="Times New Roman" w:eastAsia="Times New Roman" w:hint="default"/>
        </w:rPr>
      </w:pPr>
      <w:r>
        <w:rPr/>
        <w:t>合  计</w:t>
        <w:tab/>
      </w:r>
      <w:r>
        <w:rPr>
          <w:rFonts w:ascii="Times New Roman" w:hAnsi="Times New Roman" w:cs="Times New Roman" w:eastAsia="Times New Roman" w:hint="default"/>
        </w:rPr>
      </w:r>
      <w:r>
        <w:rPr>
          <w:rFonts w:ascii="Times New Roman" w:hAnsi="Times New Roman" w:cs="Times New Roman" w:eastAsia="Times New Roman" w:hint="default"/>
          <w:spacing w:val="-1"/>
          <w:u w:val="thick" w:color="000000"/>
        </w:rPr>
        <w:t>22,683,840.00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3,402,576.00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30,245,120.00</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1"/>
          <w:u w:val="thick" w:color="000000"/>
        </w:rPr>
        <w:t>4,347,736.00</w:t>
      </w:r>
      <w:r>
        <w:rPr>
          <w:rFonts w:ascii="Times New Roman" w:hAnsi="Times New Roman" w:cs="Times New Roman" w:eastAsia="Times New Roman" w:hint="default"/>
          <w:spacing w:val="-1"/>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240" w:lineRule="auto"/>
        <w:ind w:right="1117"/>
        <w:jc w:val="left"/>
      </w:pPr>
      <w:r>
        <w:rPr/>
        <w:t>（</w:t>
      </w:r>
      <w:r>
        <w:rPr>
          <w:rFonts w:ascii="Times New Roman" w:hAnsi="Times New Roman" w:cs="Times New Roman" w:eastAsia="Times New Roman" w:hint="default"/>
        </w:rPr>
        <w:t>3</w:t>
      </w:r>
      <w:r>
        <w:rPr/>
        <w:t>）未确认递延所得税资产情况</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694"/>
        <w:gridCol w:w="2759"/>
        <w:gridCol w:w="2978"/>
      </w:tblGrid>
      <w:tr>
        <w:trPr>
          <w:trHeight w:val="272" w:hRule="exact"/>
        </w:trPr>
        <w:tc>
          <w:tcPr>
            <w:tcW w:w="3694" w:type="dxa"/>
            <w:tcBorders>
              <w:top w:val="nil" w:sz="6" w:space="0" w:color="auto"/>
              <w:left w:val="nil" w:sz="6" w:space="0" w:color="auto"/>
              <w:bottom w:val="single" w:sz="4" w:space="0" w:color="000000"/>
              <w:right w:val="nil" w:sz="6" w:space="0" w:color="auto"/>
            </w:tcBorders>
          </w:tcPr>
          <w:p>
            <w:pPr>
              <w:pStyle w:val="TableParagraph"/>
              <w:spacing w:line="180" w:lineRule="exact"/>
              <w:ind w:right="657"/>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759" w:type="dxa"/>
            <w:tcBorders>
              <w:top w:val="nil" w:sz="6" w:space="0" w:color="auto"/>
              <w:left w:val="nil" w:sz="6" w:space="0" w:color="auto"/>
              <w:bottom w:val="single" w:sz="4" w:space="0" w:color="000000"/>
              <w:right w:val="nil" w:sz="6" w:space="0" w:color="auto"/>
            </w:tcBorders>
          </w:tcPr>
          <w:p>
            <w:pPr>
              <w:pStyle w:val="TableParagraph"/>
              <w:spacing w:line="180" w:lineRule="exact"/>
              <w:ind w:left="65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8" w:type="dxa"/>
            <w:tcBorders>
              <w:top w:val="nil" w:sz="6" w:space="0" w:color="auto"/>
              <w:left w:val="nil" w:sz="6" w:space="0" w:color="auto"/>
              <w:bottom w:val="single" w:sz="4" w:space="0" w:color="000000"/>
              <w:right w:val="nil" w:sz="6" w:space="0" w:color="auto"/>
            </w:tcBorders>
          </w:tcPr>
          <w:p>
            <w:pPr>
              <w:pStyle w:val="TableParagraph"/>
              <w:spacing w:line="180" w:lineRule="exact"/>
              <w:ind w:left="104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369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75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684" w:right="0"/>
              <w:jc w:val="left"/>
              <w:rPr>
                <w:rFonts w:ascii="Times New Roman" w:hAnsi="Times New Roman" w:cs="Times New Roman" w:eastAsia="Times New Roman" w:hint="default"/>
                <w:sz w:val="18"/>
                <w:szCs w:val="18"/>
              </w:rPr>
            </w:pPr>
            <w:r>
              <w:rPr>
                <w:rFonts w:ascii="Times New Roman"/>
                <w:sz w:val="18"/>
              </w:rPr>
              <w:t>41,665,901.11</w:t>
            </w:r>
          </w:p>
        </w:tc>
        <w:tc>
          <w:tcPr>
            <w:tcW w:w="297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076" w:right="0"/>
              <w:jc w:val="left"/>
              <w:rPr>
                <w:rFonts w:ascii="Times New Roman" w:hAnsi="Times New Roman" w:cs="Times New Roman" w:eastAsia="Times New Roman" w:hint="default"/>
                <w:sz w:val="18"/>
                <w:szCs w:val="18"/>
              </w:rPr>
            </w:pPr>
            <w:r>
              <w:rPr>
                <w:rFonts w:ascii="Times New Roman"/>
                <w:sz w:val="18"/>
              </w:rPr>
              <w:t>24,111,336.86</w:t>
            </w:r>
          </w:p>
        </w:tc>
      </w:tr>
      <w:tr>
        <w:trPr>
          <w:trHeight w:val="440"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84" w:right="0"/>
              <w:jc w:val="left"/>
              <w:rPr>
                <w:rFonts w:ascii="Times New Roman" w:hAnsi="Times New Roman" w:cs="Times New Roman" w:eastAsia="Times New Roman" w:hint="default"/>
                <w:sz w:val="18"/>
                <w:szCs w:val="18"/>
              </w:rPr>
            </w:pPr>
            <w:r>
              <w:rPr>
                <w:rFonts w:ascii="Times New Roman"/>
                <w:sz w:val="18"/>
              </w:rPr>
              <w:t>55,116,190.03</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64" w:right="0"/>
              <w:jc w:val="left"/>
              <w:rPr>
                <w:rFonts w:ascii="Times New Roman" w:hAnsi="Times New Roman" w:cs="Times New Roman" w:eastAsia="Times New Roman" w:hint="default"/>
                <w:sz w:val="18"/>
                <w:szCs w:val="18"/>
              </w:rPr>
            </w:pPr>
            <w:r>
              <w:rPr>
                <w:rFonts w:ascii="Times New Roman"/>
                <w:sz w:val="18"/>
              </w:rPr>
              <w:t>23,993,702.94</w:t>
            </w:r>
          </w:p>
        </w:tc>
      </w:tr>
      <w:tr>
        <w:trPr>
          <w:trHeight w:val="315"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49"/>
              <w:jc w:val="center"/>
              <w:rPr>
                <w:rFonts w:ascii="宋体" w:hAnsi="宋体" w:cs="宋体" w:eastAsia="宋体" w:hint="default"/>
                <w:sz w:val="18"/>
                <w:szCs w:val="18"/>
              </w:rPr>
            </w:pPr>
            <w:r>
              <w:rPr>
                <w:rFonts w:ascii="宋体" w:hAnsi="宋体" w:cs="宋体" w:eastAsia="宋体" w:hint="default"/>
                <w:sz w:val="18"/>
                <w:szCs w:val="18"/>
              </w:rPr>
              <w:t>合  计</w:t>
            </w:r>
          </w:p>
        </w:tc>
        <w:tc>
          <w:tcPr>
            <w:tcW w:w="275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7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96,782,091.14</w:t>
            </w:r>
            <w:r>
              <w:rPr>
                <w:rFonts w:ascii="Times New Roman"/>
                <w:sz w:val="18"/>
              </w:rPr>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6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48,105,039.80</w:t>
            </w:r>
            <w:r>
              <w:rPr>
                <w:rFonts w:ascii="Times New Roman"/>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pict>
          <v:group style="position:absolute;margin-left:64.559998pt;margin-top:46.131721pt;width:472.75pt;height:.5pt;mso-position-horizontal-relative:page;mso-position-vertical-relative:paragraph;z-index:-946960" coordorigin="1291,923" coordsize="9455,10">
            <v:group style="position:absolute;left:1296;top:927;width:2372;height:2" coordorigin="1296,927" coordsize="2372,2">
              <v:shape style="position:absolute;left:1296;top:927;width:2372;height:2" coordorigin="1296,927" coordsize="2372,0" path="m1296,927l3668,927e" filled="false" stroked="true" strokeweight=".48pt" strokecolor="#000000">
                <v:path arrowok="t"/>
              </v:shape>
            </v:group>
            <v:group style="position:absolute;left:3653;top:927;width:10;height:2" coordorigin="3653,927" coordsize="10,2">
              <v:shape style="position:absolute;left:3653;top:927;width:10;height:2" coordorigin="3653,927" coordsize="10,0" path="m3653,927l3663,927e" filled="false" stroked="true" strokeweight=".48pt" strokecolor="#000000">
                <v:path arrowok="t"/>
              </v:shape>
            </v:group>
            <v:group style="position:absolute;left:3663;top:927;width:2362;height:2" coordorigin="3663,927" coordsize="2362,2">
              <v:shape style="position:absolute;left:3663;top:927;width:2362;height:2" coordorigin="3663,927" coordsize="2362,0" path="m3663,927l6025,927e" filled="false" stroked="true" strokeweight=".48pt" strokecolor="#000000">
                <v:path arrowok="t"/>
              </v:shape>
            </v:group>
            <v:group style="position:absolute;left:6010;top:927;width:10;height:2" coordorigin="6010,927" coordsize="10,2">
              <v:shape style="position:absolute;left:6010;top:927;width:10;height:2" coordorigin="6010,927" coordsize="10,0" path="m6010,927l6020,927e" filled="false" stroked="true" strokeweight=".48pt" strokecolor="#000000">
                <v:path arrowok="t"/>
              </v:shape>
            </v:group>
            <v:group style="position:absolute;left:6020;top:927;width:2364;height:2" coordorigin="6020,927" coordsize="2364,2">
              <v:shape style="position:absolute;left:6020;top:927;width:2364;height:2" coordorigin="6020,927" coordsize="2364,0" path="m6020,927l8383,927e" filled="false" stroked="true" strokeweight=".48pt" strokecolor="#000000">
                <v:path arrowok="t"/>
              </v:shape>
            </v:group>
            <v:group style="position:absolute;left:8369;top:927;width:10;height:2" coordorigin="8369,927" coordsize="10,2">
              <v:shape style="position:absolute;left:8369;top:927;width:10;height:2" coordorigin="8369,927" coordsize="10,0" path="m8369,927l8378,927e" filled="false" stroked="true" strokeweight=".48pt" strokecolor="#000000">
                <v:path arrowok="t"/>
              </v:shape>
            </v:group>
            <v:group style="position:absolute;left:8378;top:927;width:2363;height:2" coordorigin="8378,927" coordsize="2363,2">
              <v:shape style="position:absolute;left:8378;top:927;width:2363;height:2" coordorigin="8378,927" coordsize="2363,0" path="m8378,927l10741,927e" filled="false" stroked="true" strokeweight=".48pt" strokecolor="#000000">
                <v:path arrowok="t"/>
              </v:shape>
            </v:group>
            <w10:wrap type="none"/>
          </v:group>
        </w:pict>
      </w:r>
      <w:r>
        <w:rPr/>
        <w:t>（</w:t>
      </w:r>
      <w:r>
        <w:rPr>
          <w:rFonts w:ascii="Times New Roman" w:hAnsi="Times New Roman" w:cs="Times New Roman" w:eastAsia="Times New Roman" w:hint="default"/>
        </w:rPr>
        <w:t>4</w:t>
      </w:r>
      <w:r>
        <w:rPr/>
        <w:t>）未确认递延所得税资产的可抵扣亏损将于以下年度到期</w:t>
      </w:r>
    </w:p>
    <w:p>
      <w:pPr>
        <w:spacing w:line="240" w:lineRule="auto" w:before="9"/>
        <w:rPr>
          <w:rFonts w:ascii="宋体" w:hAnsi="宋体" w:cs="宋体" w:eastAsia="宋体" w:hint="default"/>
          <w:sz w:val="27"/>
          <w:szCs w:val="27"/>
        </w:rPr>
      </w:pPr>
    </w:p>
    <w:tbl>
      <w:tblPr>
        <w:tblW w:w="0" w:type="auto"/>
        <w:jc w:val="left"/>
        <w:tblInd w:w="2817" w:type="dxa"/>
        <w:tblLayout w:type="fixed"/>
        <w:tblCellMar>
          <w:top w:w="0" w:type="dxa"/>
          <w:left w:w="0" w:type="dxa"/>
          <w:bottom w:w="0" w:type="dxa"/>
          <w:right w:w="0" w:type="dxa"/>
        </w:tblCellMar>
        <w:tblLook w:val="01E0"/>
      </w:tblPr>
      <w:tblGrid>
        <w:gridCol w:w="1205"/>
        <w:gridCol w:w="2002"/>
        <w:gridCol w:w="2448"/>
        <w:gridCol w:w="1471"/>
      </w:tblGrid>
      <w:tr>
        <w:trPr>
          <w:trHeight w:val="272"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181"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spacing w:val="90"/>
                <w:sz w:val="18"/>
                <w:szCs w:val="18"/>
              </w:rPr>
              <w:t> </w:t>
            </w:r>
            <w:r>
              <w:rPr>
                <w:rFonts w:ascii="宋体" w:hAnsi="宋体" w:cs="宋体" w:eastAsia="宋体" w:hint="default"/>
                <w:b/>
                <w:bCs/>
                <w:sz w:val="18"/>
                <w:szCs w:val="18"/>
              </w:rPr>
              <w:t>份</w:t>
            </w:r>
            <w:r>
              <w:rPr>
                <w:rFonts w:ascii="宋体" w:hAnsi="宋体" w:cs="宋体" w:eastAsia="宋体" w:hint="default"/>
                <w:sz w:val="18"/>
                <w:szCs w:val="18"/>
              </w:rPr>
            </w:r>
          </w:p>
        </w:tc>
        <w:tc>
          <w:tcPr>
            <w:tcW w:w="2002" w:type="dxa"/>
            <w:tcBorders>
              <w:top w:val="nil" w:sz="6" w:space="0" w:color="auto"/>
              <w:left w:val="nil" w:sz="6" w:space="0" w:color="auto"/>
              <w:bottom w:val="nil" w:sz="6" w:space="0" w:color="auto"/>
              <w:right w:val="nil" w:sz="6" w:space="0" w:color="auto"/>
            </w:tcBorders>
          </w:tcPr>
          <w:p>
            <w:pPr>
              <w:pStyle w:val="TableParagraph"/>
              <w:spacing w:line="180" w:lineRule="exact"/>
              <w:ind w:left="46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48" w:type="dxa"/>
            <w:tcBorders>
              <w:top w:val="nil" w:sz="6" w:space="0" w:color="auto"/>
              <w:left w:val="nil" w:sz="6" w:space="0" w:color="auto"/>
              <w:bottom w:val="nil" w:sz="6" w:space="0" w:color="auto"/>
              <w:right w:val="nil" w:sz="6" w:space="0" w:color="auto"/>
            </w:tcBorders>
          </w:tcPr>
          <w:p>
            <w:pPr>
              <w:pStyle w:val="TableParagraph"/>
              <w:spacing w:line="180" w:lineRule="exact"/>
              <w:ind w:right="89"/>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180" w:lineRule="exact"/>
              <w:ind w:left="908"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type w:val="continuous"/>
          <w:pgSz w:w="11910" w:h="16840"/>
          <w:pgMar w:top="780" w:bottom="84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2699"/>
        <w:gridCol w:w="2147"/>
        <w:gridCol w:w="2317"/>
        <w:gridCol w:w="2268"/>
      </w:tblGrid>
      <w:tr>
        <w:trPr>
          <w:trHeight w:val="272" w:hRule="exact"/>
        </w:trPr>
        <w:tc>
          <w:tcPr>
            <w:tcW w:w="2699" w:type="dxa"/>
            <w:tcBorders>
              <w:top w:val="nil" w:sz="6" w:space="0" w:color="auto"/>
              <w:left w:val="nil" w:sz="6" w:space="0" w:color="auto"/>
              <w:bottom w:val="single" w:sz="4" w:space="0" w:color="000000"/>
              <w:right w:val="nil" w:sz="6" w:space="0" w:color="auto"/>
            </w:tcBorders>
          </w:tcPr>
          <w:p>
            <w:pPr>
              <w:pStyle w:val="TableParagraph"/>
              <w:spacing w:line="180" w:lineRule="exact"/>
              <w:ind w:left="1706"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spacing w:val="90"/>
                <w:sz w:val="18"/>
                <w:szCs w:val="18"/>
              </w:rPr>
              <w:t> </w:t>
            </w:r>
            <w:r>
              <w:rPr>
                <w:rFonts w:ascii="宋体" w:hAnsi="宋体" w:cs="宋体" w:eastAsia="宋体" w:hint="default"/>
                <w:b/>
                <w:bCs/>
                <w:sz w:val="18"/>
                <w:szCs w:val="18"/>
              </w:rPr>
              <w:t>份</w:t>
            </w:r>
            <w:r>
              <w:rPr>
                <w:rFonts w:ascii="宋体" w:hAnsi="宋体" w:cs="宋体" w:eastAsia="宋体" w:hint="default"/>
                <w:sz w:val="18"/>
                <w:szCs w:val="18"/>
              </w:rPr>
            </w:r>
          </w:p>
        </w:tc>
        <w:tc>
          <w:tcPr>
            <w:tcW w:w="2147" w:type="dxa"/>
            <w:tcBorders>
              <w:top w:val="nil" w:sz="6" w:space="0" w:color="auto"/>
              <w:left w:val="nil" w:sz="6" w:space="0" w:color="auto"/>
              <w:bottom w:val="single" w:sz="4" w:space="0" w:color="000000"/>
              <w:right w:val="nil" w:sz="6" w:space="0" w:color="auto"/>
            </w:tcBorders>
          </w:tcPr>
          <w:p>
            <w:pPr>
              <w:pStyle w:val="TableParagraph"/>
              <w:spacing w:line="180"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17" w:type="dxa"/>
            <w:tcBorders>
              <w:top w:val="nil" w:sz="6" w:space="0" w:color="auto"/>
              <w:left w:val="nil" w:sz="6" w:space="0" w:color="auto"/>
              <w:bottom w:val="single" w:sz="4" w:space="0" w:color="000000"/>
              <w:right w:val="nil" w:sz="6" w:space="0" w:color="auto"/>
            </w:tcBorders>
          </w:tcPr>
          <w:p>
            <w:pPr>
              <w:pStyle w:val="TableParagraph"/>
              <w:spacing w:line="180" w:lineRule="exact"/>
              <w:ind w:left="68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268" w:type="dxa"/>
            <w:tcBorders>
              <w:top w:val="nil" w:sz="6" w:space="0" w:color="auto"/>
              <w:left w:val="nil" w:sz="6" w:space="0" w:color="auto"/>
              <w:bottom w:val="single" w:sz="4" w:space="0" w:color="000000"/>
              <w:right w:val="nil" w:sz="6" w:space="0" w:color="auto"/>
            </w:tcBorders>
          </w:tcPr>
          <w:p>
            <w:pPr>
              <w:pStyle w:val="TableParagraph"/>
              <w:spacing w:line="180" w:lineRule="exact"/>
              <w:ind w:right="86"/>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98" w:hRule="exact"/>
        </w:trPr>
        <w:tc>
          <w:tcPr>
            <w:tcW w:w="269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998" w:right="0"/>
              <w:jc w:val="left"/>
              <w:rPr>
                <w:rFonts w:ascii="Times New Roman" w:hAnsi="Times New Roman" w:cs="Times New Roman" w:eastAsia="Times New Roman" w:hint="default"/>
                <w:sz w:val="18"/>
                <w:szCs w:val="18"/>
              </w:rPr>
            </w:pPr>
            <w:r>
              <w:rPr>
                <w:rFonts w:ascii="Times New Roman"/>
                <w:sz w:val="18"/>
              </w:rPr>
              <w:t>2017</w:t>
            </w:r>
          </w:p>
        </w:tc>
        <w:tc>
          <w:tcPr>
            <w:tcW w:w="2147" w:type="dxa"/>
            <w:tcBorders>
              <w:top w:val="single" w:sz="4" w:space="0" w:color="000000"/>
              <w:left w:val="nil" w:sz="6" w:space="0" w:color="auto"/>
              <w:bottom w:val="nil" w:sz="6" w:space="0" w:color="auto"/>
              <w:right w:val="nil" w:sz="6" w:space="0" w:color="auto"/>
            </w:tcBorders>
          </w:tcPr>
          <w:p>
            <w:pPr/>
          </w:p>
        </w:tc>
        <w:tc>
          <w:tcPr>
            <w:tcW w:w="231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617"/>
              <w:jc w:val="right"/>
              <w:rPr>
                <w:rFonts w:ascii="Times New Roman" w:hAnsi="Times New Roman" w:cs="Times New Roman" w:eastAsia="Times New Roman" w:hint="default"/>
                <w:sz w:val="18"/>
                <w:szCs w:val="18"/>
              </w:rPr>
            </w:pPr>
            <w:r>
              <w:rPr>
                <w:rFonts w:ascii="Times New Roman"/>
                <w:sz w:val="18"/>
              </w:rPr>
              <w:t>254,216.75</w:t>
            </w:r>
          </w:p>
        </w:tc>
        <w:tc>
          <w:tcPr>
            <w:tcW w:w="2268"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98" w:right="0"/>
              <w:jc w:val="left"/>
              <w:rPr>
                <w:rFonts w:ascii="Times New Roman" w:hAnsi="Times New Roman" w:cs="Times New Roman" w:eastAsia="Times New Roman" w:hint="default"/>
                <w:sz w:val="18"/>
                <w:szCs w:val="18"/>
              </w:rPr>
            </w:pPr>
            <w:r>
              <w:rPr>
                <w:rFonts w:ascii="Times New Roman"/>
                <w:sz w:val="18"/>
              </w:rPr>
              <w:t>2018</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674" w:right="0"/>
              <w:jc w:val="left"/>
              <w:rPr>
                <w:rFonts w:ascii="Times New Roman" w:hAnsi="Times New Roman" w:cs="Times New Roman" w:eastAsia="Times New Roman" w:hint="default"/>
                <w:sz w:val="18"/>
                <w:szCs w:val="18"/>
              </w:rPr>
            </w:pPr>
            <w:r>
              <w:rPr>
                <w:rFonts w:ascii="Times New Roman"/>
                <w:sz w:val="18"/>
              </w:rPr>
              <w:t>250,442.68</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18"/>
              <w:jc w:val="right"/>
              <w:rPr>
                <w:rFonts w:ascii="Times New Roman" w:hAnsi="Times New Roman" w:cs="Times New Roman" w:eastAsia="Times New Roman" w:hint="default"/>
                <w:sz w:val="18"/>
                <w:szCs w:val="18"/>
              </w:rPr>
            </w:pPr>
            <w:r>
              <w:rPr>
                <w:rFonts w:ascii="Times New Roman"/>
                <w:spacing w:val="-1"/>
                <w:sz w:val="18"/>
              </w:rPr>
              <w:t>1,506,999.97</w:t>
            </w:r>
          </w:p>
        </w:tc>
        <w:tc>
          <w:tcPr>
            <w:tcW w:w="2268" w:type="dxa"/>
            <w:tcBorders>
              <w:top w:val="nil" w:sz="6" w:space="0" w:color="auto"/>
              <w:left w:val="nil" w:sz="6" w:space="0" w:color="auto"/>
              <w:bottom w:val="nil" w:sz="6" w:space="0" w:color="auto"/>
              <w:right w:val="nil" w:sz="6" w:space="0" w:color="auto"/>
            </w:tcBorders>
          </w:tcPr>
          <w:p>
            <w:pPr/>
          </w:p>
        </w:tc>
      </w:tr>
      <w:tr>
        <w:trPr>
          <w:trHeight w:val="440"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998" w:right="0"/>
              <w:jc w:val="left"/>
              <w:rPr>
                <w:rFonts w:ascii="Times New Roman" w:hAnsi="Times New Roman" w:cs="Times New Roman" w:eastAsia="Times New Roman" w:hint="default"/>
                <w:sz w:val="18"/>
                <w:szCs w:val="18"/>
              </w:rPr>
            </w:pPr>
            <w:r>
              <w:rPr>
                <w:rFonts w:ascii="Times New Roman"/>
                <w:sz w:val="18"/>
              </w:rPr>
              <w:t>2019</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39" w:right="0"/>
              <w:jc w:val="left"/>
              <w:rPr>
                <w:rFonts w:ascii="Times New Roman" w:hAnsi="Times New Roman" w:cs="Times New Roman" w:eastAsia="Times New Roman" w:hint="default"/>
                <w:sz w:val="18"/>
                <w:szCs w:val="18"/>
              </w:rPr>
            </w:pPr>
            <w:r>
              <w:rPr>
                <w:rFonts w:ascii="Times New Roman"/>
                <w:sz w:val="18"/>
              </w:rPr>
              <w:t>4,596,485.57</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18"/>
              <w:jc w:val="right"/>
              <w:rPr>
                <w:rFonts w:ascii="Times New Roman" w:hAnsi="Times New Roman" w:cs="Times New Roman" w:eastAsia="Times New Roman" w:hint="default"/>
                <w:sz w:val="18"/>
                <w:szCs w:val="18"/>
              </w:rPr>
            </w:pPr>
            <w:r>
              <w:rPr>
                <w:rFonts w:ascii="Times New Roman"/>
                <w:spacing w:val="-1"/>
                <w:sz w:val="18"/>
              </w:rPr>
              <w:t>4,773,848.85</w:t>
            </w:r>
          </w:p>
        </w:tc>
        <w:tc>
          <w:tcPr>
            <w:tcW w:w="2268" w:type="dxa"/>
            <w:tcBorders>
              <w:top w:val="nil" w:sz="6" w:space="0" w:color="auto"/>
              <w:left w:val="nil" w:sz="6" w:space="0" w:color="auto"/>
              <w:bottom w:val="nil" w:sz="6" w:space="0" w:color="auto"/>
              <w:right w:val="nil" w:sz="6" w:space="0" w:color="auto"/>
            </w:tcBorders>
          </w:tcPr>
          <w:p>
            <w:pPr/>
          </w:p>
        </w:tc>
      </w:tr>
      <w:tr>
        <w:trPr>
          <w:trHeight w:val="440"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98" w:right="0"/>
              <w:jc w:val="left"/>
              <w:rPr>
                <w:rFonts w:ascii="Times New Roman" w:hAnsi="Times New Roman" w:cs="Times New Roman" w:eastAsia="Times New Roman" w:hint="default"/>
                <w:sz w:val="18"/>
                <w:szCs w:val="18"/>
              </w:rPr>
            </w:pPr>
            <w:r>
              <w:rPr>
                <w:rFonts w:ascii="Times New Roman"/>
                <w:sz w:val="18"/>
              </w:rPr>
              <w:t>2020</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39" w:right="0"/>
              <w:jc w:val="left"/>
              <w:rPr>
                <w:rFonts w:ascii="Times New Roman" w:hAnsi="Times New Roman" w:cs="Times New Roman" w:eastAsia="Times New Roman" w:hint="default"/>
                <w:sz w:val="18"/>
                <w:szCs w:val="18"/>
              </w:rPr>
            </w:pPr>
            <w:r>
              <w:rPr>
                <w:rFonts w:ascii="Times New Roman"/>
                <w:sz w:val="18"/>
              </w:rPr>
              <w:t>4,549,045.18</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18"/>
              <w:jc w:val="right"/>
              <w:rPr>
                <w:rFonts w:ascii="Times New Roman" w:hAnsi="Times New Roman" w:cs="Times New Roman" w:eastAsia="Times New Roman" w:hint="default"/>
                <w:sz w:val="18"/>
                <w:szCs w:val="18"/>
              </w:rPr>
            </w:pPr>
            <w:r>
              <w:rPr>
                <w:rFonts w:ascii="Times New Roman"/>
                <w:spacing w:val="-1"/>
                <w:sz w:val="18"/>
              </w:rPr>
              <w:t>4,554,820.00</w:t>
            </w:r>
          </w:p>
        </w:tc>
        <w:tc>
          <w:tcPr>
            <w:tcW w:w="2268" w:type="dxa"/>
            <w:tcBorders>
              <w:top w:val="nil" w:sz="6" w:space="0" w:color="auto"/>
              <w:left w:val="nil" w:sz="6" w:space="0" w:color="auto"/>
              <w:bottom w:val="nil" w:sz="6" w:space="0" w:color="auto"/>
              <w:right w:val="nil" w:sz="6" w:space="0" w:color="auto"/>
            </w:tcBorders>
          </w:tcPr>
          <w:p>
            <w:pPr/>
          </w:p>
        </w:tc>
      </w:tr>
      <w:tr>
        <w:trPr>
          <w:trHeight w:val="440"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98" w:right="0"/>
              <w:jc w:val="left"/>
              <w:rPr>
                <w:rFonts w:ascii="Times New Roman" w:hAnsi="Times New Roman" w:cs="Times New Roman" w:eastAsia="Times New Roman" w:hint="default"/>
                <w:sz w:val="18"/>
                <w:szCs w:val="18"/>
              </w:rPr>
            </w:pPr>
            <w:r>
              <w:rPr>
                <w:rFonts w:ascii="Times New Roman"/>
                <w:sz w:val="18"/>
              </w:rPr>
              <w:t>2021</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49" w:right="0"/>
              <w:jc w:val="left"/>
              <w:rPr>
                <w:rFonts w:ascii="Times New Roman" w:hAnsi="Times New Roman" w:cs="Times New Roman" w:eastAsia="Times New Roman" w:hint="default"/>
                <w:sz w:val="18"/>
                <w:szCs w:val="18"/>
              </w:rPr>
            </w:pPr>
            <w:r>
              <w:rPr>
                <w:rFonts w:ascii="Times New Roman"/>
                <w:sz w:val="18"/>
              </w:rPr>
              <w:t>12,533,397.33</w:t>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18"/>
              <w:jc w:val="right"/>
              <w:rPr>
                <w:rFonts w:ascii="Times New Roman" w:hAnsi="Times New Roman" w:cs="Times New Roman" w:eastAsia="Times New Roman" w:hint="default"/>
                <w:sz w:val="18"/>
                <w:szCs w:val="18"/>
              </w:rPr>
            </w:pPr>
            <w:r>
              <w:rPr>
                <w:rFonts w:ascii="Times New Roman"/>
                <w:spacing w:val="-1"/>
                <w:sz w:val="18"/>
              </w:rPr>
              <w:t>12,903,817.37</w:t>
            </w:r>
          </w:p>
        </w:tc>
        <w:tc>
          <w:tcPr>
            <w:tcW w:w="2268" w:type="dxa"/>
            <w:tcBorders>
              <w:top w:val="nil" w:sz="6" w:space="0" w:color="auto"/>
              <w:left w:val="nil" w:sz="6" w:space="0" w:color="auto"/>
              <w:bottom w:val="nil" w:sz="6" w:space="0" w:color="auto"/>
              <w:right w:val="nil" w:sz="6" w:space="0" w:color="auto"/>
            </w:tcBorders>
          </w:tcPr>
          <w:p>
            <w:pPr/>
          </w:p>
        </w:tc>
      </w:tr>
      <w:tr>
        <w:trPr>
          <w:trHeight w:val="435"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998" w:right="0"/>
              <w:jc w:val="left"/>
              <w:rPr>
                <w:rFonts w:ascii="Times New Roman" w:hAnsi="Times New Roman" w:cs="Times New Roman" w:eastAsia="Times New Roman" w:hint="default"/>
                <w:sz w:val="18"/>
                <w:szCs w:val="18"/>
              </w:rPr>
            </w:pPr>
            <w:r>
              <w:rPr>
                <w:rFonts w:ascii="Times New Roman"/>
                <w:sz w:val="18"/>
              </w:rPr>
              <w:t>2022</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33,186,819.27</w:t>
            </w:r>
          </w:p>
        </w:tc>
        <w:tc>
          <w:tcPr>
            <w:tcW w:w="231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
        </w:tc>
      </w:tr>
      <w:tr>
        <w:trPr>
          <w:trHeight w:val="315" w:hRule="exact"/>
        </w:trPr>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0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5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55,116,190.03</w:t>
            </w:r>
            <w:r>
              <w:rPr>
                <w:rFonts w:ascii="Times New Roman"/>
                <w:sz w:val="18"/>
              </w:rPr>
            </w:r>
          </w:p>
        </w:tc>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23,993,702.94</w:t>
            </w:r>
            <w:r>
              <w:rPr>
                <w:rFonts w:ascii="Times New Roman"/>
                <w:spacing w:val="-1"/>
                <w:sz w:val="18"/>
              </w:rPr>
            </w:r>
          </w:p>
        </w:tc>
        <w:tc>
          <w:tcPr>
            <w:tcW w:w="2268"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16.其他非流动资产" w:id="208"/>
      <w:bookmarkEnd w:id="208"/>
      <w:r>
        <w:rPr/>
      </w:r>
      <w:r>
        <w:rPr>
          <w:rFonts w:ascii="Times New Roman" w:hAnsi="Times New Roman" w:cs="Times New Roman" w:eastAsia="Times New Roman" w:hint="default"/>
        </w:rPr>
        <w:t>16.</w:t>
      </w:r>
      <w:r>
        <w:rPr/>
        <w:t>其他非流动资产</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430"/>
        <w:gridCol w:w="2539"/>
        <w:gridCol w:w="2462"/>
      </w:tblGrid>
      <w:tr>
        <w:trPr>
          <w:trHeight w:val="272" w:hRule="exact"/>
        </w:trPr>
        <w:tc>
          <w:tcPr>
            <w:tcW w:w="4430" w:type="dxa"/>
            <w:tcBorders>
              <w:top w:val="nil" w:sz="6" w:space="0" w:color="auto"/>
              <w:left w:val="nil" w:sz="6" w:space="0" w:color="auto"/>
              <w:bottom w:val="single" w:sz="4" w:space="0" w:color="000000"/>
              <w:right w:val="nil" w:sz="6" w:space="0" w:color="auto"/>
            </w:tcBorders>
          </w:tcPr>
          <w:p>
            <w:pPr>
              <w:pStyle w:val="TableParagraph"/>
              <w:spacing w:line="180" w:lineRule="exact"/>
              <w:ind w:right="207"/>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39" w:type="dxa"/>
            <w:tcBorders>
              <w:top w:val="nil" w:sz="6" w:space="0" w:color="auto"/>
              <w:left w:val="nil" w:sz="6" w:space="0" w:color="auto"/>
              <w:bottom w:val="single" w:sz="4" w:space="0" w:color="000000"/>
              <w:right w:val="nil" w:sz="6" w:space="0" w:color="auto"/>
            </w:tcBorders>
          </w:tcPr>
          <w:p>
            <w:pPr>
              <w:pStyle w:val="TableParagraph"/>
              <w:spacing w:line="180" w:lineRule="exact"/>
              <w:ind w:left="72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62" w:type="dxa"/>
            <w:tcBorders>
              <w:top w:val="nil" w:sz="6" w:space="0" w:color="auto"/>
              <w:left w:val="nil" w:sz="6" w:space="0" w:color="auto"/>
              <w:bottom w:val="single" w:sz="4" w:space="0" w:color="000000"/>
              <w:right w:val="nil" w:sz="6" w:space="0" w:color="auto"/>
            </w:tcBorders>
          </w:tcPr>
          <w:p>
            <w:pPr>
              <w:pStyle w:val="TableParagraph"/>
              <w:spacing w:line="180" w:lineRule="exact"/>
              <w:ind w:left="78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443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预付武汉福地科技有限公司项目合作款</w:t>
            </w:r>
          </w:p>
        </w:tc>
        <w:tc>
          <w:tcPr>
            <w:tcW w:w="253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784"/>
              <w:jc w:val="right"/>
              <w:rPr>
                <w:rFonts w:ascii="Times New Roman" w:hAnsi="Times New Roman" w:cs="Times New Roman" w:eastAsia="Times New Roman" w:hint="default"/>
                <w:sz w:val="18"/>
                <w:szCs w:val="18"/>
              </w:rPr>
            </w:pPr>
            <w:r>
              <w:rPr>
                <w:rFonts w:ascii="Times New Roman"/>
                <w:spacing w:val="-1"/>
                <w:sz w:val="18"/>
              </w:rPr>
              <w:t>7,000,000.00</w:t>
            </w:r>
          </w:p>
        </w:tc>
        <w:tc>
          <w:tcPr>
            <w:tcW w:w="2462" w:type="dxa"/>
            <w:tcBorders>
              <w:top w:val="single" w:sz="4" w:space="0" w:color="000000"/>
              <w:left w:val="nil" w:sz="6" w:space="0" w:color="auto"/>
              <w:bottom w:val="nil" w:sz="6" w:space="0" w:color="auto"/>
              <w:right w:val="nil" w:sz="6" w:space="0" w:color="auto"/>
            </w:tcBorders>
          </w:tcPr>
          <w:p>
            <w:pPr/>
          </w:p>
        </w:tc>
      </w:tr>
      <w:tr>
        <w:trPr>
          <w:trHeight w:val="44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预付武汉美凯荧电子商务有限公司项目合作款</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4"/>
              <w:jc w:val="right"/>
              <w:rPr>
                <w:rFonts w:ascii="Times New Roman" w:hAnsi="Times New Roman" w:cs="Times New Roman" w:eastAsia="Times New Roman" w:hint="default"/>
                <w:sz w:val="18"/>
                <w:szCs w:val="18"/>
              </w:rPr>
            </w:pPr>
            <w:r>
              <w:rPr>
                <w:rFonts w:ascii="Times New Roman"/>
                <w:spacing w:val="-1"/>
                <w:sz w:val="18"/>
              </w:rPr>
              <w:t>3,000,000.00</w:t>
            </w:r>
          </w:p>
        </w:tc>
        <w:tc>
          <w:tcPr>
            <w:tcW w:w="2462" w:type="dxa"/>
            <w:tcBorders>
              <w:top w:val="nil" w:sz="6" w:space="0" w:color="auto"/>
              <w:left w:val="nil" w:sz="6" w:space="0" w:color="auto"/>
              <w:bottom w:val="nil" w:sz="6" w:space="0" w:color="auto"/>
              <w:right w:val="nil" w:sz="6" w:space="0" w:color="auto"/>
            </w:tcBorders>
          </w:tcPr>
          <w:p>
            <w:pPr/>
          </w:p>
        </w:tc>
      </w:tr>
      <w:tr>
        <w:trPr>
          <w:trHeight w:val="440"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84"/>
              <w:jc w:val="right"/>
              <w:rPr>
                <w:rFonts w:ascii="Times New Roman" w:hAnsi="Times New Roman" w:cs="Times New Roman" w:eastAsia="Times New Roman" w:hint="default"/>
                <w:sz w:val="18"/>
                <w:szCs w:val="18"/>
              </w:rPr>
            </w:pPr>
            <w:r>
              <w:rPr>
                <w:rFonts w:ascii="Times New Roman"/>
                <w:spacing w:val="-1"/>
                <w:sz w:val="18"/>
              </w:rPr>
              <w:t>1,000,000.00</w:t>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15" w:hRule="exact"/>
        </w:trPr>
        <w:tc>
          <w:tcPr>
            <w:tcW w:w="44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7"/>
              <w:jc w:val="center"/>
              <w:rPr>
                <w:rFonts w:ascii="宋体" w:hAnsi="宋体" w:cs="宋体" w:eastAsia="宋体" w:hint="default"/>
                <w:sz w:val="18"/>
                <w:szCs w:val="18"/>
              </w:rPr>
            </w:pPr>
            <w:r>
              <w:rPr>
                <w:rFonts w:ascii="宋体" w:hAnsi="宋体" w:cs="宋体" w:eastAsia="宋体" w:hint="default"/>
                <w:sz w:val="18"/>
                <w:szCs w:val="18"/>
              </w:rPr>
              <w:t>合  计</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2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11,000,000.00</w:t>
            </w:r>
            <w:r>
              <w:rPr>
                <w:rFonts w:ascii="Times New Roman"/>
                <w:sz w:val="18"/>
              </w:rPr>
            </w:r>
          </w:p>
        </w:tc>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1,000,000.00</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注：湖南天舟教育科技研究院属于本公司下属从事教育科学研究、教育技术研究及推广的民办非企业法人单位。</w:t>
      </w:r>
    </w:p>
    <w:p>
      <w:pPr>
        <w:spacing w:line="240" w:lineRule="auto" w:before="6"/>
        <w:rPr>
          <w:rFonts w:ascii="宋体" w:hAnsi="宋体" w:cs="宋体" w:eastAsia="宋体" w:hint="default"/>
          <w:sz w:val="21"/>
          <w:szCs w:val="21"/>
        </w:rPr>
      </w:pPr>
    </w:p>
    <w:p>
      <w:pPr>
        <w:pStyle w:val="BodyText"/>
        <w:spacing w:line="240" w:lineRule="auto"/>
        <w:ind w:right="1117"/>
        <w:jc w:val="left"/>
      </w:pPr>
      <w:bookmarkStart w:name="17.应付账款" w:id="209"/>
      <w:bookmarkEnd w:id="209"/>
      <w:r>
        <w:rPr/>
      </w:r>
      <w:r>
        <w:rPr>
          <w:rFonts w:ascii="Times New Roman" w:hAnsi="Times New Roman" w:cs="Times New Roman" w:eastAsia="Times New Roman" w:hint="default"/>
        </w:rPr>
        <w:t>17.</w:t>
      </w:r>
      <w:r>
        <w:rPr/>
        <w:t>应付账款</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022"/>
        <w:gridCol w:w="3276"/>
        <w:gridCol w:w="3133"/>
      </w:tblGrid>
      <w:tr>
        <w:trPr>
          <w:trHeight w:val="272" w:hRule="exact"/>
        </w:trPr>
        <w:tc>
          <w:tcPr>
            <w:tcW w:w="3022" w:type="dxa"/>
            <w:tcBorders>
              <w:top w:val="nil" w:sz="6" w:space="0" w:color="auto"/>
              <w:left w:val="nil" w:sz="6" w:space="0" w:color="auto"/>
              <w:bottom w:val="single" w:sz="4" w:space="0" w:color="000000"/>
              <w:right w:val="nil" w:sz="6" w:space="0" w:color="auto"/>
            </w:tcBorders>
          </w:tcPr>
          <w:p>
            <w:pPr>
              <w:pStyle w:val="TableParagraph"/>
              <w:spacing w:line="180" w:lineRule="exact"/>
              <w:ind w:left="120"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76" w:type="dxa"/>
            <w:tcBorders>
              <w:top w:val="nil" w:sz="6" w:space="0" w:color="auto"/>
              <w:left w:val="nil" w:sz="6" w:space="0" w:color="auto"/>
              <w:bottom w:val="single" w:sz="4" w:space="0" w:color="000000"/>
              <w:right w:val="nil" w:sz="6" w:space="0" w:color="auto"/>
            </w:tcBorders>
          </w:tcPr>
          <w:p>
            <w:pPr>
              <w:pStyle w:val="TableParagraph"/>
              <w:spacing w:line="180" w:lineRule="exact"/>
              <w:ind w:left="109"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33" w:type="dxa"/>
            <w:tcBorders>
              <w:top w:val="nil" w:sz="6" w:space="0" w:color="auto"/>
              <w:left w:val="nil" w:sz="6" w:space="0" w:color="auto"/>
              <w:bottom w:val="single" w:sz="4" w:space="0" w:color="000000"/>
              <w:right w:val="nil" w:sz="6" w:space="0" w:color="auto"/>
            </w:tcBorders>
          </w:tcPr>
          <w:p>
            <w:pPr>
              <w:pStyle w:val="TableParagraph"/>
              <w:spacing w:line="180" w:lineRule="exact"/>
              <w:ind w:right="9"/>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302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7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19"/>
              <w:jc w:val="right"/>
              <w:rPr>
                <w:rFonts w:ascii="Times New Roman" w:hAnsi="Times New Roman" w:cs="Times New Roman" w:eastAsia="Times New Roman" w:hint="default"/>
                <w:sz w:val="18"/>
                <w:szCs w:val="18"/>
              </w:rPr>
            </w:pPr>
            <w:r>
              <w:rPr>
                <w:rFonts w:ascii="Times New Roman"/>
                <w:spacing w:val="-1"/>
                <w:sz w:val="18"/>
              </w:rPr>
              <w:t>230,636,698.97</w:t>
            </w:r>
          </w:p>
        </w:tc>
        <w:tc>
          <w:tcPr>
            <w:tcW w:w="313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07"/>
              <w:jc w:val="right"/>
              <w:rPr>
                <w:rFonts w:ascii="Times New Roman" w:hAnsi="Times New Roman" w:cs="Times New Roman" w:eastAsia="Times New Roman" w:hint="default"/>
                <w:sz w:val="18"/>
                <w:szCs w:val="18"/>
              </w:rPr>
            </w:pPr>
            <w:r>
              <w:rPr>
                <w:rFonts w:ascii="Times New Roman"/>
                <w:spacing w:val="-1"/>
                <w:sz w:val="18"/>
              </w:rPr>
              <w:t>205,530,734.32</w:t>
            </w:r>
          </w:p>
        </w:tc>
      </w:tr>
      <w:tr>
        <w:trPr>
          <w:trHeight w:val="440"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19"/>
              <w:jc w:val="right"/>
              <w:rPr>
                <w:rFonts w:ascii="Times New Roman" w:hAnsi="Times New Roman" w:cs="Times New Roman" w:eastAsia="Times New Roman" w:hint="default"/>
                <w:sz w:val="18"/>
                <w:szCs w:val="18"/>
              </w:rPr>
            </w:pPr>
            <w:r>
              <w:rPr>
                <w:rFonts w:ascii="Times New Roman"/>
                <w:spacing w:val="-1"/>
                <w:sz w:val="18"/>
              </w:rPr>
              <w:t>46,683,446.44</w:t>
            </w:r>
          </w:p>
        </w:tc>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7"/>
              <w:jc w:val="right"/>
              <w:rPr>
                <w:rFonts w:ascii="Times New Roman" w:hAnsi="Times New Roman" w:cs="Times New Roman" w:eastAsia="Times New Roman" w:hint="default"/>
                <w:sz w:val="18"/>
                <w:szCs w:val="18"/>
              </w:rPr>
            </w:pPr>
            <w:r>
              <w:rPr>
                <w:rFonts w:ascii="Times New Roman"/>
                <w:spacing w:val="-1"/>
                <w:sz w:val="18"/>
              </w:rPr>
              <w:t>3,340,948.47</w:t>
            </w:r>
          </w:p>
        </w:tc>
      </w:tr>
      <w:tr>
        <w:trPr>
          <w:trHeight w:val="440"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6"/>
              <w:jc w:val="right"/>
              <w:rPr>
                <w:rFonts w:ascii="Times New Roman" w:hAnsi="Times New Roman" w:cs="Times New Roman" w:eastAsia="Times New Roman" w:hint="default"/>
                <w:sz w:val="18"/>
                <w:szCs w:val="18"/>
              </w:rPr>
            </w:pPr>
            <w:r>
              <w:rPr>
                <w:rFonts w:ascii="Times New Roman"/>
                <w:sz w:val="18"/>
              </w:rPr>
              <w:t>637,255.21</w:t>
            </w:r>
          </w:p>
        </w:tc>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29"/>
              <w:jc w:val="right"/>
              <w:rPr>
                <w:rFonts w:ascii="Times New Roman" w:hAnsi="Times New Roman" w:cs="Times New Roman" w:eastAsia="Times New Roman" w:hint="default"/>
                <w:sz w:val="18"/>
                <w:szCs w:val="18"/>
              </w:rPr>
            </w:pPr>
            <w:r>
              <w:rPr>
                <w:rFonts w:ascii="Times New Roman"/>
                <w:sz w:val="18"/>
              </w:rPr>
              <w:t>357,732.89</w:t>
            </w:r>
          </w:p>
        </w:tc>
      </w:tr>
      <w:tr>
        <w:trPr>
          <w:trHeight w:val="440"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6"/>
              <w:jc w:val="right"/>
              <w:rPr>
                <w:rFonts w:ascii="Times New Roman" w:hAnsi="Times New Roman" w:cs="Times New Roman" w:eastAsia="Times New Roman" w:hint="default"/>
                <w:sz w:val="18"/>
                <w:szCs w:val="18"/>
              </w:rPr>
            </w:pPr>
            <w:r>
              <w:rPr>
                <w:rFonts w:ascii="Times New Roman"/>
                <w:sz w:val="18"/>
              </w:rPr>
              <w:t>660,528.75</w:t>
            </w:r>
          </w:p>
        </w:tc>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29"/>
              <w:jc w:val="right"/>
              <w:rPr>
                <w:rFonts w:ascii="Times New Roman" w:hAnsi="Times New Roman" w:cs="Times New Roman" w:eastAsia="Times New Roman" w:hint="default"/>
                <w:sz w:val="18"/>
                <w:szCs w:val="18"/>
              </w:rPr>
            </w:pPr>
            <w:r>
              <w:rPr>
                <w:rFonts w:ascii="Times New Roman"/>
                <w:sz w:val="18"/>
              </w:rPr>
              <w:t>938,167.56</w:t>
            </w:r>
          </w:p>
        </w:tc>
      </w:tr>
      <w:tr>
        <w:trPr>
          <w:trHeight w:val="315" w:hRule="exact"/>
        </w:trPr>
        <w:tc>
          <w:tcPr>
            <w:tcW w:w="30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278,617,929.37</w:t>
            </w:r>
            <w:r>
              <w:rPr>
                <w:rFonts w:ascii="Times New Roman"/>
                <w:spacing w:val="-1"/>
                <w:sz w:val="18"/>
              </w:rPr>
            </w:r>
          </w:p>
        </w:tc>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210,167,583.24</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）期末账龄超过</w:t>
      </w:r>
      <w:r>
        <w:rPr>
          <w:rFonts w:ascii="Times New Roman" w:hAnsi="Times New Roman" w:cs="Times New Roman" w:eastAsia="Times New Roman" w:hint="default"/>
        </w:rPr>
        <w:t>1</w:t>
      </w:r>
      <w:r>
        <w:rPr/>
        <w:t>年的重要应付账款</w:t>
      </w:r>
    </w:p>
    <w:p>
      <w:pPr>
        <w:spacing w:line="240" w:lineRule="auto" w:before="10"/>
        <w:rPr>
          <w:rFonts w:ascii="宋体" w:hAnsi="宋体" w:cs="宋体" w:eastAsia="宋体" w:hint="default"/>
          <w:sz w:val="27"/>
          <w:szCs w:val="27"/>
        </w:rPr>
      </w:pPr>
    </w:p>
    <w:tbl>
      <w:tblPr>
        <w:tblW w:w="0" w:type="auto"/>
        <w:jc w:val="left"/>
        <w:tblInd w:w="1777" w:type="dxa"/>
        <w:tblLayout w:type="fixed"/>
        <w:tblCellMar>
          <w:top w:w="0" w:type="dxa"/>
          <w:left w:w="0" w:type="dxa"/>
          <w:bottom w:w="0" w:type="dxa"/>
          <w:right w:w="0" w:type="dxa"/>
        </w:tblCellMar>
        <w:tblLook w:val="01E0"/>
      </w:tblPr>
      <w:tblGrid>
        <w:gridCol w:w="2955"/>
        <w:gridCol w:w="2583"/>
        <w:gridCol w:w="2958"/>
      </w:tblGrid>
      <w:tr>
        <w:trPr>
          <w:trHeight w:val="271" w:hRule="exact"/>
        </w:trPr>
        <w:tc>
          <w:tcPr>
            <w:tcW w:w="2955" w:type="dxa"/>
            <w:tcBorders>
              <w:top w:val="nil" w:sz="6" w:space="0" w:color="auto"/>
              <w:left w:val="nil" w:sz="6" w:space="0" w:color="auto"/>
              <w:bottom w:val="single" w:sz="4" w:space="0" w:color="000000"/>
              <w:right w:val="nil" w:sz="6" w:space="0" w:color="auto"/>
            </w:tcBorders>
          </w:tcPr>
          <w:p>
            <w:pPr>
              <w:pStyle w:val="TableParagraph"/>
              <w:spacing w:line="180" w:lineRule="exact"/>
              <w:ind w:right="123"/>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83"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58" w:type="dxa"/>
            <w:tcBorders>
              <w:top w:val="nil" w:sz="6" w:space="0" w:color="auto"/>
              <w:left w:val="nil" w:sz="6" w:space="0" w:color="auto"/>
              <w:bottom w:val="single" w:sz="4" w:space="0" w:color="000000"/>
              <w:right w:val="nil" w:sz="6" w:space="0" w:color="auto"/>
            </w:tcBorders>
          </w:tcPr>
          <w:p>
            <w:pPr>
              <w:pStyle w:val="TableParagraph"/>
              <w:spacing w:line="180" w:lineRule="exact"/>
              <w:ind w:left="123" w:right="0"/>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494" w:hRule="exact"/>
        </w:trPr>
        <w:tc>
          <w:tcPr>
            <w:tcW w:w="295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24"/>
              <w:jc w:val="center"/>
              <w:rPr>
                <w:rFonts w:ascii="宋体" w:hAnsi="宋体" w:cs="宋体" w:eastAsia="宋体" w:hint="default"/>
                <w:sz w:val="18"/>
                <w:szCs w:val="18"/>
              </w:rPr>
            </w:pPr>
            <w:r>
              <w:rPr>
                <w:rFonts w:ascii="宋体" w:hAnsi="宋体" w:cs="宋体" w:eastAsia="宋体" w:hint="default"/>
                <w:sz w:val="18"/>
                <w:szCs w:val="18"/>
              </w:rPr>
              <w:t>人教教材中心图书款</w:t>
            </w:r>
          </w:p>
        </w:tc>
        <w:tc>
          <w:tcPr>
            <w:tcW w:w="258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 w:right="0"/>
              <w:jc w:val="center"/>
              <w:rPr>
                <w:rFonts w:ascii="Times New Roman" w:hAnsi="Times New Roman" w:cs="Times New Roman" w:eastAsia="Times New Roman" w:hint="default"/>
                <w:sz w:val="18"/>
                <w:szCs w:val="18"/>
              </w:rPr>
            </w:pPr>
            <w:r>
              <w:rPr>
                <w:rFonts w:ascii="Times New Roman"/>
                <w:sz w:val="18"/>
              </w:rPr>
              <w:t>103,136,145.48</w:t>
            </w:r>
          </w:p>
        </w:tc>
        <w:tc>
          <w:tcPr>
            <w:tcW w:w="295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26"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15" w:hRule="exact"/>
        </w:trPr>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3"/>
              <w:jc w:val="center"/>
              <w:rPr>
                <w:rFonts w:ascii="宋体" w:hAnsi="宋体" w:cs="宋体" w:eastAsia="宋体" w:hint="default"/>
                <w:sz w:val="18"/>
                <w:szCs w:val="18"/>
              </w:rPr>
            </w:pPr>
            <w:r>
              <w:rPr>
                <w:rFonts w:ascii="宋体" w:hAnsi="宋体" w:cs="宋体" w:eastAsia="宋体" w:hint="default"/>
                <w:sz w:val="18"/>
                <w:szCs w:val="18"/>
              </w:rPr>
              <w:t>合  计</w:t>
            </w:r>
          </w:p>
        </w:tc>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103,136,145.48</w:t>
            </w:r>
            <w:r>
              <w:rPr>
                <w:rFonts w:ascii="Times New Roman"/>
                <w:sz w:val="18"/>
              </w:rPr>
            </w:r>
          </w:p>
        </w:tc>
        <w:tc>
          <w:tcPr>
            <w:tcW w:w="2958"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注：其中账龄</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62,922,083.90</w:t>
      </w:r>
      <w:r>
        <w:rPr/>
        <w:t>元，账龄</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40,214,061.58</w:t>
      </w:r>
      <w:r>
        <w:rPr/>
        <w:t>元。</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bookmarkStart w:name="18. 预收款项" w:id="210"/>
      <w:bookmarkEnd w:id="210"/>
      <w:r>
        <w:rPr/>
      </w:r>
      <w:r>
        <w:rPr>
          <w:rFonts w:ascii="Times New Roman" w:hAnsi="Times New Roman" w:cs="Times New Roman" w:eastAsia="Times New Roman" w:hint="default"/>
        </w:rPr>
        <w:t>18.  </w:t>
      </w:r>
      <w:r>
        <w:rPr/>
        <w:t>预收款项</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098"/>
        <w:gridCol w:w="3447"/>
        <w:gridCol w:w="2886"/>
      </w:tblGrid>
      <w:tr>
        <w:trPr>
          <w:trHeight w:val="272" w:hRule="exact"/>
        </w:trPr>
        <w:tc>
          <w:tcPr>
            <w:tcW w:w="3098" w:type="dxa"/>
            <w:tcBorders>
              <w:top w:val="nil" w:sz="6" w:space="0" w:color="auto"/>
              <w:left w:val="nil" w:sz="6" w:space="0" w:color="auto"/>
              <w:bottom w:val="single" w:sz="4" w:space="0" w:color="000000"/>
              <w:right w:val="nil" w:sz="6" w:space="0" w:color="auto"/>
            </w:tcBorders>
          </w:tcPr>
          <w:p>
            <w:pPr>
              <w:pStyle w:val="TableParagraph"/>
              <w:spacing w:line="180" w:lineRule="exact"/>
              <w:ind w:right="1253"/>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447" w:type="dxa"/>
            <w:tcBorders>
              <w:top w:val="nil" w:sz="6" w:space="0" w:color="auto"/>
              <w:left w:val="nil" w:sz="6" w:space="0" w:color="auto"/>
              <w:bottom w:val="single" w:sz="4" w:space="0" w:color="000000"/>
              <w:right w:val="nil" w:sz="6" w:space="0" w:color="auto"/>
            </w:tcBorders>
          </w:tcPr>
          <w:p>
            <w:pPr>
              <w:pStyle w:val="TableParagraph"/>
              <w:spacing w:line="180" w:lineRule="exact"/>
              <w:ind w:right="21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86" w:type="dxa"/>
            <w:tcBorders>
              <w:top w:val="nil" w:sz="6" w:space="0" w:color="auto"/>
              <w:left w:val="nil" w:sz="6" w:space="0" w:color="auto"/>
              <w:bottom w:val="single" w:sz="4" w:space="0" w:color="000000"/>
              <w:right w:val="nil" w:sz="6" w:space="0" w:color="auto"/>
            </w:tcBorders>
          </w:tcPr>
          <w:p>
            <w:pPr>
              <w:pStyle w:val="TableParagraph"/>
              <w:spacing w:line="180" w:lineRule="exact"/>
              <w:ind w:left="95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309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44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950"/>
              <w:jc w:val="right"/>
              <w:rPr>
                <w:rFonts w:ascii="Times New Roman" w:hAnsi="Times New Roman" w:cs="Times New Roman" w:eastAsia="Times New Roman" w:hint="default"/>
                <w:sz w:val="18"/>
                <w:szCs w:val="18"/>
              </w:rPr>
            </w:pPr>
            <w:r>
              <w:rPr>
                <w:rFonts w:ascii="Times New Roman"/>
                <w:spacing w:val="-1"/>
                <w:sz w:val="18"/>
              </w:rPr>
              <w:t>26,986,309.35</w:t>
            </w:r>
          </w:p>
        </w:tc>
        <w:tc>
          <w:tcPr>
            <w:tcW w:w="288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692"/>
              <w:jc w:val="right"/>
              <w:rPr>
                <w:rFonts w:ascii="Times New Roman" w:hAnsi="Times New Roman" w:cs="Times New Roman" w:eastAsia="Times New Roman" w:hint="default"/>
                <w:sz w:val="18"/>
                <w:szCs w:val="18"/>
              </w:rPr>
            </w:pPr>
            <w:r>
              <w:rPr>
                <w:rFonts w:ascii="Times New Roman"/>
                <w:spacing w:val="-1"/>
                <w:sz w:val="18"/>
              </w:rPr>
              <w:t>15,234,275.69</w:t>
            </w:r>
          </w:p>
        </w:tc>
      </w:tr>
      <w:tr>
        <w:trPr>
          <w:trHeight w:val="440"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50"/>
              <w:jc w:val="right"/>
              <w:rPr>
                <w:rFonts w:ascii="Times New Roman" w:hAnsi="Times New Roman" w:cs="Times New Roman" w:eastAsia="Times New Roman" w:hint="default"/>
                <w:sz w:val="18"/>
                <w:szCs w:val="18"/>
              </w:rPr>
            </w:pPr>
            <w:r>
              <w:rPr>
                <w:rFonts w:ascii="Times New Roman"/>
                <w:sz w:val="18"/>
              </w:rPr>
              <w:t>174,368.23</w:t>
            </w:r>
          </w:p>
        </w:tc>
        <w:tc>
          <w:tcPr>
            <w:tcW w:w="2886" w:type="dxa"/>
            <w:tcBorders>
              <w:top w:val="nil" w:sz="6" w:space="0" w:color="auto"/>
              <w:left w:val="nil" w:sz="6" w:space="0" w:color="auto"/>
              <w:bottom w:val="nil" w:sz="6" w:space="0" w:color="auto"/>
              <w:right w:val="nil" w:sz="6" w:space="0" w:color="auto"/>
            </w:tcBorders>
          </w:tcPr>
          <w:p>
            <w:pPr/>
          </w:p>
        </w:tc>
      </w:tr>
      <w:tr>
        <w:trPr>
          <w:trHeight w:val="440"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447" w:type="dxa"/>
            <w:tcBorders>
              <w:top w:val="nil" w:sz="6" w:space="0" w:color="auto"/>
              <w:left w:val="nil" w:sz="6" w:space="0" w:color="auto"/>
              <w:bottom w:val="nil" w:sz="6" w:space="0" w:color="auto"/>
              <w:right w:val="nil" w:sz="6" w:space="0" w:color="auto"/>
            </w:tcBorders>
          </w:tcPr>
          <w:p>
            <w:pP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92"/>
              <w:jc w:val="right"/>
              <w:rPr>
                <w:rFonts w:ascii="Times New Roman" w:hAnsi="Times New Roman" w:cs="Times New Roman" w:eastAsia="Times New Roman" w:hint="default"/>
                <w:sz w:val="18"/>
                <w:szCs w:val="18"/>
              </w:rPr>
            </w:pPr>
            <w:r>
              <w:rPr>
                <w:rFonts w:ascii="Times New Roman"/>
                <w:sz w:val="18"/>
              </w:rPr>
              <w:t>3,000.00</w:t>
            </w:r>
          </w:p>
        </w:tc>
      </w:tr>
      <w:tr>
        <w:trPr>
          <w:trHeight w:val="315"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54"/>
              <w:jc w:val="right"/>
              <w:rPr>
                <w:rFonts w:ascii="宋体" w:hAnsi="宋体" w:cs="宋体" w:eastAsia="宋体" w:hint="default"/>
                <w:sz w:val="18"/>
                <w:szCs w:val="18"/>
              </w:rPr>
            </w:pPr>
            <w:r>
              <w:rPr>
                <w:rFonts w:ascii="宋体" w:hAnsi="宋体" w:cs="宋体" w:eastAsia="宋体" w:hint="default"/>
                <w:sz w:val="18"/>
                <w:szCs w:val="18"/>
              </w:rPr>
              <w:t>合  计</w:t>
            </w:r>
          </w:p>
        </w:tc>
        <w:tc>
          <w:tcPr>
            <w:tcW w:w="34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27,160,677.58</w:t>
            </w:r>
            <w:r>
              <w:rPr>
                <w:rFonts w:ascii="Times New Roman"/>
                <w:spacing w:val="-1"/>
                <w:sz w:val="18"/>
              </w:rPr>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15,237,275.69</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）期末无账龄超过</w:t>
      </w:r>
      <w:r>
        <w:rPr>
          <w:rFonts w:ascii="Times New Roman" w:hAnsi="Times New Roman" w:cs="Times New Roman" w:eastAsia="Times New Roman" w:hint="default"/>
        </w:rPr>
        <w:t>1</w:t>
      </w:r>
      <w:r>
        <w:rPr/>
        <w:t>年的重要预收款项</w:t>
      </w:r>
    </w:p>
    <w:p>
      <w:pPr>
        <w:spacing w:line="240" w:lineRule="auto" w:before="5"/>
        <w:rPr>
          <w:rFonts w:ascii="宋体" w:hAnsi="宋体" w:cs="宋体" w:eastAsia="宋体" w:hint="default"/>
          <w:sz w:val="20"/>
          <w:szCs w:val="20"/>
        </w:rPr>
      </w:pPr>
    </w:p>
    <w:p>
      <w:pPr>
        <w:pStyle w:val="BodyText"/>
        <w:spacing w:line="240" w:lineRule="auto"/>
        <w:ind w:right="1117"/>
        <w:jc w:val="left"/>
      </w:pPr>
      <w:bookmarkStart w:name="19.应付职工薪酬" w:id="211"/>
      <w:bookmarkEnd w:id="211"/>
      <w:r>
        <w:rPr/>
      </w:r>
      <w:r>
        <w:rPr>
          <w:rFonts w:ascii="Times New Roman" w:hAnsi="Times New Roman" w:cs="Times New Roman" w:eastAsia="Times New Roman" w:hint="default"/>
        </w:rPr>
        <w:t>19.</w:t>
      </w:r>
      <w:r>
        <w:rPr/>
        <w:t>应付职工薪酬</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3119"/>
        <w:gridCol w:w="1774"/>
        <w:gridCol w:w="1442"/>
        <w:gridCol w:w="1486"/>
        <w:gridCol w:w="1394"/>
      </w:tblGrid>
      <w:tr>
        <w:trPr>
          <w:trHeight w:val="272" w:hRule="exact"/>
        </w:trPr>
        <w:tc>
          <w:tcPr>
            <w:tcW w:w="3119" w:type="dxa"/>
            <w:tcBorders>
              <w:top w:val="nil" w:sz="6" w:space="0" w:color="auto"/>
              <w:left w:val="nil" w:sz="6" w:space="0" w:color="auto"/>
              <w:bottom w:val="single" w:sz="4" w:space="0" w:color="000000"/>
              <w:right w:val="nil" w:sz="6" w:space="0" w:color="auto"/>
            </w:tcBorders>
          </w:tcPr>
          <w:p>
            <w:pPr>
              <w:pStyle w:val="TableParagraph"/>
              <w:tabs>
                <w:tab w:pos="577" w:val="left" w:leader="none"/>
              </w:tabs>
              <w:spacing w:line="180" w:lineRule="exact"/>
              <w:ind w:left="157"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774" w:type="dxa"/>
            <w:tcBorders>
              <w:top w:val="nil" w:sz="6" w:space="0" w:color="auto"/>
              <w:left w:val="nil" w:sz="6" w:space="0" w:color="auto"/>
              <w:bottom w:val="single" w:sz="4" w:space="0" w:color="000000"/>
              <w:right w:val="nil" w:sz="6" w:space="0" w:color="auto"/>
            </w:tcBorders>
          </w:tcPr>
          <w:p>
            <w:pPr>
              <w:pStyle w:val="TableParagraph"/>
              <w:spacing w:line="180" w:lineRule="exact"/>
              <w:ind w:left="56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42" w:type="dxa"/>
            <w:tcBorders>
              <w:top w:val="nil" w:sz="6" w:space="0" w:color="auto"/>
              <w:left w:val="nil" w:sz="6" w:space="0" w:color="auto"/>
              <w:bottom w:val="single" w:sz="4" w:space="0" w:color="000000"/>
              <w:right w:val="nil" w:sz="6" w:space="0" w:color="auto"/>
            </w:tcBorders>
          </w:tcPr>
          <w:p>
            <w:pPr>
              <w:pStyle w:val="TableParagraph"/>
              <w:spacing w:line="180"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86" w:type="dxa"/>
            <w:tcBorders>
              <w:top w:val="nil" w:sz="6" w:space="0" w:color="auto"/>
              <w:left w:val="nil" w:sz="6" w:space="0" w:color="auto"/>
              <w:bottom w:val="single" w:sz="4" w:space="0" w:color="000000"/>
              <w:right w:val="nil" w:sz="6" w:space="0" w:color="auto"/>
            </w:tcBorders>
          </w:tcPr>
          <w:p>
            <w:pPr>
              <w:pStyle w:val="TableParagraph"/>
              <w:spacing w:line="180" w:lineRule="exact"/>
              <w:ind w:left="31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94" w:type="dxa"/>
            <w:tcBorders>
              <w:top w:val="nil" w:sz="6" w:space="0" w:color="auto"/>
              <w:left w:val="nil" w:sz="6" w:space="0" w:color="auto"/>
              <w:bottom w:val="single" w:sz="4" w:space="0" w:color="000000"/>
              <w:right w:val="nil" w:sz="6" w:space="0" w:color="auto"/>
            </w:tcBorders>
          </w:tcPr>
          <w:p>
            <w:pPr>
              <w:pStyle w:val="TableParagraph"/>
              <w:spacing w:line="180" w:lineRule="exact"/>
              <w:ind w:left="26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3" w:hRule="exact"/>
        </w:trPr>
        <w:tc>
          <w:tcPr>
            <w:tcW w:w="311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98"/>
              <w:jc w:val="right"/>
              <w:rPr>
                <w:rFonts w:ascii="Times New Roman" w:hAnsi="Times New Roman" w:cs="Times New Roman" w:eastAsia="Times New Roman" w:hint="default"/>
                <w:sz w:val="18"/>
                <w:szCs w:val="18"/>
              </w:rPr>
            </w:pPr>
            <w:r>
              <w:rPr>
                <w:rFonts w:ascii="Times New Roman"/>
                <w:spacing w:val="-1"/>
                <w:sz w:val="18"/>
              </w:rPr>
              <w:t>19,731,811.00</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14"/>
              <w:jc w:val="right"/>
              <w:rPr>
                <w:rFonts w:ascii="Times New Roman" w:hAnsi="Times New Roman" w:cs="Times New Roman" w:eastAsia="Times New Roman" w:hint="default"/>
                <w:sz w:val="18"/>
                <w:szCs w:val="18"/>
              </w:rPr>
            </w:pPr>
            <w:r>
              <w:rPr>
                <w:rFonts w:ascii="Times New Roman"/>
                <w:spacing w:val="-1"/>
                <w:sz w:val="18"/>
              </w:rPr>
              <w:t>154,876,193.28</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43"/>
              <w:jc w:val="right"/>
              <w:rPr>
                <w:rFonts w:ascii="Times New Roman" w:hAnsi="Times New Roman" w:cs="Times New Roman" w:eastAsia="Times New Roman" w:hint="default"/>
                <w:sz w:val="18"/>
                <w:szCs w:val="18"/>
              </w:rPr>
            </w:pPr>
            <w:r>
              <w:rPr>
                <w:rFonts w:ascii="Times New Roman"/>
                <w:spacing w:val="-1"/>
                <w:sz w:val="18"/>
              </w:rPr>
              <w:t>151,548,985.53</w:t>
            </w: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11"/>
              <w:jc w:val="right"/>
              <w:rPr>
                <w:rFonts w:ascii="Times New Roman" w:hAnsi="Times New Roman" w:cs="Times New Roman" w:eastAsia="Times New Roman" w:hint="default"/>
                <w:sz w:val="18"/>
                <w:szCs w:val="18"/>
              </w:rPr>
            </w:pPr>
            <w:r>
              <w:rPr>
                <w:rFonts w:ascii="Times New Roman"/>
                <w:spacing w:val="-1"/>
                <w:sz w:val="18"/>
              </w:rPr>
              <w:t>23,059,018.75</w:t>
            </w:r>
          </w:p>
        </w:tc>
      </w:tr>
      <w:tr>
        <w:trPr>
          <w:trHeight w:val="440"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离职后福利中</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设定提存计划负债</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z w:val="18"/>
              </w:rPr>
              <w:t>435,138.67</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5"/>
              <w:jc w:val="right"/>
              <w:rPr>
                <w:rFonts w:ascii="Times New Roman" w:hAnsi="Times New Roman" w:cs="Times New Roman" w:eastAsia="Times New Roman" w:hint="default"/>
                <w:sz w:val="18"/>
                <w:szCs w:val="18"/>
              </w:rPr>
            </w:pPr>
            <w:r>
              <w:rPr>
                <w:rFonts w:ascii="Times New Roman"/>
                <w:spacing w:val="-1"/>
                <w:sz w:val="18"/>
              </w:rPr>
              <w:t>10,524,089.99</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3"/>
              <w:jc w:val="right"/>
              <w:rPr>
                <w:rFonts w:ascii="Times New Roman" w:hAnsi="Times New Roman" w:cs="Times New Roman" w:eastAsia="Times New Roman" w:hint="default"/>
                <w:sz w:val="18"/>
                <w:szCs w:val="18"/>
              </w:rPr>
            </w:pPr>
            <w:r>
              <w:rPr>
                <w:rFonts w:ascii="Times New Roman"/>
                <w:spacing w:val="-1"/>
                <w:sz w:val="18"/>
              </w:rPr>
              <w:t>10,386,207.93</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1"/>
              <w:jc w:val="right"/>
              <w:rPr>
                <w:rFonts w:ascii="Times New Roman" w:hAnsi="Times New Roman" w:cs="Times New Roman" w:eastAsia="Times New Roman" w:hint="default"/>
                <w:sz w:val="18"/>
                <w:szCs w:val="18"/>
              </w:rPr>
            </w:pPr>
            <w:r>
              <w:rPr>
                <w:rFonts w:ascii="Times New Roman"/>
                <w:sz w:val="18"/>
              </w:rPr>
              <w:t>573,020.73</w:t>
            </w:r>
          </w:p>
        </w:tc>
      </w:tr>
      <w:tr>
        <w:trPr>
          <w:trHeight w:val="440"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77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5"/>
              <w:jc w:val="right"/>
              <w:rPr>
                <w:rFonts w:ascii="Times New Roman" w:hAnsi="Times New Roman" w:cs="Times New Roman" w:eastAsia="Times New Roman" w:hint="default"/>
                <w:sz w:val="18"/>
                <w:szCs w:val="18"/>
              </w:rPr>
            </w:pPr>
            <w:r>
              <w:rPr>
                <w:rFonts w:ascii="Times New Roman"/>
                <w:spacing w:val="-1"/>
                <w:sz w:val="18"/>
              </w:rPr>
              <w:t>1,357,580.00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3"/>
              <w:jc w:val="right"/>
              <w:rPr>
                <w:rFonts w:ascii="Times New Roman" w:hAnsi="Times New Roman" w:cs="Times New Roman" w:eastAsia="Times New Roman" w:hint="default"/>
                <w:sz w:val="18"/>
                <w:szCs w:val="18"/>
              </w:rPr>
            </w:pPr>
            <w:r>
              <w:rPr>
                <w:rFonts w:ascii="Times New Roman"/>
                <w:spacing w:val="-1"/>
                <w:sz w:val="18"/>
              </w:rPr>
              <w:t>1,357,580.00</w:t>
            </w:r>
          </w:p>
        </w:tc>
        <w:tc>
          <w:tcPr>
            <w:tcW w:w="1394" w:type="dxa"/>
            <w:tcBorders>
              <w:top w:val="nil" w:sz="6" w:space="0" w:color="auto"/>
              <w:left w:val="nil" w:sz="6" w:space="0" w:color="auto"/>
              <w:bottom w:val="nil" w:sz="6" w:space="0" w:color="auto"/>
              <w:right w:val="nil" w:sz="6" w:space="0" w:color="auto"/>
            </w:tcBorders>
          </w:tcPr>
          <w:p>
            <w:pPr/>
          </w:p>
        </w:tc>
      </w:tr>
      <w:tr>
        <w:trPr>
          <w:trHeight w:val="435" w:hRule="exact"/>
        </w:trPr>
        <w:tc>
          <w:tcPr>
            <w:tcW w:w="311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一年内到期的其他福利</w:t>
            </w:r>
          </w:p>
        </w:tc>
        <w:tc>
          <w:tcPr>
            <w:tcW w:w="1774"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r>
      <w:tr>
        <w:trPr>
          <w:trHeight w:val="320" w:hRule="exact"/>
        </w:trPr>
        <w:tc>
          <w:tcPr>
            <w:tcW w:w="3119"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74"/>
              <w:ind w:left="16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20,166,949.67</w:t>
            </w:r>
            <w:r>
              <w:rPr>
                <w:rFonts w:ascii="Times New Roman"/>
                <w:spacing w:val="-1"/>
                <w:sz w:val="18"/>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166,757,863.27</w:t>
            </w:r>
            <w:r>
              <w:rPr>
                <w:rFonts w:ascii="Times New Roman"/>
                <w:spacing w:val="-1"/>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4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163,292,773.46</w:t>
            </w:r>
            <w:r>
              <w:rPr>
                <w:rFonts w:ascii="Times New Roman"/>
                <w:spacing w:val="-1"/>
                <w:sz w:val="18"/>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23,632,039.48</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）短期薪酬</w:t>
      </w:r>
    </w:p>
    <w:p>
      <w:pPr>
        <w:spacing w:line="240" w:lineRule="auto" w:before="10"/>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3010"/>
        <w:gridCol w:w="1906"/>
        <w:gridCol w:w="1495"/>
        <w:gridCol w:w="1487"/>
        <w:gridCol w:w="1317"/>
      </w:tblGrid>
      <w:tr>
        <w:trPr>
          <w:trHeight w:val="271" w:hRule="exact"/>
        </w:trPr>
        <w:tc>
          <w:tcPr>
            <w:tcW w:w="3010" w:type="dxa"/>
            <w:tcBorders>
              <w:top w:val="nil" w:sz="6" w:space="0" w:color="auto"/>
              <w:left w:val="nil" w:sz="6" w:space="0" w:color="auto"/>
              <w:bottom w:val="single" w:sz="4" w:space="0" w:color="000000"/>
              <w:right w:val="nil" w:sz="6" w:space="0" w:color="auto"/>
            </w:tcBorders>
          </w:tcPr>
          <w:p>
            <w:pPr>
              <w:pStyle w:val="TableParagraph"/>
              <w:tabs>
                <w:tab w:pos="686" w:val="left" w:leader="none"/>
              </w:tabs>
              <w:spacing w:line="180" w:lineRule="exact"/>
              <w:ind w:left="26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906" w:type="dxa"/>
            <w:tcBorders>
              <w:top w:val="nil" w:sz="6" w:space="0" w:color="auto"/>
              <w:left w:val="nil" w:sz="6" w:space="0" w:color="auto"/>
              <w:bottom w:val="single" w:sz="4" w:space="0" w:color="000000"/>
              <w:right w:val="nil" w:sz="6" w:space="0" w:color="auto"/>
            </w:tcBorders>
          </w:tcPr>
          <w:p>
            <w:pPr>
              <w:pStyle w:val="TableParagraph"/>
              <w:spacing w:line="180" w:lineRule="exact"/>
              <w:ind w:left="66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95" w:type="dxa"/>
            <w:tcBorders>
              <w:top w:val="nil" w:sz="6" w:space="0" w:color="auto"/>
              <w:left w:val="nil" w:sz="6" w:space="0" w:color="auto"/>
              <w:bottom w:val="single" w:sz="4" w:space="0" w:color="000000"/>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17" w:type="dxa"/>
            <w:tcBorders>
              <w:top w:val="nil" w:sz="6" w:space="0" w:color="auto"/>
              <w:left w:val="nil" w:sz="6" w:space="0" w:color="auto"/>
              <w:bottom w:val="single" w:sz="4" w:space="0" w:color="000000"/>
              <w:right w:val="nil" w:sz="6" w:space="0" w:color="auto"/>
            </w:tcBorders>
          </w:tcPr>
          <w:p>
            <w:pPr>
              <w:pStyle w:val="TableParagraph"/>
              <w:spacing w:line="180" w:lineRule="exact"/>
              <w:ind w:left="2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3" w:hRule="exact"/>
        </w:trPr>
        <w:tc>
          <w:tcPr>
            <w:tcW w:w="301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98"/>
              <w:jc w:val="right"/>
              <w:rPr>
                <w:rFonts w:ascii="Times New Roman" w:hAnsi="Times New Roman" w:cs="Times New Roman" w:eastAsia="Times New Roman" w:hint="default"/>
                <w:sz w:val="18"/>
                <w:szCs w:val="18"/>
              </w:rPr>
            </w:pPr>
            <w:r>
              <w:rPr>
                <w:rFonts w:ascii="Times New Roman"/>
                <w:spacing w:val="-1"/>
                <w:sz w:val="18"/>
              </w:rPr>
              <w:t>19,437,291.81</w:t>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67"/>
              <w:jc w:val="right"/>
              <w:rPr>
                <w:rFonts w:ascii="Times New Roman" w:hAnsi="Times New Roman" w:cs="Times New Roman" w:eastAsia="Times New Roman" w:hint="default"/>
                <w:sz w:val="18"/>
                <w:szCs w:val="18"/>
              </w:rPr>
            </w:pPr>
            <w:r>
              <w:rPr>
                <w:rFonts w:ascii="Times New Roman"/>
                <w:spacing w:val="-1"/>
                <w:sz w:val="18"/>
              </w:rPr>
              <w:t>132,177,064.08</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91"/>
              <w:jc w:val="right"/>
              <w:rPr>
                <w:rFonts w:ascii="Times New Roman" w:hAnsi="Times New Roman" w:cs="Times New Roman" w:eastAsia="Times New Roman" w:hint="default"/>
                <w:sz w:val="18"/>
                <w:szCs w:val="18"/>
              </w:rPr>
            </w:pPr>
            <w:r>
              <w:rPr>
                <w:rFonts w:ascii="Times New Roman"/>
                <w:spacing w:val="-1"/>
                <w:sz w:val="18"/>
              </w:rPr>
              <w:t>129,163,042.38</w:t>
            </w:r>
          </w:p>
        </w:tc>
        <w:tc>
          <w:tcPr>
            <w:tcW w:w="131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87"/>
              <w:jc w:val="right"/>
              <w:rPr>
                <w:rFonts w:ascii="Times New Roman" w:hAnsi="Times New Roman" w:cs="Times New Roman" w:eastAsia="Times New Roman" w:hint="default"/>
                <w:sz w:val="18"/>
                <w:szCs w:val="18"/>
              </w:rPr>
            </w:pPr>
            <w:r>
              <w:rPr>
                <w:rFonts w:ascii="Times New Roman"/>
                <w:spacing w:val="-1"/>
                <w:sz w:val="18"/>
              </w:rPr>
              <w:t>22,451,313.51</w:t>
            </w:r>
          </w:p>
        </w:tc>
      </w:tr>
      <w:tr>
        <w:trPr>
          <w:trHeight w:val="4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90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7"/>
              <w:jc w:val="right"/>
              <w:rPr>
                <w:rFonts w:ascii="Times New Roman" w:hAnsi="Times New Roman" w:cs="Times New Roman" w:eastAsia="Times New Roman" w:hint="default"/>
                <w:sz w:val="18"/>
                <w:szCs w:val="18"/>
              </w:rPr>
            </w:pPr>
            <w:r>
              <w:rPr>
                <w:rFonts w:ascii="Times New Roman"/>
                <w:spacing w:val="-1"/>
                <w:sz w:val="18"/>
              </w:rPr>
              <w:t>8,933,738.54</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1"/>
              <w:jc w:val="right"/>
              <w:rPr>
                <w:rFonts w:ascii="Times New Roman" w:hAnsi="Times New Roman" w:cs="Times New Roman" w:eastAsia="Times New Roman" w:hint="default"/>
                <w:sz w:val="18"/>
                <w:szCs w:val="18"/>
              </w:rPr>
            </w:pPr>
            <w:r>
              <w:rPr>
                <w:rFonts w:ascii="Times New Roman"/>
                <w:spacing w:val="-1"/>
                <w:sz w:val="18"/>
              </w:rPr>
              <w:t>8,933,738.54</w:t>
            </w:r>
          </w:p>
        </w:tc>
        <w:tc>
          <w:tcPr>
            <w:tcW w:w="1317" w:type="dxa"/>
            <w:tcBorders>
              <w:top w:val="nil" w:sz="6" w:space="0" w:color="auto"/>
              <w:left w:val="nil" w:sz="6" w:space="0" w:color="auto"/>
              <w:bottom w:val="nil" w:sz="6" w:space="0" w:color="auto"/>
              <w:right w:val="nil" w:sz="6" w:space="0" w:color="auto"/>
            </w:tcBorders>
          </w:tcPr>
          <w:p>
            <w:pPr/>
          </w:p>
        </w:tc>
      </w:tr>
      <w:tr>
        <w:trPr>
          <w:trHeight w:val="4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245,422.12</w:t>
            </w:r>
            <w:r>
              <w:rPr>
                <w:rFonts w:ascii="Times New Roman"/>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6,527,504.28</w:t>
            </w:r>
            <w:r>
              <w:rPr>
                <w:rFonts w:ascii="Times New Roman"/>
                <w:spacing w:val="-1"/>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6,445,325.58</w:t>
            </w:r>
            <w:r>
              <w:rPr>
                <w:rFonts w:ascii="Times New Roman"/>
                <w:spacing w:val="-1"/>
                <w:sz w:val="18"/>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7"/>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327,600.82</w:t>
            </w:r>
            <w:r>
              <w:rPr>
                <w:rFonts w:ascii="Times New Roman"/>
                <w:sz w:val="18"/>
              </w:rPr>
            </w:r>
          </w:p>
        </w:tc>
      </w:tr>
      <w:tr>
        <w:trPr>
          <w:trHeight w:val="4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z w:val="18"/>
              </w:rPr>
              <w:t>219,195.58</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7"/>
              <w:jc w:val="right"/>
              <w:rPr>
                <w:rFonts w:ascii="Times New Roman" w:hAnsi="Times New Roman" w:cs="Times New Roman" w:eastAsia="Times New Roman" w:hint="default"/>
                <w:sz w:val="18"/>
                <w:szCs w:val="18"/>
              </w:rPr>
            </w:pPr>
            <w:r>
              <w:rPr>
                <w:rFonts w:ascii="Times New Roman"/>
                <w:spacing w:val="-1"/>
                <w:sz w:val="18"/>
              </w:rPr>
              <w:t>5,826,104.93</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1"/>
              <w:jc w:val="right"/>
              <w:rPr>
                <w:rFonts w:ascii="Times New Roman" w:hAnsi="Times New Roman" w:cs="Times New Roman" w:eastAsia="Times New Roman" w:hint="default"/>
                <w:sz w:val="18"/>
                <w:szCs w:val="18"/>
              </w:rPr>
            </w:pPr>
            <w:r>
              <w:rPr>
                <w:rFonts w:ascii="Times New Roman"/>
                <w:spacing w:val="-1"/>
                <w:sz w:val="18"/>
              </w:rPr>
              <w:t>5,752,264.91</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7"/>
              <w:jc w:val="right"/>
              <w:rPr>
                <w:rFonts w:ascii="Times New Roman" w:hAnsi="Times New Roman" w:cs="Times New Roman" w:eastAsia="Times New Roman" w:hint="default"/>
                <w:sz w:val="18"/>
                <w:szCs w:val="18"/>
              </w:rPr>
            </w:pPr>
            <w:r>
              <w:rPr>
                <w:rFonts w:ascii="Times New Roman"/>
                <w:sz w:val="18"/>
              </w:rPr>
              <w:t>293,035.60</w:t>
            </w:r>
          </w:p>
        </w:tc>
      </w:tr>
      <w:tr>
        <w:trPr>
          <w:trHeight w:val="4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．工伤保险费</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8"/>
              <w:jc w:val="right"/>
              <w:rPr>
                <w:rFonts w:ascii="Times New Roman" w:hAnsi="Times New Roman" w:cs="Times New Roman" w:eastAsia="Times New Roman" w:hint="default"/>
                <w:sz w:val="18"/>
                <w:szCs w:val="18"/>
              </w:rPr>
            </w:pPr>
            <w:r>
              <w:rPr>
                <w:rFonts w:ascii="Times New Roman"/>
                <w:sz w:val="18"/>
              </w:rPr>
              <w:t>9,429.19</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6"/>
              <w:jc w:val="right"/>
              <w:rPr>
                <w:rFonts w:ascii="Times New Roman" w:hAnsi="Times New Roman" w:cs="Times New Roman" w:eastAsia="Times New Roman" w:hint="default"/>
                <w:sz w:val="18"/>
                <w:szCs w:val="18"/>
              </w:rPr>
            </w:pPr>
            <w:r>
              <w:rPr>
                <w:rFonts w:ascii="Times New Roman"/>
                <w:sz w:val="18"/>
              </w:rPr>
              <w:t>204,921.63</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0"/>
              <w:jc w:val="right"/>
              <w:rPr>
                <w:rFonts w:ascii="Times New Roman" w:hAnsi="Times New Roman" w:cs="Times New Roman" w:eastAsia="Times New Roman" w:hint="default"/>
                <w:sz w:val="18"/>
                <w:szCs w:val="18"/>
              </w:rPr>
            </w:pPr>
            <w:r>
              <w:rPr>
                <w:rFonts w:ascii="Times New Roman"/>
                <w:sz w:val="18"/>
              </w:rPr>
              <w:t>202,669.27</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7"/>
              <w:jc w:val="right"/>
              <w:rPr>
                <w:rFonts w:ascii="Times New Roman" w:hAnsi="Times New Roman" w:cs="Times New Roman" w:eastAsia="Times New Roman" w:hint="default"/>
                <w:sz w:val="18"/>
                <w:szCs w:val="18"/>
              </w:rPr>
            </w:pPr>
            <w:r>
              <w:rPr>
                <w:rFonts w:ascii="Times New Roman"/>
                <w:spacing w:val="-1"/>
                <w:sz w:val="18"/>
              </w:rPr>
              <w:t>11,681.55</w:t>
            </w:r>
          </w:p>
        </w:tc>
      </w:tr>
      <w:tr>
        <w:trPr>
          <w:trHeight w:val="4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．生育保险费</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z w:val="18"/>
              </w:rPr>
              <w:t>16,797.35</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6"/>
              <w:jc w:val="right"/>
              <w:rPr>
                <w:rFonts w:ascii="Times New Roman" w:hAnsi="Times New Roman" w:cs="Times New Roman" w:eastAsia="Times New Roman" w:hint="default"/>
                <w:sz w:val="18"/>
                <w:szCs w:val="18"/>
              </w:rPr>
            </w:pPr>
            <w:r>
              <w:rPr>
                <w:rFonts w:ascii="Times New Roman"/>
                <w:sz w:val="18"/>
              </w:rPr>
              <w:t>496,477.72</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0"/>
              <w:jc w:val="right"/>
              <w:rPr>
                <w:rFonts w:ascii="Times New Roman" w:hAnsi="Times New Roman" w:cs="Times New Roman" w:eastAsia="Times New Roman" w:hint="default"/>
                <w:sz w:val="18"/>
                <w:szCs w:val="18"/>
              </w:rPr>
            </w:pPr>
            <w:r>
              <w:rPr>
                <w:rFonts w:ascii="Times New Roman"/>
                <w:sz w:val="18"/>
              </w:rPr>
              <w:t>490,391.40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7"/>
              <w:jc w:val="right"/>
              <w:rPr>
                <w:rFonts w:ascii="Times New Roman" w:hAnsi="Times New Roman" w:cs="Times New Roman" w:eastAsia="Times New Roman" w:hint="default"/>
                <w:sz w:val="18"/>
                <w:szCs w:val="18"/>
              </w:rPr>
            </w:pPr>
            <w:r>
              <w:rPr>
                <w:rFonts w:ascii="Times New Roman"/>
                <w:sz w:val="18"/>
              </w:rPr>
              <w:t>22,883.67</w:t>
            </w:r>
          </w:p>
        </w:tc>
      </w:tr>
      <w:tr>
        <w:trPr>
          <w:trHeight w:val="4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z w:val="18"/>
              </w:rPr>
              <w:t>6,558.00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7"/>
              <w:jc w:val="right"/>
              <w:rPr>
                <w:rFonts w:ascii="Times New Roman" w:hAnsi="Times New Roman" w:cs="Times New Roman" w:eastAsia="Times New Roman" w:hint="default"/>
                <w:sz w:val="18"/>
                <w:szCs w:val="18"/>
              </w:rPr>
            </w:pPr>
            <w:r>
              <w:rPr>
                <w:rFonts w:ascii="Times New Roman"/>
                <w:spacing w:val="-1"/>
                <w:sz w:val="18"/>
              </w:rPr>
              <w:t>6,490,006.99</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1"/>
              <w:jc w:val="right"/>
              <w:rPr>
                <w:rFonts w:ascii="Times New Roman" w:hAnsi="Times New Roman" w:cs="Times New Roman" w:eastAsia="Times New Roman" w:hint="default"/>
                <w:sz w:val="18"/>
                <w:szCs w:val="18"/>
              </w:rPr>
            </w:pPr>
            <w:r>
              <w:rPr>
                <w:rFonts w:ascii="Times New Roman"/>
                <w:spacing w:val="-1"/>
                <w:sz w:val="18"/>
              </w:rPr>
              <w:t>6,463,966.99</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7"/>
              <w:jc w:val="right"/>
              <w:rPr>
                <w:rFonts w:ascii="Times New Roman" w:hAnsi="Times New Roman" w:cs="Times New Roman" w:eastAsia="Times New Roman" w:hint="default"/>
                <w:sz w:val="18"/>
                <w:szCs w:val="18"/>
              </w:rPr>
            </w:pPr>
            <w:r>
              <w:rPr>
                <w:rFonts w:ascii="Times New Roman"/>
                <w:sz w:val="18"/>
              </w:rPr>
              <w:t>32,598.00</w:t>
            </w:r>
          </w:p>
        </w:tc>
      </w:tr>
      <w:tr>
        <w:trPr>
          <w:trHeight w:val="44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8"/>
              <w:jc w:val="right"/>
              <w:rPr>
                <w:rFonts w:ascii="Times New Roman" w:hAnsi="Times New Roman" w:cs="Times New Roman" w:eastAsia="Times New Roman" w:hint="default"/>
                <w:sz w:val="18"/>
                <w:szCs w:val="18"/>
              </w:rPr>
            </w:pPr>
            <w:r>
              <w:rPr>
                <w:rFonts w:ascii="Times New Roman"/>
                <w:sz w:val="18"/>
              </w:rPr>
              <w:t>42,539.07</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6"/>
              <w:jc w:val="right"/>
              <w:rPr>
                <w:rFonts w:ascii="Times New Roman" w:hAnsi="Times New Roman" w:cs="Times New Roman" w:eastAsia="Times New Roman" w:hint="default"/>
                <w:sz w:val="18"/>
                <w:szCs w:val="18"/>
              </w:rPr>
            </w:pPr>
            <w:r>
              <w:rPr>
                <w:rFonts w:ascii="Times New Roman"/>
                <w:sz w:val="18"/>
              </w:rPr>
              <w:t>747,879.39</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0"/>
              <w:jc w:val="right"/>
              <w:rPr>
                <w:rFonts w:ascii="Times New Roman" w:hAnsi="Times New Roman" w:cs="Times New Roman" w:eastAsia="Times New Roman" w:hint="default"/>
                <w:sz w:val="18"/>
                <w:szCs w:val="18"/>
              </w:rPr>
            </w:pPr>
            <w:r>
              <w:rPr>
                <w:rFonts w:ascii="Times New Roman"/>
                <w:sz w:val="18"/>
              </w:rPr>
              <w:t>542,912.04</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7"/>
              <w:jc w:val="right"/>
              <w:rPr>
                <w:rFonts w:ascii="Times New Roman" w:hAnsi="Times New Roman" w:cs="Times New Roman" w:eastAsia="Times New Roman" w:hint="default"/>
                <w:sz w:val="18"/>
                <w:szCs w:val="18"/>
              </w:rPr>
            </w:pPr>
            <w:r>
              <w:rPr>
                <w:rFonts w:ascii="Times New Roman"/>
                <w:sz w:val="18"/>
              </w:rPr>
              <w:t>247,506.42</w:t>
            </w:r>
          </w:p>
        </w:tc>
      </w:tr>
      <w:tr>
        <w:trPr>
          <w:trHeight w:val="435"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90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310" w:hRule="exact"/>
        </w:trPr>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90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418" w:type="dxa"/>
        <w:tblLayout w:type="fixed"/>
        <w:tblCellMar>
          <w:top w:w="0" w:type="dxa"/>
          <w:left w:w="0" w:type="dxa"/>
          <w:bottom w:w="0" w:type="dxa"/>
          <w:right w:w="0" w:type="dxa"/>
        </w:tblCellMar>
        <w:tblLook w:val="01E0"/>
      </w:tblPr>
      <w:tblGrid>
        <w:gridCol w:w="2810"/>
        <w:gridCol w:w="2106"/>
        <w:gridCol w:w="1495"/>
        <w:gridCol w:w="1487"/>
        <w:gridCol w:w="1318"/>
      </w:tblGrid>
      <w:tr>
        <w:trPr>
          <w:trHeight w:val="272" w:hRule="exact"/>
        </w:trPr>
        <w:tc>
          <w:tcPr>
            <w:tcW w:w="2810"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180" w:lineRule="exact"/>
              <w:ind w:right="869"/>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2106" w:type="dxa"/>
            <w:tcBorders>
              <w:top w:val="nil" w:sz="6" w:space="0" w:color="auto"/>
              <w:left w:val="nil" w:sz="6" w:space="0" w:color="auto"/>
              <w:bottom w:val="single" w:sz="4" w:space="0" w:color="000000"/>
              <w:right w:val="nil" w:sz="6" w:space="0" w:color="auto"/>
            </w:tcBorders>
          </w:tcPr>
          <w:p>
            <w:pPr>
              <w:pStyle w:val="TableParagraph"/>
              <w:spacing w:line="180" w:lineRule="exact"/>
              <w:ind w:left="87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95" w:type="dxa"/>
            <w:tcBorders>
              <w:top w:val="nil" w:sz="6" w:space="0" w:color="auto"/>
              <w:left w:val="nil" w:sz="6" w:space="0" w:color="auto"/>
              <w:bottom w:val="single" w:sz="4" w:space="0" w:color="000000"/>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18" w:type="dxa"/>
            <w:tcBorders>
              <w:top w:val="nil" w:sz="6" w:space="0" w:color="auto"/>
              <w:left w:val="nil" w:sz="6" w:space="0" w:color="auto"/>
              <w:bottom w:val="single" w:sz="4" w:space="0" w:color="000000"/>
              <w:right w:val="nil" w:sz="6" w:space="0" w:color="auto"/>
            </w:tcBorders>
          </w:tcPr>
          <w:p>
            <w:pPr>
              <w:pStyle w:val="TableParagraph"/>
              <w:spacing w:line="180" w:lineRule="exact"/>
              <w:ind w:left="2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88" w:hRule="exact"/>
        </w:trPr>
        <w:tc>
          <w:tcPr>
            <w:tcW w:w="281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2106" w:type="dxa"/>
            <w:tcBorders>
              <w:top w:val="single" w:sz="4" w:space="0" w:color="000000"/>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nil" w:sz="6" w:space="0" w:color="auto"/>
              <w:right w:val="nil" w:sz="6" w:space="0" w:color="auto"/>
            </w:tcBorders>
          </w:tcPr>
          <w:p>
            <w:pPr/>
          </w:p>
        </w:tc>
      </w:tr>
      <w:tr>
        <w:trPr>
          <w:trHeight w:val="320" w:hRule="exact"/>
        </w:trPr>
        <w:tc>
          <w:tcPr>
            <w:tcW w:w="281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4"/>
              <w:ind w:right="86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87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19,731,811.00</w:t>
            </w:r>
            <w:r>
              <w:rPr>
                <w:rFonts w:ascii="Times New Roman"/>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0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154,876,193.28</w:t>
            </w:r>
            <w:r>
              <w:rPr>
                <w:rFonts w:ascii="Times New Roman"/>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6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151,548,985.53</w:t>
            </w:r>
            <w:r>
              <w:rPr>
                <w:rFonts w:ascii="Times New Roman"/>
                <w:sz w:val="18"/>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23,059,018.75</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3</w:t>
      </w:r>
      <w:r>
        <w:rPr/>
        <w:t>）离职后福利中的设定提存计划负债</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2165"/>
        <w:gridCol w:w="2026"/>
        <w:gridCol w:w="1836"/>
        <w:gridCol w:w="1800"/>
        <w:gridCol w:w="1604"/>
      </w:tblGrid>
      <w:tr>
        <w:trPr>
          <w:trHeight w:val="271" w:hRule="exact"/>
        </w:trPr>
        <w:tc>
          <w:tcPr>
            <w:tcW w:w="2165" w:type="dxa"/>
            <w:tcBorders>
              <w:top w:val="nil" w:sz="6" w:space="0" w:color="auto"/>
              <w:left w:val="nil" w:sz="6" w:space="0" w:color="auto"/>
              <w:bottom w:val="single" w:sz="4" w:space="0" w:color="000000"/>
              <w:right w:val="nil" w:sz="6" w:space="0" w:color="auto"/>
            </w:tcBorders>
          </w:tcPr>
          <w:p>
            <w:pPr>
              <w:pStyle w:val="TableParagraph"/>
              <w:spacing w:line="180" w:lineRule="exact"/>
              <w:ind w:right="719"/>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26" w:type="dxa"/>
            <w:tcBorders>
              <w:top w:val="nil" w:sz="6" w:space="0" w:color="auto"/>
              <w:left w:val="nil" w:sz="6" w:space="0" w:color="auto"/>
              <w:bottom w:val="single" w:sz="4" w:space="0" w:color="000000"/>
              <w:right w:val="nil" w:sz="6" w:space="0" w:color="auto"/>
            </w:tcBorders>
          </w:tcPr>
          <w:p>
            <w:pPr>
              <w:pStyle w:val="TableParagraph"/>
              <w:spacing w:line="180" w:lineRule="exact"/>
              <w:ind w:left="71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36" w:type="dxa"/>
            <w:tcBorders>
              <w:top w:val="nil" w:sz="6" w:space="0" w:color="auto"/>
              <w:left w:val="nil" w:sz="6" w:space="0" w:color="auto"/>
              <w:bottom w:val="single" w:sz="4" w:space="0" w:color="000000"/>
              <w:right w:val="nil" w:sz="6" w:space="0" w:color="auto"/>
            </w:tcBorders>
          </w:tcPr>
          <w:p>
            <w:pPr>
              <w:pStyle w:val="TableParagraph"/>
              <w:spacing w:line="180" w:lineRule="exact"/>
              <w:ind w:left="54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00" w:type="dxa"/>
            <w:tcBorders>
              <w:top w:val="nil" w:sz="6" w:space="0" w:color="auto"/>
              <w:left w:val="nil" w:sz="6" w:space="0" w:color="auto"/>
              <w:bottom w:val="single" w:sz="4" w:space="0" w:color="000000"/>
              <w:right w:val="nil" w:sz="6" w:space="0" w:color="auto"/>
            </w:tcBorders>
          </w:tcPr>
          <w:p>
            <w:pPr>
              <w:pStyle w:val="TableParagraph"/>
              <w:spacing w:line="180" w:lineRule="exact"/>
              <w:ind w:left="54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04" w:type="dxa"/>
            <w:tcBorders>
              <w:top w:val="nil" w:sz="6" w:space="0" w:color="auto"/>
              <w:left w:val="nil" w:sz="6" w:space="0" w:color="auto"/>
              <w:bottom w:val="single" w:sz="4" w:space="0" w:color="000000"/>
              <w:right w:val="nil" w:sz="6" w:space="0" w:color="auto"/>
            </w:tcBorders>
          </w:tcPr>
          <w:p>
            <w:pPr>
              <w:pStyle w:val="TableParagraph"/>
              <w:spacing w:line="180" w:lineRule="exact"/>
              <w:ind w:right="9"/>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3" w:hRule="exact"/>
        </w:trPr>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35"/>
              <w:jc w:val="right"/>
              <w:rPr>
                <w:rFonts w:ascii="Times New Roman" w:hAnsi="Times New Roman" w:cs="Times New Roman" w:eastAsia="Times New Roman" w:hint="default"/>
                <w:sz w:val="18"/>
                <w:szCs w:val="18"/>
              </w:rPr>
            </w:pPr>
            <w:r>
              <w:rPr>
                <w:rFonts w:ascii="Times New Roman"/>
                <w:sz w:val="18"/>
              </w:rPr>
              <w:t>415,808.31</w:t>
            </w: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62"/>
              <w:jc w:val="right"/>
              <w:rPr>
                <w:rFonts w:ascii="Times New Roman" w:hAnsi="Times New Roman" w:cs="Times New Roman" w:eastAsia="Times New Roman" w:hint="default"/>
                <w:sz w:val="18"/>
                <w:szCs w:val="18"/>
              </w:rPr>
            </w:pPr>
            <w:r>
              <w:rPr>
                <w:rFonts w:ascii="Times New Roman"/>
                <w:spacing w:val="-1"/>
                <w:sz w:val="18"/>
              </w:rPr>
              <w:t>10,112,452.51</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99"/>
              <w:jc w:val="right"/>
              <w:rPr>
                <w:rFonts w:ascii="Times New Roman" w:hAnsi="Times New Roman" w:cs="Times New Roman" w:eastAsia="Times New Roman" w:hint="default"/>
                <w:sz w:val="18"/>
                <w:szCs w:val="18"/>
              </w:rPr>
            </w:pPr>
            <w:r>
              <w:rPr>
                <w:rFonts w:ascii="Times New Roman"/>
                <w:spacing w:val="-1"/>
                <w:sz w:val="18"/>
              </w:rPr>
              <w:t>9,980,129.41</w:t>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9" w:right="0"/>
              <w:jc w:val="center"/>
              <w:rPr>
                <w:rFonts w:ascii="Times New Roman" w:hAnsi="Times New Roman" w:cs="Times New Roman" w:eastAsia="Times New Roman" w:hint="default"/>
                <w:sz w:val="18"/>
                <w:szCs w:val="18"/>
              </w:rPr>
            </w:pPr>
            <w:r>
              <w:rPr>
                <w:rFonts w:ascii="Times New Roman"/>
                <w:sz w:val="18"/>
              </w:rPr>
              <w:t>548,131.41</w:t>
            </w:r>
          </w:p>
        </w:tc>
      </w:tr>
      <w:tr>
        <w:trPr>
          <w:trHeight w:val="440" w:hRule="exact"/>
        </w:trPr>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5"/>
              <w:jc w:val="right"/>
              <w:rPr>
                <w:rFonts w:ascii="Times New Roman" w:hAnsi="Times New Roman" w:cs="Times New Roman" w:eastAsia="Times New Roman" w:hint="default"/>
                <w:sz w:val="18"/>
                <w:szCs w:val="18"/>
              </w:rPr>
            </w:pPr>
            <w:r>
              <w:rPr>
                <w:rFonts w:ascii="Times New Roman"/>
                <w:sz w:val="18"/>
              </w:rPr>
              <w:t>19,330.36</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1"/>
              <w:jc w:val="right"/>
              <w:rPr>
                <w:rFonts w:ascii="Times New Roman" w:hAnsi="Times New Roman" w:cs="Times New Roman" w:eastAsia="Times New Roman" w:hint="default"/>
                <w:sz w:val="18"/>
                <w:szCs w:val="18"/>
              </w:rPr>
            </w:pPr>
            <w:r>
              <w:rPr>
                <w:rFonts w:ascii="Times New Roman"/>
                <w:spacing w:val="-1"/>
                <w:sz w:val="18"/>
              </w:rPr>
              <w:t>411,637.48</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9"/>
              <w:jc w:val="right"/>
              <w:rPr>
                <w:rFonts w:ascii="Times New Roman" w:hAnsi="Times New Roman" w:cs="Times New Roman" w:eastAsia="Times New Roman" w:hint="default"/>
                <w:sz w:val="18"/>
                <w:szCs w:val="18"/>
              </w:rPr>
            </w:pPr>
            <w:r>
              <w:rPr>
                <w:rFonts w:ascii="Times New Roman"/>
                <w:sz w:val="18"/>
              </w:rPr>
              <w:t>406,078.52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9" w:right="0"/>
              <w:jc w:val="center"/>
              <w:rPr>
                <w:rFonts w:ascii="Times New Roman" w:hAnsi="Times New Roman" w:cs="Times New Roman" w:eastAsia="Times New Roman" w:hint="default"/>
                <w:sz w:val="18"/>
                <w:szCs w:val="18"/>
              </w:rPr>
            </w:pPr>
            <w:r>
              <w:rPr>
                <w:rFonts w:ascii="Times New Roman"/>
                <w:sz w:val="18"/>
              </w:rPr>
              <w:t>24,889.32</w:t>
            </w:r>
          </w:p>
        </w:tc>
      </w:tr>
      <w:tr>
        <w:trPr>
          <w:trHeight w:val="315" w:hRule="exact"/>
        </w:trPr>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19"/>
              <w:jc w:val="right"/>
              <w:rPr>
                <w:rFonts w:ascii="宋体" w:hAnsi="宋体" w:cs="宋体" w:eastAsia="宋体" w:hint="default"/>
                <w:sz w:val="18"/>
                <w:szCs w:val="18"/>
              </w:rPr>
            </w:pPr>
            <w:r>
              <w:rPr>
                <w:rFonts w:ascii="宋体" w:hAnsi="宋体" w:cs="宋体" w:eastAsia="宋体" w:hint="default"/>
                <w:sz w:val="18"/>
                <w:szCs w:val="18"/>
              </w:rPr>
              <w:t>合  计</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435,138.67</w:t>
            </w:r>
            <w:r>
              <w:rPr>
                <w:rFonts w:ascii="Times New Roman"/>
                <w:sz w:val="18"/>
              </w:rPr>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10,524,089.99</w:t>
            </w:r>
            <w:r>
              <w:rPr>
                <w:rFonts w:ascii="Times New Roman"/>
                <w:spacing w:val="-1"/>
                <w:sz w:val="18"/>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9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10,386,207.93</w:t>
            </w:r>
            <w:r>
              <w:rPr>
                <w:rFonts w:ascii="Times New Roman"/>
                <w:spacing w:val="-1"/>
                <w:sz w:val="18"/>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573,020.73</w:t>
            </w:r>
            <w:r>
              <w:rPr>
                <w:rFonts w:ascii="Times New Roman"/>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4</w:t>
      </w:r>
      <w:r>
        <w:rPr/>
        <w:t>）辞退福利</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097"/>
        <w:gridCol w:w="3099"/>
        <w:gridCol w:w="3235"/>
      </w:tblGrid>
      <w:tr>
        <w:trPr>
          <w:trHeight w:val="272" w:hRule="exact"/>
        </w:trPr>
        <w:tc>
          <w:tcPr>
            <w:tcW w:w="3097"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099" w:type="dxa"/>
            <w:tcBorders>
              <w:top w:val="nil" w:sz="6" w:space="0" w:color="auto"/>
              <w:left w:val="nil" w:sz="6" w:space="0" w:color="auto"/>
              <w:bottom w:val="single" w:sz="4" w:space="0" w:color="000000"/>
              <w:right w:val="nil" w:sz="6" w:space="0" w:color="auto"/>
            </w:tcBorders>
          </w:tcPr>
          <w:p>
            <w:pPr>
              <w:pStyle w:val="TableParagraph"/>
              <w:spacing w:line="180" w:lineRule="exact"/>
              <w:ind w:left="1075" w:right="0"/>
              <w:jc w:val="left"/>
              <w:rPr>
                <w:rFonts w:ascii="宋体" w:hAnsi="宋体" w:cs="宋体" w:eastAsia="宋体" w:hint="default"/>
                <w:sz w:val="18"/>
                <w:szCs w:val="18"/>
              </w:rPr>
            </w:pPr>
            <w:r>
              <w:rPr>
                <w:rFonts w:ascii="宋体" w:hAnsi="宋体" w:cs="宋体" w:eastAsia="宋体" w:hint="default"/>
                <w:b/>
                <w:bCs/>
                <w:sz w:val="18"/>
                <w:szCs w:val="18"/>
              </w:rPr>
              <w:t>本期缴费金额</w:t>
            </w:r>
            <w:r>
              <w:rPr>
                <w:rFonts w:ascii="宋体" w:hAnsi="宋体" w:cs="宋体" w:eastAsia="宋体" w:hint="default"/>
                <w:sz w:val="18"/>
                <w:szCs w:val="18"/>
              </w:rPr>
            </w:r>
          </w:p>
        </w:tc>
        <w:tc>
          <w:tcPr>
            <w:tcW w:w="3235" w:type="dxa"/>
            <w:tcBorders>
              <w:top w:val="nil" w:sz="6" w:space="0" w:color="auto"/>
              <w:left w:val="nil" w:sz="6" w:space="0" w:color="auto"/>
              <w:bottom w:val="single" w:sz="4" w:space="0" w:color="000000"/>
              <w:right w:val="nil" w:sz="6" w:space="0" w:color="auto"/>
            </w:tcBorders>
          </w:tcPr>
          <w:p>
            <w:pPr>
              <w:pStyle w:val="TableParagraph"/>
              <w:spacing w:line="180" w:lineRule="exact"/>
              <w:ind w:left="940" w:right="0"/>
              <w:jc w:val="left"/>
              <w:rPr>
                <w:rFonts w:ascii="宋体" w:hAnsi="宋体" w:cs="宋体" w:eastAsia="宋体" w:hint="default"/>
                <w:sz w:val="18"/>
                <w:szCs w:val="18"/>
              </w:rPr>
            </w:pPr>
            <w:r>
              <w:rPr>
                <w:rFonts w:ascii="宋体" w:hAnsi="宋体" w:cs="宋体" w:eastAsia="宋体" w:hint="default"/>
                <w:b/>
                <w:bCs/>
                <w:sz w:val="18"/>
                <w:szCs w:val="18"/>
              </w:rPr>
              <w:t>期末应付未付金额</w:t>
            </w:r>
            <w:r>
              <w:rPr>
                <w:rFonts w:ascii="宋体" w:hAnsi="宋体" w:cs="宋体" w:eastAsia="宋体" w:hint="default"/>
                <w:sz w:val="18"/>
                <w:szCs w:val="18"/>
              </w:rPr>
            </w:r>
          </w:p>
        </w:tc>
      </w:tr>
      <w:tr>
        <w:trPr>
          <w:trHeight w:val="493" w:hRule="exact"/>
        </w:trPr>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5" w:right="0"/>
              <w:jc w:val="center"/>
              <w:rPr>
                <w:rFonts w:ascii="宋体" w:hAnsi="宋体" w:cs="宋体" w:eastAsia="宋体" w:hint="default"/>
                <w:sz w:val="18"/>
                <w:szCs w:val="18"/>
              </w:rPr>
            </w:pPr>
            <w:r>
              <w:rPr>
                <w:rFonts w:ascii="宋体" w:hAnsi="宋体" w:cs="宋体" w:eastAsia="宋体" w:hint="default"/>
                <w:sz w:val="18"/>
                <w:szCs w:val="18"/>
              </w:rPr>
              <w:t>离职补偿金</w:t>
            </w:r>
          </w:p>
        </w:tc>
        <w:tc>
          <w:tcPr>
            <w:tcW w:w="309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100" w:right="0"/>
              <w:jc w:val="left"/>
              <w:rPr>
                <w:rFonts w:ascii="Times New Roman" w:hAnsi="Times New Roman" w:cs="Times New Roman" w:eastAsia="Times New Roman" w:hint="default"/>
                <w:sz w:val="18"/>
                <w:szCs w:val="18"/>
              </w:rPr>
            </w:pPr>
            <w:r>
              <w:rPr>
                <w:rFonts w:ascii="Times New Roman"/>
                <w:sz w:val="18"/>
              </w:rPr>
              <w:t>1,357,580.00</w:t>
            </w:r>
          </w:p>
        </w:tc>
        <w:tc>
          <w:tcPr>
            <w:tcW w:w="3235" w:type="dxa"/>
            <w:tcBorders>
              <w:top w:val="single" w:sz="4" w:space="0" w:color="000000"/>
              <w:left w:val="nil" w:sz="6" w:space="0" w:color="auto"/>
              <w:bottom w:val="nil" w:sz="6" w:space="0" w:color="auto"/>
              <w:right w:val="nil" w:sz="6" w:space="0" w:color="auto"/>
            </w:tcBorders>
          </w:tcPr>
          <w:p>
            <w:pPr/>
          </w:p>
        </w:tc>
      </w:tr>
      <w:tr>
        <w:trPr>
          <w:trHeight w:val="315"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4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1,357,580.00</w:t>
            </w:r>
            <w:r>
              <w:rPr>
                <w:rFonts w:ascii="Times New Roman"/>
                <w:sz w:val="18"/>
              </w:rPr>
            </w:r>
          </w:p>
        </w:tc>
        <w:tc>
          <w:tcPr>
            <w:tcW w:w="3235"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20.应交税费" w:id="212"/>
      <w:bookmarkEnd w:id="212"/>
      <w:r>
        <w:rPr/>
      </w:r>
      <w:r>
        <w:rPr>
          <w:rFonts w:ascii="Times New Roman" w:hAnsi="Times New Roman" w:cs="Times New Roman" w:eastAsia="Times New Roman" w:hint="default"/>
        </w:rPr>
        <w:t>20.</w:t>
      </w:r>
      <w:r>
        <w:rPr/>
        <w:t>应交税费</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345"/>
        <w:gridCol w:w="2908"/>
        <w:gridCol w:w="3178"/>
      </w:tblGrid>
      <w:tr>
        <w:trPr>
          <w:trHeight w:val="271" w:hRule="exact"/>
        </w:trPr>
        <w:tc>
          <w:tcPr>
            <w:tcW w:w="3345" w:type="dxa"/>
            <w:tcBorders>
              <w:top w:val="nil" w:sz="6" w:space="0" w:color="auto"/>
              <w:left w:val="nil" w:sz="6" w:space="0" w:color="auto"/>
              <w:bottom w:val="single" w:sz="4" w:space="0" w:color="000000"/>
              <w:right w:val="nil" w:sz="6" w:space="0" w:color="auto"/>
            </w:tcBorders>
          </w:tcPr>
          <w:p>
            <w:pPr>
              <w:pStyle w:val="TableParagraph"/>
              <w:spacing w:line="180" w:lineRule="exact"/>
              <w:ind w:right="200"/>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2908" w:type="dxa"/>
            <w:tcBorders>
              <w:top w:val="nil" w:sz="6" w:space="0" w:color="auto"/>
              <w:left w:val="nil" w:sz="6" w:space="0" w:color="auto"/>
              <w:bottom w:val="single" w:sz="4" w:space="0" w:color="000000"/>
              <w:right w:val="nil" w:sz="6" w:space="0" w:color="auto"/>
            </w:tcBorders>
          </w:tcPr>
          <w:p>
            <w:pPr>
              <w:pStyle w:val="TableParagraph"/>
              <w:spacing w:line="180" w:lineRule="exact"/>
              <w:ind w:right="167"/>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78"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334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．企业所得税</w:t>
            </w:r>
          </w:p>
        </w:tc>
        <w:tc>
          <w:tcPr>
            <w:tcW w:w="290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64"/>
              <w:jc w:val="right"/>
              <w:rPr>
                <w:rFonts w:ascii="Times New Roman" w:hAnsi="Times New Roman" w:cs="Times New Roman" w:eastAsia="Times New Roman" w:hint="default"/>
                <w:sz w:val="18"/>
                <w:szCs w:val="18"/>
              </w:rPr>
            </w:pPr>
            <w:r>
              <w:rPr>
                <w:rFonts w:ascii="Times New Roman"/>
                <w:spacing w:val="-1"/>
                <w:sz w:val="18"/>
              </w:rPr>
              <w:t>17,303,464.62</w:t>
            </w:r>
          </w:p>
        </w:tc>
        <w:tc>
          <w:tcPr>
            <w:tcW w:w="317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97"/>
              <w:jc w:val="right"/>
              <w:rPr>
                <w:rFonts w:ascii="Times New Roman" w:hAnsi="Times New Roman" w:cs="Times New Roman" w:eastAsia="Times New Roman" w:hint="default"/>
                <w:sz w:val="18"/>
                <w:szCs w:val="18"/>
              </w:rPr>
            </w:pPr>
            <w:r>
              <w:rPr>
                <w:rFonts w:ascii="Times New Roman"/>
                <w:spacing w:val="-1"/>
                <w:sz w:val="18"/>
              </w:rPr>
              <w:t>22,720,158.48</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．增值税</w:t>
            </w:r>
          </w:p>
        </w:tc>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4"/>
              <w:jc w:val="right"/>
              <w:rPr>
                <w:rFonts w:ascii="Times New Roman" w:hAnsi="Times New Roman" w:cs="Times New Roman" w:eastAsia="Times New Roman" w:hint="default"/>
                <w:sz w:val="18"/>
                <w:szCs w:val="18"/>
              </w:rPr>
            </w:pPr>
            <w:r>
              <w:rPr>
                <w:rFonts w:ascii="Times New Roman"/>
                <w:spacing w:val="-1"/>
                <w:sz w:val="18"/>
              </w:rPr>
              <w:t>3,636,737.15</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97"/>
              <w:jc w:val="right"/>
              <w:rPr>
                <w:rFonts w:ascii="Times New Roman" w:hAnsi="Times New Roman" w:cs="Times New Roman" w:eastAsia="Times New Roman" w:hint="default"/>
                <w:sz w:val="18"/>
                <w:szCs w:val="18"/>
              </w:rPr>
            </w:pPr>
            <w:r>
              <w:rPr>
                <w:rFonts w:ascii="Times New Roman"/>
                <w:spacing w:val="-1"/>
                <w:sz w:val="18"/>
              </w:rPr>
              <w:t>9,262,555.67</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．城市维护建设税</w:t>
            </w:r>
          </w:p>
        </w:tc>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85"/>
              <w:jc w:val="right"/>
              <w:rPr>
                <w:rFonts w:ascii="Times New Roman" w:hAnsi="Times New Roman" w:cs="Times New Roman" w:eastAsia="Times New Roman" w:hint="default"/>
                <w:sz w:val="18"/>
                <w:szCs w:val="18"/>
              </w:rPr>
            </w:pPr>
            <w:r>
              <w:rPr>
                <w:rFonts w:ascii="Times New Roman"/>
                <w:sz w:val="18"/>
              </w:rPr>
              <w:t>302,281.19</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19"/>
              <w:jc w:val="right"/>
              <w:rPr>
                <w:rFonts w:ascii="Times New Roman" w:hAnsi="Times New Roman" w:cs="Times New Roman" w:eastAsia="Times New Roman" w:hint="default"/>
                <w:sz w:val="18"/>
                <w:szCs w:val="18"/>
              </w:rPr>
            </w:pPr>
            <w:r>
              <w:rPr>
                <w:rFonts w:ascii="Times New Roman"/>
                <w:sz w:val="18"/>
              </w:rPr>
              <w:t>579,714.86</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．教育费附加及地方教育附加</w:t>
            </w:r>
          </w:p>
        </w:tc>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85"/>
              <w:jc w:val="right"/>
              <w:rPr>
                <w:rFonts w:ascii="Times New Roman" w:hAnsi="Times New Roman" w:cs="Times New Roman" w:eastAsia="Times New Roman" w:hint="default"/>
                <w:sz w:val="18"/>
                <w:szCs w:val="18"/>
              </w:rPr>
            </w:pPr>
            <w:r>
              <w:rPr>
                <w:rFonts w:ascii="Times New Roman"/>
                <w:sz w:val="18"/>
              </w:rPr>
              <w:t>258,778.66</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19"/>
              <w:jc w:val="right"/>
              <w:rPr>
                <w:rFonts w:ascii="Times New Roman" w:hAnsi="Times New Roman" w:cs="Times New Roman" w:eastAsia="Times New Roman" w:hint="default"/>
                <w:sz w:val="18"/>
                <w:szCs w:val="18"/>
              </w:rPr>
            </w:pPr>
            <w:r>
              <w:rPr>
                <w:rFonts w:ascii="Times New Roman"/>
                <w:sz w:val="18"/>
              </w:rPr>
              <w:t>469,555.71</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．代扣代缴个人所得税</w:t>
            </w:r>
          </w:p>
        </w:tc>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4"/>
              <w:jc w:val="right"/>
              <w:rPr>
                <w:rFonts w:ascii="Times New Roman" w:hAnsi="Times New Roman" w:cs="Times New Roman" w:eastAsia="Times New Roman" w:hint="default"/>
                <w:sz w:val="18"/>
                <w:szCs w:val="18"/>
              </w:rPr>
            </w:pPr>
            <w:r>
              <w:rPr>
                <w:rFonts w:ascii="Times New Roman"/>
                <w:spacing w:val="-1"/>
                <w:sz w:val="18"/>
              </w:rPr>
              <w:t>3,869,167.26</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97"/>
              <w:jc w:val="right"/>
              <w:rPr>
                <w:rFonts w:ascii="Times New Roman" w:hAnsi="Times New Roman" w:cs="Times New Roman" w:eastAsia="Times New Roman" w:hint="default"/>
                <w:sz w:val="18"/>
                <w:szCs w:val="18"/>
              </w:rPr>
            </w:pPr>
            <w:r>
              <w:rPr>
                <w:rFonts w:ascii="Times New Roman"/>
                <w:spacing w:val="-1"/>
                <w:sz w:val="18"/>
              </w:rPr>
              <w:t>3,467,514.19</w:t>
            </w:r>
          </w:p>
        </w:tc>
      </w:tr>
      <w:tr>
        <w:trPr>
          <w:trHeight w:val="440"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41"/>
              <w:jc w:val="right"/>
              <w:rPr>
                <w:rFonts w:ascii="Times New Roman" w:hAnsi="Times New Roman" w:cs="Times New Roman" w:eastAsia="Times New Roman" w:hint="default"/>
                <w:sz w:val="18"/>
                <w:szCs w:val="18"/>
              </w:rPr>
            </w:pPr>
            <w:r>
              <w:rPr>
                <w:rFonts w:ascii="Times New Roman"/>
                <w:sz w:val="18"/>
              </w:rPr>
              <w:t>18,898.73</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74"/>
              <w:jc w:val="right"/>
              <w:rPr>
                <w:rFonts w:ascii="Times New Roman" w:hAnsi="Times New Roman" w:cs="Times New Roman" w:eastAsia="Times New Roman" w:hint="default"/>
                <w:sz w:val="18"/>
                <w:szCs w:val="18"/>
              </w:rPr>
            </w:pPr>
            <w:r>
              <w:rPr>
                <w:rFonts w:ascii="Times New Roman"/>
                <w:sz w:val="18"/>
              </w:rPr>
              <w:t>18,769.55</w:t>
            </w:r>
          </w:p>
        </w:tc>
      </w:tr>
      <w:tr>
        <w:trPr>
          <w:trHeight w:val="315" w:hRule="exact"/>
        </w:trPr>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0"/>
              <w:jc w:val="center"/>
              <w:rPr>
                <w:rFonts w:ascii="宋体" w:hAnsi="宋体" w:cs="宋体" w:eastAsia="宋体" w:hint="default"/>
                <w:sz w:val="18"/>
                <w:szCs w:val="18"/>
              </w:rPr>
            </w:pPr>
            <w:r>
              <w:rPr>
                <w:rFonts w:ascii="宋体" w:hAnsi="宋体" w:cs="宋体" w:eastAsia="宋体" w:hint="default"/>
                <w:sz w:val="18"/>
                <w:szCs w:val="18"/>
              </w:rPr>
              <w:t>合  计</w:t>
            </w:r>
          </w:p>
        </w:tc>
        <w:tc>
          <w:tcPr>
            <w:tcW w:w="290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25,389,327.61</w:t>
            </w:r>
            <w:r>
              <w:rPr>
                <w:rFonts w:ascii="Times New Roman"/>
                <w:spacing w:val="-1"/>
                <w:sz w:val="18"/>
              </w:rPr>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9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36,518,268.46</w:t>
            </w:r>
            <w:r>
              <w:rPr>
                <w:rFonts w:ascii="Times New Roman"/>
                <w:spacing w:val="-1"/>
                <w:sz w:val="18"/>
              </w:rPr>
            </w: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21.其他应付款" w:id="213"/>
      <w:bookmarkEnd w:id="213"/>
      <w:r>
        <w:rPr/>
      </w:r>
      <w:r>
        <w:rPr>
          <w:rFonts w:ascii="Times New Roman" w:hAnsi="Times New Roman" w:cs="Times New Roman" w:eastAsia="Times New Roman" w:hint="default"/>
        </w:rPr>
        <w:t>21.</w:t>
      </w:r>
      <w:r>
        <w:rPr/>
        <w:t>其他应付款</w:t>
      </w:r>
    </w:p>
    <w:p>
      <w:pPr>
        <w:spacing w:line="240" w:lineRule="auto" w:before="11"/>
        <w:rPr>
          <w:rFonts w:ascii="宋体" w:hAnsi="宋体" w:cs="宋体" w:eastAsia="宋体" w:hint="default"/>
          <w:sz w:val="17"/>
          <w:szCs w:val="17"/>
        </w:rPr>
      </w:pPr>
    </w:p>
    <w:p>
      <w:pPr>
        <w:pStyle w:val="Heading5"/>
        <w:spacing w:line="240" w:lineRule="auto"/>
        <w:ind w:left="1838" w:right="1117"/>
        <w:jc w:val="left"/>
      </w:pPr>
      <w:r>
        <w:rPr/>
        <w:t>（</w:t>
      </w:r>
      <w:r>
        <w:rPr>
          <w:rFonts w:ascii="Times New Roman" w:hAnsi="Times New Roman" w:cs="Times New Roman" w:eastAsia="Times New Roman" w:hint="default"/>
        </w:rPr>
        <w:t>1</w:t>
      </w:r>
      <w:r>
        <w:rPr/>
        <w:t>）按账龄列示</w:t>
      </w:r>
    </w:p>
    <w:p>
      <w:pPr>
        <w:spacing w:line="240" w:lineRule="auto" w:before="7"/>
        <w:rPr>
          <w:rFonts w:ascii="宋体" w:hAnsi="宋体" w:cs="宋体" w:eastAsia="宋体" w:hint="default"/>
          <w:sz w:val="19"/>
          <w:szCs w:val="19"/>
        </w:rPr>
      </w:pPr>
    </w:p>
    <w:tbl>
      <w:tblPr>
        <w:tblW w:w="0" w:type="auto"/>
        <w:jc w:val="left"/>
        <w:tblInd w:w="1310" w:type="dxa"/>
        <w:tblLayout w:type="fixed"/>
        <w:tblCellMar>
          <w:top w:w="0" w:type="dxa"/>
          <w:left w:w="0" w:type="dxa"/>
          <w:bottom w:w="0" w:type="dxa"/>
          <w:right w:w="0" w:type="dxa"/>
        </w:tblCellMar>
        <w:tblLook w:val="01E0"/>
      </w:tblPr>
      <w:tblGrid>
        <w:gridCol w:w="2223"/>
        <w:gridCol w:w="2134"/>
        <w:gridCol w:w="1387"/>
        <w:gridCol w:w="2271"/>
        <w:gridCol w:w="1417"/>
      </w:tblGrid>
      <w:tr>
        <w:trPr>
          <w:trHeight w:val="811" w:hRule="exact"/>
        </w:trPr>
        <w:tc>
          <w:tcPr>
            <w:tcW w:w="222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90"/>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21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6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9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1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73" w:hRule="exact"/>
        </w:trPr>
        <w:tc>
          <w:tcPr>
            <w:tcW w:w="222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709"/>
              <w:jc w:val="right"/>
              <w:rPr>
                <w:rFonts w:ascii="Times New Roman" w:hAnsi="Times New Roman" w:cs="Times New Roman" w:eastAsia="Times New Roman" w:hint="default"/>
                <w:sz w:val="18"/>
                <w:szCs w:val="18"/>
              </w:rPr>
            </w:pPr>
            <w:r>
              <w:rPr>
                <w:rFonts w:ascii="Times New Roman"/>
                <w:spacing w:val="-1"/>
                <w:sz w:val="18"/>
              </w:rPr>
              <w:t>18,620,638.48</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48" w:right="0"/>
              <w:jc w:val="left"/>
              <w:rPr>
                <w:rFonts w:ascii="Times New Roman" w:hAnsi="Times New Roman" w:cs="Times New Roman" w:eastAsia="Times New Roman" w:hint="default"/>
                <w:sz w:val="18"/>
                <w:szCs w:val="18"/>
              </w:rPr>
            </w:pPr>
            <w:r>
              <w:rPr>
                <w:rFonts w:ascii="Times New Roman"/>
                <w:sz w:val="18"/>
              </w:rPr>
              <w:t>15.91</w:t>
            </w:r>
          </w:p>
        </w:tc>
        <w:tc>
          <w:tcPr>
            <w:tcW w:w="2271"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710"/>
              <w:jc w:val="right"/>
              <w:rPr>
                <w:rFonts w:ascii="Times New Roman" w:hAnsi="Times New Roman" w:cs="Times New Roman" w:eastAsia="Times New Roman" w:hint="default"/>
                <w:sz w:val="18"/>
                <w:szCs w:val="18"/>
              </w:rPr>
            </w:pPr>
            <w:r>
              <w:rPr>
                <w:rFonts w:ascii="Times New Roman"/>
                <w:spacing w:val="-1"/>
                <w:sz w:val="18"/>
              </w:rPr>
              <w:t>195,958,253.12</w:t>
            </w: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410"/>
              <w:jc w:val="center"/>
              <w:rPr>
                <w:rFonts w:ascii="Times New Roman" w:hAnsi="Times New Roman" w:cs="Times New Roman" w:eastAsia="Times New Roman" w:hint="default"/>
                <w:sz w:val="18"/>
                <w:szCs w:val="18"/>
              </w:rPr>
            </w:pPr>
            <w:r>
              <w:rPr>
                <w:rFonts w:ascii="Times New Roman"/>
                <w:sz w:val="18"/>
              </w:rPr>
              <w:t>98.14</w:t>
            </w:r>
          </w:p>
        </w:tc>
      </w:tr>
      <w:tr>
        <w:trPr>
          <w:trHeight w:val="441" w:hRule="exact"/>
        </w:trPr>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09"/>
              <w:jc w:val="right"/>
              <w:rPr>
                <w:rFonts w:ascii="Times New Roman" w:hAnsi="Times New Roman" w:cs="Times New Roman" w:eastAsia="Times New Roman" w:hint="default"/>
                <w:sz w:val="18"/>
                <w:szCs w:val="18"/>
              </w:rPr>
            </w:pPr>
            <w:r>
              <w:rPr>
                <w:rFonts w:ascii="Times New Roman"/>
                <w:spacing w:val="-1"/>
                <w:sz w:val="18"/>
              </w:rPr>
              <w:t>95,671,665.92</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48" w:right="0"/>
              <w:jc w:val="left"/>
              <w:rPr>
                <w:rFonts w:ascii="Times New Roman" w:hAnsi="Times New Roman" w:cs="Times New Roman" w:eastAsia="Times New Roman" w:hint="default"/>
                <w:sz w:val="18"/>
                <w:szCs w:val="18"/>
              </w:rPr>
            </w:pPr>
            <w:r>
              <w:rPr>
                <w:rFonts w:ascii="Times New Roman"/>
                <w:sz w:val="18"/>
              </w:rPr>
              <w:t>81.70</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10"/>
              <w:jc w:val="right"/>
              <w:rPr>
                <w:rFonts w:ascii="Times New Roman" w:hAnsi="Times New Roman" w:cs="Times New Roman" w:eastAsia="Times New Roman" w:hint="default"/>
                <w:sz w:val="18"/>
                <w:szCs w:val="18"/>
              </w:rPr>
            </w:pPr>
            <w:r>
              <w:rPr>
                <w:rFonts w:ascii="Times New Roman"/>
                <w:spacing w:val="-1"/>
                <w:sz w:val="18"/>
              </w:rPr>
              <w:t>3,284,138.40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09"/>
              <w:jc w:val="center"/>
              <w:rPr>
                <w:rFonts w:ascii="Times New Roman" w:hAnsi="Times New Roman" w:cs="Times New Roman" w:eastAsia="Times New Roman" w:hint="default"/>
                <w:sz w:val="18"/>
                <w:szCs w:val="18"/>
              </w:rPr>
            </w:pPr>
            <w:r>
              <w:rPr>
                <w:rFonts w:ascii="Times New Roman"/>
                <w:sz w:val="18"/>
              </w:rPr>
              <w:t>1.64</w:t>
            </w:r>
          </w:p>
        </w:tc>
      </w:tr>
      <w:tr>
        <w:trPr>
          <w:trHeight w:val="440" w:hRule="exact"/>
        </w:trPr>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09"/>
              <w:jc w:val="right"/>
              <w:rPr>
                <w:rFonts w:ascii="Times New Roman" w:hAnsi="Times New Roman" w:cs="Times New Roman" w:eastAsia="Times New Roman" w:hint="default"/>
                <w:sz w:val="18"/>
                <w:szCs w:val="18"/>
              </w:rPr>
            </w:pPr>
            <w:r>
              <w:rPr>
                <w:rFonts w:ascii="Times New Roman"/>
                <w:spacing w:val="-1"/>
                <w:sz w:val="18"/>
              </w:rPr>
              <w:t>2,357,150.59</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94" w:right="0"/>
              <w:jc w:val="left"/>
              <w:rPr>
                <w:rFonts w:ascii="Times New Roman" w:hAnsi="Times New Roman" w:cs="Times New Roman" w:eastAsia="Times New Roman" w:hint="default"/>
                <w:sz w:val="18"/>
                <w:szCs w:val="18"/>
              </w:rPr>
            </w:pPr>
            <w:r>
              <w:rPr>
                <w:rFonts w:ascii="Times New Roman"/>
                <w:sz w:val="18"/>
              </w:rPr>
              <w:t>2.01</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09"/>
              <w:jc w:val="right"/>
              <w:rPr>
                <w:rFonts w:ascii="Times New Roman" w:hAnsi="Times New Roman" w:cs="Times New Roman" w:eastAsia="Times New Roman" w:hint="default"/>
                <w:sz w:val="18"/>
                <w:szCs w:val="18"/>
              </w:rPr>
            </w:pPr>
            <w:r>
              <w:rPr>
                <w:rFonts w:ascii="Times New Roman"/>
                <w:sz w:val="18"/>
              </w:rPr>
              <w:t>325,000.00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09"/>
              <w:jc w:val="center"/>
              <w:rPr>
                <w:rFonts w:ascii="Times New Roman" w:hAnsi="Times New Roman" w:cs="Times New Roman" w:eastAsia="Times New Roman" w:hint="default"/>
                <w:sz w:val="18"/>
                <w:szCs w:val="18"/>
              </w:rPr>
            </w:pPr>
            <w:r>
              <w:rPr>
                <w:rFonts w:ascii="Times New Roman"/>
                <w:sz w:val="18"/>
              </w:rPr>
              <w:t>0.16</w:t>
            </w:r>
          </w:p>
        </w:tc>
      </w:tr>
      <w:tr>
        <w:trPr>
          <w:trHeight w:val="434" w:hRule="exact"/>
        </w:trPr>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09"/>
              <w:jc w:val="right"/>
              <w:rPr>
                <w:rFonts w:ascii="Times New Roman" w:hAnsi="Times New Roman" w:cs="Times New Roman" w:eastAsia="Times New Roman" w:hint="default"/>
                <w:sz w:val="18"/>
                <w:szCs w:val="18"/>
              </w:rPr>
            </w:pPr>
            <w:r>
              <w:rPr>
                <w:rFonts w:ascii="Times New Roman"/>
                <w:sz w:val="18"/>
              </w:rPr>
              <w:t>448,036.30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94" w:right="0"/>
              <w:jc w:val="left"/>
              <w:rPr>
                <w:rFonts w:ascii="Times New Roman" w:hAnsi="Times New Roman" w:cs="Times New Roman" w:eastAsia="Times New Roman" w:hint="default"/>
                <w:sz w:val="18"/>
                <w:szCs w:val="18"/>
              </w:rPr>
            </w:pPr>
            <w:r>
              <w:rPr>
                <w:rFonts w:ascii="Times New Roman"/>
                <w:sz w:val="18"/>
              </w:rPr>
              <w:t>0.38</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09"/>
              <w:jc w:val="right"/>
              <w:rPr>
                <w:rFonts w:ascii="Times New Roman" w:hAnsi="Times New Roman" w:cs="Times New Roman" w:eastAsia="Times New Roman" w:hint="default"/>
                <w:sz w:val="18"/>
                <w:szCs w:val="18"/>
              </w:rPr>
            </w:pPr>
            <w:r>
              <w:rPr>
                <w:rFonts w:ascii="Times New Roman"/>
                <w:sz w:val="18"/>
              </w:rPr>
              <w:t>126,036.30</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409"/>
              <w:jc w:val="center"/>
              <w:rPr>
                <w:rFonts w:ascii="Times New Roman" w:hAnsi="Times New Roman" w:cs="Times New Roman" w:eastAsia="Times New Roman" w:hint="default"/>
                <w:sz w:val="18"/>
                <w:szCs w:val="18"/>
              </w:rPr>
            </w:pPr>
            <w:r>
              <w:rPr>
                <w:rFonts w:ascii="Times New Roman"/>
                <w:sz w:val="18"/>
              </w:rPr>
              <w:t>0.06</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6"/>
        <w:tabs>
          <w:tab w:pos="5918" w:val="left" w:leader="none"/>
        </w:tabs>
        <w:spacing w:line="228" w:lineRule="exact" w:before="44"/>
        <w:ind w:left="2261" w:right="0"/>
        <w:jc w:val="center"/>
        <w:rPr>
          <w:b w:val="0"/>
          <w:bCs w:val="0"/>
        </w:rPr>
      </w:pPr>
      <w:r>
        <w:rPr>
          <w:w w:val="95"/>
        </w:rPr>
        <w:t>期末余额</w:t>
        <w:tab/>
      </w:r>
      <w:r>
        <w:rPr/>
        <w:t>期初余额</w:t>
      </w:r>
      <w:r>
        <w:rPr>
          <w:b w:val="0"/>
          <w:bCs w:val="0"/>
        </w:rPr>
      </w:r>
    </w:p>
    <w:p>
      <w:pPr>
        <w:pStyle w:val="Heading6"/>
        <w:spacing w:line="220" w:lineRule="exact"/>
        <w:ind w:left="2098" w:right="1117"/>
        <w:jc w:val="left"/>
        <w:rPr>
          <w:b w:val="0"/>
          <w:bCs w:val="0"/>
        </w:rPr>
      </w:pPr>
      <w:r>
        <w:rPr/>
        <w:t>账</w:t>
      </w:r>
      <w:r>
        <w:rPr>
          <w:spacing w:val="90"/>
        </w:rPr>
        <w:t> </w:t>
      </w:r>
      <w:r>
        <w:rPr/>
        <w:t>龄</w:t>
      </w:r>
      <w:r>
        <w:rPr>
          <w:b w:val="0"/>
          <w:bCs w:val="0"/>
        </w:rPr>
      </w:r>
    </w:p>
    <w:p>
      <w:pPr>
        <w:pStyle w:val="Heading6"/>
        <w:tabs>
          <w:tab w:pos="4089" w:val="left" w:leader="none"/>
          <w:tab w:pos="6006" w:val="left" w:leader="none"/>
          <w:tab w:pos="7747" w:val="left" w:leader="none"/>
        </w:tabs>
        <w:spacing w:line="242" w:lineRule="exact"/>
        <w:ind w:left="2351" w:right="0"/>
        <w:jc w:val="center"/>
        <w:rPr>
          <w:b w:val="0"/>
          <w:bCs w:val="0"/>
        </w:rPr>
      </w:pPr>
      <w:r>
        <w:rPr>
          <w:w w:val="95"/>
        </w:rPr>
        <w:t>账面余额</w:t>
        <w:tab/>
        <w:t>比例（</w:t>
      </w:r>
      <w:r>
        <w:rPr>
          <w:rFonts w:ascii="Times New Roman" w:hAnsi="Times New Roman" w:cs="Times New Roman" w:eastAsia="Times New Roman" w:hint="default"/>
          <w:w w:val="95"/>
        </w:rPr>
        <w:t>%</w:t>
      </w:r>
      <w:r>
        <w:rPr>
          <w:w w:val="95"/>
        </w:rPr>
        <w:t>）</w:t>
        <w:tab/>
        <w:t>账面余额</w:t>
        <w:tab/>
      </w:r>
      <w:r>
        <w:rPr/>
        <w:t>比例（</w:t>
      </w:r>
      <w:r>
        <w:rPr>
          <w:rFonts w:ascii="Times New Roman" w:hAnsi="Times New Roman" w:cs="Times New Roman" w:eastAsia="Times New Roman" w:hint="default"/>
        </w:rPr>
        <w:t>%</w:t>
      </w:r>
      <w:r>
        <w:rPr/>
        <w:t>）</w:t>
      </w:r>
      <w:r>
        <w:rPr>
          <w:b w:val="0"/>
          <w:bCs w:val="0"/>
        </w:rPr>
      </w:r>
    </w:p>
    <w:p>
      <w:pPr>
        <w:spacing w:line="240" w:lineRule="auto" w:before="7"/>
        <w:rPr>
          <w:rFonts w:ascii="宋体" w:hAnsi="宋体" w:cs="宋体" w:eastAsia="宋体" w:hint="default"/>
          <w:b/>
          <w:bCs/>
          <w:sz w:val="5"/>
          <w:szCs w:val="5"/>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2118;height:2" coordorigin="5,5" coordsize="2118,2">
              <v:shape style="position:absolute;left:5;top:5;width:2118;height:2" coordorigin="5,5" coordsize="2118,0" path="m5,5l2122,5e" filled="false" stroked="true" strokeweight=".48pt" strokecolor="#000000">
                <v:path arrowok="t"/>
              </v:shape>
            </v:group>
            <v:group style="position:absolute;left:2122;top:5;width:10;height:2" coordorigin="2122,5" coordsize="10,2">
              <v:shape style="position:absolute;left:2122;top:5;width:10;height:2" coordorigin="2122,5" coordsize="10,0" path="m2122,5l2132,5e" filled="false" stroked="true" strokeweight=".48pt" strokecolor="#000000">
                <v:path arrowok="t"/>
              </v:shape>
            </v:group>
            <v:group style="position:absolute;left:2132;top:5;width:1820;height:2" coordorigin="2132,5" coordsize="1820,2">
              <v:shape style="position:absolute;left:2132;top:5;width:1820;height:2" coordorigin="2132,5" coordsize="1820,0" path="m2132,5l3951,5e" filled="false" stroked="true" strokeweight=".48pt" strokecolor="#000000">
                <v:path arrowok="t"/>
              </v:shape>
            </v:group>
            <v:group style="position:absolute;left:3951;top:5;width:10;height:2" coordorigin="3951,5" coordsize="10,2">
              <v:shape style="position:absolute;left:3951;top:5;width:10;height:2" coordorigin="3951,5" coordsize="10,0" path="m3951,5l3961,5e" filled="false" stroked="true" strokeweight=".48pt" strokecolor="#000000">
                <v:path arrowok="t"/>
              </v:shape>
            </v:group>
            <v:group style="position:absolute;left:3961;top:5;width:1818;height:2" coordorigin="3961,5" coordsize="1818,2">
              <v:shape style="position:absolute;left:3961;top:5;width:1818;height:2" coordorigin="3961,5" coordsize="1818,0" path="m3961,5l5779,5e" filled="false" stroked="true" strokeweight=".48pt" strokecolor="#000000">
                <v:path arrowok="t"/>
              </v:shape>
            </v:group>
            <v:group style="position:absolute;left:5779;top:5;width:10;height:2" coordorigin="5779,5" coordsize="10,2">
              <v:shape style="position:absolute;left:5779;top:5;width:10;height:2" coordorigin="5779,5" coordsize="10,0" path="m5779,5l5788,5e" filled="false" stroked="true" strokeweight=".48pt" strokecolor="#000000">
                <v:path arrowok="t"/>
              </v:shape>
            </v:group>
            <v:group style="position:absolute;left:5788;top:5;width:1819;height:2" coordorigin="5788,5" coordsize="1819,2">
              <v:shape style="position:absolute;left:5788;top:5;width:1819;height:2" coordorigin="5788,5" coordsize="1819,0" path="m5788,5l7607,5e" filled="false" stroked="true" strokeweight=".48pt" strokecolor="#000000">
                <v:path arrowok="t"/>
              </v:shape>
            </v:group>
            <v:group style="position:absolute;left:7607;top:5;width:10;height:2" coordorigin="7607,5" coordsize="10,2">
              <v:shape style="position:absolute;left:7607;top:5;width:10;height:2" coordorigin="7607,5" coordsize="10,0" path="m7607,5l7616,5e" filled="false" stroked="true" strokeweight=".48pt" strokecolor="#000000">
                <v:path arrowok="t"/>
              </v:shape>
            </v:group>
            <v:group style="position:absolute;left:7616;top:5;width:1820;height:2" coordorigin="7616,5" coordsize="1820,2">
              <v:shape style="position:absolute;left:7616;top:5;width:1820;height:2" coordorigin="7616,5" coordsize="1820,0" path="m7616,5l9436,5e" filled="false" stroked="true" strokeweight=".48pt" strokecolor="#000000">
                <v:path arrowok="t"/>
              </v:shape>
            </v:group>
          </v:group>
        </w:pict>
      </w:r>
      <w:r>
        <w:rPr>
          <w:rFonts w:ascii="宋体" w:hAnsi="宋体" w:cs="宋体" w:eastAsia="宋体" w:hint="default"/>
          <w:sz w:val="2"/>
          <w:szCs w:val="2"/>
        </w:rPr>
      </w:r>
    </w:p>
    <w:p>
      <w:pPr>
        <w:pStyle w:val="BodyText"/>
        <w:tabs>
          <w:tab w:pos="3830" w:val="left" w:leader="none"/>
          <w:tab w:pos="5938" w:val="left" w:leader="none"/>
          <w:tab w:pos="7487" w:val="left" w:leader="none"/>
          <w:tab w:pos="9961" w:val="right" w:leader="none"/>
        </w:tabs>
        <w:spacing w:line="240" w:lineRule="auto" w:before="101"/>
        <w:ind w:left="2099" w:right="0"/>
        <w:jc w:val="left"/>
        <w:rPr>
          <w:rFonts w:ascii="Times New Roman" w:hAnsi="Times New Roman" w:cs="Times New Roman" w:eastAsia="Times New Roman" w:hint="default"/>
        </w:rPr>
      </w:pPr>
      <w:r>
        <w:rPr>
          <w:position w:val="-4"/>
        </w:rPr>
        <w:t>合  计</w:t>
        <w:tab/>
      </w:r>
      <w:r>
        <w:rPr>
          <w:rFonts w:ascii="Times New Roman" w:hAnsi="Times New Roman" w:cs="Times New Roman" w:eastAsia="Times New Roman" w:hint="default"/>
        </w:rPr>
      </w:r>
      <w:r>
        <w:rPr>
          <w:rFonts w:ascii="Times New Roman" w:hAnsi="Times New Roman" w:cs="Times New Roman" w:eastAsia="Times New Roman" w:hint="default"/>
          <w:spacing w:val="-1"/>
          <w:u w:val="thick" w:color="000000"/>
        </w:rPr>
        <w:t>117,097,491.29</w:t>
      </w:r>
      <w:r>
        <w:rPr>
          <w:rFonts w:ascii="Times New Roman" w:hAnsi="Times New Roman" w:cs="Times New Roman" w:eastAsia="Times New Roman" w:hint="default"/>
          <w:spacing w:val="-1"/>
        </w:rPr>
        <w:tab/>
      </w:r>
      <w:r>
        <w:rPr>
          <w:rFonts w:ascii="Times New Roman" w:hAnsi="Times New Roman" w:cs="Times New Roman" w:eastAsia="Times New Roman" w:hint="default"/>
          <w:u w:val="thick" w:color="000000"/>
        </w:rPr>
        <w:t>100</w:t>
      </w:r>
      <w:r>
        <w:rPr>
          <w:rFonts w:ascii="Times New Roman" w:hAnsi="Times New Roman" w:cs="Times New Roman" w:eastAsia="Times New Roman" w:hint="default"/>
        </w:rPr>
        <w:tab/>
      </w:r>
      <w:r>
        <w:rPr>
          <w:rFonts w:ascii="Times New Roman" w:hAnsi="Times New Roman" w:cs="Times New Roman" w:eastAsia="Times New Roman" w:hint="default"/>
          <w:spacing w:val="-1"/>
          <w:u w:val="thick" w:color="000000"/>
        </w:rPr>
        <w:t>199,693,427.82</w:t>
      </w:r>
      <w:r>
        <w:rPr>
          <w:rFonts w:ascii="Times New Roman" w:hAnsi="Times New Roman" w:cs="Times New Roman" w:eastAsia="Times New Roman" w:hint="default"/>
          <w:spacing w:val="-1"/>
        </w:rPr>
        <w:tab/>
      </w:r>
      <w:r>
        <w:rPr>
          <w:rFonts w:ascii="Times New Roman" w:hAnsi="Times New Roman" w:cs="Times New Roman" w:eastAsia="Times New Roman" w:hint="default"/>
          <w:u w:val="thick" w:color="000000"/>
        </w:rPr>
        <w:t>100</w:t>
      </w:r>
      <w:r>
        <w:rPr>
          <w:rFonts w:ascii="Times New Roman" w:hAnsi="Times New Roman" w:cs="Times New Roman" w:eastAsia="Times New Roman" w:hint="default"/>
        </w:rPr>
      </w:r>
    </w:p>
    <w:p>
      <w:pPr>
        <w:pStyle w:val="BodyText"/>
        <w:spacing w:line="240" w:lineRule="auto" w:before="443"/>
        <w:ind w:right="1117"/>
        <w:jc w:val="left"/>
      </w:pPr>
      <w:r>
        <w:rPr/>
        <w:t>（</w:t>
      </w:r>
      <w:r>
        <w:rPr>
          <w:rFonts w:ascii="Times New Roman" w:hAnsi="Times New Roman" w:cs="Times New Roman" w:eastAsia="Times New Roman" w:hint="default"/>
        </w:rPr>
        <w:t>2</w:t>
      </w:r>
      <w:r>
        <w:rPr/>
        <w:t>）按性质列示</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143"/>
        <w:gridCol w:w="3352"/>
        <w:gridCol w:w="2936"/>
      </w:tblGrid>
      <w:tr>
        <w:trPr>
          <w:trHeight w:val="271" w:hRule="exact"/>
        </w:trPr>
        <w:tc>
          <w:tcPr>
            <w:tcW w:w="314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352" w:type="dxa"/>
            <w:tcBorders>
              <w:top w:val="nil" w:sz="6" w:space="0" w:color="auto"/>
              <w:left w:val="nil" w:sz="6" w:space="0" w:color="auto"/>
              <w:bottom w:val="single" w:sz="4" w:space="0" w:color="000000"/>
              <w:right w:val="nil" w:sz="6" w:space="0" w:color="auto"/>
            </w:tcBorders>
          </w:tcPr>
          <w:p>
            <w:pPr>
              <w:pStyle w:val="TableParagraph"/>
              <w:spacing w:line="180" w:lineRule="exact"/>
              <w:ind w:right="20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36" w:type="dxa"/>
            <w:tcBorders>
              <w:top w:val="nil" w:sz="6" w:space="0" w:color="auto"/>
              <w:left w:val="nil" w:sz="6" w:space="0" w:color="auto"/>
              <w:bottom w:val="single" w:sz="4" w:space="0" w:color="000000"/>
              <w:right w:val="nil" w:sz="6" w:space="0" w:color="auto"/>
            </w:tcBorders>
          </w:tcPr>
          <w:p>
            <w:pPr>
              <w:pStyle w:val="TableParagraph"/>
              <w:spacing w:line="180" w:lineRule="exact"/>
              <w:ind w:right="207"/>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69" w:hRule="exact"/>
        </w:trPr>
        <w:tc>
          <w:tcPr>
            <w:tcW w:w="314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48"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352"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01"/>
              <w:jc w:val="right"/>
              <w:rPr>
                <w:rFonts w:ascii="Times New Roman" w:hAnsi="Times New Roman" w:cs="Times New Roman" w:eastAsia="Times New Roman" w:hint="default"/>
                <w:sz w:val="18"/>
                <w:szCs w:val="18"/>
              </w:rPr>
            </w:pPr>
            <w:r>
              <w:rPr>
                <w:rFonts w:ascii="Times New Roman"/>
                <w:spacing w:val="-1"/>
                <w:sz w:val="18"/>
              </w:rPr>
              <w:t>106,590,918.13</w:t>
            </w:r>
          </w:p>
        </w:tc>
        <w:tc>
          <w:tcPr>
            <w:tcW w:w="2936"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793"/>
              <w:jc w:val="right"/>
              <w:rPr>
                <w:rFonts w:ascii="Times New Roman" w:hAnsi="Times New Roman" w:cs="Times New Roman" w:eastAsia="Times New Roman" w:hint="default"/>
                <w:sz w:val="18"/>
                <w:szCs w:val="18"/>
              </w:rPr>
            </w:pPr>
            <w:r>
              <w:rPr>
                <w:rFonts w:ascii="Times New Roman"/>
                <w:spacing w:val="-1"/>
                <w:sz w:val="18"/>
              </w:rPr>
              <w:t>189,181,836.26</w:t>
            </w:r>
          </w:p>
        </w:tc>
      </w:tr>
      <w:tr>
        <w:trPr>
          <w:trHeight w:val="44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4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01"/>
              <w:jc w:val="right"/>
              <w:rPr>
                <w:rFonts w:ascii="Times New Roman" w:hAnsi="Times New Roman" w:cs="Times New Roman" w:eastAsia="Times New Roman" w:hint="default"/>
                <w:sz w:val="18"/>
                <w:szCs w:val="18"/>
              </w:rPr>
            </w:pPr>
            <w:r>
              <w:rPr>
                <w:rFonts w:ascii="Times New Roman"/>
                <w:spacing w:val="-1"/>
                <w:sz w:val="18"/>
              </w:rPr>
              <w:t>6,770,741.80</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93"/>
              <w:jc w:val="right"/>
              <w:rPr>
                <w:rFonts w:ascii="Times New Roman" w:hAnsi="Times New Roman" w:cs="Times New Roman" w:eastAsia="Times New Roman" w:hint="default"/>
                <w:sz w:val="18"/>
                <w:szCs w:val="18"/>
              </w:rPr>
            </w:pPr>
            <w:r>
              <w:rPr>
                <w:rFonts w:ascii="Times New Roman"/>
                <w:spacing w:val="-1"/>
                <w:sz w:val="18"/>
              </w:rPr>
              <w:t>2,833,000.00</w:t>
            </w:r>
          </w:p>
        </w:tc>
      </w:tr>
      <w:tr>
        <w:trPr>
          <w:trHeight w:val="44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4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01"/>
              <w:jc w:val="right"/>
              <w:rPr>
                <w:rFonts w:ascii="Times New Roman" w:hAnsi="Times New Roman" w:cs="Times New Roman" w:eastAsia="Times New Roman" w:hint="default"/>
                <w:sz w:val="18"/>
                <w:szCs w:val="18"/>
              </w:rPr>
            </w:pPr>
            <w:r>
              <w:rPr>
                <w:rFonts w:ascii="Times New Roman"/>
                <w:spacing w:val="-1"/>
                <w:sz w:val="18"/>
              </w:rPr>
              <w:t>1,515,542.29</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93"/>
              <w:jc w:val="right"/>
              <w:rPr>
                <w:rFonts w:ascii="Times New Roman" w:hAnsi="Times New Roman" w:cs="Times New Roman" w:eastAsia="Times New Roman" w:hint="default"/>
                <w:sz w:val="18"/>
                <w:szCs w:val="18"/>
              </w:rPr>
            </w:pPr>
            <w:r>
              <w:rPr>
                <w:rFonts w:ascii="Times New Roman"/>
                <w:spacing w:val="-1"/>
                <w:sz w:val="18"/>
              </w:rPr>
              <w:t>1,274,612.61</w:t>
            </w:r>
          </w:p>
        </w:tc>
      </w:tr>
      <w:tr>
        <w:trPr>
          <w:trHeight w:val="44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48"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01"/>
              <w:jc w:val="right"/>
              <w:rPr>
                <w:rFonts w:ascii="Times New Roman" w:hAnsi="Times New Roman" w:cs="Times New Roman" w:eastAsia="Times New Roman" w:hint="default"/>
                <w:sz w:val="18"/>
                <w:szCs w:val="18"/>
              </w:rPr>
            </w:pPr>
            <w:r>
              <w:rPr>
                <w:rFonts w:ascii="Times New Roman"/>
                <w:sz w:val="18"/>
              </w:rPr>
              <w:t>500,000.00</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92"/>
              <w:jc w:val="right"/>
              <w:rPr>
                <w:rFonts w:ascii="Times New Roman" w:hAnsi="Times New Roman" w:cs="Times New Roman" w:eastAsia="Times New Roman" w:hint="default"/>
                <w:sz w:val="18"/>
                <w:szCs w:val="18"/>
              </w:rPr>
            </w:pPr>
            <w:r>
              <w:rPr>
                <w:rFonts w:ascii="Times New Roman"/>
                <w:sz w:val="18"/>
              </w:rPr>
              <w:t>504,000.00</w:t>
            </w:r>
          </w:p>
        </w:tc>
      </w:tr>
      <w:tr>
        <w:trPr>
          <w:trHeight w:val="44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01"/>
              <w:jc w:val="right"/>
              <w:rPr>
                <w:rFonts w:ascii="Times New Roman" w:hAnsi="Times New Roman" w:cs="Times New Roman" w:eastAsia="Times New Roman" w:hint="default"/>
                <w:sz w:val="18"/>
                <w:szCs w:val="18"/>
              </w:rPr>
            </w:pPr>
            <w:r>
              <w:rPr>
                <w:rFonts w:ascii="Times New Roman"/>
                <w:spacing w:val="-1"/>
                <w:sz w:val="18"/>
              </w:rPr>
              <w:t>1,720,289.07</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93"/>
              <w:jc w:val="right"/>
              <w:rPr>
                <w:rFonts w:ascii="Times New Roman" w:hAnsi="Times New Roman" w:cs="Times New Roman" w:eastAsia="Times New Roman" w:hint="default"/>
                <w:sz w:val="18"/>
                <w:szCs w:val="18"/>
              </w:rPr>
            </w:pPr>
            <w:r>
              <w:rPr>
                <w:rFonts w:ascii="Times New Roman"/>
                <w:spacing w:val="-1"/>
                <w:sz w:val="18"/>
              </w:rPr>
              <w:t>5,899,978.95</w:t>
            </w:r>
          </w:p>
        </w:tc>
      </w:tr>
      <w:tr>
        <w:trPr>
          <w:trHeight w:val="33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35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117,097,491.29</w:t>
            </w:r>
            <w:r>
              <w:rPr>
                <w:rFonts w:ascii="Times New Roman"/>
                <w:spacing w:val="-1"/>
                <w:sz w:val="18"/>
              </w:rPr>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199,693,427.82</w:t>
            </w:r>
            <w:r>
              <w:rPr>
                <w:rFonts w:ascii="Times New Roman"/>
                <w:spacing w:val="-1"/>
                <w:sz w:val="18"/>
              </w:rPr>
            </w:r>
          </w:p>
        </w:tc>
      </w:tr>
    </w:tbl>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pStyle w:val="BodyText"/>
        <w:spacing w:line="240" w:lineRule="auto"/>
        <w:ind w:right="1117"/>
        <w:jc w:val="left"/>
      </w:pPr>
      <w:r>
        <w:rPr/>
        <w:t>（</w:t>
      </w:r>
      <w:r>
        <w:rPr>
          <w:rFonts w:ascii="Times New Roman" w:hAnsi="Times New Roman" w:cs="Times New Roman" w:eastAsia="Times New Roman" w:hint="default"/>
        </w:rPr>
        <w:t>3</w:t>
      </w:r>
      <w:r>
        <w:rPr/>
        <w:t>）期末账龄超过</w:t>
      </w:r>
      <w:r>
        <w:rPr>
          <w:rFonts w:ascii="Times New Roman" w:hAnsi="Times New Roman" w:cs="Times New Roman" w:eastAsia="Times New Roman" w:hint="default"/>
        </w:rPr>
        <w:t>1</w:t>
      </w:r>
      <w:r>
        <w:rPr/>
        <w:t>年的重要其他应付款</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679"/>
        <w:gridCol w:w="2206"/>
        <w:gridCol w:w="2546"/>
      </w:tblGrid>
      <w:tr>
        <w:trPr>
          <w:trHeight w:val="272" w:hRule="exact"/>
        </w:trPr>
        <w:tc>
          <w:tcPr>
            <w:tcW w:w="4679" w:type="dxa"/>
            <w:tcBorders>
              <w:top w:val="nil" w:sz="6" w:space="0" w:color="auto"/>
              <w:left w:val="nil" w:sz="6" w:space="0" w:color="auto"/>
              <w:bottom w:val="single" w:sz="4" w:space="0" w:color="000000"/>
              <w:right w:val="nil" w:sz="6" w:space="0" w:color="auto"/>
            </w:tcBorders>
          </w:tcPr>
          <w:p>
            <w:pPr>
              <w:pStyle w:val="TableParagraph"/>
              <w:spacing w:line="180" w:lineRule="exact"/>
              <w:ind w:right="156"/>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06" w:type="dxa"/>
            <w:tcBorders>
              <w:top w:val="nil" w:sz="6" w:space="0" w:color="auto"/>
              <w:left w:val="nil" w:sz="6" w:space="0" w:color="auto"/>
              <w:bottom w:val="single" w:sz="4" w:space="0" w:color="000000"/>
              <w:right w:val="nil" w:sz="6" w:space="0" w:color="auto"/>
            </w:tcBorders>
          </w:tcPr>
          <w:p>
            <w:pPr>
              <w:pStyle w:val="TableParagraph"/>
              <w:spacing w:line="180" w:lineRule="exact"/>
              <w:ind w:left="65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46" w:type="dxa"/>
            <w:tcBorders>
              <w:top w:val="nil" w:sz="6" w:space="0" w:color="auto"/>
              <w:left w:val="nil" w:sz="6" w:space="0" w:color="auto"/>
              <w:bottom w:val="single" w:sz="4" w:space="0" w:color="000000"/>
              <w:right w:val="nil" w:sz="6" w:space="0" w:color="auto"/>
            </w:tcBorders>
          </w:tcPr>
          <w:p>
            <w:pPr>
              <w:pStyle w:val="TableParagraph"/>
              <w:spacing w:line="180"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493" w:hRule="exact"/>
        </w:trPr>
        <w:tc>
          <w:tcPr>
            <w:tcW w:w="467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48"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220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447"/>
              <w:jc w:val="right"/>
              <w:rPr>
                <w:rFonts w:ascii="Times New Roman" w:hAnsi="Times New Roman" w:cs="Times New Roman" w:eastAsia="Times New Roman" w:hint="default"/>
                <w:sz w:val="18"/>
                <w:szCs w:val="18"/>
              </w:rPr>
            </w:pPr>
            <w:r>
              <w:rPr>
                <w:rFonts w:ascii="Times New Roman"/>
                <w:spacing w:val="-1"/>
                <w:sz w:val="18"/>
              </w:rPr>
              <w:t>23,158,484.23</w:t>
            </w:r>
          </w:p>
        </w:tc>
        <w:tc>
          <w:tcPr>
            <w:tcW w:w="254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630" w:right="0"/>
              <w:jc w:val="left"/>
              <w:rPr>
                <w:rFonts w:ascii="宋体" w:hAnsi="宋体" w:cs="宋体" w:eastAsia="宋体" w:hint="default"/>
                <w:sz w:val="18"/>
                <w:szCs w:val="18"/>
              </w:rPr>
            </w:pPr>
            <w:r>
              <w:rPr>
                <w:rFonts w:ascii="宋体" w:hAnsi="宋体" w:cs="宋体" w:eastAsia="宋体" w:hint="default"/>
                <w:sz w:val="18"/>
                <w:szCs w:val="18"/>
              </w:rPr>
              <w:t>股权款未支付</w:t>
            </w:r>
          </w:p>
        </w:tc>
      </w:tr>
      <w:tr>
        <w:trPr>
          <w:trHeight w:val="44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48"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7"/>
              <w:jc w:val="right"/>
              <w:rPr>
                <w:rFonts w:ascii="Times New Roman" w:hAnsi="Times New Roman" w:cs="Times New Roman" w:eastAsia="Times New Roman" w:hint="default"/>
                <w:sz w:val="18"/>
                <w:szCs w:val="18"/>
              </w:rPr>
            </w:pPr>
            <w:r>
              <w:rPr>
                <w:rFonts w:ascii="Times New Roman"/>
                <w:spacing w:val="-1"/>
                <w:sz w:val="18"/>
              </w:rPr>
              <w:t>22,260,117.26</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30" w:right="0"/>
              <w:jc w:val="left"/>
              <w:rPr>
                <w:rFonts w:ascii="宋体" w:hAnsi="宋体" w:cs="宋体" w:eastAsia="宋体" w:hint="default"/>
                <w:sz w:val="18"/>
                <w:szCs w:val="18"/>
              </w:rPr>
            </w:pPr>
            <w:r>
              <w:rPr>
                <w:rFonts w:ascii="宋体" w:hAnsi="宋体" w:cs="宋体" w:eastAsia="宋体" w:hint="default"/>
                <w:sz w:val="18"/>
                <w:szCs w:val="18"/>
              </w:rPr>
              <w:t>股权款未支付</w:t>
            </w:r>
          </w:p>
        </w:tc>
      </w:tr>
      <w:tr>
        <w:trPr>
          <w:trHeight w:val="44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8"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15,896,578.18</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0" w:right="0"/>
              <w:jc w:val="left"/>
              <w:rPr>
                <w:rFonts w:ascii="宋体" w:hAnsi="宋体" w:cs="宋体" w:eastAsia="宋体" w:hint="default"/>
                <w:sz w:val="18"/>
                <w:szCs w:val="18"/>
              </w:rPr>
            </w:pPr>
            <w:r>
              <w:rPr>
                <w:rFonts w:ascii="宋体" w:hAnsi="宋体" w:cs="宋体" w:eastAsia="宋体" w:hint="default"/>
                <w:sz w:val="18"/>
                <w:szCs w:val="18"/>
              </w:rPr>
              <w:t>股权款未支付</w:t>
            </w:r>
          </w:p>
        </w:tc>
      </w:tr>
      <w:tr>
        <w:trPr>
          <w:trHeight w:val="44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8"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7"/>
              <w:jc w:val="right"/>
              <w:rPr>
                <w:rFonts w:ascii="Times New Roman" w:hAnsi="Times New Roman" w:cs="Times New Roman" w:eastAsia="Times New Roman" w:hint="default"/>
                <w:sz w:val="18"/>
                <w:szCs w:val="18"/>
              </w:rPr>
            </w:pPr>
            <w:r>
              <w:rPr>
                <w:rFonts w:ascii="Times New Roman"/>
                <w:spacing w:val="-1"/>
                <w:sz w:val="18"/>
              </w:rPr>
              <w:t>14,412,732.47</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0" w:right="0"/>
              <w:jc w:val="left"/>
              <w:rPr>
                <w:rFonts w:ascii="宋体" w:hAnsi="宋体" w:cs="宋体" w:eastAsia="宋体" w:hint="default"/>
                <w:sz w:val="18"/>
                <w:szCs w:val="18"/>
              </w:rPr>
            </w:pPr>
            <w:r>
              <w:rPr>
                <w:rFonts w:ascii="宋体" w:hAnsi="宋体" w:cs="宋体" w:eastAsia="宋体" w:hint="default"/>
                <w:sz w:val="18"/>
                <w:szCs w:val="18"/>
              </w:rPr>
              <w:t>股权款未支付</w:t>
            </w:r>
          </w:p>
        </w:tc>
      </w:tr>
      <w:tr>
        <w:trPr>
          <w:trHeight w:val="44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8"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7"/>
              <w:jc w:val="right"/>
              <w:rPr>
                <w:rFonts w:ascii="Times New Roman" w:hAnsi="Times New Roman" w:cs="Times New Roman" w:eastAsia="Times New Roman" w:hint="default"/>
                <w:sz w:val="18"/>
                <w:szCs w:val="18"/>
              </w:rPr>
            </w:pPr>
            <w:r>
              <w:rPr>
                <w:rFonts w:ascii="Times New Roman"/>
                <w:spacing w:val="-1"/>
                <w:sz w:val="18"/>
              </w:rPr>
              <w:t>13,950,890.38</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0" w:right="0"/>
              <w:jc w:val="left"/>
              <w:rPr>
                <w:rFonts w:ascii="宋体" w:hAnsi="宋体" w:cs="宋体" w:eastAsia="宋体" w:hint="default"/>
                <w:sz w:val="18"/>
                <w:szCs w:val="18"/>
              </w:rPr>
            </w:pPr>
            <w:r>
              <w:rPr>
                <w:rFonts w:ascii="宋体" w:hAnsi="宋体" w:cs="宋体" w:eastAsia="宋体" w:hint="default"/>
                <w:sz w:val="18"/>
                <w:szCs w:val="18"/>
              </w:rPr>
              <w:t>股权款未支付</w:t>
            </w:r>
          </w:p>
        </w:tc>
      </w:tr>
      <w:tr>
        <w:trPr>
          <w:trHeight w:val="44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8" w:right="0"/>
              <w:jc w:val="left"/>
              <w:rPr>
                <w:rFonts w:ascii="宋体" w:hAnsi="宋体" w:cs="宋体" w:eastAsia="宋体" w:hint="default"/>
                <w:sz w:val="18"/>
                <w:szCs w:val="18"/>
              </w:rPr>
            </w:pPr>
            <w:r>
              <w:rPr>
                <w:rFonts w:ascii="宋体" w:hAnsi="宋体" w:cs="宋体" w:eastAsia="宋体" w:hint="default"/>
                <w:sz w:val="18"/>
                <w:szCs w:val="18"/>
              </w:rPr>
              <w:t>新余高新区互兴拾号投资管理中心（有限合伙）</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7"/>
              <w:jc w:val="right"/>
              <w:rPr>
                <w:rFonts w:ascii="Times New Roman" w:hAnsi="Times New Roman" w:cs="Times New Roman" w:eastAsia="Times New Roman" w:hint="default"/>
                <w:sz w:val="18"/>
                <w:szCs w:val="18"/>
              </w:rPr>
            </w:pPr>
            <w:r>
              <w:rPr>
                <w:rFonts w:ascii="Times New Roman"/>
                <w:spacing w:val="-1"/>
                <w:sz w:val="18"/>
              </w:rPr>
              <w:t>4,912,115.61</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0" w:right="0"/>
              <w:jc w:val="left"/>
              <w:rPr>
                <w:rFonts w:ascii="宋体" w:hAnsi="宋体" w:cs="宋体" w:eastAsia="宋体" w:hint="default"/>
                <w:sz w:val="18"/>
                <w:szCs w:val="18"/>
              </w:rPr>
            </w:pPr>
            <w:r>
              <w:rPr>
                <w:rFonts w:ascii="宋体" w:hAnsi="宋体" w:cs="宋体" w:eastAsia="宋体" w:hint="default"/>
                <w:sz w:val="18"/>
                <w:szCs w:val="18"/>
              </w:rPr>
              <w:t>股权款未支付</w:t>
            </w:r>
          </w:p>
        </w:tc>
      </w:tr>
      <w:tr>
        <w:trPr>
          <w:trHeight w:val="440"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48"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7"/>
              <w:jc w:val="right"/>
              <w:rPr>
                <w:rFonts w:ascii="Times New Roman" w:hAnsi="Times New Roman" w:cs="Times New Roman" w:eastAsia="Times New Roman" w:hint="default"/>
                <w:sz w:val="18"/>
                <w:szCs w:val="18"/>
              </w:rPr>
            </w:pPr>
            <w:r>
              <w:rPr>
                <w:rFonts w:ascii="Times New Roman"/>
                <w:spacing w:val="-1"/>
                <w:sz w:val="18"/>
              </w:rPr>
              <w:t>1,465,542.29</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15"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6"/>
              <w:jc w:val="center"/>
              <w:rPr>
                <w:rFonts w:ascii="宋体" w:hAnsi="宋体" w:cs="宋体" w:eastAsia="宋体" w:hint="default"/>
                <w:sz w:val="18"/>
                <w:szCs w:val="18"/>
              </w:rPr>
            </w:pPr>
            <w:r>
              <w:rPr>
                <w:rFonts w:ascii="宋体" w:hAnsi="宋体" w:cs="宋体" w:eastAsia="宋体" w:hint="default"/>
                <w:sz w:val="18"/>
                <w:szCs w:val="18"/>
              </w:rPr>
              <w:t>合  计</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96,056,460.42</w:t>
            </w:r>
            <w:r>
              <w:rPr>
                <w:rFonts w:ascii="Times New Roman"/>
                <w:spacing w:val="-1"/>
                <w:sz w:val="18"/>
              </w:rPr>
            </w:r>
          </w:p>
        </w:tc>
        <w:tc>
          <w:tcPr>
            <w:tcW w:w="2546"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22.其他流动负债" w:id="214"/>
      <w:bookmarkEnd w:id="214"/>
      <w:r>
        <w:rPr/>
      </w:r>
      <w:r>
        <w:rPr>
          <w:rFonts w:ascii="Times New Roman" w:hAnsi="Times New Roman" w:cs="Times New Roman" w:eastAsia="Times New Roman" w:hint="default"/>
        </w:rPr>
        <w:t>22.</w:t>
      </w:r>
      <w:r>
        <w:rPr/>
        <w:t>其他流动负债</w:t>
      </w:r>
    </w:p>
    <w:p>
      <w:pPr>
        <w:spacing w:line="240" w:lineRule="auto" w:before="10"/>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3034"/>
        <w:gridCol w:w="3108"/>
        <w:gridCol w:w="3073"/>
      </w:tblGrid>
      <w:tr>
        <w:trPr>
          <w:trHeight w:val="271" w:hRule="exact"/>
        </w:trPr>
        <w:tc>
          <w:tcPr>
            <w:tcW w:w="3034" w:type="dxa"/>
            <w:tcBorders>
              <w:top w:val="nil" w:sz="6" w:space="0" w:color="auto"/>
              <w:left w:val="nil" w:sz="6" w:space="0" w:color="auto"/>
              <w:bottom w:val="single" w:sz="4" w:space="0" w:color="000000"/>
              <w:right w:val="nil" w:sz="6" w:space="0" w:color="auto"/>
            </w:tcBorders>
          </w:tcPr>
          <w:p>
            <w:pPr>
              <w:pStyle w:val="TableParagraph"/>
              <w:tabs>
                <w:tab w:pos="453" w:val="left" w:leader="none"/>
              </w:tabs>
              <w:spacing w:line="180" w:lineRule="exact"/>
              <w:ind w:left="3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108"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7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303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年以内递延游戏授权金</w:t>
            </w:r>
          </w:p>
        </w:tc>
        <w:tc>
          <w:tcPr>
            <w:tcW w:w="310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35" w:right="0"/>
              <w:jc w:val="center"/>
              <w:rPr>
                <w:rFonts w:ascii="Times New Roman" w:hAnsi="Times New Roman" w:cs="Times New Roman" w:eastAsia="Times New Roman" w:hint="default"/>
                <w:sz w:val="18"/>
                <w:szCs w:val="18"/>
              </w:rPr>
            </w:pPr>
            <w:r>
              <w:rPr>
                <w:rFonts w:ascii="Times New Roman"/>
                <w:sz w:val="18"/>
              </w:rPr>
              <w:t>3,186,688.38</w:t>
            </w:r>
          </w:p>
        </w:tc>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4,706,987.62</w:t>
            </w:r>
          </w:p>
        </w:tc>
      </w:tr>
      <w:tr>
        <w:trPr>
          <w:trHeight w:val="315" w:hRule="exact"/>
        </w:trPr>
        <w:tc>
          <w:tcPr>
            <w:tcW w:w="3034" w:type="dxa"/>
            <w:tcBorders>
              <w:top w:val="nil" w:sz="6" w:space="0" w:color="auto"/>
              <w:left w:val="nil" w:sz="6" w:space="0" w:color="auto"/>
              <w:bottom w:val="nil" w:sz="6" w:space="0" w:color="auto"/>
              <w:right w:val="nil" w:sz="6" w:space="0" w:color="auto"/>
            </w:tcBorders>
          </w:tcPr>
          <w:p>
            <w:pPr>
              <w:pStyle w:val="TableParagraph"/>
              <w:tabs>
                <w:tab w:pos="456" w:val="left" w:leader="none"/>
              </w:tabs>
              <w:spacing w:line="240" w:lineRule="auto" w:before="69"/>
              <w:ind w:left="3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10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3,186,688.38</w:t>
            </w:r>
            <w:r>
              <w:rPr>
                <w:rFonts w:ascii="Times New Roman"/>
                <w:sz w:val="18"/>
              </w:rPr>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4,706,987.62</w:t>
            </w:r>
            <w:r>
              <w:rPr>
                <w:rFonts w:ascii="Times New Roman"/>
                <w:sz w:val="18"/>
              </w:rPr>
            </w: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23.长期应付款" w:id="215"/>
      <w:bookmarkEnd w:id="215"/>
      <w:r>
        <w:rPr/>
      </w:r>
      <w:r>
        <w:rPr>
          <w:rFonts w:ascii="Times New Roman" w:hAnsi="Times New Roman" w:cs="Times New Roman" w:eastAsia="Times New Roman" w:hint="default"/>
        </w:rPr>
        <w:t>23.</w:t>
      </w:r>
      <w:r>
        <w:rPr/>
        <w:t>长期应付款</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017"/>
        <w:gridCol w:w="3154"/>
        <w:gridCol w:w="2259"/>
      </w:tblGrid>
      <w:tr>
        <w:trPr>
          <w:trHeight w:val="272" w:hRule="exact"/>
        </w:trPr>
        <w:tc>
          <w:tcPr>
            <w:tcW w:w="4017" w:type="dxa"/>
            <w:tcBorders>
              <w:top w:val="nil" w:sz="6" w:space="0" w:color="auto"/>
              <w:left w:val="nil" w:sz="6" w:space="0" w:color="auto"/>
              <w:bottom w:val="single" w:sz="4" w:space="0" w:color="000000"/>
              <w:right w:val="nil" w:sz="6" w:space="0" w:color="auto"/>
            </w:tcBorders>
          </w:tcPr>
          <w:p>
            <w:pPr>
              <w:pStyle w:val="TableParagraph"/>
              <w:spacing w:line="180" w:lineRule="exact"/>
              <w:ind w:left="499" w:right="0"/>
              <w:jc w:val="center"/>
              <w:rPr>
                <w:rFonts w:ascii="宋体" w:hAnsi="宋体" w:cs="宋体" w:eastAsia="宋体" w:hint="default"/>
                <w:sz w:val="18"/>
                <w:szCs w:val="18"/>
              </w:rPr>
            </w:pPr>
            <w:r>
              <w:rPr>
                <w:rFonts w:ascii="宋体" w:hAnsi="宋体" w:cs="宋体" w:eastAsia="宋体" w:hint="default"/>
                <w:b/>
                <w:bCs/>
                <w:sz w:val="18"/>
                <w:szCs w:val="18"/>
              </w:rPr>
              <w:t>性质分类</w:t>
            </w:r>
            <w:r>
              <w:rPr>
                <w:rFonts w:ascii="宋体" w:hAnsi="宋体" w:cs="宋体" w:eastAsia="宋体" w:hint="default"/>
                <w:sz w:val="18"/>
                <w:szCs w:val="18"/>
              </w:rPr>
            </w:r>
          </w:p>
        </w:tc>
        <w:tc>
          <w:tcPr>
            <w:tcW w:w="3154" w:type="dxa"/>
            <w:tcBorders>
              <w:top w:val="nil" w:sz="6" w:space="0" w:color="auto"/>
              <w:left w:val="nil" w:sz="6" w:space="0" w:color="auto"/>
              <w:bottom w:val="single" w:sz="4" w:space="0" w:color="000000"/>
              <w:right w:val="nil" w:sz="6" w:space="0" w:color="auto"/>
            </w:tcBorders>
          </w:tcPr>
          <w:p>
            <w:pPr>
              <w:pStyle w:val="TableParagraph"/>
              <w:spacing w:line="180" w:lineRule="exact"/>
              <w:ind w:left="139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59" w:type="dxa"/>
            <w:tcBorders>
              <w:top w:val="nil" w:sz="6" w:space="0" w:color="auto"/>
              <w:left w:val="nil" w:sz="6" w:space="0" w:color="auto"/>
              <w:bottom w:val="single" w:sz="4" w:space="0" w:color="000000"/>
              <w:right w:val="nil" w:sz="6" w:space="0" w:color="auto"/>
            </w:tcBorders>
          </w:tcPr>
          <w:p>
            <w:pPr>
              <w:pStyle w:val="TableParagraph"/>
              <w:spacing w:line="180" w:lineRule="exact"/>
              <w:ind w:left="69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401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3154"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698"/>
              <w:jc w:val="right"/>
              <w:rPr>
                <w:rFonts w:ascii="Times New Roman" w:hAnsi="Times New Roman" w:cs="Times New Roman" w:eastAsia="Times New Roman" w:hint="default"/>
                <w:sz w:val="18"/>
                <w:szCs w:val="18"/>
              </w:rPr>
            </w:pPr>
            <w:r>
              <w:rPr>
                <w:rFonts w:ascii="Times New Roman"/>
                <w:spacing w:val="-1"/>
                <w:sz w:val="18"/>
              </w:rPr>
              <w:t>4,019,724.80</w:t>
            </w:r>
          </w:p>
        </w:tc>
        <w:tc>
          <w:tcPr>
            <w:tcW w:w="225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751" w:right="0"/>
              <w:jc w:val="left"/>
              <w:rPr>
                <w:rFonts w:ascii="Times New Roman" w:hAnsi="Times New Roman" w:cs="Times New Roman" w:eastAsia="Times New Roman" w:hint="default"/>
                <w:sz w:val="18"/>
                <w:szCs w:val="18"/>
              </w:rPr>
            </w:pPr>
            <w:r>
              <w:rPr>
                <w:rFonts w:ascii="Times New Roman"/>
                <w:sz w:val="18"/>
              </w:rPr>
              <w:t>4,019,724.80</w:t>
            </w:r>
          </w:p>
        </w:tc>
      </w:tr>
      <w:tr>
        <w:trPr>
          <w:trHeight w:val="315" w:hRule="exact"/>
        </w:trPr>
        <w:tc>
          <w:tcPr>
            <w:tcW w:w="401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98"/>
              <w:jc w:val="right"/>
              <w:rPr>
                <w:rFonts w:ascii="Times New Roman" w:hAnsi="Times New Roman" w:cs="Times New Roman" w:eastAsia="Times New Roman" w:hint="default"/>
                <w:sz w:val="18"/>
                <w:szCs w:val="18"/>
              </w:rPr>
            </w:pPr>
            <w:r>
              <w:rPr>
                <w:rFonts w:ascii="Times New Roman"/>
                <w:spacing w:val="-1"/>
                <w:sz w:val="18"/>
              </w:rPr>
              <w:t>1,752,249.60</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51" w:right="0"/>
              <w:jc w:val="left"/>
              <w:rPr>
                <w:rFonts w:ascii="Times New Roman" w:hAnsi="Times New Roman" w:cs="Times New Roman" w:eastAsia="Times New Roman" w:hint="default"/>
                <w:sz w:val="18"/>
                <w:szCs w:val="18"/>
              </w:rPr>
            </w:pPr>
            <w:r>
              <w:rPr>
                <w:rFonts w:ascii="Times New Roman"/>
                <w:sz w:val="18"/>
              </w:rPr>
              <w:t>1,752,249.60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218" w:type="dxa"/>
        <w:tblLayout w:type="fixed"/>
        <w:tblCellMar>
          <w:top w:w="0" w:type="dxa"/>
          <w:left w:w="0" w:type="dxa"/>
          <w:bottom w:w="0" w:type="dxa"/>
          <w:right w:w="0" w:type="dxa"/>
        </w:tblCellMar>
        <w:tblLook w:val="01E0"/>
      </w:tblPr>
      <w:tblGrid>
        <w:gridCol w:w="4755"/>
        <w:gridCol w:w="2490"/>
        <w:gridCol w:w="1915"/>
      </w:tblGrid>
      <w:tr>
        <w:trPr>
          <w:trHeight w:val="315"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2490" w:type="dxa"/>
            <w:tcBorders>
              <w:top w:val="nil" w:sz="6" w:space="0" w:color="auto"/>
              <w:left w:val="nil" w:sz="6" w:space="0" w:color="auto"/>
              <w:bottom w:val="nil" w:sz="6" w:space="0" w:color="auto"/>
              <w:right w:val="nil" w:sz="6" w:space="0" w:color="auto"/>
            </w:tcBorders>
          </w:tcPr>
          <w:p>
            <w:pPr>
              <w:pStyle w:val="TableParagraph"/>
              <w:spacing w:line="194" w:lineRule="exact"/>
              <w:ind w:right="678"/>
              <w:jc w:val="right"/>
              <w:rPr>
                <w:rFonts w:ascii="Times New Roman" w:hAnsi="Times New Roman" w:cs="Times New Roman" w:eastAsia="Times New Roman" w:hint="default"/>
                <w:sz w:val="18"/>
                <w:szCs w:val="18"/>
              </w:rPr>
            </w:pPr>
            <w:r>
              <w:rPr>
                <w:rFonts w:ascii="Times New Roman"/>
                <w:spacing w:val="-1"/>
                <w:sz w:val="18"/>
              </w:rPr>
              <w:t>1,640,669.20</w:t>
            </w:r>
          </w:p>
        </w:tc>
        <w:tc>
          <w:tcPr>
            <w:tcW w:w="1915" w:type="dxa"/>
            <w:tcBorders>
              <w:top w:val="nil" w:sz="6" w:space="0" w:color="auto"/>
              <w:left w:val="nil" w:sz="6" w:space="0" w:color="auto"/>
              <w:bottom w:val="nil" w:sz="6" w:space="0" w:color="auto"/>
              <w:right w:val="nil" w:sz="6" w:space="0" w:color="auto"/>
            </w:tcBorders>
          </w:tcPr>
          <w:p>
            <w:pPr>
              <w:pStyle w:val="TableParagraph"/>
              <w:spacing w:line="194" w:lineRule="exact"/>
              <w:ind w:right="198"/>
              <w:jc w:val="right"/>
              <w:rPr>
                <w:rFonts w:ascii="Times New Roman" w:hAnsi="Times New Roman" w:cs="Times New Roman" w:eastAsia="Times New Roman" w:hint="default"/>
                <w:sz w:val="18"/>
                <w:szCs w:val="18"/>
              </w:rPr>
            </w:pPr>
            <w:r>
              <w:rPr>
                <w:rFonts w:ascii="Times New Roman"/>
                <w:spacing w:val="-1"/>
                <w:sz w:val="18"/>
              </w:rPr>
              <w:t>1,640,669.20</w:t>
            </w:r>
          </w:p>
        </w:tc>
      </w:tr>
      <w:tr>
        <w:trPr>
          <w:trHeight w:val="440"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78"/>
              <w:jc w:val="right"/>
              <w:rPr>
                <w:rFonts w:ascii="Times New Roman" w:hAnsi="Times New Roman" w:cs="Times New Roman" w:eastAsia="Times New Roman" w:hint="default"/>
                <w:sz w:val="18"/>
                <w:szCs w:val="18"/>
              </w:rPr>
            </w:pPr>
            <w:r>
              <w:rPr>
                <w:rFonts w:ascii="Times New Roman"/>
                <w:spacing w:val="-1"/>
                <w:sz w:val="18"/>
              </w:rPr>
              <w:t>1,134,526.40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pacing w:val="-1"/>
                <w:sz w:val="18"/>
              </w:rPr>
              <w:t>1,134,526.40</w:t>
            </w:r>
          </w:p>
        </w:tc>
      </w:tr>
      <w:tr>
        <w:trPr>
          <w:trHeight w:val="440"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8"/>
              <w:jc w:val="right"/>
              <w:rPr>
                <w:rFonts w:ascii="Times New Roman" w:hAnsi="Times New Roman" w:cs="Times New Roman" w:eastAsia="Times New Roman" w:hint="default"/>
                <w:sz w:val="18"/>
                <w:szCs w:val="18"/>
              </w:rPr>
            </w:pPr>
            <w:r>
              <w:rPr>
                <w:rFonts w:ascii="Times New Roman"/>
                <w:spacing w:val="-1"/>
                <w:sz w:val="18"/>
              </w:rPr>
              <w:t>1,407,747.00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8"/>
              <w:jc w:val="right"/>
              <w:rPr>
                <w:rFonts w:ascii="Times New Roman" w:hAnsi="Times New Roman" w:cs="Times New Roman" w:eastAsia="Times New Roman" w:hint="default"/>
                <w:sz w:val="18"/>
                <w:szCs w:val="18"/>
              </w:rPr>
            </w:pPr>
            <w:r>
              <w:rPr>
                <w:rFonts w:ascii="Times New Roman"/>
                <w:spacing w:val="-1"/>
                <w:sz w:val="18"/>
              </w:rPr>
              <w:t>1,407,747.00</w:t>
            </w:r>
          </w:p>
        </w:tc>
      </w:tr>
      <w:tr>
        <w:trPr>
          <w:trHeight w:val="441"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78"/>
              <w:jc w:val="right"/>
              <w:rPr>
                <w:rFonts w:ascii="Times New Roman" w:hAnsi="Times New Roman" w:cs="Times New Roman" w:eastAsia="Times New Roman" w:hint="default"/>
                <w:sz w:val="18"/>
                <w:szCs w:val="18"/>
              </w:rPr>
            </w:pPr>
            <w:r>
              <w:rPr>
                <w:rFonts w:ascii="Times New Roman"/>
                <w:sz w:val="18"/>
              </w:rPr>
              <w:t>988,354.80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9"/>
              <w:jc w:val="right"/>
              <w:rPr>
                <w:rFonts w:ascii="Times New Roman" w:hAnsi="Times New Roman" w:cs="Times New Roman" w:eastAsia="Times New Roman" w:hint="default"/>
                <w:sz w:val="18"/>
                <w:szCs w:val="18"/>
              </w:rPr>
            </w:pPr>
            <w:r>
              <w:rPr>
                <w:rFonts w:ascii="Times New Roman"/>
                <w:sz w:val="18"/>
              </w:rPr>
              <w:t>988,354.80</w:t>
            </w:r>
          </w:p>
        </w:tc>
      </w:tr>
      <w:tr>
        <w:trPr>
          <w:trHeight w:val="440"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新余高新区互兴拾号投资管理中心（有限合伙）</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78"/>
              <w:jc w:val="right"/>
              <w:rPr>
                <w:rFonts w:ascii="Times New Roman" w:hAnsi="Times New Roman" w:cs="Times New Roman" w:eastAsia="Times New Roman" w:hint="default"/>
                <w:sz w:val="18"/>
                <w:szCs w:val="18"/>
              </w:rPr>
            </w:pPr>
            <w:r>
              <w:rPr>
                <w:rFonts w:ascii="Times New Roman"/>
                <w:sz w:val="18"/>
              </w:rPr>
              <w:t>435,000.00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9"/>
              <w:jc w:val="right"/>
              <w:rPr>
                <w:rFonts w:ascii="Times New Roman" w:hAnsi="Times New Roman" w:cs="Times New Roman" w:eastAsia="Times New Roman" w:hint="default"/>
                <w:sz w:val="18"/>
                <w:szCs w:val="18"/>
              </w:rPr>
            </w:pPr>
            <w:r>
              <w:rPr>
                <w:rFonts w:ascii="Times New Roman"/>
                <w:sz w:val="18"/>
              </w:rPr>
              <w:t>435,000.00</w:t>
            </w:r>
          </w:p>
        </w:tc>
      </w:tr>
      <w:tr>
        <w:trPr>
          <w:trHeight w:val="440"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珠海乾亨投资管理有限公司</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8"/>
              <w:jc w:val="right"/>
              <w:rPr>
                <w:rFonts w:ascii="Times New Roman" w:hAnsi="Times New Roman" w:cs="Times New Roman" w:eastAsia="Times New Roman" w:hint="default"/>
                <w:sz w:val="18"/>
                <w:szCs w:val="18"/>
              </w:rPr>
            </w:pPr>
            <w:r>
              <w:rPr>
                <w:rFonts w:ascii="Times New Roman"/>
                <w:sz w:val="18"/>
              </w:rPr>
              <w:t>323,785.00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Times New Roman" w:hAnsi="Times New Roman" w:cs="Times New Roman" w:eastAsia="Times New Roman" w:hint="default"/>
                <w:sz w:val="18"/>
                <w:szCs w:val="18"/>
              </w:rPr>
            </w:pPr>
            <w:r>
              <w:rPr>
                <w:rFonts w:ascii="Times New Roman"/>
                <w:sz w:val="18"/>
              </w:rPr>
              <w:t>323,785.00</w:t>
            </w:r>
          </w:p>
        </w:tc>
      </w:tr>
      <w:tr>
        <w:trPr>
          <w:trHeight w:val="440"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詹庆光</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78"/>
              <w:jc w:val="right"/>
              <w:rPr>
                <w:rFonts w:ascii="Times New Roman" w:hAnsi="Times New Roman" w:cs="Times New Roman" w:eastAsia="Times New Roman" w:hint="default"/>
                <w:sz w:val="18"/>
                <w:szCs w:val="18"/>
              </w:rPr>
            </w:pPr>
            <w:r>
              <w:rPr>
                <w:rFonts w:ascii="Times New Roman"/>
                <w:sz w:val="18"/>
              </w:rPr>
              <w:t>165,624.80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9"/>
              <w:jc w:val="right"/>
              <w:rPr>
                <w:rFonts w:ascii="Times New Roman" w:hAnsi="Times New Roman" w:cs="Times New Roman" w:eastAsia="Times New Roman" w:hint="default"/>
                <w:sz w:val="18"/>
                <w:szCs w:val="18"/>
              </w:rPr>
            </w:pPr>
            <w:r>
              <w:rPr>
                <w:rFonts w:ascii="Times New Roman"/>
                <w:sz w:val="18"/>
              </w:rPr>
              <w:t>165,624.80</w:t>
            </w:r>
          </w:p>
        </w:tc>
      </w:tr>
      <w:tr>
        <w:trPr>
          <w:trHeight w:val="440"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新余高新区和也投资管理中心（有限合伙）</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78"/>
              <w:jc w:val="right"/>
              <w:rPr>
                <w:rFonts w:ascii="Times New Roman" w:hAnsi="Times New Roman" w:cs="Times New Roman" w:eastAsia="Times New Roman" w:hint="default"/>
                <w:sz w:val="18"/>
                <w:szCs w:val="18"/>
              </w:rPr>
            </w:pPr>
            <w:r>
              <w:rPr>
                <w:rFonts w:ascii="Times New Roman"/>
                <w:sz w:val="18"/>
              </w:rPr>
              <w:t>103,515.50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9"/>
              <w:jc w:val="right"/>
              <w:rPr>
                <w:rFonts w:ascii="Times New Roman" w:hAnsi="Times New Roman" w:cs="Times New Roman" w:eastAsia="Times New Roman" w:hint="default"/>
                <w:sz w:val="18"/>
                <w:szCs w:val="18"/>
              </w:rPr>
            </w:pPr>
            <w:r>
              <w:rPr>
                <w:rFonts w:ascii="Times New Roman"/>
                <w:sz w:val="18"/>
              </w:rPr>
              <w:t>103,515.50</w:t>
            </w:r>
          </w:p>
        </w:tc>
      </w:tr>
      <w:tr>
        <w:trPr>
          <w:trHeight w:val="440"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新余高新区青羊投资管理中心（有限合伙）</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8"/>
              <w:jc w:val="right"/>
              <w:rPr>
                <w:rFonts w:ascii="Times New Roman" w:hAnsi="Times New Roman" w:cs="Times New Roman" w:eastAsia="Times New Roman" w:hint="default"/>
                <w:sz w:val="18"/>
                <w:szCs w:val="18"/>
              </w:rPr>
            </w:pPr>
            <w:r>
              <w:rPr>
                <w:rFonts w:ascii="Times New Roman"/>
                <w:sz w:val="18"/>
              </w:rPr>
              <w:t>103,515.50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Times New Roman" w:hAnsi="Times New Roman" w:cs="Times New Roman" w:eastAsia="Times New Roman" w:hint="default"/>
                <w:sz w:val="18"/>
                <w:szCs w:val="18"/>
              </w:rPr>
            </w:pPr>
            <w:r>
              <w:rPr>
                <w:rFonts w:ascii="Times New Roman"/>
                <w:sz w:val="18"/>
              </w:rPr>
              <w:t>103,515.50</w:t>
            </w:r>
          </w:p>
        </w:tc>
      </w:tr>
      <w:tr>
        <w:trPr>
          <w:trHeight w:val="315" w:hRule="exact"/>
        </w:trPr>
        <w:tc>
          <w:tcPr>
            <w:tcW w:w="47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1"/>
              <w:jc w:val="center"/>
              <w:rPr>
                <w:rFonts w:ascii="宋体" w:hAnsi="宋体" w:cs="宋体" w:eastAsia="宋体" w:hint="default"/>
                <w:sz w:val="18"/>
                <w:szCs w:val="18"/>
              </w:rPr>
            </w:pPr>
            <w:r>
              <w:rPr>
                <w:rFonts w:ascii="宋体" w:hAnsi="宋体" w:cs="宋体" w:eastAsia="宋体" w:hint="default"/>
                <w:sz w:val="18"/>
                <w:szCs w:val="18"/>
              </w:rPr>
              <w:t>合  计</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12,074,712.60</w:t>
            </w:r>
            <w:r>
              <w:rPr>
                <w:rFonts w:ascii="Times New Roman"/>
                <w:spacing w:val="-1"/>
                <w:sz w:val="18"/>
              </w:rPr>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12,074,712.60</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345" w:lineRule="auto" w:before="44"/>
        <w:ind w:left="1418" w:right="1181" w:firstLine="360"/>
        <w:jc w:val="both"/>
      </w:pPr>
      <w:r>
        <w:rPr>
          <w:spacing w:val="-5"/>
        </w:rPr>
        <w:t>注：</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12</w:t>
      </w:r>
      <w:r>
        <w:rPr>
          <w:spacing w:val="-5"/>
        </w:rPr>
        <w:t>日，广州游爱召开的</w:t>
      </w:r>
      <w:r>
        <w:rPr>
          <w:rFonts w:ascii="Times New Roman" w:hAnsi="Times New Roman" w:cs="Times New Roman" w:eastAsia="Times New Roman" w:hint="default"/>
          <w:spacing w:val="-5"/>
        </w:rPr>
        <w:t>2016</w:t>
      </w:r>
      <w:r>
        <w:rPr>
          <w:spacing w:val="-5"/>
        </w:rPr>
        <w:t>年度第三次股东会，审议通过了利润分配议案，同意将经审计的截至</w:t>
      </w:r>
      <w:r>
        <w:rPr>
          <w:rFonts w:ascii="Times New Roman" w:hAnsi="Times New Roman" w:cs="Times New Roman" w:eastAsia="Times New Roman" w:hint="default"/>
          <w:spacing w:val="-5"/>
        </w:rPr>
        <w:t>2015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日可供分配的利润对广州游爱原有股东按持股比例进行利润分配，但本次利润分配暂不进行支付，上述利润</w:t>
      </w:r>
      <w:r>
        <w:rPr>
          <w:spacing w:val="-64"/>
        </w:rPr>
        <w:t> </w:t>
      </w:r>
      <w:r>
        <w:rPr>
          <w:spacing w:val="-64"/>
        </w:rPr>
      </w:r>
      <w:r>
        <w:rPr>
          <w:spacing w:val="-1"/>
        </w:rPr>
        <w:t>分配由广州游爱原有全体股东无偿借予广州游爱日常经营使用，从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日起满</w:t>
      </w:r>
      <w:r>
        <w:rPr>
          <w:rFonts w:ascii="Times New Roman" w:hAnsi="Times New Roman" w:cs="Times New Roman" w:eastAsia="Times New Roman" w:hint="default"/>
          <w:spacing w:val="-1"/>
        </w:rPr>
        <w:t>36</w:t>
      </w:r>
      <w:r>
        <w:rPr>
          <w:spacing w:val="-1"/>
        </w:rPr>
        <w:t>个月后广州游爱再予以支付。</w:t>
      </w:r>
    </w:p>
    <w:p>
      <w:pPr>
        <w:spacing w:line="240" w:lineRule="auto" w:before="9"/>
        <w:rPr>
          <w:rFonts w:ascii="宋体" w:hAnsi="宋体" w:cs="宋体" w:eastAsia="宋体" w:hint="default"/>
          <w:sz w:val="13"/>
          <w:szCs w:val="13"/>
        </w:rPr>
      </w:pPr>
    </w:p>
    <w:p>
      <w:pPr>
        <w:pStyle w:val="BodyText"/>
        <w:spacing w:line="240" w:lineRule="auto"/>
        <w:ind w:right="1117"/>
        <w:jc w:val="left"/>
      </w:pPr>
      <w:bookmarkStart w:name="24.长期应付职工薪酬" w:id="216"/>
      <w:bookmarkEnd w:id="216"/>
      <w:r>
        <w:rPr/>
      </w:r>
      <w:r>
        <w:rPr>
          <w:rFonts w:ascii="Times New Roman" w:hAnsi="Times New Roman" w:cs="Times New Roman" w:eastAsia="Times New Roman" w:hint="default"/>
        </w:rPr>
        <w:t>24.</w:t>
      </w:r>
      <w:r>
        <w:rPr/>
        <w:t>长期应付职工薪酬</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248"/>
        <w:gridCol w:w="3256"/>
        <w:gridCol w:w="2927"/>
      </w:tblGrid>
      <w:tr>
        <w:trPr>
          <w:trHeight w:val="272" w:hRule="exact"/>
        </w:trPr>
        <w:tc>
          <w:tcPr>
            <w:tcW w:w="3248"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56" w:type="dxa"/>
            <w:tcBorders>
              <w:top w:val="nil" w:sz="6" w:space="0" w:color="auto"/>
              <w:left w:val="nil" w:sz="6" w:space="0" w:color="auto"/>
              <w:bottom w:val="single" w:sz="4" w:space="0" w:color="000000"/>
              <w:right w:val="nil" w:sz="6" w:space="0" w:color="auto"/>
            </w:tcBorders>
          </w:tcPr>
          <w:p>
            <w:pPr>
              <w:pStyle w:val="TableParagraph"/>
              <w:spacing w:line="180" w:lineRule="exact"/>
              <w:ind w:right="19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27" w:type="dxa"/>
            <w:tcBorders>
              <w:top w:val="nil" w:sz="6" w:space="0" w:color="auto"/>
              <w:left w:val="nil" w:sz="6" w:space="0" w:color="auto"/>
              <w:bottom w:val="single" w:sz="4" w:space="0" w:color="000000"/>
              <w:right w:val="nil" w:sz="6" w:space="0" w:color="auto"/>
            </w:tcBorders>
          </w:tcPr>
          <w:p>
            <w:pPr>
              <w:pStyle w:val="TableParagraph"/>
              <w:spacing w:line="180" w:lineRule="exact"/>
              <w:ind w:left="99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324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4" w:right="0"/>
              <w:jc w:val="center"/>
              <w:rPr>
                <w:rFonts w:ascii="宋体" w:hAnsi="宋体" w:cs="宋体" w:eastAsia="宋体" w:hint="default"/>
                <w:sz w:val="18"/>
                <w:szCs w:val="18"/>
              </w:rPr>
            </w:pPr>
            <w:r>
              <w:rPr>
                <w:rFonts w:ascii="宋体" w:hAnsi="宋体" w:cs="宋体" w:eastAsia="宋体" w:hint="default"/>
                <w:sz w:val="18"/>
                <w:szCs w:val="18"/>
              </w:rPr>
              <w:t>业绩奖励款</w:t>
            </w:r>
          </w:p>
        </w:tc>
        <w:tc>
          <w:tcPr>
            <w:tcW w:w="325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992"/>
              <w:jc w:val="right"/>
              <w:rPr>
                <w:rFonts w:ascii="Times New Roman" w:hAnsi="Times New Roman" w:cs="Times New Roman" w:eastAsia="Times New Roman" w:hint="default"/>
                <w:sz w:val="18"/>
                <w:szCs w:val="18"/>
              </w:rPr>
            </w:pPr>
            <w:r>
              <w:rPr>
                <w:rFonts w:ascii="Times New Roman"/>
                <w:spacing w:val="-1"/>
                <w:sz w:val="18"/>
              </w:rPr>
              <w:t>5,540,052.33</w:t>
            </w:r>
          </w:p>
        </w:tc>
        <w:tc>
          <w:tcPr>
            <w:tcW w:w="292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041" w:right="0"/>
              <w:jc w:val="left"/>
              <w:rPr>
                <w:rFonts w:ascii="Times New Roman" w:hAnsi="Times New Roman" w:cs="Times New Roman" w:eastAsia="Times New Roman" w:hint="default"/>
                <w:sz w:val="18"/>
                <w:szCs w:val="18"/>
              </w:rPr>
            </w:pPr>
            <w:r>
              <w:rPr>
                <w:rFonts w:ascii="Times New Roman"/>
                <w:sz w:val="18"/>
              </w:rPr>
              <w:t>628,772.54</w:t>
            </w:r>
          </w:p>
        </w:tc>
      </w:tr>
      <w:tr>
        <w:trPr>
          <w:trHeight w:val="315" w:hRule="exact"/>
        </w:trPr>
        <w:tc>
          <w:tcPr>
            <w:tcW w:w="3248" w:type="dxa"/>
            <w:tcBorders>
              <w:top w:val="nil" w:sz="6" w:space="0" w:color="auto"/>
              <w:left w:val="nil" w:sz="6" w:space="0" w:color="auto"/>
              <w:bottom w:val="nil" w:sz="6" w:space="0" w:color="auto"/>
              <w:right w:val="nil" w:sz="6" w:space="0" w:color="auto"/>
            </w:tcBorders>
          </w:tcPr>
          <w:p>
            <w:pPr>
              <w:pStyle w:val="TableParagraph"/>
              <w:tabs>
                <w:tab w:pos="434" w:val="left" w:leader="none"/>
              </w:tabs>
              <w:spacing w:line="240" w:lineRule="auto" w:before="69"/>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5,540,052.33</w:t>
            </w:r>
            <w:r>
              <w:rPr>
                <w:rFonts w:ascii="Times New Roman"/>
                <w:spacing w:val="-1"/>
                <w:sz w:val="18"/>
              </w:rPr>
            </w:r>
          </w:p>
        </w:tc>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4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628,772.54</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注：业绩奖励款期末余额为截至本期末广州游爱网络技术有限公司超额完成业绩承诺计提的奖金。</w:t>
      </w:r>
    </w:p>
    <w:p>
      <w:pPr>
        <w:spacing w:line="240" w:lineRule="auto" w:before="7"/>
        <w:rPr>
          <w:rFonts w:ascii="宋体" w:hAnsi="宋体" w:cs="宋体" w:eastAsia="宋体" w:hint="default"/>
          <w:sz w:val="21"/>
          <w:szCs w:val="21"/>
        </w:rPr>
      </w:pPr>
    </w:p>
    <w:p>
      <w:pPr>
        <w:pStyle w:val="BodyText"/>
        <w:spacing w:line="240" w:lineRule="auto"/>
        <w:ind w:right="1117"/>
        <w:jc w:val="left"/>
      </w:pPr>
      <w:bookmarkStart w:name="25.递延收益" w:id="217"/>
      <w:bookmarkEnd w:id="217"/>
      <w:r>
        <w:rPr/>
      </w:r>
      <w:r>
        <w:rPr>
          <w:rFonts w:ascii="Times New Roman" w:hAnsi="Times New Roman" w:cs="Times New Roman" w:eastAsia="Times New Roman" w:hint="default"/>
        </w:rPr>
        <w:t>25.</w:t>
      </w:r>
      <w:r>
        <w:rPr/>
        <w:t>递延收益</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8"/>
        <w:rPr>
          <w:rFonts w:ascii="宋体" w:hAnsi="宋体" w:cs="宋体" w:eastAsia="宋体" w:hint="default"/>
          <w:sz w:val="29"/>
          <w:szCs w:val="29"/>
        </w:rPr>
      </w:pPr>
    </w:p>
    <w:tbl>
      <w:tblPr>
        <w:tblW w:w="0" w:type="auto"/>
        <w:jc w:val="left"/>
        <w:tblInd w:w="1310" w:type="dxa"/>
        <w:tblLayout w:type="fixed"/>
        <w:tblCellMar>
          <w:top w:w="0" w:type="dxa"/>
          <w:left w:w="0" w:type="dxa"/>
          <w:bottom w:w="0" w:type="dxa"/>
          <w:right w:w="0" w:type="dxa"/>
        </w:tblCellMar>
        <w:tblLook w:val="01E0"/>
      </w:tblPr>
      <w:tblGrid>
        <w:gridCol w:w="2217"/>
        <w:gridCol w:w="1521"/>
        <w:gridCol w:w="1339"/>
        <w:gridCol w:w="1414"/>
        <w:gridCol w:w="1268"/>
        <w:gridCol w:w="1672"/>
      </w:tblGrid>
      <w:tr>
        <w:trPr>
          <w:trHeight w:val="245" w:hRule="exact"/>
        </w:trPr>
        <w:tc>
          <w:tcPr>
            <w:tcW w:w="2217" w:type="dxa"/>
            <w:tcBorders>
              <w:top w:val="nil" w:sz="6" w:space="0" w:color="auto"/>
              <w:left w:val="nil" w:sz="6" w:space="0" w:color="auto"/>
              <w:bottom w:val="single" w:sz="4" w:space="0" w:color="000000"/>
              <w:right w:val="nil" w:sz="6" w:space="0" w:color="auto"/>
            </w:tcBorders>
          </w:tcPr>
          <w:p>
            <w:pPr>
              <w:pStyle w:val="TableParagraph"/>
              <w:spacing w:line="150" w:lineRule="exact"/>
              <w:ind w:left="91" w:right="0"/>
              <w:jc w:val="center"/>
              <w:rPr>
                <w:rFonts w:ascii="宋体" w:hAnsi="宋体" w:cs="宋体" w:eastAsia="宋体" w:hint="default"/>
                <w:sz w:val="15"/>
                <w:szCs w:val="15"/>
              </w:rPr>
            </w:pPr>
            <w:r>
              <w:rPr>
                <w:rFonts w:ascii="宋体" w:hAnsi="宋体" w:cs="宋体" w:eastAsia="宋体" w:hint="default"/>
                <w:b/>
                <w:bCs/>
                <w:sz w:val="15"/>
                <w:szCs w:val="15"/>
              </w:rPr>
              <w:t>项</w:t>
            </w:r>
            <w:r>
              <w:rPr>
                <w:rFonts w:ascii="宋体" w:hAnsi="宋体" w:cs="宋体" w:eastAsia="宋体" w:hint="default"/>
                <w:b/>
                <w:bCs/>
                <w:spacing w:val="72"/>
                <w:sz w:val="15"/>
                <w:szCs w:val="15"/>
              </w:rPr>
              <w:t> </w:t>
            </w:r>
            <w:r>
              <w:rPr>
                <w:rFonts w:ascii="宋体" w:hAnsi="宋体" w:cs="宋体" w:eastAsia="宋体" w:hint="default"/>
                <w:b/>
                <w:bCs/>
                <w:sz w:val="15"/>
                <w:szCs w:val="15"/>
              </w:rPr>
              <w:t>目</w:t>
            </w:r>
            <w:r>
              <w:rPr>
                <w:rFonts w:ascii="宋体" w:hAnsi="宋体" w:cs="宋体" w:eastAsia="宋体" w:hint="default"/>
                <w:sz w:val="15"/>
                <w:szCs w:val="15"/>
              </w:rPr>
            </w:r>
          </w:p>
        </w:tc>
        <w:tc>
          <w:tcPr>
            <w:tcW w:w="1521" w:type="dxa"/>
            <w:tcBorders>
              <w:top w:val="nil" w:sz="6" w:space="0" w:color="auto"/>
              <w:left w:val="nil" w:sz="6" w:space="0" w:color="auto"/>
              <w:bottom w:val="single" w:sz="4" w:space="0" w:color="000000"/>
              <w:right w:val="nil" w:sz="6" w:space="0" w:color="auto"/>
            </w:tcBorders>
          </w:tcPr>
          <w:p>
            <w:pPr>
              <w:pStyle w:val="TableParagraph"/>
              <w:spacing w:line="150" w:lineRule="exact"/>
              <w:ind w:left="500"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339" w:type="dxa"/>
            <w:tcBorders>
              <w:top w:val="nil" w:sz="6" w:space="0" w:color="auto"/>
              <w:left w:val="nil" w:sz="6" w:space="0" w:color="auto"/>
              <w:bottom w:val="single" w:sz="4" w:space="0" w:color="000000"/>
              <w:right w:val="nil" w:sz="6" w:space="0" w:color="auto"/>
            </w:tcBorders>
          </w:tcPr>
          <w:p>
            <w:pPr>
              <w:pStyle w:val="TableParagraph"/>
              <w:spacing w:line="150" w:lineRule="exact"/>
              <w:ind w:left="321"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1414" w:type="dxa"/>
            <w:tcBorders>
              <w:top w:val="nil" w:sz="6" w:space="0" w:color="auto"/>
              <w:left w:val="nil" w:sz="6" w:space="0" w:color="auto"/>
              <w:bottom w:val="single" w:sz="4" w:space="0" w:color="000000"/>
              <w:right w:val="nil" w:sz="6" w:space="0" w:color="auto"/>
            </w:tcBorders>
          </w:tcPr>
          <w:p>
            <w:pPr>
              <w:pStyle w:val="TableParagraph"/>
              <w:spacing w:line="150" w:lineRule="exact"/>
              <w:ind w:left="320" w:right="0"/>
              <w:jc w:val="left"/>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150" w:lineRule="exact"/>
              <w:ind w:left="322"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672" w:type="dxa"/>
            <w:tcBorders>
              <w:top w:val="nil" w:sz="6" w:space="0" w:color="auto"/>
              <w:left w:val="nil" w:sz="6" w:space="0" w:color="auto"/>
              <w:bottom w:val="single" w:sz="4" w:space="0" w:color="000000"/>
              <w:right w:val="nil" w:sz="6" w:space="0" w:color="auto"/>
            </w:tcBorders>
          </w:tcPr>
          <w:p>
            <w:pPr>
              <w:pStyle w:val="TableParagraph"/>
              <w:spacing w:line="150" w:lineRule="exact"/>
              <w:ind w:left="564" w:right="0"/>
              <w:jc w:val="left"/>
              <w:rPr>
                <w:rFonts w:ascii="宋体" w:hAnsi="宋体" w:cs="宋体" w:eastAsia="宋体" w:hint="default"/>
                <w:sz w:val="15"/>
                <w:szCs w:val="15"/>
              </w:rPr>
            </w:pPr>
            <w:r>
              <w:rPr>
                <w:rFonts w:ascii="宋体" w:hAnsi="宋体" w:cs="宋体" w:eastAsia="宋体" w:hint="default"/>
                <w:b/>
                <w:bCs/>
                <w:sz w:val="15"/>
                <w:szCs w:val="15"/>
              </w:rPr>
              <w:t>形成原因</w:t>
            </w:r>
            <w:r>
              <w:rPr>
                <w:rFonts w:ascii="宋体" w:hAnsi="宋体" w:cs="宋体" w:eastAsia="宋体" w:hint="default"/>
                <w:sz w:val="15"/>
                <w:szCs w:val="15"/>
              </w:rPr>
            </w:r>
          </w:p>
        </w:tc>
      </w:tr>
      <w:tr>
        <w:trPr>
          <w:trHeight w:val="503" w:hRule="exact"/>
        </w:trPr>
        <w:tc>
          <w:tcPr>
            <w:tcW w:w="221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年以上游戏授权金递延</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95" w:right="0"/>
              <w:jc w:val="left"/>
              <w:rPr>
                <w:rFonts w:ascii="Times New Roman" w:hAnsi="Times New Roman" w:cs="Times New Roman" w:eastAsia="Times New Roman" w:hint="default"/>
                <w:sz w:val="15"/>
                <w:szCs w:val="15"/>
              </w:rPr>
            </w:pPr>
            <w:r>
              <w:rPr>
                <w:rFonts w:ascii="Times New Roman"/>
                <w:sz w:val="15"/>
              </w:rPr>
              <w:t>3,408,623.34</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11"/>
              <w:jc w:val="right"/>
              <w:rPr>
                <w:rFonts w:ascii="Times New Roman" w:hAnsi="Times New Roman" w:cs="Times New Roman" w:eastAsia="Times New Roman" w:hint="default"/>
                <w:sz w:val="15"/>
                <w:szCs w:val="15"/>
              </w:rPr>
            </w:pPr>
            <w:r>
              <w:rPr>
                <w:rFonts w:ascii="Times New Roman"/>
                <w:spacing w:val="-1"/>
                <w:sz w:val="15"/>
              </w:rPr>
              <w:t>3,087,191.81</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3" w:right="0"/>
              <w:jc w:val="left"/>
              <w:rPr>
                <w:rFonts w:ascii="Times New Roman" w:hAnsi="Times New Roman" w:cs="Times New Roman" w:eastAsia="Times New Roman" w:hint="default"/>
                <w:sz w:val="15"/>
                <w:szCs w:val="15"/>
              </w:rPr>
            </w:pPr>
            <w:r>
              <w:rPr>
                <w:rFonts w:ascii="Times New Roman"/>
                <w:sz w:val="15"/>
              </w:rPr>
              <w:t>3,673,049.67</w:t>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2,822,765.48</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68" w:right="0"/>
              <w:jc w:val="left"/>
              <w:rPr>
                <w:rFonts w:ascii="宋体" w:hAnsi="宋体" w:cs="宋体" w:eastAsia="宋体" w:hint="default"/>
                <w:sz w:val="15"/>
                <w:szCs w:val="15"/>
              </w:rPr>
            </w:pPr>
            <w:r>
              <w:rPr>
                <w:rFonts w:ascii="宋体" w:hAnsi="宋体" w:cs="宋体" w:eastAsia="宋体" w:hint="default"/>
                <w:sz w:val="15"/>
                <w:szCs w:val="15"/>
              </w:rPr>
              <w:t>收到游戏授权金</w:t>
            </w:r>
          </w:p>
        </w:tc>
      </w:tr>
      <w:tr>
        <w:trPr>
          <w:trHeight w:val="440" w:hRule="exact"/>
        </w:trPr>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宋体" w:hAnsi="宋体" w:cs="宋体" w:eastAsia="宋体" w:hint="default"/>
                <w:sz w:val="15"/>
                <w:szCs w:val="15"/>
              </w:rPr>
              <w:t>政府补助</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95" w:right="0"/>
              <w:jc w:val="left"/>
              <w:rPr>
                <w:rFonts w:ascii="Times New Roman" w:hAnsi="Times New Roman" w:cs="Times New Roman" w:eastAsia="Times New Roman" w:hint="default"/>
                <w:sz w:val="15"/>
                <w:szCs w:val="15"/>
              </w:rPr>
            </w:pPr>
            <w:r>
              <w:rPr>
                <w:rFonts w:ascii="Times New Roman"/>
                <w:sz w:val="15"/>
              </w:rPr>
              <w:t>1,066,666.67</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2"/>
              <w:jc w:val="right"/>
              <w:rPr>
                <w:rFonts w:ascii="Times New Roman" w:hAnsi="Times New Roman" w:cs="Times New Roman" w:eastAsia="Times New Roman" w:hint="default"/>
                <w:sz w:val="15"/>
                <w:szCs w:val="15"/>
              </w:rPr>
            </w:pPr>
            <w:r>
              <w:rPr>
                <w:rFonts w:ascii="Times New Roman"/>
                <w:spacing w:val="-1"/>
                <w:sz w:val="15"/>
              </w:rPr>
              <w:t>80,000.00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25" w:right="0"/>
              <w:jc w:val="left"/>
              <w:rPr>
                <w:rFonts w:ascii="Times New Roman" w:hAnsi="Times New Roman" w:cs="Times New Roman" w:eastAsia="Times New Roman" w:hint="default"/>
                <w:sz w:val="15"/>
                <w:szCs w:val="15"/>
              </w:rPr>
            </w:pPr>
            <w:r>
              <w:rPr>
                <w:rFonts w:ascii="Times New Roman"/>
                <w:sz w:val="15"/>
              </w:rPr>
              <w:t>733,333.33</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pacing w:val="-1"/>
                <w:sz w:val="15"/>
              </w:rPr>
              <w:t>413,333.34</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8" w:right="0"/>
              <w:jc w:val="left"/>
              <w:rPr>
                <w:rFonts w:ascii="宋体" w:hAnsi="宋体" w:cs="宋体" w:eastAsia="宋体" w:hint="default"/>
                <w:sz w:val="15"/>
                <w:szCs w:val="15"/>
              </w:rPr>
            </w:pPr>
            <w:r>
              <w:rPr>
                <w:rFonts w:ascii="宋体" w:hAnsi="宋体" w:cs="宋体" w:eastAsia="宋体" w:hint="default"/>
                <w:sz w:val="15"/>
                <w:szCs w:val="15"/>
              </w:rPr>
              <w:t>财政拨款</w:t>
            </w:r>
          </w:p>
        </w:tc>
      </w:tr>
      <w:tr>
        <w:trPr>
          <w:trHeight w:val="299" w:hRule="exact"/>
        </w:trPr>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0"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95"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4,475,290.01</w:t>
            </w:r>
            <w:r>
              <w:rPr>
                <w:rFonts w:ascii="Times New Roman"/>
                <w:sz w:val="15"/>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3,167,191.81</w:t>
            </w:r>
            <w:r>
              <w:rPr>
                <w:rFonts w:ascii="Times New Roman"/>
                <w:spacing w:val="-1"/>
                <w:sz w:val="15"/>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1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4,406,383.00</w:t>
            </w:r>
            <w:r>
              <w:rPr>
                <w:rFonts w:ascii="Times New Roman"/>
                <w:sz w:val="15"/>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3,236,098.82</w:t>
            </w:r>
            <w:r>
              <w:rPr>
                <w:rFonts w:ascii="Times New Roman"/>
                <w:spacing w:val="-1"/>
                <w:sz w:val="15"/>
              </w:rPr>
            </w:r>
          </w:p>
        </w:tc>
        <w:tc>
          <w:tcPr>
            <w:tcW w:w="167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2</w:t>
      </w:r>
      <w:r>
        <w:rPr/>
        <w:t>）政府补助情况</w:t>
      </w:r>
    </w:p>
    <w:p>
      <w:pPr>
        <w:spacing w:line="240" w:lineRule="auto" w:before="8"/>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2736"/>
        <w:gridCol w:w="1132"/>
        <w:gridCol w:w="970"/>
        <w:gridCol w:w="1295"/>
        <w:gridCol w:w="1035"/>
        <w:gridCol w:w="1155"/>
        <w:gridCol w:w="1109"/>
      </w:tblGrid>
      <w:tr>
        <w:trPr>
          <w:trHeight w:val="579" w:hRule="exact"/>
        </w:trPr>
        <w:tc>
          <w:tcPr>
            <w:tcW w:w="273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6"/>
              <w:jc w:val="center"/>
              <w:rPr>
                <w:rFonts w:ascii="宋体" w:hAnsi="宋体" w:cs="宋体" w:eastAsia="宋体" w:hint="default"/>
                <w:sz w:val="13"/>
                <w:szCs w:val="13"/>
              </w:rPr>
            </w:pPr>
            <w:r>
              <w:rPr>
                <w:rFonts w:ascii="宋体" w:hAnsi="宋体" w:cs="宋体" w:eastAsia="宋体" w:hint="default"/>
                <w:b/>
                <w:bCs/>
                <w:sz w:val="13"/>
                <w:szCs w:val="13"/>
              </w:rPr>
              <w:t>项</w:t>
            </w:r>
            <w:r>
              <w:rPr>
                <w:rFonts w:ascii="宋体" w:hAnsi="宋体" w:cs="宋体" w:eastAsia="宋体" w:hint="default"/>
                <w:b/>
                <w:bCs/>
                <w:spacing w:val="62"/>
                <w:sz w:val="13"/>
                <w:szCs w:val="13"/>
              </w:rPr>
              <w:t> </w:t>
            </w:r>
            <w:r>
              <w:rPr>
                <w:rFonts w:ascii="宋体" w:hAnsi="宋体" w:cs="宋体" w:eastAsia="宋体" w:hint="default"/>
                <w:b/>
                <w:bCs/>
                <w:sz w:val="13"/>
                <w:szCs w:val="13"/>
              </w:rPr>
              <w:t>目</w:t>
            </w:r>
            <w:r>
              <w:rPr>
                <w:rFonts w:ascii="宋体" w:hAnsi="宋体" w:cs="宋体" w:eastAsia="宋体" w:hint="default"/>
                <w:sz w:val="13"/>
                <w:szCs w:val="13"/>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6" w:right="0"/>
              <w:jc w:val="left"/>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970" w:type="dxa"/>
            <w:tcBorders>
              <w:top w:val="nil" w:sz="6" w:space="0" w:color="auto"/>
              <w:left w:val="nil" w:sz="6" w:space="0" w:color="auto"/>
              <w:bottom w:val="single" w:sz="4" w:space="0" w:color="000000"/>
              <w:right w:val="nil" w:sz="6" w:space="0" w:color="auto"/>
            </w:tcBorders>
          </w:tcPr>
          <w:p>
            <w:pPr>
              <w:pStyle w:val="TableParagraph"/>
              <w:spacing w:line="130" w:lineRule="exact"/>
              <w:ind w:left="207" w:right="0"/>
              <w:jc w:val="left"/>
              <w:rPr>
                <w:rFonts w:ascii="宋体" w:hAnsi="宋体" w:cs="宋体" w:eastAsia="宋体" w:hint="default"/>
                <w:sz w:val="13"/>
                <w:szCs w:val="13"/>
              </w:rPr>
            </w:pPr>
            <w:r>
              <w:rPr>
                <w:rFonts w:ascii="宋体" w:hAnsi="宋体" w:cs="宋体" w:eastAsia="宋体" w:hint="default"/>
                <w:b/>
                <w:bCs/>
                <w:sz w:val="13"/>
                <w:szCs w:val="13"/>
              </w:rPr>
              <w:t>本期新增</w:t>
            </w:r>
            <w:r>
              <w:rPr>
                <w:rFonts w:ascii="宋体" w:hAnsi="宋体" w:cs="宋体" w:eastAsia="宋体" w:hint="default"/>
                <w:sz w:val="13"/>
                <w:szCs w:val="13"/>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b/>
                <w:bCs/>
                <w:sz w:val="13"/>
                <w:szCs w:val="13"/>
              </w:rPr>
              <w:t>补助金额</w:t>
            </w:r>
            <w:r>
              <w:rPr>
                <w:rFonts w:ascii="宋体" w:hAnsi="宋体" w:cs="宋体" w:eastAsia="宋体" w:hint="default"/>
                <w:sz w:val="13"/>
                <w:szCs w:val="13"/>
              </w:rPr>
            </w:r>
          </w:p>
        </w:tc>
        <w:tc>
          <w:tcPr>
            <w:tcW w:w="1295" w:type="dxa"/>
            <w:tcBorders>
              <w:top w:val="nil" w:sz="6" w:space="0" w:color="auto"/>
              <w:left w:val="nil" w:sz="6" w:space="0" w:color="auto"/>
              <w:bottom w:val="single" w:sz="4" w:space="0" w:color="000000"/>
              <w:right w:val="nil" w:sz="6" w:space="0" w:color="auto"/>
            </w:tcBorders>
          </w:tcPr>
          <w:p>
            <w:pPr>
              <w:pStyle w:val="TableParagraph"/>
              <w:spacing w:line="130" w:lineRule="exact"/>
              <w:ind w:left="304" w:right="0" w:hanging="65"/>
              <w:jc w:val="left"/>
              <w:rPr>
                <w:rFonts w:ascii="宋体" w:hAnsi="宋体" w:cs="宋体" w:eastAsia="宋体" w:hint="default"/>
                <w:sz w:val="13"/>
                <w:szCs w:val="13"/>
              </w:rPr>
            </w:pPr>
            <w:r>
              <w:rPr>
                <w:rFonts w:ascii="宋体" w:hAnsi="宋体" w:cs="宋体" w:eastAsia="宋体" w:hint="default"/>
                <w:b/>
                <w:bCs/>
                <w:sz w:val="13"/>
                <w:szCs w:val="13"/>
              </w:rPr>
              <w:t>本期计入营业</w:t>
            </w:r>
            <w:r>
              <w:rPr>
                <w:rFonts w:ascii="宋体" w:hAnsi="宋体" w:cs="宋体" w:eastAsia="宋体" w:hint="default"/>
                <w:sz w:val="13"/>
                <w:szCs w:val="13"/>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b/>
                <w:bCs/>
                <w:sz w:val="13"/>
                <w:szCs w:val="13"/>
              </w:rPr>
              <w:t>外收入金额</w:t>
            </w:r>
            <w:r>
              <w:rPr>
                <w:rFonts w:ascii="宋体" w:hAnsi="宋体" w:cs="宋体" w:eastAsia="宋体" w:hint="default"/>
                <w:sz w:val="13"/>
                <w:szCs w:val="13"/>
              </w:rPr>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6" w:right="0"/>
              <w:jc w:val="left"/>
              <w:rPr>
                <w:rFonts w:ascii="宋体" w:hAnsi="宋体" w:cs="宋体" w:eastAsia="宋体" w:hint="default"/>
                <w:sz w:val="13"/>
                <w:szCs w:val="13"/>
              </w:rPr>
            </w:pPr>
            <w:r>
              <w:rPr>
                <w:rFonts w:ascii="宋体" w:hAnsi="宋体" w:cs="宋体" w:eastAsia="宋体" w:hint="default"/>
                <w:b/>
                <w:bCs/>
                <w:sz w:val="13"/>
                <w:szCs w:val="13"/>
              </w:rPr>
              <w:t>其他变动</w:t>
            </w:r>
            <w:r>
              <w:rPr>
                <w:rFonts w:ascii="宋体" w:hAnsi="宋体" w:cs="宋体" w:eastAsia="宋体" w:hint="default"/>
                <w:sz w:val="13"/>
                <w:szCs w:val="13"/>
              </w:rPr>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1109" w:type="dxa"/>
            <w:tcBorders>
              <w:top w:val="nil" w:sz="6" w:space="0" w:color="auto"/>
              <w:left w:val="nil" w:sz="6" w:space="0" w:color="auto"/>
              <w:bottom w:val="single" w:sz="4" w:space="0" w:color="000000"/>
              <w:right w:val="nil" w:sz="6" w:space="0" w:color="auto"/>
            </w:tcBorders>
          </w:tcPr>
          <w:p>
            <w:pPr>
              <w:pStyle w:val="TableParagraph"/>
              <w:spacing w:line="160" w:lineRule="exact"/>
              <w:ind w:right="20"/>
              <w:jc w:val="center"/>
              <w:rPr>
                <w:rFonts w:ascii="宋体" w:hAnsi="宋体" w:cs="宋体" w:eastAsia="宋体" w:hint="default"/>
                <w:sz w:val="13"/>
                <w:szCs w:val="13"/>
              </w:rPr>
            </w:pPr>
            <w:r>
              <w:rPr>
                <w:rFonts w:ascii="宋体" w:hAnsi="宋体" w:cs="宋体" w:eastAsia="宋体" w:hint="default"/>
                <w:b/>
                <w:bCs/>
                <w:sz w:val="13"/>
                <w:szCs w:val="13"/>
              </w:rPr>
              <w:t>与资产相关</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与</w:t>
            </w:r>
            <w:r>
              <w:rPr>
                <w:rFonts w:ascii="宋体" w:hAnsi="宋体" w:cs="宋体" w:eastAsia="宋体" w:hint="default"/>
                <w:sz w:val="13"/>
                <w:szCs w:val="13"/>
              </w:rPr>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center"/>
              <w:rPr>
                <w:rFonts w:ascii="宋体" w:hAnsi="宋体" w:cs="宋体" w:eastAsia="宋体" w:hint="default"/>
                <w:sz w:val="13"/>
                <w:szCs w:val="13"/>
              </w:rPr>
            </w:pPr>
            <w:r>
              <w:rPr>
                <w:rFonts w:ascii="宋体" w:hAnsi="宋体" w:cs="宋体" w:eastAsia="宋体" w:hint="default"/>
                <w:b/>
                <w:bCs/>
                <w:sz w:val="13"/>
                <w:szCs w:val="13"/>
              </w:rPr>
              <w:t>收益相关</w:t>
            </w:r>
            <w:r>
              <w:rPr>
                <w:rFonts w:ascii="宋体" w:hAnsi="宋体" w:cs="宋体" w:eastAsia="宋体" w:hint="default"/>
                <w:sz w:val="13"/>
                <w:szCs w:val="13"/>
              </w:rPr>
            </w:r>
          </w:p>
        </w:tc>
      </w:tr>
      <w:tr>
        <w:trPr>
          <w:trHeight w:val="347" w:hRule="exact"/>
        </w:trPr>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6"/>
              <w:jc w:val="center"/>
              <w:rPr>
                <w:rFonts w:ascii="宋体" w:hAnsi="宋体" w:cs="宋体" w:eastAsia="宋体" w:hint="default"/>
                <w:sz w:val="13"/>
                <w:szCs w:val="13"/>
              </w:rPr>
            </w:pPr>
            <w:r>
              <w:rPr>
                <w:rFonts w:ascii="宋体" w:hAnsi="宋体" w:cs="宋体" w:eastAsia="宋体" w:hint="default"/>
                <w:sz w:val="13"/>
                <w:szCs w:val="13"/>
              </w:rPr>
              <w:t>大型自研发</w:t>
            </w:r>
            <w:r>
              <w:rPr>
                <w:rFonts w:ascii="宋体" w:hAnsi="宋体" w:cs="宋体" w:eastAsia="宋体" w:hint="default"/>
                <w:spacing w:val="-41"/>
                <w:sz w:val="13"/>
                <w:szCs w:val="13"/>
              </w:rPr>
              <w:t> </w:t>
            </w:r>
            <w:r>
              <w:rPr>
                <w:rFonts w:ascii="Times New Roman" w:hAnsi="Times New Roman" w:cs="Times New Roman" w:eastAsia="Times New Roman" w:hint="default"/>
                <w:sz w:val="13"/>
                <w:szCs w:val="13"/>
              </w:rPr>
              <w:t>3D</w:t>
            </w:r>
            <w:r>
              <w:rPr>
                <w:rFonts w:ascii="Times New Roman" w:hAnsi="Times New Roman" w:cs="Times New Roman" w:eastAsia="Times New Roman" w:hint="default"/>
                <w:spacing w:val="-7"/>
                <w:sz w:val="13"/>
                <w:szCs w:val="13"/>
              </w:rPr>
              <w:t> </w:t>
            </w:r>
            <w:r>
              <w:rPr>
                <w:rFonts w:ascii="宋体" w:hAnsi="宋体" w:cs="宋体" w:eastAsia="宋体" w:hint="default"/>
                <w:sz w:val="13"/>
                <w:szCs w:val="13"/>
              </w:rPr>
              <w:t>引擎传统娱乐文化传播平台</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1" w:right="0"/>
              <w:jc w:val="left"/>
              <w:rPr>
                <w:rFonts w:ascii="Times New Roman" w:hAnsi="Times New Roman" w:cs="Times New Roman" w:eastAsia="Times New Roman" w:hint="default"/>
                <w:sz w:val="13"/>
                <w:szCs w:val="13"/>
              </w:rPr>
            </w:pPr>
            <w:r>
              <w:rPr>
                <w:rFonts w:ascii="Times New Roman"/>
                <w:sz w:val="13"/>
              </w:rPr>
              <w:t>666,666.67</w:t>
            </w:r>
          </w:p>
        </w:tc>
        <w:tc>
          <w:tcPr>
            <w:tcW w:w="970" w:type="dxa"/>
            <w:tcBorders>
              <w:top w:val="single" w:sz="4" w:space="0" w:color="000000"/>
              <w:left w:val="nil" w:sz="6" w:space="0" w:color="auto"/>
              <w:bottom w:val="nil" w:sz="6" w:space="0" w:color="auto"/>
              <w:right w:val="nil" w:sz="6" w:space="0" w:color="auto"/>
            </w:tcBorders>
          </w:tcPr>
          <w:p>
            <w:pP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04" w:right="0"/>
              <w:jc w:val="left"/>
              <w:rPr>
                <w:rFonts w:ascii="Times New Roman" w:hAnsi="Times New Roman" w:cs="Times New Roman" w:eastAsia="Times New Roman" w:hint="default"/>
                <w:sz w:val="13"/>
                <w:szCs w:val="13"/>
              </w:rPr>
            </w:pPr>
            <w:r>
              <w:rPr>
                <w:rFonts w:ascii="Times New Roman"/>
                <w:sz w:val="13"/>
              </w:rPr>
              <w:t>333,333.33</w:t>
            </w:r>
          </w:p>
        </w:tc>
        <w:tc>
          <w:tcPr>
            <w:tcW w:w="1035"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38" w:right="0"/>
              <w:jc w:val="left"/>
              <w:rPr>
                <w:rFonts w:ascii="Times New Roman" w:hAnsi="Times New Roman" w:cs="Times New Roman" w:eastAsia="Times New Roman" w:hint="default"/>
                <w:sz w:val="13"/>
                <w:szCs w:val="13"/>
              </w:rPr>
            </w:pPr>
            <w:r>
              <w:rPr>
                <w:rFonts w:ascii="Times New Roman"/>
                <w:sz w:val="13"/>
              </w:rPr>
              <w:t>333,333.34</w:t>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17" w:right="0"/>
              <w:jc w:val="left"/>
              <w:rPr>
                <w:rFonts w:ascii="宋体" w:hAnsi="宋体" w:cs="宋体" w:eastAsia="宋体" w:hint="default"/>
                <w:sz w:val="13"/>
                <w:szCs w:val="13"/>
              </w:rPr>
            </w:pPr>
            <w:r>
              <w:rPr>
                <w:rFonts w:ascii="宋体" w:hAnsi="宋体" w:cs="宋体" w:eastAsia="宋体" w:hint="default"/>
                <w:sz w:val="13"/>
                <w:szCs w:val="13"/>
              </w:rPr>
              <w:t>与收益相关</w:t>
            </w:r>
          </w:p>
        </w:tc>
      </w:tr>
    </w:tbl>
    <w:p>
      <w:pPr>
        <w:spacing w:after="0" w:line="240" w:lineRule="auto"/>
        <w:jc w:val="left"/>
        <w:rPr>
          <w:rFonts w:ascii="宋体" w:hAnsi="宋体" w:cs="宋体" w:eastAsia="宋体" w:hint="default"/>
          <w:sz w:val="13"/>
          <w:szCs w:val="13"/>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1310" w:type="dxa"/>
        <w:tblLayout w:type="fixed"/>
        <w:tblCellMar>
          <w:top w:w="0" w:type="dxa"/>
          <w:left w:w="0" w:type="dxa"/>
          <w:bottom w:w="0" w:type="dxa"/>
          <w:right w:w="0" w:type="dxa"/>
        </w:tblCellMar>
        <w:tblLook w:val="01E0"/>
      </w:tblPr>
      <w:tblGrid>
        <w:gridCol w:w="2564"/>
        <w:gridCol w:w="1303"/>
        <w:gridCol w:w="1067"/>
        <w:gridCol w:w="1198"/>
        <w:gridCol w:w="1035"/>
        <w:gridCol w:w="1155"/>
        <w:gridCol w:w="1109"/>
      </w:tblGrid>
      <w:tr>
        <w:trPr>
          <w:trHeight w:val="579" w:hRule="exact"/>
        </w:trPr>
        <w:tc>
          <w:tcPr>
            <w:tcW w:w="256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72" w:right="0"/>
              <w:jc w:val="center"/>
              <w:rPr>
                <w:rFonts w:ascii="宋体" w:hAnsi="宋体" w:cs="宋体" w:eastAsia="宋体" w:hint="default"/>
                <w:sz w:val="13"/>
                <w:szCs w:val="13"/>
              </w:rPr>
            </w:pPr>
            <w:r>
              <w:rPr>
                <w:rFonts w:ascii="宋体" w:hAnsi="宋体" w:cs="宋体" w:eastAsia="宋体" w:hint="default"/>
                <w:b/>
                <w:bCs/>
                <w:sz w:val="13"/>
                <w:szCs w:val="13"/>
              </w:rPr>
              <w:t>项</w:t>
            </w:r>
            <w:r>
              <w:rPr>
                <w:rFonts w:ascii="宋体" w:hAnsi="宋体" w:cs="宋体" w:eastAsia="宋体" w:hint="default"/>
                <w:b/>
                <w:bCs/>
                <w:spacing w:val="62"/>
                <w:sz w:val="13"/>
                <w:szCs w:val="13"/>
              </w:rPr>
              <w:t> </w:t>
            </w:r>
            <w:r>
              <w:rPr>
                <w:rFonts w:ascii="宋体" w:hAnsi="宋体" w:cs="宋体" w:eastAsia="宋体" w:hint="default"/>
                <w:b/>
                <w:bCs/>
                <w:sz w:val="13"/>
                <w:szCs w:val="13"/>
              </w:rPr>
              <w:t>目</w:t>
            </w:r>
            <w:r>
              <w:rPr>
                <w:rFonts w:ascii="宋体" w:hAnsi="宋体" w:cs="宋体" w:eastAsia="宋体" w:hint="default"/>
                <w:sz w:val="13"/>
                <w:szCs w:val="13"/>
              </w:rPr>
            </w: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78" w:right="0"/>
              <w:jc w:val="left"/>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1067" w:type="dxa"/>
            <w:tcBorders>
              <w:top w:val="nil" w:sz="6" w:space="0" w:color="auto"/>
              <w:left w:val="nil" w:sz="6" w:space="0" w:color="auto"/>
              <w:bottom w:val="single" w:sz="4" w:space="0" w:color="000000"/>
              <w:right w:val="nil" w:sz="6" w:space="0" w:color="auto"/>
            </w:tcBorders>
          </w:tcPr>
          <w:p>
            <w:pPr>
              <w:pStyle w:val="TableParagraph"/>
              <w:spacing w:line="130" w:lineRule="exact"/>
              <w:ind w:left="207" w:right="0"/>
              <w:jc w:val="left"/>
              <w:rPr>
                <w:rFonts w:ascii="宋体" w:hAnsi="宋体" w:cs="宋体" w:eastAsia="宋体" w:hint="default"/>
                <w:sz w:val="13"/>
                <w:szCs w:val="13"/>
              </w:rPr>
            </w:pPr>
            <w:r>
              <w:rPr>
                <w:rFonts w:ascii="宋体" w:hAnsi="宋体" w:cs="宋体" w:eastAsia="宋体" w:hint="default"/>
                <w:b/>
                <w:bCs/>
                <w:sz w:val="13"/>
                <w:szCs w:val="13"/>
              </w:rPr>
              <w:t>本期新增</w:t>
            </w:r>
            <w:r>
              <w:rPr>
                <w:rFonts w:ascii="宋体" w:hAnsi="宋体" w:cs="宋体" w:eastAsia="宋体" w:hint="default"/>
                <w:sz w:val="13"/>
                <w:szCs w:val="13"/>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b/>
                <w:bCs/>
                <w:sz w:val="13"/>
                <w:szCs w:val="13"/>
              </w:rPr>
              <w:t>补助金额</w:t>
            </w:r>
            <w:r>
              <w:rPr>
                <w:rFonts w:ascii="宋体" w:hAnsi="宋体" w:cs="宋体" w:eastAsia="宋体" w:hint="default"/>
                <w:sz w:val="13"/>
                <w:szCs w:val="13"/>
              </w:rPr>
            </w:r>
          </w:p>
        </w:tc>
        <w:tc>
          <w:tcPr>
            <w:tcW w:w="1198" w:type="dxa"/>
            <w:tcBorders>
              <w:top w:val="nil" w:sz="6" w:space="0" w:color="auto"/>
              <w:left w:val="nil" w:sz="6" w:space="0" w:color="auto"/>
              <w:bottom w:val="single" w:sz="4" w:space="0" w:color="000000"/>
              <w:right w:val="nil" w:sz="6" w:space="0" w:color="auto"/>
            </w:tcBorders>
          </w:tcPr>
          <w:p>
            <w:pPr>
              <w:pStyle w:val="TableParagraph"/>
              <w:spacing w:line="130" w:lineRule="exact"/>
              <w:ind w:left="206" w:right="0" w:hanging="65"/>
              <w:jc w:val="left"/>
              <w:rPr>
                <w:rFonts w:ascii="宋体" w:hAnsi="宋体" w:cs="宋体" w:eastAsia="宋体" w:hint="default"/>
                <w:sz w:val="13"/>
                <w:szCs w:val="13"/>
              </w:rPr>
            </w:pPr>
            <w:r>
              <w:rPr>
                <w:rFonts w:ascii="宋体" w:hAnsi="宋体" w:cs="宋体" w:eastAsia="宋体" w:hint="default"/>
                <w:b/>
                <w:bCs/>
                <w:sz w:val="13"/>
                <w:szCs w:val="13"/>
              </w:rPr>
              <w:t>本期计入营业</w:t>
            </w:r>
            <w:r>
              <w:rPr>
                <w:rFonts w:ascii="宋体" w:hAnsi="宋体" w:cs="宋体" w:eastAsia="宋体" w:hint="default"/>
                <w:sz w:val="13"/>
                <w:szCs w:val="13"/>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3"/>
                <w:szCs w:val="13"/>
              </w:rPr>
            </w:pPr>
            <w:r>
              <w:rPr>
                <w:rFonts w:ascii="宋体" w:hAnsi="宋体" w:cs="宋体" w:eastAsia="宋体" w:hint="default"/>
                <w:b/>
                <w:bCs/>
                <w:sz w:val="13"/>
                <w:szCs w:val="13"/>
              </w:rPr>
              <w:t>外收入金额</w:t>
            </w:r>
            <w:r>
              <w:rPr>
                <w:rFonts w:ascii="宋体" w:hAnsi="宋体" w:cs="宋体" w:eastAsia="宋体" w:hint="default"/>
                <w:sz w:val="13"/>
                <w:szCs w:val="13"/>
              </w:rPr>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06" w:right="0"/>
              <w:jc w:val="left"/>
              <w:rPr>
                <w:rFonts w:ascii="宋体" w:hAnsi="宋体" w:cs="宋体" w:eastAsia="宋体" w:hint="default"/>
                <w:sz w:val="13"/>
                <w:szCs w:val="13"/>
              </w:rPr>
            </w:pPr>
            <w:r>
              <w:rPr>
                <w:rFonts w:ascii="宋体" w:hAnsi="宋体" w:cs="宋体" w:eastAsia="宋体" w:hint="default"/>
                <w:b/>
                <w:bCs/>
                <w:sz w:val="13"/>
                <w:szCs w:val="13"/>
              </w:rPr>
              <w:t>其他变动</w:t>
            </w:r>
            <w:r>
              <w:rPr>
                <w:rFonts w:ascii="宋体" w:hAnsi="宋体" w:cs="宋体" w:eastAsia="宋体" w:hint="default"/>
                <w:sz w:val="13"/>
                <w:szCs w:val="13"/>
              </w:rPr>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c>
          <w:tcPr>
            <w:tcW w:w="1109" w:type="dxa"/>
            <w:tcBorders>
              <w:top w:val="nil" w:sz="6" w:space="0" w:color="auto"/>
              <w:left w:val="nil" w:sz="6" w:space="0" w:color="auto"/>
              <w:bottom w:val="single" w:sz="4" w:space="0" w:color="000000"/>
              <w:right w:val="nil" w:sz="6" w:space="0" w:color="auto"/>
            </w:tcBorders>
          </w:tcPr>
          <w:p>
            <w:pPr>
              <w:pStyle w:val="TableParagraph"/>
              <w:spacing w:line="160" w:lineRule="exact"/>
              <w:ind w:right="20"/>
              <w:jc w:val="center"/>
              <w:rPr>
                <w:rFonts w:ascii="宋体" w:hAnsi="宋体" w:cs="宋体" w:eastAsia="宋体" w:hint="default"/>
                <w:sz w:val="13"/>
                <w:szCs w:val="13"/>
              </w:rPr>
            </w:pPr>
            <w:r>
              <w:rPr>
                <w:rFonts w:ascii="宋体" w:hAnsi="宋体" w:cs="宋体" w:eastAsia="宋体" w:hint="default"/>
                <w:b/>
                <w:bCs/>
                <w:sz w:val="13"/>
                <w:szCs w:val="13"/>
              </w:rPr>
              <w:t>与资产相关</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与</w:t>
            </w:r>
            <w:r>
              <w:rPr>
                <w:rFonts w:ascii="宋体" w:hAnsi="宋体" w:cs="宋体" w:eastAsia="宋体" w:hint="default"/>
                <w:sz w:val="13"/>
                <w:szCs w:val="13"/>
              </w:rPr>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center"/>
              <w:rPr>
                <w:rFonts w:ascii="宋体" w:hAnsi="宋体" w:cs="宋体" w:eastAsia="宋体" w:hint="default"/>
                <w:sz w:val="13"/>
                <w:szCs w:val="13"/>
              </w:rPr>
            </w:pPr>
            <w:r>
              <w:rPr>
                <w:rFonts w:ascii="宋体" w:hAnsi="宋体" w:cs="宋体" w:eastAsia="宋体" w:hint="default"/>
                <w:b/>
                <w:bCs/>
                <w:sz w:val="13"/>
                <w:szCs w:val="13"/>
              </w:rPr>
              <w:t>收益相关</w:t>
            </w:r>
            <w:r>
              <w:rPr>
                <w:rFonts w:ascii="宋体" w:hAnsi="宋体" w:cs="宋体" w:eastAsia="宋体" w:hint="default"/>
                <w:sz w:val="13"/>
                <w:szCs w:val="13"/>
              </w:rPr>
            </w:r>
          </w:p>
        </w:tc>
      </w:tr>
      <w:tr>
        <w:trPr>
          <w:trHeight w:val="416" w:hRule="exact"/>
        </w:trPr>
        <w:tc>
          <w:tcPr>
            <w:tcW w:w="256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108" w:right="0"/>
              <w:jc w:val="left"/>
              <w:rPr>
                <w:rFonts w:ascii="宋体" w:hAnsi="宋体" w:cs="宋体" w:eastAsia="宋体" w:hint="default"/>
                <w:sz w:val="13"/>
                <w:szCs w:val="13"/>
              </w:rPr>
            </w:pPr>
            <w:r>
              <w:rPr>
                <w:rFonts w:ascii="宋体" w:hAnsi="宋体" w:cs="宋体" w:eastAsia="宋体" w:hint="default"/>
                <w:sz w:val="13"/>
                <w:szCs w:val="13"/>
              </w:rPr>
              <w:t>（卧虎藏龙项目）</w:t>
            </w:r>
          </w:p>
        </w:tc>
        <w:tc>
          <w:tcPr>
            <w:tcW w:w="1303" w:type="dxa"/>
            <w:tcBorders>
              <w:top w:val="single" w:sz="4" w:space="0" w:color="000000"/>
              <w:left w:val="nil" w:sz="6" w:space="0" w:color="auto"/>
              <w:bottom w:val="nil" w:sz="6" w:space="0" w:color="auto"/>
              <w:right w:val="nil" w:sz="6" w:space="0" w:color="auto"/>
            </w:tcBorders>
          </w:tcPr>
          <w:p>
            <w:pPr/>
          </w:p>
        </w:tc>
        <w:tc>
          <w:tcPr>
            <w:tcW w:w="1067" w:type="dxa"/>
            <w:tcBorders>
              <w:top w:val="single" w:sz="4" w:space="0" w:color="000000"/>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nil" w:sz="6" w:space="0" w:color="auto"/>
              <w:right w:val="nil" w:sz="6" w:space="0" w:color="auto"/>
            </w:tcBorders>
          </w:tcPr>
          <w:p>
            <w:pPr/>
          </w:p>
        </w:tc>
        <w:tc>
          <w:tcPr>
            <w:tcW w:w="1035"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
        </w:tc>
      </w:tr>
      <w:tr>
        <w:trPr>
          <w:trHeight w:val="403"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宋体" w:hAnsi="宋体" w:cs="宋体" w:eastAsia="宋体" w:hint="default"/>
                <w:sz w:val="13"/>
                <w:szCs w:val="13"/>
              </w:rPr>
              <w:t>在线心育服务平台</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205"/>
              <w:jc w:val="right"/>
              <w:rPr>
                <w:rFonts w:ascii="Times New Roman" w:hAnsi="Times New Roman" w:cs="Times New Roman" w:eastAsia="Times New Roman" w:hint="default"/>
                <w:sz w:val="13"/>
                <w:szCs w:val="13"/>
              </w:rPr>
            </w:pPr>
            <w:r>
              <w:rPr>
                <w:rFonts w:ascii="Times New Roman"/>
                <w:w w:val="95"/>
                <w:sz w:val="13"/>
              </w:rPr>
              <w:t>400,000.00</w:t>
            </w:r>
            <w:r>
              <w:rPr>
                <w:rFonts w:ascii="Times New Roman"/>
                <w:sz w:val="13"/>
              </w:rPr>
            </w:r>
          </w:p>
        </w:tc>
        <w:tc>
          <w:tcPr>
            <w:tcW w:w="1067"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206"/>
              <w:jc w:val="right"/>
              <w:rPr>
                <w:rFonts w:ascii="Times New Roman" w:hAnsi="Times New Roman" w:cs="Times New Roman" w:eastAsia="Times New Roman" w:hint="default"/>
                <w:sz w:val="13"/>
                <w:szCs w:val="13"/>
              </w:rPr>
            </w:pPr>
            <w:r>
              <w:rPr>
                <w:rFonts w:ascii="Times New Roman"/>
                <w:w w:val="95"/>
                <w:sz w:val="13"/>
              </w:rPr>
              <w:t>400,000.00</w:t>
            </w:r>
            <w:r>
              <w:rPr>
                <w:rFonts w:ascii="Times New Roman"/>
                <w:sz w:val="13"/>
              </w:rPr>
            </w:r>
          </w:p>
        </w:tc>
        <w:tc>
          <w:tcPr>
            <w:tcW w:w="1035"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3"/>
              <w:jc w:val="center"/>
              <w:rPr>
                <w:rFonts w:ascii="宋体" w:hAnsi="宋体" w:cs="宋体" w:eastAsia="宋体" w:hint="default"/>
                <w:sz w:val="13"/>
                <w:szCs w:val="13"/>
              </w:rPr>
            </w:pPr>
            <w:r>
              <w:rPr>
                <w:rFonts w:ascii="宋体" w:hAnsi="宋体" w:cs="宋体" w:eastAsia="宋体" w:hint="default"/>
                <w:sz w:val="13"/>
                <w:szCs w:val="13"/>
              </w:rPr>
              <w:t>与收益相关</w:t>
            </w:r>
          </w:p>
        </w:tc>
      </w:tr>
      <w:tr>
        <w:trPr>
          <w:trHeight w:val="40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集团型信息化管理系统升级改造工程</w:t>
            </w:r>
          </w:p>
        </w:tc>
        <w:tc>
          <w:tcPr>
            <w:tcW w:w="1303"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40"/>
              <w:jc w:val="right"/>
              <w:rPr>
                <w:rFonts w:ascii="Times New Roman" w:hAnsi="Times New Roman" w:cs="Times New Roman" w:eastAsia="Times New Roman" w:hint="default"/>
                <w:sz w:val="13"/>
                <w:szCs w:val="13"/>
              </w:rPr>
            </w:pPr>
            <w:r>
              <w:rPr>
                <w:rFonts w:ascii="Times New Roman"/>
                <w:w w:val="95"/>
                <w:sz w:val="13"/>
              </w:rPr>
              <w:t>80,000.00</w:t>
            </w:r>
            <w:r>
              <w:rPr>
                <w:rFonts w:ascii="Times New Roman"/>
                <w:sz w:val="13"/>
              </w:rPr>
            </w:r>
          </w:p>
        </w:tc>
        <w:tc>
          <w:tcPr>
            <w:tcW w:w="1198"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31"/>
              <w:jc w:val="right"/>
              <w:rPr>
                <w:rFonts w:ascii="Times New Roman" w:hAnsi="Times New Roman" w:cs="Times New Roman" w:eastAsia="Times New Roman" w:hint="default"/>
                <w:sz w:val="13"/>
                <w:szCs w:val="13"/>
              </w:rPr>
            </w:pPr>
            <w:r>
              <w:rPr>
                <w:rFonts w:ascii="Times New Roman"/>
                <w:w w:val="95"/>
                <w:sz w:val="13"/>
              </w:rPr>
              <w:t>80,000.00</w:t>
            </w:r>
            <w:r>
              <w:rPr>
                <w:rFonts w:ascii="Times New Roman"/>
                <w:sz w:val="13"/>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
              <w:jc w:val="center"/>
              <w:rPr>
                <w:rFonts w:ascii="宋体" w:hAnsi="宋体" w:cs="宋体" w:eastAsia="宋体" w:hint="default"/>
                <w:sz w:val="13"/>
                <w:szCs w:val="13"/>
              </w:rPr>
            </w:pPr>
            <w:r>
              <w:rPr>
                <w:rFonts w:ascii="宋体" w:hAnsi="宋体" w:cs="宋体" w:eastAsia="宋体" w:hint="default"/>
                <w:sz w:val="13"/>
                <w:szCs w:val="13"/>
              </w:rPr>
              <w:t>与收益相关</w:t>
            </w:r>
          </w:p>
        </w:tc>
      </w:tr>
      <w:tr>
        <w:trPr>
          <w:trHeight w:val="268"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1" w:right="0"/>
              <w:jc w:val="center"/>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5"/>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1,066,666.67</w:t>
            </w:r>
            <w:r>
              <w:rPr>
                <w:rFonts w:ascii="Times New Roman"/>
                <w:w w:val="95"/>
                <w:sz w:val="13"/>
              </w:rPr>
            </w:r>
            <w:r>
              <w:rPr>
                <w:rFonts w:ascii="Times New Roman"/>
                <w:sz w:val="13"/>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40"/>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80,000.00</w:t>
            </w:r>
            <w:r>
              <w:rPr>
                <w:rFonts w:ascii="Times New Roman"/>
                <w:w w:val="95"/>
                <w:sz w:val="13"/>
              </w:rPr>
            </w:r>
            <w:r>
              <w:rPr>
                <w:rFonts w:ascii="Times New Roman"/>
                <w:sz w:val="13"/>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206"/>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733,333.33</w:t>
            </w:r>
            <w:r>
              <w:rPr>
                <w:rFonts w:ascii="Times New Roman"/>
                <w:w w:val="95"/>
                <w:sz w:val="13"/>
              </w:rPr>
            </w:r>
            <w:r>
              <w:rPr>
                <w:rFonts w:ascii="Times New Roman"/>
                <w:sz w:val="13"/>
              </w:rPr>
            </w:r>
          </w:p>
        </w:tc>
        <w:tc>
          <w:tcPr>
            <w:tcW w:w="1035"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31"/>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413,333.34</w:t>
            </w:r>
            <w:r>
              <w:rPr>
                <w:rFonts w:ascii="Times New Roman"/>
                <w:w w:val="95"/>
                <w:sz w:val="13"/>
              </w:rPr>
            </w:r>
            <w:r>
              <w:rPr>
                <w:rFonts w:ascii="Times New Roman"/>
                <w:sz w:val="13"/>
              </w:rPr>
            </w:r>
          </w:p>
        </w:tc>
        <w:tc>
          <w:tcPr>
            <w:tcW w:w="1109"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11"/>
          <w:szCs w:val="11"/>
        </w:rPr>
      </w:pPr>
    </w:p>
    <w:p>
      <w:pPr>
        <w:pStyle w:val="BodyText"/>
        <w:spacing w:line="240" w:lineRule="auto" w:before="44"/>
        <w:ind w:right="1117"/>
        <w:jc w:val="left"/>
      </w:pPr>
      <w:bookmarkStart w:name="26.股本" w:id="218"/>
      <w:bookmarkEnd w:id="218"/>
      <w:r>
        <w:rPr/>
      </w:r>
      <w:r>
        <w:rPr>
          <w:rFonts w:ascii="Times New Roman" w:hAnsi="Times New Roman" w:cs="Times New Roman" w:eastAsia="Times New Roman" w:hint="default"/>
        </w:rPr>
        <w:t>26.</w:t>
      </w:r>
      <w:r>
        <w:rPr/>
        <w:t>股本</w:t>
      </w:r>
    </w:p>
    <w:p>
      <w:pPr>
        <w:spacing w:line="240" w:lineRule="auto" w:before="8"/>
        <w:rPr>
          <w:rFonts w:ascii="宋体" w:hAnsi="宋体" w:cs="宋体" w:eastAsia="宋体" w:hint="default"/>
          <w:sz w:val="29"/>
          <w:szCs w:val="29"/>
        </w:rPr>
      </w:pPr>
    </w:p>
    <w:tbl>
      <w:tblPr>
        <w:tblW w:w="0" w:type="auto"/>
        <w:jc w:val="left"/>
        <w:tblInd w:w="1310" w:type="dxa"/>
        <w:tblLayout w:type="fixed"/>
        <w:tblCellMar>
          <w:top w:w="0" w:type="dxa"/>
          <w:left w:w="0" w:type="dxa"/>
          <w:bottom w:w="0" w:type="dxa"/>
          <w:right w:w="0" w:type="dxa"/>
        </w:tblCellMar>
        <w:tblLook w:val="01E0"/>
      </w:tblPr>
      <w:tblGrid>
        <w:gridCol w:w="2005"/>
        <w:gridCol w:w="1313"/>
        <w:gridCol w:w="566"/>
        <w:gridCol w:w="609"/>
        <w:gridCol w:w="1215"/>
        <w:gridCol w:w="1290"/>
        <w:gridCol w:w="1238"/>
        <w:gridCol w:w="1195"/>
      </w:tblGrid>
      <w:tr>
        <w:trPr>
          <w:trHeight w:val="289" w:hRule="exact"/>
        </w:trPr>
        <w:tc>
          <w:tcPr>
            <w:tcW w:w="9431" w:type="dxa"/>
            <w:gridSpan w:val="8"/>
            <w:tcBorders>
              <w:top w:val="nil" w:sz="6" w:space="0" w:color="auto"/>
              <w:left w:val="nil" w:sz="6" w:space="0" w:color="auto"/>
              <w:bottom w:val="nil" w:sz="6" w:space="0" w:color="auto"/>
              <w:right w:val="nil" w:sz="6" w:space="0" w:color="auto"/>
            </w:tcBorders>
          </w:tcPr>
          <w:p>
            <w:pPr>
              <w:pStyle w:val="TableParagraph"/>
              <w:spacing w:line="161" w:lineRule="exact"/>
              <w:ind w:left="4996" w:right="0"/>
              <w:jc w:val="left"/>
              <w:rPr>
                <w:rFonts w:ascii="宋体" w:hAnsi="宋体" w:cs="宋体" w:eastAsia="宋体" w:hint="default"/>
                <w:sz w:val="15"/>
                <w:szCs w:val="15"/>
              </w:rPr>
            </w:pPr>
            <w:r>
              <w:rPr>
                <w:rFonts w:ascii="宋体" w:hAnsi="宋体" w:cs="宋体" w:eastAsia="宋体" w:hint="default"/>
                <w:b/>
                <w:bCs/>
                <w:sz w:val="15"/>
                <w:szCs w:val="15"/>
              </w:rPr>
              <w:t>本期增减变动（</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316"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8" w:right="0"/>
              <w:jc w:val="center"/>
              <w:rPr>
                <w:rFonts w:ascii="宋体" w:hAnsi="宋体" w:cs="宋体" w:eastAsia="宋体" w:hint="default"/>
                <w:sz w:val="15"/>
                <w:szCs w:val="15"/>
              </w:rPr>
            </w:pPr>
            <w:r>
              <w:rPr>
                <w:rFonts w:ascii="宋体" w:hAnsi="宋体" w:cs="宋体" w:eastAsia="宋体" w:hint="default"/>
                <w:b/>
                <w:bCs/>
                <w:sz w:val="15"/>
                <w:szCs w:val="15"/>
              </w:rPr>
              <w:t>项</w:t>
            </w:r>
            <w:r>
              <w:rPr>
                <w:rFonts w:ascii="宋体" w:hAnsi="宋体" w:cs="宋体" w:eastAsia="宋体" w:hint="default"/>
                <w:b/>
                <w:bCs/>
                <w:spacing w:val="72"/>
                <w:sz w:val="15"/>
                <w:szCs w:val="15"/>
              </w:rPr>
              <w:t> </w:t>
            </w:r>
            <w:r>
              <w:rPr>
                <w:rFonts w:ascii="宋体" w:hAnsi="宋体" w:cs="宋体" w:eastAsia="宋体" w:hint="default"/>
                <w:b/>
                <w:bCs/>
                <w:sz w:val="15"/>
                <w:szCs w:val="15"/>
              </w:rPr>
              <w:t>目</w:t>
            </w:r>
            <w:r>
              <w:rPr>
                <w:rFonts w:ascii="宋体" w:hAnsi="宋体" w:cs="宋体" w:eastAsia="宋体" w:hint="default"/>
                <w:sz w:val="15"/>
                <w:szCs w:val="15"/>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66"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566" w:type="dxa"/>
            <w:vMerge w:val="restart"/>
            <w:tcBorders>
              <w:top w:val="nil" w:sz="6" w:space="0" w:color="auto"/>
              <w:left w:val="nil" w:sz="6" w:space="0" w:color="auto"/>
              <w:right w:val="nil" w:sz="6" w:space="0" w:color="auto"/>
            </w:tcBorders>
          </w:tcPr>
          <w:p>
            <w:pPr>
              <w:pStyle w:val="TableParagraph"/>
              <w:spacing w:line="240" w:lineRule="auto" w:before="105"/>
              <w:ind w:left="133" w:right="0"/>
              <w:jc w:val="left"/>
              <w:rPr>
                <w:rFonts w:ascii="宋体" w:hAnsi="宋体" w:cs="宋体" w:eastAsia="宋体" w:hint="default"/>
                <w:sz w:val="15"/>
                <w:szCs w:val="15"/>
              </w:rPr>
            </w:pPr>
            <w:r>
              <w:rPr>
                <w:rFonts w:ascii="宋体" w:hAnsi="宋体" w:cs="宋体" w:eastAsia="宋体" w:hint="default"/>
                <w:b/>
                <w:bCs/>
                <w:sz w:val="15"/>
                <w:szCs w:val="15"/>
              </w:rPr>
              <w:t>发行</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5"/>
                <w:szCs w:val="15"/>
              </w:rPr>
            </w:pPr>
            <w:r>
              <w:rPr>
                <w:rFonts w:ascii="宋体" w:hAnsi="宋体" w:cs="宋体" w:eastAsia="宋体" w:hint="default"/>
                <w:b/>
                <w:bCs/>
                <w:sz w:val="15"/>
                <w:szCs w:val="15"/>
              </w:rPr>
              <w:t>新股</w:t>
            </w:r>
            <w:r>
              <w:rPr>
                <w:rFonts w:ascii="宋体" w:hAnsi="宋体" w:cs="宋体" w:eastAsia="宋体" w:hint="default"/>
                <w:sz w:val="15"/>
                <w:szCs w:val="15"/>
              </w:rPr>
            </w: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74"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482" w:hRule="exact"/>
        </w:trPr>
        <w:tc>
          <w:tcPr>
            <w:tcW w:w="2005" w:type="dxa"/>
            <w:tcBorders>
              <w:top w:val="nil" w:sz="6" w:space="0" w:color="auto"/>
              <w:left w:val="nil" w:sz="6" w:space="0" w:color="auto"/>
              <w:bottom w:val="single" w:sz="4" w:space="0" w:color="000000"/>
              <w:right w:val="nil" w:sz="6" w:space="0" w:color="auto"/>
            </w:tcBorders>
          </w:tcPr>
          <w:p>
            <w:pPr/>
          </w:p>
        </w:tc>
        <w:tc>
          <w:tcPr>
            <w:tcW w:w="1313" w:type="dxa"/>
            <w:tcBorders>
              <w:top w:val="nil" w:sz="6" w:space="0" w:color="auto"/>
              <w:left w:val="nil" w:sz="6" w:space="0" w:color="auto"/>
              <w:bottom w:val="single" w:sz="4" w:space="0" w:color="000000"/>
              <w:right w:val="nil" w:sz="6" w:space="0" w:color="auto"/>
            </w:tcBorders>
          </w:tcPr>
          <w:p>
            <w:pPr/>
          </w:p>
        </w:tc>
        <w:tc>
          <w:tcPr>
            <w:tcW w:w="566" w:type="dxa"/>
            <w:vMerge/>
            <w:tcBorders>
              <w:left w:val="nil" w:sz="6" w:space="0" w:color="auto"/>
              <w:bottom w:val="single" w:sz="4" w:space="0" w:color="000000"/>
              <w:right w:val="nil" w:sz="6" w:space="0" w:color="auto"/>
            </w:tcBorders>
          </w:tcPr>
          <w:p>
            <w:pPr/>
          </w:p>
        </w:tc>
        <w:tc>
          <w:tcPr>
            <w:tcW w:w="609" w:type="dxa"/>
            <w:tcBorders>
              <w:top w:val="nil" w:sz="6" w:space="0" w:color="auto"/>
              <w:left w:val="nil" w:sz="6" w:space="0" w:color="auto"/>
              <w:bottom w:val="single" w:sz="4" w:space="0" w:color="000000"/>
              <w:right w:val="nil" w:sz="6" w:space="0" w:color="auto"/>
            </w:tcBorders>
          </w:tcPr>
          <w:p>
            <w:pPr>
              <w:pStyle w:val="TableParagraph"/>
              <w:spacing w:line="185" w:lineRule="exact"/>
              <w:ind w:left="129" w:right="0"/>
              <w:jc w:val="left"/>
              <w:rPr>
                <w:rFonts w:ascii="宋体" w:hAnsi="宋体" w:cs="宋体" w:eastAsia="宋体" w:hint="default"/>
                <w:sz w:val="15"/>
                <w:szCs w:val="15"/>
              </w:rPr>
            </w:pPr>
            <w:r>
              <w:rPr>
                <w:rFonts w:ascii="宋体" w:hAnsi="宋体" w:cs="宋体" w:eastAsia="宋体" w:hint="default"/>
                <w:b/>
                <w:bCs/>
                <w:sz w:val="15"/>
                <w:szCs w:val="15"/>
              </w:rPr>
              <w:t>送股</w:t>
            </w:r>
            <w:r>
              <w:rPr>
                <w:rFonts w:ascii="宋体" w:hAnsi="宋体" w:cs="宋体" w:eastAsia="宋体" w:hint="default"/>
                <w:sz w:val="15"/>
                <w:szCs w:val="15"/>
              </w:rPr>
            </w:r>
          </w:p>
        </w:tc>
        <w:tc>
          <w:tcPr>
            <w:tcW w:w="1215" w:type="dxa"/>
            <w:tcBorders>
              <w:top w:val="nil" w:sz="6" w:space="0" w:color="auto"/>
              <w:left w:val="nil" w:sz="6" w:space="0" w:color="auto"/>
              <w:bottom w:val="single" w:sz="4" w:space="0" w:color="000000"/>
              <w:right w:val="nil" w:sz="6" w:space="0" w:color="auto"/>
            </w:tcBorders>
          </w:tcPr>
          <w:p>
            <w:pPr>
              <w:pStyle w:val="TableParagraph"/>
              <w:spacing w:line="185" w:lineRule="exact"/>
              <w:ind w:left="176" w:right="0"/>
              <w:jc w:val="left"/>
              <w:rPr>
                <w:rFonts w:ascii="宋体" w:hAnsi="宋体" w:cs="宋体" w:eastAsia="宋体" w:hint="default"/>
                <w:sz w:val="15"/>
                <w:szCs w:val="15"/>
              </w:rPr>
            </w:pPr>
            <w:r>
              <w:rPr>
                <w:rFonts w:ascii="宋体" w:hAnsi="宋体" w:cs="宋体" w:eastAsia="宋体" w:hint="default"/>
                <w:b/>
                <w:bCs/>
                <w:sz w:val="15"/>
                <w:szCs w:val="15"/>
              </w:rPr>
              <w:t>公积金转股</w:t>
            </w:r>
            <w:r>
              <w:rPr>
                <w:rFonts w:ascii="宋体" w:hAnsi="宋体" w:cs="宋体" w:eastAsia="宋体" w:hint="default"/>
                <w:sz w:val="15"/>
                <w:szCs w:val="15"/>
              </w:rPr>
            </w:r>
          </w:p>
        </w:tc>
        <w:tc>
          <w:tcPr>
            <w:tcW w:w="1290" w:type="dxa"/>
            <w:tcBorders>
              <w:top w:val="nil" w:sz="6" w:space="0" w:color="auto"/>
              <w:left w:val="nil" w:sz="6" w:space="0" w:color="auto"/>
              <w:bottom w:val="single" w:sz="4" w:space="0" w:color="000000"/>
              <w:right w:val="nil" w:sz="6" w:space="0" w:color="auto"/>
            </w:tcBorders>
          </w:tcPr>
          <w:p>
            <w:pPr>
              <w:pStyle w:val="TableParagraph"/>
              <w:spacing w:line="185" w:lineRule="exact"/>
              <w:ind w:right="82"/>
              <w:jc w:val="center"/>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238" w:type="dxa"/>
            <w:tcBorders>
              <w:top w:val="nil" w:sz="6" w:space="0" w:color="auto"/>
              <w:left w:val="nil" w:sz="6" w:space="0" w:color="auto"/>
              <w:bottom w:val="single" w:sz="4" w:space="0" w:color="000000"/>
              <w:right w:val="nil" w:sz="6" w:space="0" w:color="auto"/>
            </w:tcBorders>
          </w:tcPr>
          <w:p>
            <w:pPr>
              <w:pStyle w:val="TableParagraph"/>
              <w:spacing w:line="185" w:lineRule="exact"/>
              <w:ind w:right="82"/>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95" w:type="dxa"/>
            <w:tcBorders>
              <w:top w:val="nil" w:sz="6" w:space="0" w:color="auto"/>
              <w:left w:val="nil" w:sz="6" w:space="0" w:color="auto"/>
              <w:bottom w:val="single" w:sz="4" w:space="0" w:color="000000"/>
              <w:right w:val="nil" w:sz="6" w:space="0" w:color="auto"/>
            </w:tcBorders>
          </w:tcPr>
          <w:p>
            <w:pPr/>
          </w:p>
        </w:tc>
      </w:tr>
      <w:tr>
        <w:trPr>
          <w:trHeight w:val="503" w:hRule="exact"/>
        </w:trPr>
        <w:tc>
          <w:tcPr>
            <w:tcW w:w="200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b/>
                <w:bCs/>
                <w:sz w:val="15"/>
                <w:szCs w:val="15"/>
              </w:rPr>
              <w:t>一、有限售条件股份</w:t>
            </w:r>
            <w:r>
              <w:rPr>
                <w:rFonts w:ascii="宋体" w:hAnsi="宋体" w:cs="宋体" w:eastAsia="宋体" w:hint="default"/>
                <w:sz w:val="15"/>
                <w:szCs w:val="15"/>
              </w:rPr>
            </w:r>
          </w:p>
        </w:tc>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144,123,136.00</w:t>
            </w:r>
            <w:r>
              <w:rPr>
                <w:rFonts w:ascii="Times New Roman"/>
                <w:spacing w:val="-1"/>
                <w:sz w:val="15"/>
              </w:rPr>
            </w:r>
          </w:p>
        </w:tc>
        <w:tc>
          <w:tcPr>
            <w:tcW w:w="566" w:type="dxa"/>
            <w:tcBorders>
              <w:top w:val="single" w:sz="4" w:space="0" w:color="000000"/>
              <w:left w:val="nil" w:sz="6" w:space="0" w:color="auto"/>
              <w:bottom w:val="nil" w:sz="6" w:space="0" w:color="auto"/>
              <w:right w:val="nil" w:sz="6" w:space="0" w:color="auto"/>
            </w:tcBorders>
          </w:tcPr>
          <w:p>
            <w:pPr/>
          </w:p>
        </w:tc>
        <w:tc>
          <w:tcPr>
            <w:tcW w:w="609" w:type="dxa"/>
            <w:tcBorders>
              <w:top w:val="single" w:sz="4" w:space="0" w:color="000000"/>
              <w:left w:val="nil" w:sz="6" w:space="0" w:color="auto"/>
              <w:bottom w:val="nil" w:sz="6" w:space="0" w:color="auto"/>
              <w:right w:val="nil" w:sz="6" w:space="0" w:color="auto"/>
            </w:tcBorders>
          </w:tcPr>
          <w:p>
            <w:pP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43,236,941.00</w:t>
            </w:r>
            <w:r>
              <w:rPr>
                <w:rFonts w:ascii="Times New Roman"/>
                <w:spacing w:val="-1"/>
                <w:sz w:val="15"/>
              </w:rPr>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single" w:color="000000"/>
              </w:rPr>
              <w:t>-106,144,273.00</w:t>
            </w:r>
            <w:r>
              <w:rPr>
                <w:rFonts w:ascii="Times New Roman"/>
                <w:sz w:val="15"/>
              </w:rPr>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 w:right="0"/>
              <w:jc w:val="center"/>
              <w:rPr>
                <w:rFonts w:ascii="Times New Roman" w:hAnsi="Times New Roman" w:cs="Times New Roman" w:eastAsia="Times New Roman" w:hint="default"/>
                <w:sz w:val="15"/>
                <w:szCs w:val="15"/>
              </w:rPr>
            </w:pPr>
            <w:r>
              <w:rPr>
                <w:rFonts w:ascii="Times New Roman"/>
                <w:w w:val="99"/>
                <w:sz w:val="15"/>
              </w:rPr>
            </w:r>
            <w:r>
              <w:rPr>
                <w:rFonts w:ascii="Times New Roman"/>
                <w:sz w:val="15"/>
                <w:u w:val="single" w:color="000000"/>
              </w:rPr>
              <w:t>-62,907,332.00</w:t>
            </w:r>
            <w:r>
              <w:rPr>
                <w:rFonts w:ascii="Times New Roman"/>
                <w:sz w:val="15"/>
              </w:rPr>
            </w: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81,215,804.00</w:t>
            </w:r>
            <w:r>
              <w:rPr>
                <w:rFonts w:ascii="Times New Roman"/>
                <w:spacing w:val="-1"/>
                <w:sz w:val="15"/>
              </w:rPr>
            </w: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3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3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144,123,136.00</w:t>
            </w:r>
            <w:r>
              <w:rPr>
                <w:rFonts w:ascii="Times New Roman"/>
                <w:spacing w:val="-1"/>
                <w:sz w:val="15"/>
              </w:rPr>
            </w: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43,236,941.00</w:t>
            </w:r>
            <w:r>
              <w:rPr>
                <w:rFonts w:ascii="Times New Roman"/>
                <w:spacing w:val="-1"/>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51" w:right="0"/>
              <w:jc w:val="left"/>
              <w:rPr>
                <w:rFonts w:ascii="Times New Roman" w:hAnsi="Times New Roman" w:cs="Times New Roman" w:eastAsia="Times New Roman" w:hint="default"/>
                <w:sz w:val="15"/>
                <w:szCs w:val="15"/>
              </w:rPr>
            </w:pPr>
            <w:r>
              <w:rPr>
                <w:rFonts w:ascii="Times New Roman"/>
                <w:w w:val="99"/>
                <w:sz w:val="15"/>
              </w:rPr>
            </w:r>
            <w:r>
              <w:rPr>
                <w:rFonts w:ascii="Times New Roman"/>
                <w:sz w:val="15"/>
                <w:u w:val="single" w:color="000000"/>
              </w:rPr>
              <w:t>-106,144,273.00</w:t>
            </w:r>
            <w:r>
              <w:rPr>
                <w:rFonts w:ascii="Times New Roman"/>
                <w:sz w:val="15"/>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5" w:right="0"/>
              <w:jc w:val="center"/>
              <w:rPr>
                <w:rFonts w:ascii="Times New Roman" w:hAnsi="Times New Roman" w:cs="Times New Roman" w:eastAsia="Times New Roman" w:hint="default"/>
                <w:sz w:val="15"/>
                <w:szCs w:val="15"/>
              </w:rPr>
            </w:pPr>
            <w:r>
              <w:rPr>
                <w:rFonts w:ascii="Times New Roman"/>
                <w:w w:val="99"/>
                <w:sz w:val="15"/>
              </w:rPr>
            </w:r>
            <w:r>
              <w:rPr>
                <w:rFonts w:ascii="Times New Roman"/>
                <w:sz w:val="15"/>
                <w:u w:val="single" w:color="000000"/>
              </w:rPr>
              <w:t>-62,907,332.00</w:t>
            </w:r>
            <w:r>
              <w:rPr>
                <w:rFonts w:ascii="Times New Roman"/>
                <w:sz w:val="15"/>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81,215,804.00</w:t>
            </w:r>
            <w:r>
              <w:rPr>
                <w:rFonts w:ascii="Times New Roman"/>
                <w:spacing w:val="-1"/>
                <w:sz w:val="15"/>
              </w:rPr>
            </w: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58"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18,059,847.00</w:t>
            </w: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pacing w:val="-1"/>
                <w:sz w:val="15"/>
              </w:rPr>
              <w:t>5,417,954.00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26" w:right="0"/>
              <w:jc w:val="left"/>
              <w:rPr>
                <w:rFonts w:ascii="Times New Roman" w:hAnsi="Times New Roman" w:cs="Times New Roman" w:eastAsia="Times New Roman" w:hint="default"/>
                <w:sz w:val="15"/>
                <w:szCs w:val="15"/>
              </w:rPr>
            </w:pPr>
            <w:r>
              <w:rPr>
                <w:rFonts w:ascii="Times New Roman"/>
                <w:sz w:val="15"/>
              </w:rPr>
              <w:t>-17,987,009.00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5" w:right="0"/>
              <w:jc w:val="center"/>
              <w:rPr>
                <w:rFonts w:ascii="Times New Roman" w:hAnsi="Times New Roman" w:cs="Times New Roman" w:eastAsia="Times New Roman" w:hint="default"/>
                <w:sz w:val="15"/>
                <w:szCs w:val="15"/>
              </w:rPr>
            </w:pPr>
            <w:r>
              <w:rPr>
                <w:rFonts w:ascii="Times New Roman"/>
                <w:sz w:val="15"/>
              </w:rPr>
              <w:t>-12,569,055.00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5,490,792.00</w:t>
            </w: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19"/>
              <w:jc w:val="right"/>
              <w:rPr>
                <w:rFonts w:ascii="宋体" w:hAnsi="宋体" w:cs="宋体" w:eastAsia="宋体" w:hint="default"/>
                <w:sz w:val="15"/>
                <w:szCs w:val="15"/>
              </w:rPr>
            </w:pPr>
            <w:r>
              <w:rPr>
                <w:rFonts w:ascii="宋体" w:hAnsi="宋体" w:cs="宋体" w:eastAsia="宋体" w:hint="default"/>
                <w:sz w:val="15"/>
                <w:szCs w:val="15"/>
              </w:rPr>
              <w:t>境内自然人持股</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pacing w:val="-1"/>
                <w:sz w:val="15"/>
              </w:rPr>
              <w:t>126,063,289.00</w:t>
            </w: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pacing w:val="-1"/>
                <w:sz w:val="15"/>
              </w:rPr>
              <w:t>37,818,987.00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26" w:right="0"/>
              <w:jc w:val="left"/>
              <w:rPr>
                <w:rFonts w:ascii="Times New Roman" w:hAnsi="Times New Roman" w:cs="Times New Roman" w:eastAsia="Times New Roman" w:hint="default"/>
                <w:sz w:val="15"/>
                <w:szCs w:val="15"/>
              </w:rPr>
            </w:pPr>
            <w:r>
              <w:rPr>
                <w:rFonts w:ascii="Times New Roman"/>
                <w:sz w:val="15"/>
              </w:rPr>
              <w:t>-88,157,264.00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5" w:right="0"/>
              <w:jc w:val="center"/>
              <w:rPr>
                <w:rFonts w:ascii="Times New Roman" w:hAnsi="Times New Roman" w:cs="Times New Roman" w:eastAsia="Times New Roman" w:hint="default"/>
                <w:sz w:val="15"/>
                <w:szCs w:val="15"/>
              </w:rPr>
            </w:pPr>
            <w:r>
              <w:rPr>
                <w:rFonts w:ascii="Times New Roman"/>
                <w:sz w:val="15"/>
              </w:rPr>
              <w:t>-50,338,277.00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75,725,012.00</w:t>
            </w:r>
          </w:p>
        </w:tc>
      </w:tr>
      <w:tr>
        <w:trPr>
          <w:trHeight w:val="441"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境外持股</w:t>
            </w:r>
          </w:p>
        </w:tc>
        <w:tc>
          <w:tcPr>
            <w:tcW w:w="13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r>
      <w:tr>
        <w:trPr>
          <w:trHeight w:val="436"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58"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3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19"/>
              <w:jc w:val="right"/>
              <w:rPr>
                <w:rFonts w:ascii="宋体" w:hAnsi="宋体" w:cs="宋体" w:eastAsia="宋体" w:hint="default"/>
                <w:sz w:val="15"/>
                <w:szCs w:val="15"/>
              </w:rPr>
            </w:pPr>
            <w:r>
              <w:rPr>
                <w:rFonts w:ascii="宋体" w:hAnsi="宋体" w:cs="宋体" w:eastAsia="宋体" w:hint="default"/>
                <w:sz w:val="15"/>
                <w:szCs w:val="15"/>
              </w:rPr>
              <w:t>境外自然人持股</w:t>
            </w:r>
          </w:p>
        </w:tc>
        <w:tc>
          <w:tcPr>
            <w:tcW w:w="13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r>
      <w:tr>
        <w:trPr>
          <w:trHeight w:val="445"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宋体" w:hAnsi="宋体" w:cs="宋体" w:eastAsia="宋体" w:hint="default"/>
                <w:sz w:val="15"/>
                <w:szCs w:val="15"/>
              </w:rPr>
            </w:pPr>
            <w:r>
              <w:rPr>
                <w:rFonts w:ascii="宋体" w:hAnsi="宋体" w:cs="宋体" w:eastAsia="宋体" w:hint="default"/>
                <w:b/>
                <w:bCs/>
                <w:sz w:val="15"/>
                <w:szCs w:val="15"/>
              </w:rPr>
              <w:t>二、无限售条件流通股份</w:t>
            </w:r>
            <w:r>
              <w:rPr>
                <w:rFonts w:ascii="宋体" w:hAnsi="宋体" w:cs="宋体" w:eastAsia="宋体" w:hint="default"/>
                <w:sz w:val="15"/>
                <w:szCs w:val="15"/>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505,826,438.00</w:t>
            </w:r>
            <w:r>
              <w:rPr>
                <w:rFonts w:ascii="Times New Roman"/>
                <w:spacing w:val="-1"/>
                <w:sz w:val="15"/>
              </w:rPr>
            </w: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151,747,931.00</w:t>
            </w:r>
            <w:r>
              <w:rPr>
                <w:rFonts w:ascii="Times New Roman"/>
                <w:spacing w:val="-1"/>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106,144,273.00</w:t>
            </w:r>
            <w:r>
              <w:rPr>
                <w:rFonts w:ascii="Times New Roman"/>
                <w:sz w:val="15"/>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257,892,204.00</w:t>
            </w:r>
            <w:r>
              <w:rPr>
                <w:rFonts w:ascii="Times New Roman"/>
                <w:sz w:val="15"/>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763,718,642.00</w:t>
            </w:r>
            <w:r>
              <w:rPr>
                <w:rFonts w:ascii="Times New Roman"/>
                <w:spacing w:val="-1"/>
                <w:sz w:val="15"/>
              </w:rPr>
            </w: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pacing w:val="-1"/>
                <w:sz w:val="15"/>
              </w:rPr>
              <w:t>505,826,438.00</w:t>
            </w: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pacing w:val="-1"/>
                <w:sz w:val="15"/>
              </w:rPr>
              <w:t>151,747,931.00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01" w:right="0"/>
              <w:jc w:val="left"/>
              <w:rPr>
                <w:rFonts w:ascii="Times New Roman" w:hAnsi="Times New Roman" w:cs="Times New Roman" w:eastAsia="Times New Roman" w:hint="default"/>
                <w:sz w:val="15"/>
                <w:szCs w:val="15"/>
              </w:rPr>
            </w:pPr>
            <w:r>
              <w:rPr>
                <w:rFonts w:ascii="Times New Roman"/>
                <w:sz w:val="15"/>
              </w:rPr>
              <w:t>106,144,273.00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257,892,204.00</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763,718,642.00</w:t>
            </w: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境内上市外资股</w:t>
            </w:r>
          </w:p>
        </w:tc>
        <w:tc>
          <w:tcPr>
            <w:tcW w:w="13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境外上市外资股</w:t>
            </w:r>
          </w:p>
        </w:tc>
        <w:tc>
          <w:tcPr>
            <w:tcW w:w="13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r>
      <w:tr>
        <w:trPr>
          <w:trHeight w:val="440"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1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r>
      <w:tr>
        <w:trPr>
          <w:trHeight w:val="299"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9" w:right="0"/>
              <w:jc w:val="center"/>
              <w:rPr>
                <w:rFonts w:ascii="宋体" w:hAnsi="宋体" w:cs="宋体" w:eastAsia="宋体" w:hint="default"/>
                <w:sz w:val="15"/>
                <w:szCs w:val="15"/>
              </w:rPr>
            </w:pPr>
            <w:r>
              <w:rPr>
                <w:rFonts w:ascii="宋体" w:hAnsi="宋体" w:cs="宋体" w:eastAsia="宋体" w:hint="default"/>
                <w:b/>
                <w:bCs/>
                <w:sz w:val="15"/>
                <w:szCs w:val="15"/>
              </w:rPr>
              <w:t>股份合计</w:t>
            </w:r>
            <w:r>
              <w:rPr>
                <w:rFonts w:ascii="宋体" w:hAnsi="宋体" w:cs="宋体" w:eastAsia="宋体" w:hint="default"/>
                <w:sz w:val="15"/>
                <w:szCs w:val="15"/>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649,949,574.00</w:t>
            </w:r>
            <w:r>
              <w:rPr>
                <w:rFonts w:ascii="Times New Roman"/>
                <w:spacing w:val="-1"/>
                <w:sz w:val="15"/>
              </w:rPr>
            </w:r>
          </w:p>
        </w:tc>
        <w:tc>
          <w:tcPr>
            <w:tcW w:w="566" w:type="dxa"/>
            <w:tcBorders>
              <w:top w:val="nil" w:sz="6" w:space="0" w:color="auto"/>
              <w:left w:val="nil" w:sz="6" w:space="0" w:color="auto"/>
              <w:bottom w:val="nil" w:sz="6" w:space="0" w:color="auto"/>
              <w:right w:val="nil" w:sz="6" w:space="0" w:color="auto"/>
            </w:tcBorders>
          </w:tcPr>
          <w:p>
            <w:pPr/>
          </w:p>
        </w:tc>
        <w:tc>
          <w:tcPr>
            <w:tcW w:w="609"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194,984,872.00</w:t>
            </w:r>
            <w:r>
              <w:rPr>
                <w:rFonts w:ascii="Times New Roman"/>
                <w:spacing w:val="-1"/>
                <w:sz w:val="15"/>
              </w:rPr>
            </w:r>
          </w:p>
        </w:tc>
        <w:tc>
          <w:tcPr>
            <w:tcW w:w="1290"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194,984,872.00</w:t>
            </w:r>
            <w:r>
              <w:rPr>
                <w:rFonts w:ascii="Times New Roman"/>
                <w:sz w:val="15"/>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844,934,446.00</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注：股本变动情况详见本附注</w:t>
      </w:r>
      <w:r>
        <w:rPr>
          <w:rFonts w:ascii="Times New Roman" w:hAnsi="Times New Roman" w:cs="Times New Roman" w:eastAsia="Times New Roman" w:hint="default"/>
        </w:rPr>
        <w:t>“</w:t>
      </w:r>
      <w:r>
        <w:rPr/>
        <w:t>一、公司的基本情况</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BodyText"/>
        <w:spacing w:line="240" w:lineRule="auto"/>
        <w:ind w:right="1117"/>
        <w:jc w:val="left"/>
      </w:pPr>
      <w:bookmarkStart w:name="27.资本公积" w:id="219"/>
      <w:bookmarkEnd w:id="219"/>
      <w:r>
        <w:rPr/>
      </w:r>
      <w:r>
        <w:rPr>
          <w:rFonts w:ascii="Times New Roman" w:hAnsi="Times New Roman" w:cs="Times New Roman" w:eastAsia="Times New Roman" w:hint="default"/>
        </w:rPr>
        <w:t>27.</w:t>
      </w:r>
      <w:r>
        <w:rPr/>
        <w:t>资本公积</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1779"/>
        <w:gridCol w:w="2155"/>
        <w:gridCol w:w="1724"/>
        <w:gridCol w:w="1943"/>
        <w:gridCol w:w="1829"/>
      </w:tblGrid>
      <w:tr>
        <w:trPr>
          <w:trHeight w:val="272" w:hRule="exact"/>
        </w:trPr>
        <w:tc>
          <w:tcPr>
            <w:tcW w:w="1779"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155" w:type="dxa"/>
            <w:tcBorders>
              <w:top w:val="nil" w:sz="6" w:space="0" w:color="auto"/>
              <w:left w:val="nil" w:sz="6" w:space="0" w:color="auto"/>
              <w:bottom w:val="single" w:sz="4" w:space="0" w:color="000000"/>
              <w:right w:val="nil" w:sz="6" w:space="0" w:color="auto"/>
            </w:tcBorders>
          </w:tcPr>
          <w:p>
            <w:pPr>
              <w:pStyle w:val="TableParagraph"/>
              <w:spacing w:line="180" w:lineRule="exact"/>
              <w:ind w:right="5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24" w:type="dxa"/>
            <w:tcBorders>
              <w:top w:val="nil" w:sz="6" w:space="0" w:color="auto"/>
              <w:left w:val="nil" w:sz="6" w:space="0" w:color="auto"/>
              <w:bottom w:val="single" w:sz="4" w:space="0" w:color="000000"/>
              <w:right w:val="nil" w:sz="6" w:space="0" w:color="auto"/>
            </w:tcBorders>
          </w:tcPr>
          <w:p>
            <w:pPr>
              <w:pStyle w:val="TableParagraph"/>
              <w:spacing w:line="180"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943" w:type="dxa"/>
            <w:tcBorders>
              <w:top w:val="nil" w:sz="6" w:space="0" w:color="auto"/>
              <w:left w:val="nil" w:sz="6" w:space="0" w:color="auto"/>
              <w:bottom w:val="single" w:sz="4" w:space="0" w:color="000000"/>
              <w:right w:val="nil" w:sz="6" w:space="0" w:color="auto"/>
            </w:tcBorders>
          </w:tcPr>
          <w:p>
            <w:pPr>
              <w:pStyle w:val="TableParagraph"/>
              <w:spacing w:line="180" w:lineRule="exact"/>
              <w:ind w:left="58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29" w:type="dxa"/>
            <w:tcBorders>
              <w:top w:val="nil" w:sz="6" w:space="0" w:color="auto"/>
              <w:left w:val="nil" w:sz="6" w:space="0" w:color="auto"/>
              <w:bottom w:val="single" w:sz="4" w:space="0" w:color="000000"/>
              <w:right w:val="nil" w:sz="6" w:space="0" w:color="auto"/>
            </w:tcBorders>
          </w:tcPr>
          <w:p>
            <w:pPr>
              <w:pStyle w:val="TableParagraph"/>
              <w:spacing w:line="180" w:lineRule="exact"/>
              <w:ind w:left="5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3" w:hRule="exact"/>
        </w:trPr>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7" w:right="0"/>
              <w:jc w:val="center"/>
              <w:rPr>
                <w:rFonts w:ascii="宋体" w:hAnsi="宋体" w:cs="宋体" w:eastAsia="宋体" w:hint="default"/>
                <w:sz w:val="18"/>
                <w:szCs w:val="18"/>
              </w:rPr>
            </w:pPr>
            <w:r>
              <w:rPr>
                <w:rFonts w:ascii="宋体" w:hAnsi="宋体" w:cs="宋体" w:eastAsia="宋体" w:hint="default"/>
                <w:sz w:val="18"/>
                <w:szCs w:val="18"/>
              </w:rPr>
              <w:t>股本溢价</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55" w:right="0"/>
              <w:jc w:val="center"/>
              <w:rPr>
                <w:rFonts w:ascii="Times New Roman" w:hAnsi="Times New Roman" w:cs="Times New Roman" w:eastAsia="Times New Roman" w:hint="default"/>
                <w:sz w:val="18"/>
                <w:szCs w:val="18"/>
              </w:rPr>
            </w:pPr>
            <w:r>
              <w:rPr>
                <w:rFonts w:ascii="Times New Roman"/>
                <w:sz w:val="18"/>
              </w:rPr>
              <w:t>3,094,167,172.54</w:t>
            </w:r>
          </w:p>
        </w:tc>
        <w:tc>
          <w:tcPr>
            <w:tcW w:w="1724" w:type="dxa"/>
            <w:tcBorders>
              <w:top w:val="single" w:sz="4" w:space="0" w:color="000000"/>
              <w:left w:val="nil" w:sz="6" w:space="0" w:color="auto"/>
              <w:bottom w:val="nil" w:sz="6" w:space="0" w:color="auto"/>
              <w:right w:val="nil" w:sz="6" w:space="0" w:color="auto"/>
            </w:tcBorders>
          </w:tcPr>
          <w:p>
            <w:pPr/>
          </w:p>
        </w:tc>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10"/>
              <w:jc w:val="right"/>
              <w:rPr>
                <w:rFonts w:ascii="Times New Roman" w:hAnsi="Times New Roman" w:cs="Times New Roman" w:eastAsia="Times New Roman" w:hint="default"/>
                <w:sz w:val="18"/>
                <w:szCs w:val="18"/>
              </w:rPr>
            </w:pPr>
            <w:r>
              <w:rPr>
                <w:rFonts w:ascii="Times New Roman"/>
                <w:spacing w:val="-1"/>
                <w:sz w:val="18"/>
              </w:rPr>
              <w:t>195,667,270.47</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55"/>
              <w:jc w:val="right"/>
              <w:rPr>
                <w:rFonts w:ascii="Times New Roman" w:hAnsi="Times New Roman" w:cs="Times New Roman" w:eastAsia="Times New Roman" w:hint="default"/>
                <w:sz w:val="18"/>
                <w:szCs w:val="18"/>
              </w:rPr>
            </w:pPr>
            <w:r>
              <w:rPr>
                <w:rFonts w:ascii="Times New Roman"/>
                <w:spacing w:val="-1"/>
                <w:sz w:val="18"/>
              </w:rPr>
              <w:t>2,898,499,902.07</w:t>
            </w:r>
          </w:p>
        </w:tc>
      </w:tr>
      <w:tr>
        <w:trPr>
          <w:trHeight w:val="315"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3,094,167,172.54</w:t>
            </w:r>
            <w:r>
              <w:rPr>
                <w:rFonts w:ascii="Times New Roman"/>
                <w:sz w:val="18"/>
              </w:rPr>
            </w:r>
          </w:p>
        </w:tc>
        <w:tc>
          <w:tcPr>
            <w:tcW w:w="1724" w:type="dxa"/>
            <w:tcBorders>
              <w:top w:val="nil" w:sz="6" w:space="0" w:color="auto"/>
              <w:left w:val="nil" w:sz="6" w:space="0" w:color="auto"/>
              <w:bottom w:val="nil" w:sz="6" w:space="0" w:color="auto"/>
              <w:right w:val="nil" w:sz="6" w:space="0" w:color="auto"/>
            </w:tcBorders>
          </w:tcPr>
          <w:p>
            <w:pP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195,667,270.47</w:t>
            </w:r>
            <w:r>
              <w:rPr>
                <w:rFonts w:ascii="Times New Roman"/>
                <w:spacing w:val="-1"/>
                <w:sz w:val="18"/>
              </w:rPr>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2,898,499,902.07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日，公司召开</w:t>
      </w:r>
      <w:r>
        <w:rPr>
          <w:rFonts w:ascii="Times New Roman" w:hAnsi="Times New Roman" w:cs="Times New Roman" w:eastAsia="Times New Roman" w:hint="default"/>
        </w:rPr>
        <w:t>2016</w:t>
      </w:r>
      <w:r>
        <w:rPr/>
        <w:t>年度股东大会，决议以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649,949,574.00</w:t>
      </w:r>
      <w:r>
        <w:rPr/>
        <w:t>股为基数，按每</w:t>
      </w:r>
    </w:p>
    <w:p>
      <w:pPr>
        <w:pStyle w:val="BodyText"/>
        <w:spacing w:line="240" w:lineRule="auto" w:before="111"/>
        <w:ind w:left="1418" w:right="1117"/>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股的比例，以资本公积转增股本</w:t>
      </w:r>
      <w:r>
        <w:rPr>
          <w:rFonts w:ascii="Times New Roman" w:hAnsi="Times New Roman" w:cs="Times New Roman" w:eastAsia="Times New Roman" w:hint="default"/>
        </w:rPr>
        <w:t>194,984,872.00</w:t>
      </w:r>
      <w:r>
        <w:rPr/>
        <w:t>股，减少资本公积</w:t>
      </w:r>
      <w:r>
        <w:rPr>
          <w:rFonts w:ascii="Times New Roman" w:hAnsi="Times New Roman" w:cs="Times New Roman" w:eastAsia="Times New Roman" w:hint="default"/>
        </w:rPr>
        <w:t>194,984,872.00</w:t>
      </w:r>
      <w:r>
        <w:rPr/>
        <w:t>元。</w:t>
      </w:r>
    </w:p>
    <w:p>
      <w:pPr>
        <w:spacing w:line="240" w:lineRule="auto" w:before="5"/>
        <w:rPr>
          <w:rFonts w:ascii="宋体" w:hAnsi="宋体" w:cs="宋体" w:eastAsia="宋体" w:hint="default"/>
          <w:sz w:val="20"/>
          <w:szCs w:val="20"/>
        </w:rPr>
      </w:pPr>
    </w:p>
    <w:p>
      <w:pPr>
        <w:pStyle w:val="BodyText"/>
        <w:spacing w:line="348" w:lineRule="auto"/>
        <w:ind w:left="1418" w:right="1270" w:firstLine="360"/>
        <w:jc w:val="both"/>
      </w:pPr>
      <w:r>
        <w:rPr/>
        <w:t>注</w:t>
      </w:r>
      <w:r>
        <w:rPr>
          <w:spacing w:val="-36"/>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月，广州游爱网络技术有限公司与上海暴走信息科技有限公司签订股权转让合同书，上海暴走信 息科技有限公司将持有广州暴游信息技术有限公司还未实缴出资的</w:t>
      </w:r>
      <w:r>
        <w:rPr>
          <w:spacing w:val="-26"/>
        </w:rPr>
        <w:t> </w:t>
      </w:r>
      <w:r>
        <w:rPr>
          <w:rFonts w:ascii="Times New Roman" w:hAnsi="Times New Roman" w:cs="Times New Roman" w:eastAsia="Times New Roman" w:hint="default"/>
        </w:rPr>
        <w:t>50%</w:t>
      </w:r>
      <w:r>
        <w:rPr/>
        <w:t>股权转让给广州游爱网络技术有限公司，转让 后，广州游爱网络技术有限公司持有广州暴游信息技术有限公司</w:t>
      </w:r>
      <w:r>
        <w:rPr>
          <w:spacing w:val="28"/>
        </w:rPr>
        <w:t> </w:t>
      </w:r>
      <w:r>
        <w:rPr>
          <w:rFonts w:ascii="Times New Roman" w:hAnsi="Times New Roman" w:cs="Times New Roman" w:eastAsia="Times New Roman" w:hint="default"/>
        </w:rPr>
        <w:t>100%</w:t>
      </w:r>
      <w:r>
        <w:rPr/>
        <w:t>股权，收购少数股权冲减资本公积</w:t>
      </w:r>
      <w:r>
        <w:rPr>
          <w:spacing w:val="25"/>
        </w:rPr>
        <w:t> </w:t>
      </w:r>
      <w:r>
        <w:rPr>
          <w:rFonts w:ascii="Times New Roman" w:hAnsi="Times New Roman" w:cs="Times New Roman" w:eastAsia="Times New Roman" w:hint="default"/>
        </w:rPr>
        <w:t>682,398.47</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w:t>
      </w:r>
    </w:p>
    <w:p>
      <w:pPr>
        <w:spacing w:line="240" w:lineRule="auto" w:before="3"/>
        <w:rPr>
          <w:rFonts w:ascii="宋体" w:hAnsi="宋体" w:cs="宋体" w:eastAsia="宋体" w:hint="default"/>
          <w:sz w:val="15"/>
          <w:szCs w:val="15"/>
        </w:rPr>
      </w:pPr>
    </w:p>
    <w:p>
      <w:pPr>
        <w:pStyle w:val="BodyText"/>
        <w:spacing w:line="240" w:lineRule="auto"/>
        <w:ind w:right="1117"/>
        <w:jc w:val="left"/>
      </w:pPr>
      <w:bookmarkStart w:name="28.库存股" w:id="220"/>
      <w:bookmarkEnd w:id="220"/>
      <w:r>
        <w:rPr/>
      </w:r>
      <w:r>
        <w:rPr>
          <w:rFonts w:ascii="Times New Roman" w:hAnsi="Times New Roman" w:cs="Times New Roman" w:eastAsia="Times New Roman" w:hint="default"/>
        </w:rPr>
        <w:t>28.</w:t>
      </w:r>
      <w:r>
        <w:rPr/>
        <w:t>库存股</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1841"/>
        <w:gridCol w:w="1931"/>
        <w:gridCol w:w="1987"/>
        <w:gridCol w:w="1785"/>
        <w:gridCol w:w="1886"/>
      </w:tblGrid>
      <w:tr>
        <w:trPr>
          <w:trHeight w:val="272" w:hRule="exact"/>
        </w:trPr>
        <w:tc>
          <w:tcPr>
            <w:tcW w:w="1841" w:type="dxa"/>
            <w:tcBorders>
              <w:top w:val="nil" w:sz="6" w:space="0" w:color="auto"/>
              <w:left w:val="nil" w:sz="6" w:space="0" w:color="auto"/>
              <w:bottom w:val="single" w:sz="4" w:space="0" w:color="000000"/>
              <w:right w:val="nil" w:sz="6" w:space="0" w:color="auto"/>
            </w:tcBorders>
          </w:tcPr>
          <w:p>
            <w:pPr>
              <w:pStyle w:val="TableParagraph"/>
              <w:spacing w:line="180" w:lineRule="exact"/>
              <w:ind w:right="624"/>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31" w:type="dxa"/>
            <w:tcBorders>
              <w:top w:val="nil" w:sz="6" w:space="0" w:color="auto"/>
              <w:left w:val="nil" w:sz="6" w:space="0" w:color="auto"/>
              <w:bottom w:val="single" w:sz="4" w:space="0" w:color="000000"/>
              <w:right w:val="nil" w:sz="6" w:space="0" w:color="auto"/>
            </w:tcBorders>
          </w:tcPr>
          <w:p>
            <w:pPr>
              <w:pStyle w:val="TableParagraph"/>
              <w:spacing w:line="180" w:lineRule="exact"/>
              <w:ind w:left="62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87" w:type="dxa"/>
            <w:tcBorders>
              <w:top w:val="nil" w:sz="6" w:space="0" w:color="auto"/>
              <w:left w:val="nil" w:sz="6" w:space="0" w:color="auto"/>
              <w:bottom w:val="single" w:sz="4" w:space="0" w:color="000000"/>
              <w:right w:val="nil" w:sz="6" w:space="0" w:color="auto"/>
            </w:tcBorders>
          </w:tcPr>
          <w:p>
            <w:pPr>
              <w:pStyle w:val="TableParagraph"/>
              <w:spacing w:line="180" w:lineRule="exact"/>
              <w:ind w:left="58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85" w:type="dxa"/>
            <w:tcBorders>
              <w:top w:val="nil" w:sz="6" w:space="0" w:color="auto"/>
              <w:left w:val="nil" w:sz="6" w:space="0" w:color="auto"/>
              <w:bottom w:val="single" w:sz="4" w:space="0" w:color="000000"/>
              <w:right w:val="nil" w:sz="6" w:space="0" w:color="auto"/>
            </w:tcBorders>
          </w:tcPr>
          <w:p>
            <w:pPr>
              <w:pStyle w:val="TableParagraph"/>
              <w:spacing w:line="180" w:lineRule="exact"/>
              <w:ind w:left="48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8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3" w:hRule="exact"/>
        </w:trPr>
        <w:tc>
          <w:tcPr>
            <w:tcW w:w="184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25"/>
              <w:jc w:val="right"/>
              <w:rPr>
                <w:rFonts w:ascii="宋体" w:hAnsi="宋体" w:cs="宋体" w:eastAsia="宋体" w:hint="default"/>
                <w:sz w:val="18"/>
                <w:szCs w:val="18"/>
              </w:rPr>
            </w:pPr>
            <w:r>
              <w:rPr>
                <w:rFonts w:ascii="宋体" w:hAnsi="宋体" w:cs="宋体" w:eastAsia="宋体" w:hint="default"/>
                <w:sz w:val="18"/>
                <w:szCs w:val="18"/>
              </w:rPr>
              <w:t>库存股</w:t>
            </w:r>
          </w:p>
        </w:tc>
        <w:tc>
          <w:tcPr>
            <w:tcW w:w="1931" w:type="dxa"/>
            <w:tcBorders>
              <w:top w:val="single" w:sz="4" w:space="0" w:color="000000"/>
              <w:left w:val="nil" w:sz="6" w:space="0" w:color="auto"/>
              <w:bottom w:val="nil" w:sz="6" w:space="0" w:color="auto"/>
              <w:right w:val="nil" w:sz="6" w:space="0" w:color="auto"/>
            </w:tcBorders>
          </w:tcPr>
          <w:p>
            <w:pPr/>
          </w:p>
        </w:tc>
        <w:tc>
          <w:tcPr>
            <w:tcW w:w="198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306" w:right="0"/>
              <w:jc w:val="left"/>
              <w:rPr>
                <w:rFonts w:ascii="Times New Roman" w:hAnsi="Times New Roman" w:cs="Times New Roman" w:eastAsia="Times New Roman" w:hint="default"/>
                <w:sz w:val="18"/>
                <w:szCs w:val="18"/>
              </w:rPr>
            </w:pPr>
            <w:r>
              <w:rPr>
                <w:rFonts w:ascii="Times New Roman"/>
                <w:sz w:val="18"/>
              </w:rPr>
              <w:t>270,581,816.38</w:t>
            </w:r>
          </w:p>
        </w:tc>
        <w:tc>
          <w:tcPr>
            <w:tcW w:w="1785" w:type="dxa"/>
            <w:tcBorders>
              <w:top w:val="single" w:sz="4" w:space="0" w:color="000000"/>
              <w:left w:val="nil" w:sz="6" w:space="0" w:color="auto"/>
              <w:bottom w:val="nil" w:sz="6" w:space="0" w:color="auto"/>
              <w:right w:val="nil" w:sz="6" w:space="0" w:color="auto"/>
            </w:tcBorders>
          </w:tcPr>
          <w:p>
            <w:pPr/>
          </w:p>
        </w:tc>
        <w:tc>
          <w:tcPr>
            <w:tcW w:w="188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
              <w:jc w:val="center"/>
              <w:rPr>
                <w:rFonts w:ascii="Times New Roman" w:hAnsi="Times New Roman" w:cs="Times New Roman" w:eastAsia="Times New Roman" w:hint="default"/>
                <w:sz w:val="18"/>
                <w:szCs w:val="18"/>
              </w:rPr>
            </w:pPr>
            <w:r>
              <w:rPr>
                <w:rFonts w:ascii="Times New Roman"/>
                <w:sz w:val="18"/>
              </w:rPr>
              <w:t>270,581,816.38</w:t>
            </w:r>
          </w:p>
        </w:tc>
      </w:tr>
      <w:tr>
        <w:trPr>
          <w:trHeight w:val="315" w:hRule="exact"/>
        </w:trPr>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25"/>
              <w:jc w:val="right"/>
              <w:rPr>
                <w:rFonts w:ascii="宋体" w:hAnsi="宋体" w:cs="宋体" w:eastAsia="宋体" w:hint="default"/>
                <w:sz w:val="18"/>
                <w:szCs w:val="18"/>
              </w:rPr>
            </w:pPr>
            <w:r>
              <w:rPr>
                <w:rFonts w:ascii="宋体" w:hAnsi="宋体" w:cs="宋体" w:eastAsia="宋体" w:hint="default"/>
                <w:sz w:val="18"/>
                <w:szCs w:val="18"/>
              </w:rPr>
              <w:t>合  计</w:t>
            </w:r>
          </w:p>
        </w:tc>
        <w:tc>
          <w:tcPr>
            <w:tcW w:w="1931"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8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270,581,816.38</w:t>
            </w:r>
            <w:r>
              <w:rPr>
                <w:rFonts w:ascii="Times New Roman"/>
                <w:sz w:val="18"/>
              </w:rPr>
            </w:r>
          </w:p>
        </w:tc>
        <w:tc>
          <w:tcPr>
            <w:tcW w:w="1785"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270,581,816.38</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352" w:lineRule="auto" w:before="44"/>
        <w:ind w:left="1418" w:right="1117" w:firstLine="360"/>
        <w:jc w:val="left"/>
      </w:pPr>
      <w:r>
        <w:rPr>
          <w:spacing w:val="-2"/>
        </w:rPr>
        <w:t>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日，公司召开</w:t>
      </w:r>
      <w:r>
        <w:rPr>
          <w:rFonts w:ascii="Times New Roman" w:hAnsi="Times New Roman" w:cs="Times New Roman" w:eastAsia="Times New Roman" w:hint="default"/>
          <w:spacing w:val="-2"/>
        </w:rPr>
        <w:t>2017</w:t>
      </w:r>
      <w:r>
        <w:rPr>
          <w:spacing w:val="-2"/>
        </w:rPr>
        <w:t>年第三届董事会第九次会议，审议并通过了《关于回购公司股份的议案》。决</w:t>
      </w:r>
      <w:r>
        <w:rPr/>
        <w:t> 议通过深圳证券交易所交易系统以集中竞价交易、大宗交易以及法律法规允许的其他方式回购公司股份。回购股份的</w:t>
      </w:r>
      <w:r>
        <w:rPr>
          <w:spacing w:val="-63"/>
        </w:rPr>
        <w:t> </w:t>
      </w:r>
      <w:r>
        <w:rPr>
          <w:spacing w:val="-63"/>
        </w:rPr>
      </w:r>
      <w:r>
        <w:rPr/>
        <w:t>价格不超过人民币</w:t>
      </w:r>
      <w:r>
        <w:rPr>
          <w:rFonts w:ascii="Times New Roman" w:hAnsi="Times New Roman" w:cs="Times New Roman" w:eastAsia="Times New Roman" w:hint="default"/>
        </w:rPr>
        <w:t>17.20</w:t>
      </w:r>
      <w:r>
        <w:rPr/>
        <w:t>元</w:t>
      </w:r>
      <w:r>
        <w:rPr>
          <w:rFonts w:ascii="Times New Roman" w:hAnsi="Times New Roman" w:cs="Times New Roman" w:eastAsia="Times New Roman" w:hint="default"/>
        </w:rPr>
        <w:t>/</w:t>
      </w:r>
      <w:r>
        <w:rPr/>
        <w:t>股，回购资金总额在</w:t>
      </w:r>
      <w:r>
        <w:rPr>
          <w:rFonts w:ascii="Times New Roman" w:hAnsi="Times New Roman" w:cs="Times New Roman" w:eastAsia="Times New Roman" w:hint="default"/>
        </w:rPr>
        <w:t>2</w:t>
      </w:r>
      <w:r>
        <w:rPr/>
        <w:t>亿元至</w:t>
      </w:r>
      <w:r>
        <w:rPr>
          <w:rFonts w:ascii="Times New Roman" w:hAnsi="Times New Roman" w:cs="Times New Roman" w:eastAsia="Times New Roman" w:hint="default"/>
        </w:rPr>
        <w:t>3</w:t>
      </w:r>
      <w:r>
        <w:rPr/>
        <w:t>亿元之间，回购的股份将用作员工持股计划或股权激励计划。</w:t>
      </w:r>
      <w:r>
        <w:rPr>
          <w:spacing w:val="-68"/>
        </w:rPr>
        <w:t> </w:t>
      </w:r>
      <w:r>
        <w:rPr>
          <w:spacing w:val="-68"/>
        </w:rPr>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日，公司累计回购股份</w:t>
      </w:r>
      <w:r>
        <w:rPr>
          <w:rFonts w:ascii="Times New Roman" w:hAnsi="Times New Roman" w:cs="Times New Roman" w:eastAsia="Times New Roman" w:hint="default"/>
        </w:rPr>
        <w:t>23,396,143.00</w:t>
      </w:r>
      <w:r>
        <w:rPr/>
        <w:t>股，占总股本的</w:t>
      </w:r>
      <w:r>
        <w:rPr>
          <w:rFonts w:ascii="Times New Roman" w:hAnsi="Times New Roman" w:cs="Times New Roman" w:eastAsia="Times New Roman" w:hint="default"/>
        </w:rPr>
        <w:t>2.77%</w:t>
      </w:r>
      <w:r>
        <w:rPr/>
        <w:t>，回购平均成本</w:t>
      </w:r>
      <w:r>
        <w:rPr>
          <w:rFonts w:ascii="Times New Roman" w:hAnsi="Times New Roman" w:cs="Times New Roman" w:eastAsia="Times New Roman" w:hint="default"/>
        </w:rPr>
        <w:t>11.57</w:t>
      </w:r>
      <w:r>
        <w:rPr/>
        <w:t>元</w:t>
      </w:r>
      <w:r>
        <w:rPr>
          <w:rFonts w:ascii="Times New Roman" w:hAnsi="Times New Roman" w:cs="Times New Roman" w:eastAsia="Times New Roman" w:hint="default"/>
        </w:rPr>
        <w:t>/</w:t>
      </w:r>
      <w:r>
        <w:rPr/>
        <w:t>股。</w:t>
      </w:r>
    </w:p>
    <w:p>
      <w:pPr>
        <w:spacing w:line="240" w:lineRule="auto" w:before="3"/>
        <w:rPr>
          <w:rFonts w:ascii="宋体" w:hAnsi="宋体" w:cs="宋体" w:eastAsia="宋体" w:hint="default"/>
          <w:sz w:val="13"/>
          <w:szCs w:val="13"/>
        </w:rPr>
      </w:pPr>
    </w:p>
    <w:p>
      <w:pPr>
        <w:pStyle w:val="BodyText"/>
        <w:spacing w:line="240" w:lineRule="auto"/>
        <w:ind w:right="1117"/>
        <w:jc w:val="left"/>
      </w:pPr>
      <w:bookmarkStart w:name="29.其他综合收益" w:id="221"/>
      <w:bookmarkEnd w:id="221"/>
      <w:r>
        <w:rPr/>
      </w:r>
      <w:r>
        <w:rPr>
          <w:rFonts w:ascii="Times New Roman" w:hAnsi="Times New Roman" w:cs="Times New Roman" w:eastAsia="Times New Roman" w:hint="default"/>
        </w:rPr>
        <w:t>29.</w:t>
      </w:r>
      <w:r>
        <w:rPr/>
        <w:t>其他综合收益</w:t>
      </w:r>
    </w:p>
    <w:p>
      <w:pPr>
        <w:spacing w:line="240" w:lineRule="auto" w:before="8"/>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1964"/>
        <w:gridCol w:w="903"/>
        <w:gridCol w:w="1050"/>
        <w:gridCol w:w="1740"/>
        <w:gridCol w:w="791"/>
        <w:gridCol w:w="970"/>
        <w:gridCol w:w="1086"/>
        <w:gridCol w:w="927"/>
      </w:tblGrid>
      <w:tr>
        <w:trPr>
          <w:trHeight w:val="245" w:hRule="exact"/>
        </w:trPr>
        <w:tc>
          <w:tcPr>
            <w:tcW w:w="9431" w:type="dxa"/>
            <w:gridSpan w:val="8"/>
            <w:tcBorders>
              <w:top w:val="nil" w:sz="6" w:space="0" w:color="auto"/>
              <w:left w:val="nil" w:sz="6" w:space="0" w:color="auto"/>
              <w:bottom w:val="nil" w:sz="6" w:space="0" w:color="auto"/>
              <w:right w:val="nil" w:sz="6" w:space="0" w:color="auto"/>
            </w:tcBorders>
          </w:tcPr>
          <w:p>
            <w:pPr>
              <w:pStyle w:val="TableParagraph"/>
              <w:spacing w:line="130" w:lineRule="exact"/>
              <w:ind w:left="1879" w:right="0"/>
              <w:jc w:val="center"/>
              <w:rPr>
                <w:rFonts w:ascii="宋体" w:hAnsi="宋体" w:cs="宋体" w:eastAsia="宋体" w:hint="default"/>
                <w:sz w:val="13"/>
                <w:szCs w:val="13"/>
              </w:rPr>
            </w:pPr>
            <w:r>
              <w:rPr>
                <w:rFonts w:ascii="宋体" w:hAnsi="宋体" w:cs="宋体" w:eastAsia="宋体" w:hint="default"/>
                <w:b/>
                <w:bCs/>
                <w:sz w:val="13"/>
                <w:szCs w:val="13"/>
              </w:rPr>
              <w:t>本期发生金额</w:t>
            </w:r>
            <w:r>
              <w:rPr>
                <w:rFonts w:ascii="宋体" w:hAnsi="宋体" w:cs="宋体" w:eastAsia="宋体" w:hint="default"/>
                <w:sz w:val="13"/>
                <w:szCs w:val="13"/>
              </w:rPr>
            </w:r>
          </w:p>
        </w:tc>
      </w:tr>
      <w:tr>
        <w:trPr>
          <w:trHeight w:val="695" w:hRule="exact"/>
        </w:trPr>
        <w:tc>
          <w:tcPr>
            <w:tcW w:w="196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center"/>
              <w:rPr>
                <w:rFonts w:ascii="宋体" w:hAnsi="宋体" w:cs="宋体" w:eastAsia="宋体" w:hint="default"/>
                <w:sz w:val="13"/>
                <w:szCs w:val="13"/>
              </w:rPr>
            </w:pPr>
            <w:r>
              <w:rPr>
                <w:rFonts w:ascii="宋体" w:hAnsi="宋体" w:cs="宋体" w:eastAsia="宋体" w:hint="default"/>
                <w:b/>
                <w:bCs/>
                <w:sz w:val="13"/>
                <w:szCs w:val="13"/>
              </w:rPr>
              <w:t>项</w:t>
            </w:r>
            <w:r>
              <w:rPr>
                <w:rFonts w:ascii="宋体" w:hAnsi="宋体" w:cs="宋体" w:eastAsia="宋体" w:hint="default"/>
                <w:b/>
                <w:bCs/>
                <w:spacing w:val="62"/>
                <w:sz w:val="13"/>
                <w:szCs w:val="13"/>
              </w:rPr>
              <w:t> </w:t>
            </w:r>
            <w:r>
              <w:rPr>
                <w:rFonts w:ascii="宋体" w:hAnsi="宋体" w:cs="宋体" w:eastAsia="宋体" w:hint="default"/>
                <w:b/>
                <w:bCs/>
                <w:sz w:val="13"/>
                <w:szCs w:val="13"/>
              </w:rPr>
              <w:t>目</w:t>
            </w:r>
            <w:r>
              <w:rPr>
                <w:rFonts w:ascii="宋体" w:hAnsi="宋体" w:cs="宋体" w:eastAsia="宋体" w:hint="default"/>
                <w:sz w:val="13"/>
                <w:szCs w:val="13"/>
              </w:rPr>
            </w:r>
          </w:p>
        </w:tc>
        <w:tc>
          <w:tcPr>
            <w:tcW w:w="90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68" w:right="0"/>
              <w:jc w:val="left"/>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451" w:lineRule="auto"/>
              <w:ind w:left="321" w:right="138" w:hanging="197"/>
              <w:jc w:val="left"/>
              <w:rPr>
                <w:rFonts w:ascii="宋体" w:hAnsi="宋体" w:cs="宋体" w:eastAsia="宋体" w:hint="default"/>
                <w:sz w:val="13"/>
                <w:szCs w:val="13"/>
              </w:rPr>
            </w:pPr>
            <w:r>
              <w:rPr>
                <w:rFonts w:ascii="宋体" w:hAnsi="宋体" w:cs="宋体" w:eastAsia="宋体" w:hint="default"/>
                <w:b/>
                <w:bCs/>
                <w:sz w:val="13"/>
                <w:szCs w:val="13"/>
              </w:rPr>
              <w:t>本期所得税前</w:t>
            </w:r>
            <w:r>
              <w:rPr>
                <w:rFonts w:ascii="宋体" w:hAnsi="宋体" w:cs="宋体" w:eastAsia="宋体" w:hint="default"/>
                <w:b/>
                <w:bCs/>
                <w:spacing w:val="1"/>
                <w:w w:val="99"/>
                <w:sz w:val="13"/>
                <w:szCs w:val="13"/>
              </w:rPr>
              <w:t> </w:t>
            </w:r>
            <w:r>
              <w:rPr>
                <w:rFonts w:ascii="宋体" w:hAnsi="宋体" w:cs="宋体" w:eastAsia="宋体" w:hint="default"/>
                <w:b/>
                <w:bCs/>
                <w:sz w:val="13"/>
                <w:szCs w:val="13"/>
              </w:rPr>
              <w:t>发生额</w:t>
            </w:r>
            <w:r>
              <w:rPr>
                <w:rFonts w:ascii="宋体" w:hAnsi="宋体" w:cs="宋体" w:eastAsia="宋体" w:hint="default"/>
                <w:sz w:val="13"/>
                <w:szCs w:val="13"/>
              </w:rPr>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451" w:lineRule="auto"/>
              <w:ind w:left="471" w:right="119" w:hanging="363"/>
              <w:jc w:val="left"/>
              <w:rPr>
                <w:rFonts w:ascii="宋体" w:hAnsi="宋体" w:cs="宋体" w:eastAsia="宋体" w:hint="default"/>
                <w:sz w:val="13"/>
                <w:szCs w:val="13"/>
              </w:rPr>
            </w:pPr>
            <w:r>
              <w:rPr>
                <w:rFonts w:ascii="宋体" w:hAnsi="宋体" w:cs="宋体" w:eastAsia="宋体" w:hint="default"/>
                <w:b/>
                <w:bCs/>
                <w:spacing w:val="-5"/>
                <w:w w:val="99"/>
                <w:sz w:val="13"/>
                <w:szCs w:val="13"/>
              </w:rPr>
              <w:t>减：前期计入其他综合收益</w:t>
            </w:r>
            <w:r>
              <w:rPr>
                <w:rFonts w:ascii="宋体" w:hAnsi="宋体" w:cs="宋体" w:eastAsia="宋体" w:hint="default"/>
                <w:b/>
                <w:bCs/>
                <w:spacing w:val="-54"/>
                <w:w w:val="99"/>
                <w:sz w:val="13"/>
                <w:szCs w:val="13"/>
              </w:rPr>
              <w:t> </w:t>
            </w:r>
            <w:r>
              <w:rPr>
                <w:rFonts w:ascii="宋体" w:hAnsi="宋体" w:cs="宋体" w:eastAsia="宋体" w:hint="default"/>
                <w:b/>
                <w:bCs/>
                <w:spacing w:val="-54"/>
                <w:w w:val="99"/>
                <w:sz w:val="13"/>
                <w:szCs w:val="13"/>
              </w:rPr>
            </w:r>
            <w:r>
              <w:rPr>
                <w:rFonts w:ascii="宋体" w:hAnsi="宋体" w:cs="宋体" w:eastAsia="宋体" w:hint="default"/>
                <w:b/>
                <w:bCs/>
                <w:sz w:val="13"/>
                <w:szCs w:val="13"/>
              </w:rPr>
              <w:t>当期转入损益</w:t>
            </w:r>
            <w:r>
              <w:rPr>
                <w:rFonts w:ascii="宋体" w:hAnsi="宋体" w:cs="宋体" w:eastAsia="宋体" w:hint="default"/>
                <w:sz w:val="13"/>
                <w:szCs w:val="13"/>
              </w:rPr>
            </w:r>
          </w:p>
        </w:tc>
        <w:tc>
          <w:tcPr>
            <w:tcW w:w="79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451" w:lineRule="auto"/>
              <w:ind w:left="187" w:right="143" w:hanging="66"/>
              <w:jc w:val="left"/>
              <w:rPr>
                <w:rFonts w:ascii="宋体" w:hAnsi="宋体" w:cs="宋体" w:eastAsia="宋体" w:hint="default"/>
                <w:sz w:val="13"/>
                <w:szCs w:val="13"/>
              </w:rPr>
            </w:pPr>
            <w:r>
              <w:rPr>
                <w:rFonts w:ascii="宋体" w:hAnsi="宋体" w:cs="宋体" w:eastAsia="宋体" w:hint="default"/>
                <w:b/>
                <w:bCs/>
                <w:sz w:val="13"/>
                <w:szCs w:val="13"/>
              </w:rPr>
              <w:t>减：所得</w:t>
            </w:r>
            <w:r>
              <w:rPr>
                <w:rFonts w:ascii="宋体" w:hAnsi="宋体" w:cs="宋体" w:eastAsia="宋体" w:hint="default"/>
                <w:b/>
                <w:bCs/>
                <w:spacing w:val="1"/>
                <w:w w:val="99"/>
                <w:sz w:val="13"/>
                <w:szCs w:val="13"/>
              </w:rPr>
              <w:t> </w:t>
            </w:r>
            <w:r>
              <w:rPr>
                <w:rFonts w:ascii="宋体" w:hAnsi="宋体" w:cs="宋体" w:eastAsia="宋体" w:hint="default"/>
                <w:b/>
                <w:bCs/>
                <w:sz w:val="13"/>
                <w:szCs w:val="13"/>
              </w:rPr>
              <w:t>税费用</w:t>
            </w:r>
            <w:r>
              <w:rPr>
                <w:rFonts w:ascii="宋体" w:hAnsi="宋体" w:cs="宋体" w:eastAsia="宋体" w:hint="default"/>
                <w:sz w:val="13"/>
                <w:szCs w:val="13"/>
              </w:rPr>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451" w:lineRule="auto"/>
              <w:ind w:left="276" w:right="169" w:hanging="131"/>
              <w:jc w:val="left"/>
              <w:rPr>
                <w:rFonts w:ascii="宋体" w:hAnsi="宋体" w:cs="宋体" w:eastAsia="宋体" w:hint="default"/>
                <w:sz w:val="13"/>
                <w:szCs w:val="13"/>
              </w:rPr>
            </w:pPr>
            <w:r>
              <w:rPr>
                <w:rFonts w:ascii="宋体" w:hAnsi="宋体" w:cs="宋体" w:eastAsia="宋体" w:hint="default"/>
                <w:b/>
                <w:bCs/>
                <w:sz w:val="13"/>
                <w:szCs w:val="13"/>
              </w:rPr>
              <w:t>税后归属于</w:t>
            </w:r>
            <w:r>
              <w:rPr>
                <w:rFonts w:ascii="宋体" w:hAnsi="宋体" w:cs="宋体" w:eastAsia="宋体" w:hint="default"/>
                <w:b/>
                <w:bCs/>
                <w:spacing w:val="1"/>
                <w:w w:val="99"/>
                <w:sz w:val="13"/>
                <w:szCs w:val="13"/>
              </w:rPr>
              <w:t> </w:t>
            </w:r>
            <w:r>
              <w:rPr>
                <w:rFonts w:ascii="宋体" w:hAnsi="宋体" w:cs="宋体" w:eastAsia="宋体" w:hint="default"/>
                <w:b/>
                <w:bCs/>
                <w:sz w:val="13"/>
                <w:szCs w:val="13"/>
              </w:rPr>
              <w:t>母公司</w:t>
            </w:r>
            <w:r>
              <w:rPr>
                <w:rFonts w:ascii="宋体" w:hAnsi="宋体" w:cs="宋体" w:eastAsia="宋体" w:hint="default"/>
                <w:sz w:val="13"/>
                <w:szCs w:val="13"/>
              </w:rPr>
            </w:r>
          </w:p>
        </w:tc>
        <w:tc>
          <w:tcPr>
            <w:tcW w:w="108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451" w:lineRule="auto"/>
              <w:ind w:left="317" w:right="177" w:hanging="196"/>
              <w:jc w:val="left"/>
              <w:rPr>
                <w:rFonts w:ascii="宋体" w:hAnsi="宋体" w:cs="宋体" w:eastAsia="宋体" w:hint="default"/>
                <w:sz w:val="13"/>
                <w:szCs w:val="13"/>
              </w:rPr>
            </w:pPr>
            <w:r>
              <w:rPr>
                <w:rFonts w:ascii="宋体" w:hAnsi="宋体" w:cs="宋体" w:eastAsia="宋体" w:hint="default"/>
                <w:b/>
                <w:bCs/>
                <w:sz w:val="13"/>
                <w:szCs w:val="13"/>
              </w:rPr>
              <w:t>税后归属于少</w:t>
            </w:r>
            <w:r>
              <w:rPr>
                <w:rFonts w:ascii="宋体" w:hAnsi="宋体" w:cs="宋体" w:eastAsia="宋体" w:hint="default"/>
                <w:b/>
                <w:bCs/>
                <w:spacing w:val="1"/>
                <w:w w:val="99"/>
                <w:sz w:val="13"/>
                <w:szCs w:val="13"/>
              </w:rPr>
              <w:t> </w:t>
            </w:r>
            <w:r>
              <w:rPr>
                <w:rFonts w:ascii="宋体" w:hAnsi="宋体" w:cs="宋体" w:eastAsia="宋体" w:hint="default"/>
                <w:b/>
                <w:bCs/>
                <w:sz w:val="13"/>
                <w:szCs w:val="13"/>
              </w:rPr>
              <w:t>数股东</w:t>
            </w:r>
            <w:r>
              <w:rPr>
                <w:rFonts w:ascii="宋体" w:hAnsi="宋体" w:cs="宋体" w:eastAsia="宋体" w:hint="default"/>
                <w:sz w:val="13"/>
                <w:szCs w:val="13"/>
              </w:rPr>
            </w:r>
          </w:p>
        </w:tc>
        <w:tc>
          <w:tcPr>
            <w:tcW w:w="92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79"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r>
      <w:tr>
        <w:trPr>
          <w:trHeight w:val="775" w:hRule="exact"/>
        </w:trPr>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451" w:lineRule="auto"/>
              <w:ind w:left="108" w:right="166"/>
              <w:jc w:val="left"/>
              <w:rPr>
                <w:rFonts w:ascii="宋体" w:hAnsi="宋体" w:cs="宋体" w:eastAsia="宋体" w:hint="default"/>
                <w:sz w:val="13"/>
                <w:szCs w:val="13"/>
              </w:rPr>
            </w:pPr>
            <w:r>
              <w:rPr>
                <w:rFonts w:ascii="宋体" w:hAnsi="宋体" w:cs="宋体" w:eastAsia="宋体" w:hint="default"/>
                <w:w w:val="95"/>
                <w:sz w:val="13"/>
                <w:szCs w:val="13"/>
              </w:rPr>
              <w:t>一、以后将重分类进损益的其</w:t>
            </w:r>
            <w:r>
              <w:rPr>
                <w:rFonts w:ascii="宋体" w:hAnsi="宋体" w:cs="宋体" w:eastAsia="宋体" w:hint="default"/>
                <w:spacing w:val="20"/>
                <w:w w:val="95"/>
                <w:sz w:val="13"/>
                <w:szCs w:val="13"/>
              </w:rPr>
              <w:t> </w:t>
            </w:r>
            <w:r>
              <w:rPr>
                <w:rFonts w:ascii="宋体" w:hAnsi="宋体" w:cs="宋体" w:eastAsia="宋体" w:hint="default"/>
                <w:spacing w:val="20"/>
                <w:w w:val="95"/>
                <w:sz w:val="13"/>
                <w:szCs w:val="13"/>
              </w:rPr>
            </w:r>
            <w:r>
              <w:rPr>
                <w:rFonts w:ascii="宋体" w:hAnsi="宋体" w:cs="宋体" w:eastAsia="宋体" w:hint="default"/>
                <w:sz w:val="13"/>
                <w:szCs w:val="13"/>
              </w:rPr>
              <w:t>他综合收益</w:t>
            </w:r>
          </w:p>
        </w:tc>
        <w:tc>
          <w:tcPr>
            <w:tcW w:w="9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22"/>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single" w:color="000000"/>
              </w:rPr>
              <w:t>53,177.18</w:t>
            </w:r>
            <w:r>
              <w:rPr>
                <w:rFonts w:ascii="Times New Roman"/>
                <w:w w:val="95"/>
                <w:sz w:val="13"/>
              </w:rPr>
            </w:r>
            <w:r>
              <w:rPr>
                <w:rFonts w:ascii="Times New Roman"/>
                <w:sz w:val="13"/>
              </w:rPr>
            </w: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single" w:color="000000"/>
              </w:rPr>
              <w:t>-336,284.11</w:t>
            </w:r>
            <w:r>
              <w:rPr>
                <w:rFonts w:ascii="Times New Roman"/>
                <w:spacing w:val="-1"/>
                <w:sz w:val="13"/>
              </w:rPr>
            </w:r>
          </w:p>
        </w:tc>
        <w:tc>
          <w:tcPr>
            <w:tcW w:w="1740" w:type="dxa"/>
            <w:tcBorders>
              <w:top w:val="single" w:sz="4" w:space="0" w:color="000000"/>
              <w:left w:val="nil" w:sz="6" w:space="0" w:color="auto"/>
              <w:bottom w:val="nil" w:sz="6" w:space="0" w:color="auto"/>
              <w:right w:val="nil" w:sz="6" w:space="0" w:color="auto"/>
            </w:tcBorders>
          </w:tcPr>
          <w:p>
            <w:pPr/>
          </w:p>
        </w:tc>
        <w:tc>
          <w:tcPr>
            <w:tcW w:w="791" w:type="dxa"/>
            <w:tcBorders>
              <w:top w:val="single" w:sz="4" w:space="0" w:color="000000"/>
              <w:left w:val="nil" w:sz="6" w:space="0" w:color="auto"/>
              <w:bottom w:val="nil" w:sz="6" w:space="0" w:color="auto"/>
              <w:right w:val="nil" w:sz="6" w:space="0" w:color="auto"/>
            </w:tcBorders>
          </w:tcPr>
          <w:p>
            <w:pP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20"/>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single" w:color="000000"/>
              </w:rPr>
              <w:t>-336,284.11</w:t>
            </w:r>
            <w:r>
              <w:rPr>
                <w:rFonts w:ascii="Times New Roman"/>
                <w:spacing w:val="-1"/>
                <w:sz w:val="13"/>
              </w:rPr>
            </w:r>
          </w:p>
        </w:tc>
        <w:tc>
          <w:tcPr>
            <w:tcW w:w="1086" w:type="dxa"/>
            <w:tcBorders>
              <w:top w:val="single" w:sz="4" w:space="0" w:color="000000"/>
              <w:left w:val="nil" w:sz="6" w:space="0" w:color="auto"/>
              <w:bottom w:val="nil" w:sz="6" w:space="0" w:color="auto"/>
              <w:right w:val="nil" w:sz="6" w:space="0" w:color="auto"/>
            </w:tcBorders>
          </w:tcPr>
          <w:p>
            <w:pPr/>
          </w:p>
        </w:tc>
        <w:tc>
          <w:tcPr>
            <w:tcW w:w="9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90"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single" w:color="000000"/>
              </w:rPr>
              <w:t>-283,106.93</w:t>
            </w:r>
            <w:r>
              <w:rPr>
                <w:rFonts w:ascii="Times New Roman"/>
                <w:sz w:val="13"/>
              </w:rPr>
            </w:r>
          </w:p>
        </w:tc>
      </w:tr>
      <w:tr>
        <w:trPr>
          <w:trHeight w:val="404"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宋体" w:hAnsi="宋体" w:cs="宋体" w:eastAsia="宋体" w:hint="default"/>
                <w:sz w:val="13"/>
                <w:szCs w:val="13"/>
              </w:rPr>
              <w:t>外币财务报表折算差额</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22"/>
              <w:jc w:val="right"/>
              <w:rPr>
                <w:rFonts w:ascii="Times New Roman" w:hAnsi="Times New Roman" w:cs="Times New Roman" w:eastAsia="Times New Roman" w:hint="default"/>
                <w:sz w:val="13"/>
                <w:szCs w:val="13"/>
              </w:rPr>
            </w:pPr>
            <w:r>
              <w:rPr>
                <w:rFonts w:ascii="Times New Roman"/>
                <w:w w:val="95"/>
                <w:sz w:val="13"/>
              </w:rPr>
              <w:t>53,177.18</w:t>
            </w:r>
            <w:r>
              <w:rPr>
                <w:rFonts w:ascii="Times New Roman"/>
                <w:sz w:val="13"/>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spacing w:val="-1"/>
                <w:sz w:val="13"/>
              </w:rPr>
              <w:t>-336,284.11</w:t>
            </w:r>
          </w:p>
        </w:tc>
        <w:tc>
          <w:tcPr>
            <w:tcW w:w="1740"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120"/>
              <w:jc w:val="right"/>
              <w:rPr>
                <w:rFonts w:ascii="Times New Roman" w:hAnsi="Times New Roman" w:cs="Times New Roman" w:eastAsia="Times New Roman" w:hint="default"/>
                <w:sz w:val="13"/>
                <w:szCs w:val="13"/>
              </w:rPr>
            </w:pPr>
            <w:r>
              <w:rPr>
                <w:rFonts w:ascii="Times New Roman"/>
                <w:spacing w:val="-1"/>
                <w:sz w:val="13"/>
              </w:rPr>
              <w:t>-336,284.11</w:t>
            </w:r>
          </w:p>
        </w:tc>
        <w:tc>
          <w:tcPr>
            <w:tcW w:w="1086"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190" w:right="0"/>
              <w:jc w:val="left"/>
              <w:rPr>
                <w:rFonts w:ascii="Times New Roman" w:hAnsi="Times New Roman" w:cs="Times New Roman" w:eastAsia="Times New Roman" w:hint="default"/>
                <w:sz w:val="13"/>
                <w:szCs w:val="13"/>
              </w:rPr>
            </w:pPr>
            <w:r>
              <w:rPr>
                <w:rFonts w:ascii="Times New Roman"/>
                <w:sz w:val="13"/>
              </w:rPr>
              <w:t>-283,106.93</w:t>
            </w:r>
          </w:p>
        </w:tc>
      </w:tr>
      <w:tr>
        <w:trPr>
          <w:trHeight w:val="269"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
              <w:jc w:val="center"/>
              <w:rPr>
                <w:rFonts w:ascii="宋体" w:hAnsi="宋体" w:cs="宋体" w:eastAsia="宋体" w:hint="default"/>
                <w:sz w:val="13"/>
                <w:szCs w:val="13"/>
              </w:rPr>
            </w:pPr>
            <w:r>
              <w:rPr>
                <w:rFonts w:ascii="宋体" w:hAnsi="宋体" w:cs="宋体" w:eastAsia="宋体" w:hint="default"/>
                <w:sz w:val="13"/>
                <w:szCs w:val="13"/>
              </w:rPr>
              <w:t>合</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22"/>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thick" w:color="000000"/>
              </w:rPr>
              <w:t>53,177.18</w:t>
            </w:r>
            <w:r>
              <w:rPr>
                <w:rFonts w:ascii="Times New Roman"/>
                <w:w w:val="95"/>
                <w:sz w:val="13"/>
              </w:rPr>
            </w:r>
            <w:r>
              <w:rPr>
                <w:rFonts w:ascii="Times New Roman"/>
                <w:sz w:val="13"/>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thick" w:color="000000"/>
              </w:rPr>
              <w:t>-336,284.11</w:t>
            </w:r>
            <w:r>
              <w:rPr>
                <w:rFonts w:ascii="Times New Roman"/>
                <w:spacing w:val="-1"/>
                <w:sz w:val="13"/>
              </w:rPr>
            </w:r>
          </w:p>
        </w:tc>
        <w:tc>
          <w:tcPr>
            <w:tcW w:w="1740" w:type="dxa"/>
            <w:tcBorders>
              <w:top w:val="nil" w:sz="6" w:space="0" w:color="auto"/>
              <w:left w:val="nil" w:sz="6" w:space="0" w:color="auto"/>
              <w:bottom w:val="nil" w:sz="6" w:space="0" w:color="auto"/>
              <w:right w:val="nil" w:sz="6" w:space="0" w:color="auto"/>
            </w:tcBorders>
          </w:tcPr>
          <w:p>
            <w:pPr/>
          </w:p>
        </w:tc>
        <w:tc>
          <w:tcPr>
            <w:tcW w:w="791"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right="120"/>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thick" w:color="000000"/>
              </w:rPr>
              <w:t>-336,284.11</w:t>
            </w:r>
            <w:r>
              <w:rPr>
                <w:rFonts w:ascii="Times New Roman"/>
                <w:spacing w:val="-1"/>
                <w:sz w:val="13"/>
              </w:rPr>
            </w:r>
          </w:p>
        </w:tc>
        <w:tc>
          <w:tcPr>
            <w:tcW w:w="1086"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9"/>
                <w:szCs w:val="9"/>
              </w:rPr>
            </w:pPr>
          </w:p>
          <w:p>
            <w:pPr>
              <w:pStyle w:val="TableParagraph"/>
              <w:spacing w:line="240" w:lineRule="auto"/>
              <w:ind w:left="190"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-283,106.93</w:t>
            </w:r>
            <w:r>
              <w:rPr>
                <w:rFonts w:ascii="Times New Roman"/>
                <w:sz w:val="13"/>
              </w:rPr>
            </w: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30.盈余公积" w:id="222"/>
      <w:bookmarkEnd w:id="222"/>
      <w:r>
        <w:rPr/>
      </w:r>
      <w:r>
        <w:rPr>
          <w:rFonts w:ascii="Times New Roman" w:hAnsi="Times New Roman" w:cs="Times New Roman" w:eastAsia="Times New Roman" w:hint="default"/>
        </w:rPr>
        <w:t>30.</w:t>
      </w:r>
      <w:r>
        <w:rPr/>
        <w:t>盈余公积</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1820"/>
        <w:gridCol w:w="2069"/>
        <w:gridCol w:w="1905"/>
        <w:gridCol w:w="1751"/>
        <w:gridCol w:w="1886"/>
      </w:tblGrid>
      <w:tr>
        <w:trPr>
          <w:trHeight w:val="272" w:hRule="exact"/>
        </w:trPr>
        <w:tc>
          <w:tcPr>
            <w:tcW w:w="1820" w:type="dxa"/>
            <w:tcBorders>
              <w:top w:val="nil" w:sz="6" w:space="0" w:color="auto"/>
              <w:left w:val="nil" w:sz="6" w:space="0" w:color="auto"/>
              <w:bottom w:val="single" w:sz="4" w:space="0" w:color="000000"/>
              <w:right w:val="nil" w:sz="6" w:space="0" w:color="auto"/>
            </w:tcBorders>
          </w:tcPr>
          <w:p>
            <w:pPr>
              <w:pStyle w:val="TableParagraph"/>
              <w:spacing w:line="180" w:lineRule="exact"/>
              <w:ind w:right="602"/>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69" w:type="dxa"/>
            <w:tcBorders>
              <w:top w:val="nil" w:sz="6" w:space="0" w:color="auto"/>
              <w:left w:val="nil" w:sz="6" w:space="0" w:color="auto"/>
              <w:bottom w:val="single" w:sz="4" w:space="0" w:color="000000"/>
              <w:right w:val="nil" w:sz="6" w:space="0" w:color="auto"/>
            </w:tcBorders>
          </w:tcPr>
          <w:p>
            <w:pPr>
              <w:pStyle w:val="TableParagraph"/>
              <w:spacing w:line="180" w:lineRule="exact"/>
              <w:ind w:left="64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05" w:type="dxa"/>
            <w:tcBorders>
              <w:top w:val="nil" w:sz="6" w:space="0" w:color="auto"/>
              <w:left w:val="nil" w:sz="6" w:space="0" w:color="auto"/>
              <w:bottom w:val="single" w:sz="4" w:space="0" w:color="000000"/>
              <w:right w:val="nil" w:sz="6" w:space="0" w:color="auto"/>
            </w:tcBorders>
          </w:tcPr>
          <w:p>
            <w:pPr>
              <w:pStyle w:val="TableParagraph"/>
              <w:spacing w:line="180"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51" w:type="dxa"/>
            <w:tcBorders>
              <w:top w:val="nil" w:sz="6" w:space="0" w:color="auto"/>
              <w:left w:val="nil" w:sz="6" w:space="0" w:color="auto"/>
              <w:bottom w:val="single" w:sz="4" w:space="0" w:color="000000"/>
              <w:right w:val="nil" w:sz="6" w:space="0" w:color="auto"/>
            </w:tcBorders>
          </w:tcPr>
          <w:p>
            <w:pPr>
              <w:pStyle w:val="TableParagraph"/>
              <w:spacing w:line="180" w:lineRule="exact"/>
              <w:ind w:left="44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86" w:type="dxa"/>
            <w:tcBorders>
              <w:top w:val="nil" w:sz="6" w:space="0" w:color="auto"/>
              <w:left w:val="nil" w:sz="6" w:space="0" w:color="auto"/>
              <w:bottom w:val="single" w:sz="4" w:space="0" w:color="000000"/>
              <w:right w:val="nil" w:sz="6" w:space="0" w:color="auto"/>
            </w:tcBorders>
          </w:tcPr>
          <w:p>
            <w:pPr>
              <w:pStyle w:val="TableParagraph"/>
              <w:spacing w:line="180" w:lineRule="exact"/>
              <w:ind w:left="58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93" w:hRule="exact"/>
        </w:trPr>
        <w:tc>
          <w:tcPr>
            <w:tcW w:w="182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29"/>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206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604" w:right="0"/>
              <w:jc w:val="left"/>
              <w:rPr>
                <w:rFonts w:ascii="Times New Roman" w:hAnsi="Times New Roman" w:cs="Times New Roman" w:eastAsia="Times New Roman" w:hint="default"/>
                <w:sz w:val="18"/>
                <w:szCs w:val="18"/>
              </w:rPr>
            </w:pPr>
            <w:r>
              <w:rPr>
                <w:rFonts w:ascii="Times New Roman"/>
                <w:sz w:val="18"/>
              </w:rPr>
              <w:t>21,229,299.06</w:t>
            </w:r>
          </w:p>
        </w:tc>
        <w:tc>
          <w:tcPr>
            <w:tcW w:w="190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428" w:right="0"/>
              <w:jc w:val="left"/>
              <w:rPr>
                <w:rFonts w:ascii="Times New Roman" w:hAnsi="Times New Roman" w:cs="Times New Roman" w:eastAsia="Times New Roman" w:hint="default"/>
                <w:sz w:val="18"/>
                <w:szCs w:val="18"/>
              </w:rPr>
            </w:pPr>
            <w:r>
              <w:rPr>
                <w:rFonts w:ascii="Times New Roman"/>
                <w:sz w:val="18"/>
              </w:rPr>
              <w:t>47,556,116.85</w:t>
            </w:r>
          </w:p>
        </w:tc>
        <w:tc>
          <w:tcPr>
            <w:tcW w:w="1751" w:type="dxa"/>
            <w:tcBorders>
              <w:top w:val="single" w:sz="4" w:space="0" w:color="000000"/>
              <w:left w:val="nil" w:sz="6" w:space="0" w:color="auto"/>
              <w:bottom w:val="nil" w:sz="6" w:space="0" w:color="auto"/>
              <w:right w:val="nil" w:sz="6" w:space="0" w:color="auto"/>
            </w:tcBorders>
          </w:tcPr>
          <w:p>
            <w:pPr/>
          </w:p>
        </w:tc>
        <w:tc>
          <w:tcPr>
            <w:tcW w:w="188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538" w:right="0"/>
              <w:jc w:val="left"/>
              <w:rPr>
                <w:rFonts w:ascii="Times New Roman" w:hAnsi="Times New Roman" w:cs="Times New Roman" w:eastAsia="Times New Roman" w:hint="default"/>
                <w:sz w:val="18"/>
                <w:szCs w:val="18"/>
              </w:rPr>
            </w:pPr>
            <w:r>
              <w:rPr>
                <w:rFonts w:ascii="Times New Roman"/>
                <w:sz w:val="18"/>
              </w:rPr>
              <w:t>68,785,415.91</w:t>
            </w:r>
          </w:p>
        </w:tc>
      </w:tr>
      <w:tr>
        <w:trPr>
          <w:trHeight w:val="315"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05"/>
              <w:jc w:val="right"/>
              <w:rPr>
                <w:rFonts w:ascii="宋体" w:hAnsi="宋体" w:cs="宋体" w:eastAsia="宋体" w:hint="default"/>
                <w:sz w:val="18"/>
                <w:szCs w:val="18"/>
              </w:rPr>
            </w:pPr>
            <w:r>
              <w:rPr>
                <w:rFonts w:ascii="宋体" w:hAnsi="宋体" w:cs="宋体" w:eastAsia="宋体" w:hint="default"/>
                <w:sz w:val="18"/>
                <w:szCs w:val="18"/>
              </w:rPr>
              <w:t>合  计</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0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21,229,299.06</w:t>
            </w:r>
            <w:r>
              <w:rPr>
                <w:rFonts w:ascii="Times New Roman"/>
                <w:sz w:val="18"/>
              </w:rPr>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2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47,556,116.85</w:t>
            </w:r>
            <w:r>
              <w:rPr>
                <w:rFonts w:ascii="Times New Roman"/>
                <w:sz w:val="18"/>
              </w:rPr>
            </w:r>
          </w:p>
        </w:tc>
        <w:tc>
          <w:tcPr>
            <w:tcW w:w="1751" w:type="dxa"/>
            <w:tcBorders>
              <w:top w:val="nil" w:sz="6" w:space="0" w:color="auto"/>
              <w:left w:val="nil" w:sz="6" w:space="0" w:color="auto"/>
              <w:bottom w:val="nil" w:sz="6" w:space="0" w:color="auto"/>
              <w:right w:val="nil" w:sz="6" w:space="0" w:color="auto"/>
            </w:tcBorders>
          </w:tcPr>
          <w:p>
            <w:pP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3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68,785,415.91</w:t>
            </w:r>
            <w:r>
              <w:rPr>
                <w:rFonts w:ascii="Times New Roman"/>
                <w:sz w:val="18"/>
              </w:rPr>
            </w: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31.未分配利润" w:id="223"/>
      <w:bookmarkEnd w:id="223"/>
      <w:r>
        <w:rPr/>
      </w:r>
      <w:r>
        <w:rPr>
          <w:rFonts w:ascii="Times New Roman" w:hAnsi="Times New Roman" w:cs="Times New Roman" w:eastAsia="Times New Roman" w:hint="default"/>
        </w:rPr>
        <w:t>31.</w:t>
      </w:r>
      <w:r>
        <w:rPr/>
        <w:t>未分配利润</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678"/>
        <w:gridCol w:w="3254"/>
        <w:gridCol w:w="2499"/>
      </w:tblGrid>
      <w:tr>
        <w:trPr>
          <w:trHeight w:val="272" w:hRule="exact"/>
        </w:trPr>
        <w:tc>
          <w:tcPr>
            <w:tcW w:w="3678" w:type="dxa"/>
            <w:tcBorders>
              <w:top w:val="nil" w:sz="6" w:space="0" w:color="auto"/>
              <w:left w:val="nil" w:sz="6" w:space="0" w:color="auto"/>
              <w:bottom w:val="single" w:sz="4" w:space="0" w:color="000000"/>
              <w:right w:val="nil" w:sz="6" w:space="0" w:color="auto"/>
            </w:tcBorders>
          </w:tcPr>
          <w:p>
            <w:pPr>
              <w:pStyle w:val="TableParagraph"/>
              <w:spacing w:line="180" w:lineRule="exact"/>
              <w:ind w:left="38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54" w:type="dxa"/>
            <w:tcBorders>
              <w:top w:val="nil" w:sz="6" w:space="0" w:color="auto"/>
              <w:left w:val="nil" w:sz="6" w:space="0" w:color="auto"/>
              <w:bottom w:val="single" w:sz="4" w:space="0" w:color="000000"/>
              <w:right w:val="nil" w:sz="6" w:space="0" w:color="auto"/>
            </w:tcBorders>
          </w:tcPr>
          <w:p>
            <w:pPr>
              <w:pStyle w:val="TableParagraph"/>
              <w:spacing w:line="180" w:lineRule="exact"/>
              <w:ind w:left="139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99" w:type="dxa"/>
            <w:tcBorders>
              <w:top w:val="nil" w:sz="6" w:space="0" w:color="auto"/>
              <w:left w:val="nil" w:sz="6" w:space="0" w:color="auto"/>
              <w:bottom w:val="single" w:sz="4" w:space="0" w:color="000000"/>
              <w:right w:val="nil" w:sz="6" w:space="0" w:color="auto"/>
            </w:tcBorders>
          </w:tcPr>
          <w:p>
            <w:pPr>
              <w:pStyle w:val="TableParagraph"/>
              <w:spacing w:line="180" w:lineRule="exact"/>
              <w:ind w:left="82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3" w:hRule="exact"/>
        </w:trPr>
        <w:tc>
          <w:tcPr>
            <w:tcW w:w="367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p>
        </w:tc>
        <w:tc>
          <w:tcPr>
            <w:tcW w:w="325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37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576,328,028.26</w:t>
            </w:r>
            <w:r>
              <w:rPr>
                <w:rFonts w:ascii="Times New Roman"/>
                <w:sz w:val="18"/>
              </w:rPr>
            </w:r>
          </w:p>
        </w:tc>
        <w:tc>
          <w:tcPr>
            <w:tcW w:w="249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6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351,386,254.33</w:t>
            </w:r>
            <w:r>
              <w:rPr>
                <w:rFonts w:ascii="Times New Roman"/>
                <w:spacing w:val="-1"/>
                <w:sz w:val="18"/>
              </w:rPr>
            </w:r>
          </w:p>
        </w:tc>
      </w:tr>
      <w:tr>
        <w:trPr>
          <w:trHeight w:val="440"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13"/>
              <w:jc w:val="left"/>
              <w:rPr>
                <w:rFonts w:ascii="宋体" w:hAnsi="宋体" w:cs="宋体" w:eastAsia="宋体" w:hint="default"/>
                <w:sz w:val="18"/>
                <w:szCs w:val="18"/>
              </w:rPr>
            </w:pPr>
            <w:r>
              <w:rPr>
                <w:rFonts w:ascii="宋体" w:hAnsi="宋体" w:cs="宋体" w:eastAsia="宋体" w:hint="default"/>
                <w:sz w:val="18"/>
                <w:szCs w:val="18"/>
              </w:rPr>
              <w:t>期初未分配利润调整合计数（调增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54"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r>
      <w:tr>
        <w:trPr>
          <w:trHeight w:val="315"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77" w:right="0"/>
              <w:jc w:val="left"/>
              <w:rPr>
                <w:rFonts w:ascii="Times New Roman" w:hAnsi="Times New Roman" w:cs="Times New Roman" w:eastAsia="Times New Roman" w:hint="default"/>
                <w:sz w:val="18"/>
                <w:szCs w:val="18"/>
              </w:rPr>
            </w:pPr>
            <w:r>
              <w:rPr>
                <w:rFonts w:ascii="Times New Roman"/>
                <w:sz w:val="18"/>
              </w:rPr>
              <w:t>576,328,028.26</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0"/>
              <w:jc w:val="right"/>
              <w:rPr>
                <w:rFonts w:ascii="Times New Roman" w:hAnsi="Times New Roman" w:cs="Times New Roman" w:eastAsia="Times New Roman" w:hint="default"/>
                <w:sz w:val="18"/>
                <w:szCs w:val="18"/>
              </w:rPr>
            </w:pPr>
            <w:r>
              <w:rPr>
                <w:rFonts w:ascii="Times New Roman"/>
                <w:spacing w:val="-1"/>
                <w:sz w:val="18"/>
              </w:rPr>
              <w:t>351,386,254.33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4112"/>
        <w:gridCol w:w="2820"/>
        <w:gridCol w:w="2499"/>
      </w:tblGrid>
      <w:tr>
        <w:trPr>
          <w:trHeight w:val="272" w:hRule="exact"/>
        </w:trPr>
        <w:tc>
          <w:tcPr>
            <w:tcW w:w="4112" w:type="dxa"/>
            <w:tcBorders>
              <w:top w:val="nil" w:sz="6" w:space="0" w:color="auto"/>
              <w:left w:val="nil" w:sz="6" w:space="0" w:color="auto"/>
              <w:bottom w:val="single" w:sz="4" w:space="0" w:color="000000"/>
              <w:right w:val="nil" w:sz="6" w:space="0" w:color="auto"/>
            </w:tcBorders>
          </w:tcPr>
          <w:p>
            <w:pPr>
              <w:pStyle w:val="TableParagraph"/>
              <w:spacing w:line="180" w:lineRule="exact"/>
              <w:ind w:right="5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20" w:type="dxa"/>
            <w:tcBorders>
              <w:top w:val="nil" w:sz="6" w:space="0" w:color="auto"/>
              <w:left w:val="nil" w:sz="6" w:space="0" w:color="auto"/>
              <w:bottom w:val="single" w:sz="4" w:space="0" w:color="000000"/>
              <w:right w:val="nil" w:sz="6" w:space="0" w:color="auto"/>
            </w:tcBorders>
          </w:tcPr>
          <w:p>
            <w:pPr>
              <w:pStyle w:val="TableParagraph"/>
              <w:spacing w:line="180" w:lineRule="exact"/>
              <w:ind w:right="18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499" w:type="dxa"/>
            <w:tcBorders>
              <w:top w:val="nil" w:sz="6" w:space="0" w:color="auto"/>
              <w:left w:val="nil" w:sz="6" w:space="0" w:color="auto"/>
              <w:bottom w:val="single" w:sz="4" w:space="0" w:color="000000"/>
              <w:right w:val="nil" w:sz="6" w:space="0" w:color="auto"/>
            </w:tcBorders>
          </w:tcPr>
          <w:p>
            <w:pPr>
              <w:pStyle w:val="TableParagraph"/>
              <w:spacing w:line="180" w:lineRule="exact"/>
              <w:ind w:left="82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3" w:hRule="exact"/>
        </w:trPr>
        <w:tc>
          <w:tcPr>
            <w:tcW w:w="411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820"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749"/>
              <w:jc w:val="right"/>
              <w:rPr>
                <w:rFonts w:ascii="Times New Roman" w:hAnsi="Times New Roman" w:cs="Times New Roman" w:eastAsia="Times New Roman" w:hint="default"/>
                <w:sz w:val="18"/>
                <w:szCs w:val="18"/>
              </w:rPr>
            </w:pPr>
            <w:r>
              <w:rPr>
                <w:rFonts w:ascii="Times New Roman"/>
                <w:spacing w:val="-1"/>
                <w:sz w:val="18"/>
              </w:rPr>
              <w:t>134,016,677.55</w:t>
            </w:r>
          </w:p>
        </w:tc>
        <w:tc>
          <w:tcPr>
            <w:tcW w:w="249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620"/>
              <w:jc w:val="right"/>
              <w:rPr>
                <w:rFonts w:ascii="Times New Roman" w:hAnsi="Times New Roman" w:cs="Times New Roman" w:eastAsia="Times New Roman" w:hint="default"/>
                <w:sz w:val="18"/>
                <w:szCs w:val="18"/>
              </w:rPr>
            </w:pPr>
            <w:r>
              <w:rPr>
                <w:rFonts w:ascii="Times New Roman"/>
                <w:spacing w:val="-1"/>
                <w:sz w:val="18"/>
              </w:rPr>
              <w:t>243,568,965.82</w:t>
            </w:r>
          </w:p>
        </w:tc>
      </w:tr>
      <w:tr>
        <w:trPr>
          <w:trHeight w:val="440" w:hRule="exact"/>
        </w:trPr>
        <w:tc>
          <w:tcPr>
            <w:tcW w:w="41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49"/>
              <w:jc w:val="right"/>
              <w:rPr>
                <w:rFonts w:ascii="Times New Roman" w:hAnsi="Times New Roman" w:cs="Times New Roman" w:eastAsia="Times New Roman" w:hint="default"/>
                <w:sz w:val="18"/>
                <w:szCs w:val="18"/>
              </w:rPr>
            </w:pPr>
            <w:r>
              <w:rPr>
                <w:rFonts w:ascii="Times New Roman"/>
                <w:spacing w:val="-1"/>
                <w:sz w:val="18"/>
              </w:rPr>
              <w:t>47,556,116.85</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20"/>
              <w:jc w:val="right"/>
              <w:rPr>
                <w:rFonts w:ascii="Times New Roman" w:hAnsi="Times New Roman" w:cs="Times New Roman" w:eastAsia="Times New Roman" w:hint="default"/>
                <w:sz w:val="18"/>
                <w:szCs w:val="18"/>
              </w:rPr>
            </w:pPr>
            <w:r>
              <w:rPr>
                <w:rFonts w:ascii="Times New Roman"/>
                <w:spacing w:val="-1"/>
                <w:sz w:val="18"/>
              </w:rPr>
              <w:t>1,735,685.44</w:t>
            </w:r>
          </w:p>
        </w:tc>
      </w:tr>
      <w:tr>
        <w:trPr>
          <w:trHeight w:val="435" w:hRule="exact"/>
        </w:trPr>
        <w:tc>
          <w:tcPr>
            <w:tcW w:w="41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82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r>
      <w:tr>
        <w:trPr>
          <w:trHeight w:val="445" w:hRule="exact"/>
        </w:trPr>
        <w:tc>
          <w:tcPr>
            <w:tcW w:w="41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49"/>
              <w:jc w:val="right"/>
              <w:rPr>
                <w:rFonts w:ascii="Times New Roman" w:hAnsi="Times New Roman" w:cs="Times New Roman" w:eastAsia="Times New Roman" w:hint="default"/>
                <w:sz w:val="18"/>
                <w:szCs w:val="18"/>
              </w:rPr>
            </w:pPr>
            <w:r>
              <w:rPr>
                <w:rFonts w:ascii="Times New Roman"/>
                <w:spacing w:val="-1"/>
                <w:sz w:val="18"/>
              </w:rPr>
              <w:t>29,247,730.83</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620"/>
              <w:jc w:val="right"/>
              <w:rPr>
                <w:rFonts w:ascii="Times New Roman" w:hAnsi="Times New Roman" w:cs="Times New Roman" w:eastAsia="Times New Roman" w:hint="default"/>
                <w:sz w:val="18"/>
                <w:szCs w:val="18"/>
              </w:rPr>
            </w:pPr>
            <w:r>
              <w:rPr>
                <w:rFonts w:ascii="Times New Roman"/>
                <w:spacing w:val="-1"/>
                <w:sz w:val="18"/>
              </w:rPr>
              <w:t>16,891,506.45</w:t>
            </w:r>
          </w:p>
        </w:tc>
      </w:tr>
      <w:tr>
        <w:trPr>
          <w:trHeight w:val="435" w:hRule="exact"/>
        </w:trPr>
        <w:tc>
          <w:tcPr>
            <w:tcW w:w="411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820" w:type="dxa"/>
            <w:tcBorders>
              <w:top w:val="nil" w:sz="6" w:space="0" w:color="auto"/>
              <w:left w:val="nil" w:sz="6" w:space="0" w:color="auto"/>
              <w:bottom w:val="nil" w:sz="6" w:space="0" w:color="auto"/>
              <w:right w:val="nil" w:sz="6" w:space="0" w:color="auto"/>
            </w:tcBorders>
          </w:tcPr>
          <w:p>
            <w:pPr/>
          </w:p>
        </w:tc>
        <w:tc>
          <w:tcPr>
            <w:tcW w:w="2499" w:type="dxa"/>
            <w:tcBorders>
              <w:top w:val="nil" w:sz="6" w:space="0" w:color="auto"/>
              <w:left w:val="nil" w:sz="6" w:space="0" w:color="auto"/>
              <w:bottom w:val="nil" w:sz="6" w:space="0" w:color="auto"/>
              <w:right w:val="nil" w:sz="6" w:space="0" w:color="auto"/>
            </w:tcBorders>
          </w:tcPr>
          <w:p>
            <w:pPr/>
          </w:p>
        </w:tc>
      </w:tr>
      <w:tr>
        <w:trPr>
          <w:trHeight w:val="319" w:hRule="exact"/>
        </w:trPr>
        <w:tc>
          <w:tcPr>
            <w:tcW w:w="41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633,540,858.13</w:t>
            </w:r>
            <w:r>
              <w:rPr>
                <w:rFonts w:ascii="Times New Roman"/>
                <w:spacing w:val="-1"/>
                <w:sz w:val="18"/>
              </w:rPr>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576,328,028.26</w:t>
            </w:r>
            <w:r>
              <w:rPr>
                <w:rFonts w:ascii="Times New Roman"/>
                <w:spacing w:val="-1"/>
                <w:sz w:val="18"/>
              </w:rPr>
            </w: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32. 营业收入、营业成本" w:id="224"/>
      <w:bookmarkEnd w:id="224"/>
      <w:r>
        <w:rPr/>
      </w:r>
      <w:r>
        <w:rPr>
          <w:rFonts w:ascii="Times New Roman" w:hAnsi="Times New Roman" w:cs="Times New Roman" w:eastAsia="Times New Roman" w:hint="default"/>
        </w:rPr>
        <w:t>32.</w:t>
      </w:r>
      <w:r>
        <w:rPr>
          <w:rFonts w:ascii="Times New Roman" w:hAnsi="Times New Roman" w:cs="Times New Roman" w:eastAsia="Times New Roman" w:hint="default"/>
          <w:spacing w:val="43"/>
        </w:rPr>
        <w:t> </w:t>
      </w:r>
      <w:r>
        <w:rPr/>
        <w:t>营业收入、营业成本</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202"/>
        <w:gridCol w:w="3317"/>
        <w:gridCol w:w="2912"/>
      </w:tblGrid>
      <w:tr>
        <w:trPr>
          <w:trHeight w:val="277" w:hRule="exact"/>
        </w:trPr>
        <w:tc>
          <w:tcPr>
            <w:tcW w:w="3202" w:type="dxa"/>
            <w:tcBorders>
              <w:top w:val="nil" w:sz="6" w:space="0" w:color="auto"/>
              <w:left w:val="nil" w:sz="6" w:space="0" w:color="auto"/>
              <w:bottom w:val="single" w:sz="8" w:space="0" w:color="000000"/>
              <w:right w:val="nil" w:sz="6" w:space="0" w:color="auto"/>
            </w:tcBorders>
          </w:tcPr>
          <w:p>
            <w:pPr>
              <w:pStyle w:val="TableParagraph"/>
              <w:spacing w:line="180" w:lineRule="exact"/>
              <w:ind w:right="1267"/>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317" w:type="dxa"/>
            <w:tcBorders>
              <w:top w:val="nil" w:sz="6" w:space="0" w:color="auto"/>
              <w:left w:val="nil" w:sz="6" w:space="0" w:color="auto"/>
              <w:bottom w:val="single" w:sz="8" w:space="0" w:color="000000"/>
              <w:right w:val="nil" w:sz="6" w:space="0" w:color="auto"/>
            </w:tcBorders>
          </w:tcPr>
          <w:p>
            <w:pPr>
              <w:pStyle w:val="TableParagraph"/>
              <w:spacing w:line="180" w:lineRule="exact"/>
              <w:ind w:left="33"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12" w:type="dxa"/>
            <w:tcBorders>
              <w:top w:val="nil" w:sz="6" w:space="0" w:color="auto"/>
              <w:left w:val="nil" w:sz="6" w:space="0" w:color="auto"/>
              <w:bottom w:val="single" w:sz="8" w:space="0" w:color="000000"/>
              <w:right w:val="nil" w:sz="6" w:space="0" w:color="auto"/>
            </w:tcBorders>
          </w:tcPr>
          <w:p>
            <w:pPr>
              <w:pStyle w:val="TableParagraph"/>
              <w:spacing w:line="180" w:lineRule="exact"/>
              <w:ind w:left="91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8" w:hRule="exact"/>
        </w:trPr>
        <w:tc>
          <w:tcPr>
            <w:tcW w:w="3202"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317"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912"/>
              <w:jc w:val="right"/>
              <w:rPr>
                <w:rFonts w:ascii="Times New Roman" w:hAnsi="Times New Roman" w:cs="Times New Roman" w:eastAsia="Times New Roman" w:hint="default"/>
                <w:sz w:val="18"/>
                <w:szCs w:val="18"/>
              </w:rPr>
            </w:pPr>
            <w:r>
              <w:rPr>
                <w:rFonts w:ascii="Times New Roman"/>
                <w:spacing w:val="-1"/>
                <w:sz w:val="18"/>
              </w:rPr>
              <w:t>934,861,722.31</w:t>
            </w:r>
          </w:p>
        </w:tc>
        <w:tc>
          <w:tcPr>
            <w:tcW w:w="2912"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733"/>
              <w:jc w:val="right"/>
              <w:rPr>
                <w:rFonts w:ascii="Times New Roman" w:hAnsi="Times New Roman" w:cs="Times New Roman" w:eastAsia="Times New Roman" w:hint="default"/>
                <w:sz w:val="18"/>
                <w:szCs w:val="18"/>
              </w:rPr>
            </w:pPr>
            <w:r>
              <w:rPr>
                <w:rFonts w:ascii="Times New Roman"/>
                <w:spacing w:val="-1"/>
                <w:sz w:val="18"/>
              </w:rPr>
              <w:t>779,566,599.02</w:t>
            </w:r>
          </w:p>
        </w:tc>
      </w:tr>
      <w:tr>
        <w:trPr>
          <w:trHeight w:val="440"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2"/>
              <w:jc w:val="right"/>
              <w:rPr>
                <w:rFonts w:ascii="Times New Roman" w:hAnsi="Times New Roman" w:cs="Times New Roman" w:eastAsia="Times New Roman" w:hint="default"/>
                <w:sz w:val="18"/>
                <w:szCs w:val="18"/>
              </w:rPr>
            </w:pPr>
            <w:r>
              <w:rPr>
                <w:rFonts w:ascii="Times New Roman"/>
                <w:spacing w:val="-1"/>
                <w:sz w:val="18"/>
              </w:rPr>
              <w:t>1,161,996.94</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2"/>
              <w:jc w:val="right"/>
              <w:rPr>
                <w:rFonts w:ascii="Times New Roman" w:hAnsi="Times New Roman" w:cs="Times New Roman" w:eastAsia="Times New Roman" w:hint="default"/>
                <w:sz w:val="18"/>
                <w:szCs w:val="18"/>
              </w:rPr>
            </w:pPr>
            <w:r>
              <w:rPr>
                <w:rFonts w:ascii="Times New Roman"/>
                <w:sz w:val="18"/>
              </w:rPr>
              <w:t>373,040.92</w:t>
            </w:r>
          </w:p>
        </w:tc>
      </w:tr>
      <w:tr>
        <w:trPr>
          <w:trHeight w:val="440"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67"/>
              <w:jc w:val="right"/>
              <w:rPr>
                <w:rFonts w:ascii="宋体" w:hAnsi="宋体" w:cs="宋体" w:eastAsia="宋体" w:hint="default"/>
                <w:sz w:val="18"/>
                <w:szCs w:val="18"/>
              </w:rPr>
            </w:pPr>
            <w:r>
              <w:rPr>
                <w:rFonts w:ascii="宋体" w:hAnsi="宋体" w:cs="宋体" w:eastAsia="宋体" w:hint="default"/>
                <w:sz w:val="18"/>
                <w:szCs w:val="18"/>
              </w:rPr>
              <w:t>合 计</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936,023,719.25</w:t>
            </w:r>
            <w:r>
              <w:rPr>
                <w:rFonts w:ascii="Times New Roman"/>
                <w:spacing w:val="-1"/>
                <w:sz w:val="18"/>
              </w:rPr>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779,939,639.94</w:t>
            </w:r>
            <w:r>
              <w:rPr>
                <w:rFonts w:ascii="Times New Roman"/>
                <w:spacing w:val="-1"/>
                <w:sz w:val="18"/>
              </w:rPr>
            </w:r>
          </w:p>
        </w:tc>
      </w:tr>
      <w:tr>
        <w:trPr>
          <w:trHeight w:val="440"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2"/>
              <w:jc w:val="right"/>
              <w:rPr>
                <w:rFonts w:ascii="Times New Roman" w:hAnsi="Times New Roman" w:cs="Times New Roman" w:eastAsia="Times New Roman" w:hint="default"/>
                <w:sz w:val="18"/>
                <w:szCs w:val="18"/>
              </w:rPr>
            </w:pPr>
            <w:r>
              <w:rPr>
                <w:rFonts w:ascii="Times New Roman"/>
                <w:spacing w:val="-1"/>
                <w:sz w:val="18"/>
              </w:rPr>
              <w:t>439,307,652.28</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33"/>
              <w:jc w:val="right"/>
              <w:rPr>
                <w:rFonts w:ascii="Times New Roman" w:hAnsi="Times New Roman" w:cs="Times New Roman" w:eastAsia="Times New Roman" w:hint="default"/>
                <w:sz w:val="18"/>
                <w:szCs w:val="18"/>
              </w:rPr>
            </w:pPr>
            <w:r>
              <w:rPr>
                <w:rFonts w:ascii="Times New Roman"/>
                <w:spacing w:val="-1"/>
                <w:sz w:val="18"/>
              </w:rPr>
              <w:t>300,253,049.36</w:t>
            </w:r>
          </w:p>
        </w:tc>
      </w:tr>
      <w:tr>
        <w:trPr>
          <w:trHeight w:val="440"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2"/>
              <w:jc w:val="right"/>
              <w:rPr>
                <w:rFonts w:ascii="Times New Roman" w:hAnsi="Times New Roman" w:cs="Times New Roman" w:eastAsia="Times New Roman" w:hint="default"/>
                <w:sz w:val="18"/>
                <w:szCs w:val="18"/>
              </w:rPr>
            </w:pPr>
            <w:r>
              <w:rPr>
                <w:rFonts w:ascii="Times New Roman"/>
                <w:sz w:val="18"/>
              </w:rPr>
              <w:t>220,914.92</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2"/>
              <w:jc w:val="right"/>
              <w:rPr>
                <w:rFonts w:ascii="Times New Roman" w:hAnsi="Times New Roman" w:cs="Times New Roman" w:eastAsia="Times New Roman" w:hint="default"/>
                <w:sz w:val="18"/>
                <w:szCs w:val="18"/>
              </w:rPr>
            </w:pPr>
            <w:r>
              <w:rPr>
                <w:rFonts w:ascii="Times New Roman"/>
                <w:sz w:val="18"/>
              </w:rPr>
              <w:t>184,559.31</w:t>
            </w:r>
          </w:p>
        </w:tc>
      </w:tr>
      <w:tr>
        <w:trPr>
          <w:trHeight w:val="315" w:hRule="exact"/>
        </w:trPr>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21"/>
              <w:jc w:val="right"/>
              <w:rPr>
                <w:rFonts w:ascii="宋体" w:hAnsi="宋体" w:cs="宋体" w:eastAsia="宋体" w:hint="default"/>
                <w:sz w:val="18"/>
                <w:szCs w:val="18"/>
              </w:rPr>
            </w:pPr>
            <w:r>
              <w:rPr>
                <w:rFonts w:ascii="宋体" w:hAnsi="宋体" w:cs="宋体" w:eastAsia="宋体" w:hint="default"/>
                <w:sz w:val="18"/>
                <w:szCs w:val="18"/>
              </w:rPr>
              <w:t>合  计</w:t>
            </w:r>
          </w:p>
        </w:tc>
        <w:tc>
          <w:tcPr>
            <w:tcW w:w="331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439,528,567.20</w:t>
            </w:r>
            <w:r>
              <w:rPr>
                <w:rFonts w:ascii="Times New Roman"/>
                <w:spacing w:val="-1"/>
                <w:sz w:val="18"/>
              </w:rPr>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300,437,608.67</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rPr>
          <w:rFonts w:ascii="Times New Roman" w:hAnsi="Times New Roman" w:cs="Times New Roman" w:eastAsia="Times New Roman" w:hint="default"/>
        </w:rPr>
      </w:pPr>
      <w:r>
        <w:rPr/>
        <w:t>主营业务按业务类别列示</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26"/>
          <w:szCs w:val="26"/>
        </w:rPr>
      </w:pPr>
    </w:p>
    <w:p>
      <w:pPr>
        <w:tabs>
          <w:tab w:pos="4589" w:val="left" w:leader="none"/>
          <w:tab w:pos="6495" w:val="left" w:leader="none"/>
          <w:tab w:pos="9023" w:val="left" w:leader="none"/>
        </w:tabs>
        <w:spacing w:line="681" w:lineRule="auto" w:before="0"/>
        <w:ind w:left="1418" w:right="1977" w:firstLine="804"/>
        <w:jc w:val="left"/>
        <w:rPr>
          <w:rFonts w:ascii="宋体" w:hAnsi="宋体" w:cs="宋体" w:eastAsia="宋体" w:hint="default"/>
          <w:sz w:val="18"/>
          <w:szCs w:val="18"/>
        </w:rPr>
      </w:pPr>
      <w:r>
        <w:rPr/>
        <w:pict>
          <v:group style="position:absolute;margin-left:65.279999pt;margin-top:16.151712pt;width:472.05pt;height:.5pt;mso-position-horizontal-relative:page;mso-position-vertical-relative:paragraph;z-index:-946912" coordorigin="1306,323" coordsize="9441,10">
            <v:group style="position:absolute;left:1310;top:328;width:2548;height:2" coordorigin="1310,328" coordsize="2548,2">
              <v:shape style="position:absolute;left:1310;top:328;width:2548;height:2" coordorigin="1310,328" coordsize="2548,0" path="m1310,328l3858,328e" filled="false" stroked="true" strokeweight=".48pt" strokecolor="#000000">
                <v:path arrowok="t"/>
              </v:shape>
            </v:group>
            <v:group style="position:absolute;left:3858;top:328;width:10;height:2" coordorigin="3858,328" coordsize="10,2">
              <v:shape style="position:absolute;left:3858;top:328;width:10;height:2" coordorigin="3858,328" coordsize="10,0" path="m3858,328l3868,328e" filled="false" stroked="true" strokeweight=".48pt" strokecolor="#000000">
                <v:path arrowok="t"/>
              </v:shape>
            </v:group>
            <v:group style="position:absolute;left:3868;top:328;width:1815;height:2" coordorigin="3868,328" coordsize="1815,2">
              <v:shape style="position:absolute;left:3868;top:328;width:1815;height:2" coordorigin="3868,328" coordsize="1815,0" path="m3868,328l5683,328e" filled="false" stroked="true" strokeweight=".48pt" strokecolor="#000000">
                <v:path arrowok="t"/>
              </v:shape>
            </v:group>
            <v:group style="position:absolute;left:5683;top:328;width:10;height:2" coordorigin="5683,328" coordsize="10,2">
              <v:shape style="position:absolute;left:5683;top:328;width:10;height:2" coordorigin="5683,328" coordsize="10,0" path="m5683,328l5692,328e" filled="false" stroked="true" strokeweight=".48pt" strokecolor="#000000">
                <v:path arrowok="t"/>
              </v:shape>
            </v:group>
            <v:group style="position:absolute;left:5692;top:328;width:2521;height:2" coordorigin="5692,328" coordsize="2521,2">
              <v:shape style="position:absolute;left:5692;top:328;width:2521;height:2" coordorigin="5692,328" coordsize="2521,0" path="m5692,328l8213,328e" filled="false" stroked="true" strokeweight=".48pt" strokecolor="#000000">
                <v:path arrowok="t"/>
              </v:shape>
            </v:group>
            <v:group style="position:absolute;left:8213;top:328;width:10;height:2" coordorigin="8213,328" coordsize="10,2">
              <v:shape style="position:absolute;left:8213;top:328;width:10;height:2" coordorigin="8213,328" coordsize="10,0" path="m8213,328l8222,328e" filled="false" stroked="true" strokeweight=".48pt" strokecolor="#000000">
                <v:path arrowok="t"/>
              </v:shape>
            </v:group>
            <v:group style="position:absolute;left:8222;top:328;width:2519;height:2" coordorigin="8222,328" coordsize="2519,2">
              <v:shape style="position:absolute;left:8222;top:328;width:2519;height:2" coordorigin="8222,328" coordsize="2519,0" path="m8222,328l10741,328e" filled="false" stroked="true" strokeweight=".48pt" strokecolor="#000000">
                <v:path arrowok="t"/>
              </v:shape>
            </v:group>
            <w10:wrap type="none"/>
          </v:group>
        </w:pict>
      </w:r>
      <w:r>
        <w:rPr/>
        <w:pict>
          <v:shape style="position:absolute;margin-left:196.570007pt;margin-top:20.277338pt;width:313.350pt;height:129.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7"/>
                    <w:gridCol w:w="2738"/>
                    <w:gridCol w:w="1862"/>
                  </w:tblGrid>
                  <w:tr>
                    <w:trPr>
                      <w:trHeight w:val="415"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01"/>
                          <w:jc w:val="right"/>
                          <w:rPr>
                            <w:rFonts w:ascii="Times New Roman" w:hAnsi="Times New Roman" w:cs="Times New Roman" w:eastAsia="Times New Roman" w:hint="default"/>
                            <w:sz w:val="18"/>
                            <w:szCs w:val="18"/>
                          </w:rPr>
                        </w:pPr>
                        <w:r>
                          <w:rPr>
                            <w:rFonts w:ascii="Times New Roman"/>
                            <w:spacing w:val="-1"/>
                            <w:sz w:val="18"/>
                          </w:rPr>
                          <w:t>502,509,083.67</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345,751,421.07</w:t>
                        </w:r>
                      </w:p>
                    </w:tc>
                  </w:tr>
                  <w:tr>
                    <w:trPr>
                      <w:trHeight w:val="44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01"/>
                          <w:jc w:val="right"/>
                          <w:rPr>
                            <w:rFonts w:ascii="Times New Roman" w:hAnsi="Times New Roman" w:cs="Times New Roman" w:eastAsia="Times New Roman" w:hint="default"/>
                            <w:sz w:val="18"/>
                            <w:szCs w:val="18"/>
                          </w:rPr>
                        </w:pPr>
                        <w:r>
                          <w:rPr>
                            <w:rFonts w:ascii="Times New Roman"/>
                            <w:spacing w:val="-1"/>
                            <w:sz w:val="18"/>
                          </w:rPr>
                          <w:t>154,158,400.48</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28,645,612.12</w:t>
                        </w:r>
                      </w:p>
                    </w:tc>
                  </w:tr>
                  <w:tr>
                    <w:trPr>
                      <w:trHeight w:val="44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01"/>
                          <w:jc w:val="right"/>
                          <w:rPr>
                            <w:rFonts w:ascii="Times New Roman" w:hAnsi="Times New Roman" w:cs="Times New Roman" w:eastAsia="Times New Roman" w:hint="default"/>
                            <w:sz w:val="18"/>
                            <w:szCs w:val="18"/>
                          </w:rPr>
                        </w:pPr>
                        <w:r>
                          <w:rPr>
                            <w:rFonts w:ascii="Times New Roman"/>
                            <w:spacing w:val="-1"/>
                            <w:sz w:val="18"/>
                          </w:rPr>
                          <w:t>432,352,638.64</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433,815,177.95</w:t>
                        </w:r>
                      </w:p>
                    </w:tc>
                  </w:tr>
                  <w:tr>
                    <w:trPr>
                      <w:trHeight w:val="44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01"/>
                          <w:jc w:val="right"/>
                          <w:rPr>
                            <w:rFonts w:ascii="Times New Roman" w:hAnsi="Times New Roman" w:cs="Times New Roman" w:eastAsia="Times New Roman" w:hint="default"/>
                            <w:sz w:val="18"/>
                            <w:szCs w:val="18"/>
                          </w:rPr>
                        </w:pPr>
                        <w:r>
                          <w:rPr>
                            <w:rFonts w:ascii="Times New Roman"/>
                            <w:spacing w:val="-1"/>
                            <w:sz w:val="18"/>
                          </w:rPr>
                          <w:t>285,149,251.80</w:t>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271,607,437.24</w:t>
                        </w:r>
                      </w:p>
                    </w:tc>
                  </w:tr>
                  <w:tr>
                    <w:trPr>
                      <w:trHeight w:val="440"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934,861,722.31</w:t>
                        </w:r>
                        <w:r>
                          <w:rPr>
                            <w:rFonts w:ascii="Times New Roman"/>
                            <w:spacing w:val="-1"/>
                            <w:sz w:val="18"/>
                          </w:rPr>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779,566,599.02</w:t>
                        </w:r>
                        <w:r>
                          <w:rPr>
                            <w:rFonts w:ascii="Times New Roman"/>
                            <w:spacing w:val="-1"/>
                            <w:sz w:val="18"/>
                          </w:rPr>
                        </w:r>
                      </w:p>
                    </w:tc>
                  </w:tr>
                  <w:tr>
                    <w:trPr>
                      <w:trHeight w:val="415" w:hRule="exact"/>
                    </w:trPr>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439,307,652.28</w:t>
                        </w:r>
                        <w:r>
                          <w:rPr>
                            <w:rFonts w:ascii="Times New Roman"/>
                            <w:spacing w:val="-1"/>
                            <w:sz w:val="18"/>
                          </w:rPr>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300,253,049.36</w:t>
                        </w:r>
                        <w:r>
                          <w:rPr>
                            <w:rFonts w:ascii="Times New Roman"/>
                            <w:spacing w:val="-1"/>
                            <w:sz w:val="18"/>
                          </w:rPr>
                        </w:r>
                      </w:p>
                    </w:tc>
                  </w:tr>
                </w:tbl>
                <w:p>
                  <w:pPr/>
                </w:p>
              </w:txbxContent>
            </v:textbox>
            <w10:wrap type="none"/>
          </v:shape>
        </w:pict>
      </w:r>
      <w:r>
        <w:rPr>
          <w:rFonts w:ascii="宋体" w:hAnsi="宋体" w:cs="宋体" w:eastAsia="宋体" w:hint="default"/>
          <w:b/>
          <w:bCs/>
          <w:w w:val="95"/>
          <w:sz w:val="18"/>
          <w:szCs w:val="18"/>
        </w:rPr>
        <w:t>业务类别</w:t>
        <w:tab/>
        <w:t>项目</w:t>
        <w:tab/>
        <w:t>本期发生额</w:t>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t>移动互联网游戏业务</w:t>
      </w:r>
    </w:p>
    <w:p>
      <w:pPr>
        <w:spacing w:line="240" w:lineRule="auto" w:before="8"/>
        <w:rPr>
          <w:rFonts w:ascii="宋体" w:hAnsi="宋体" w:cs="宋体" w:eastAsia="宋体" w:hint="default"/>
          <w:sz w:val="20"/>
          <w:szCs w:val="20"/>
        </w:rPr>
      </w:pPr>
    </w:p>
    <w:p>
      <w:pPr>
        <w:pStyle w:val="BodyText"/>
        <w:spacing w:line="240" w:lineRule="auto" w:before="44"/>
        <w:ind w:left="1418" w:right="1117"/>
        <w:jc w:val="left"/>
      </w:pPr>
      <w:r>
        <w:rPr/>
        <w:t>图书出版发行业务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left="2314" w:right="1117"/>
        <w:jc w:val="left"/>
      </w:pPr>
      <w:r>
        <w:rPr/>
        <w:t>合  计</w:t>
      </w:r>
    </w:p>
    <w:p>
      <w:pPr>
        <w:spacing w:line="240" w:lineRule="auto" w:before="1"/>
        <w:rPr>
          <w:rFonts w:ascii="宋体" w:hAnsi="宋体" w:cs="宋体" w:eastAsia="宋体" w:hint="default"/>
          <w:sz w:val="29"/>
          <w:szCs w:val="29"/>
        </w:rPr>
      </w:pPr>
    </w:p>
    <w:p>
      <w:pPr>
        <w:pStyle w:val="BodyText"/>
        <w:spacing w:line="240" w:lineRule="auto" w:before="44"/>
        <w:ind w:right="1117"/>
        <w:jc w:val="left"/>
      </w:pPr>
      <w:bookmarkStart w:name="33.税金及附加" w:id="225"/>
      <w:bookmarkEnd w:id="225"/>
      <w:r>
        <w:rPr/>
      </w:r>
      <w:r>
        <w:rPr>
          <w:rFonts w:ascii="Times New Roman" w:hAnsi="Times New Roman" w:cs="Times New Roman" w:eastAsia="Times New Roman" w:hint="default"/>
        </w:rPr>
        <w:t>33.</w:t>
      </w:r>
      <w:r>
        <w:rPr/>
        <w:t>税金及附加</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072"/>
        <w:gridCol w:w="2370"/>
        <w:gridCol w:w="1951"/>
        <w:gridCol w:w="2038"/>
      </w:tblGrid>
      <w:tr>
        <w:trPr>
          <w:trHeight w:val="272" w:hRule="exact"/>
        </w:trPr>
        <w:tc>
          <w:tcPr>
            <w:tcW w:w="3072" w:type="dxa"/>
            <w:tcBorders>
              <w:top w:val="nil" w:sz="6" w:space="0" w:color="auto"/>
              <w:left w:val="nil" w:sz="6" w:space="0" w:color="auto"/>
              <w:bottom w:val="single" w:sz="4" w:space="0" w:color="000000"/>
              <w:right w:val="nil" w:sz="6" w:space="0" w:color="auto"/>
            </w:tcBorders>
          </w:tcPr>
          <w:p>
            <w:pPr>
              <w:pStyle w:val="TableParagraph"/>
              <w:spacing w:line="180" w:lineRule="exact"/>
              <w:ind w:left="236"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370" w:type="dxa"/>
            <w:tcBorders>
              <w:top w:val="nil" w:sz="6" w:space="0" w:color="auto"/>
              <w:left w:val="nil" w:sz="6" w:space="0" w:color="auto"/>
              <w:bottom w:val="single" w:sz="4" w:space="0" w:color="000000"/>
              <w:right w:val="nil" w:sz="6" w:space="0" w:color="auto"/>
            </w:tcBorders>
          </w:tcPr>
          <w:p>
            <w:pPr>
              <w:pStyle w:val="TableParagraph"/>
              <w:spacing w:line="180" w:lineRule="exact"/>
              <w:ind w:left="80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51" w:type="dxa"/>
            <w:tcBorders>
              <w:top w:val="nil" w:sz="6" w:space="0" w:color="auto"/>
              <w:left w:val="nil" w:sz="6" w:space="0" w:color="auto"/>
              <w:bottom w:val="single" w:sz="4" w:space="0" w:color="000000"/>
              <w:right w:val="nil" w:sz="6" w:space="0" w:color="auto"/>
            </w:tcBorders>
          </w:tcPr>
          <w:p>
            <w:pPr>
              <w:pStyle w:val="TableParagraph"/>
              <w:spacing w:line="180" w:lineRule="exact"/>
              <w:ind w:left="47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38" w:type="dxa"/>
            <w:tcBorders>
              <w:top w:val="nil" w:sz="6" w:space="0" w:color="auto"/>
              <w:left w:val="nil" w:sz="6" w:space="0" w:color="auto"/>
              <w:bottom w:val="single" w:sz="4" w:space="0" w:color="000000"/>
              <w:right w:val="nil" w:sz="6" w:space="0" w:color="auto"/>
            </w:tcBorders>
          </w:tcPr>
          <w:p>
            <w:pPr>
              <w:pStyle w:val="TableParagraph"/>
              <w:spacing w:line="194" w:lineRule="exact"/>
              <w:ind w:right="3"/>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3" w:hRule="exact"/>
        </w:trPr>
        <w:tc>
          <w:tcPr>
            <w:tcW w:w="307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70"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473"/>
              <w:jc w:val="right"/>
              <w:rPr>
                <w:rFonts w:ascii="Times New Roman" w:hAnsi="Times New Roman" w:cs="Times New Roman" w:eastAsia="Times New Roman" w:hint="default"/>
                <w:sz w:val="18"/>
                <w:szCs w:val="18"/>
              </w:rPr>
            </w:pPr>
            <w:r>
              <w:rPr>
                <w:rFonts w:ascii="Times New Roman"/>
                <w:spacing w:val="-1"/>
                <w:sz w:val="18"/>
              </w:rPr>
              <w:t>1,303,510.49</w:t>
            </w: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82"/>
              <w:jc w:val="right"/>
              <w:rPr>
                <w:rFonts w:ascii="Times New Roman" w:hAnsi="Times New Roman" w:cs="Times New Roman" w:eastAsia="Times New Roman" w:hint="default"/>
                <w:sz w:val="18"/>
                <w:szCs w:val="18"/>
              </w:rPr>
            </w:pPr>
            <w:r>
              <w:rPr>
                <w:rFonts w:ascii="Times New Roman"/>
                <w:spacing w:val="-1"/>
                <w:sz w:val="18"/>
              </w:rPr>
              <w:t>1,245,377.71</w:t>
            </w: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41" w:hRule="exact"/>
        </w:trPr>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教育费附加及地方教育附加</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73"/>
              <w:jc w:val="right"/>
              <w:rPr>
                <w:rFonts w:ascii="Times New Roman" w:hAnsi="Times New Roman" w:cs="Times New Roman" w:eastAsia="Times New Roman" w:hint="default"/>
                <w:sz w:val="18"/>
                <w:szCs w:val="18"/>
              </w:rPr>
            </w:pPr>
            <w:r>
              <w:rPr>
                <w:rFonts w:ascii="Times New Roman"/>
                <w:spacing w:val="-1"/>
                <w:sz w:val="18"/>
              </w:rPr>
              <w:t>1,058,670.08</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82"/>
              <w:jc w:val="right"/>
              <w:rPr>
                <w:rFonts w:ascii="Times New Roman" w:hAnsi="Times New Roman" w:cs="Times New Roman" w:eastAsia="Times New Roman" w:hint="default"/>
                <w:sz w:val="18"/>
                <w:szCs w:val="18"/>
              </w:rPr>
            </w:pPr>
            <w:r>
              <w:rPr>
                <w:rFonts w:ascii="Times New Roman"/>
                <w:sz w:val="18"/>
              </w:rPr>
              <w:t>949,096.50</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5</w:t>
            </w:r>
          </w:p>
        </w:tc>
      </w:tr>
      <w:tr>
        <w:trPr>
          <w:trHeight w:val="440" w:hRule="exact"/>
        </w:trPr>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72"/>
              <w:jc w:val="right"/>
              <w:rPr>
                <w:rFonts w:ascii="Times New Roman" w:hAnsi="Times New Roman" w:cs="Times New Roman" w:eastAsia="Times New Roman" w:hint="default"/>
                <w:sz w:val="18"/>
                <w:szCs w:val="18"/>
              </w:rPr>
            </w:pPr>
            <w:r>
              <w:rPr>
                <w:rFonts w:ascii="Times New Roman"/>
                <w:sz w:val="18"/>
              </w:rPr>
              <w:t>555,672.24</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82"/>
              <w:jc w:val="right"/>
              <w:rPr>
                <w:rFonts w:ascii="Times New Roman" w:hAnsi="Times New Roman" w:cs="Times New Roman" w:eastAsia="Times New Roman" w:hint="default"/>
                <w:sz w:val="18"/>
                <w:szCs w:val="18"/>
              </w:rPr>
            </w:pPr>
            <w:r>
              <w:rPr>
                <w:rFonts w:ascii="Times New Roman"/>
                <w:sz w:val="18"/>
              </w:rPr>
              <w:t>344,076.31</w:t>
            </w:r>
          </w:p>
        </w:tc>
        <w:tc>
          <w:tcPr>
            <w:tcW w:w="2038" w:type="dxa"/>
            <w:tcBorders>
              <w:top w:val="nil" w:sz="6" w:space="0" w:color="auto"/>
              <w:left w:val="nil" w:sz="6" w:space="0" w:color="auto"/>
              <w:bottom w:val="nil" w:sz="6" w:space="0" w:color="auto"/>
              <w:right w:val="nil" w:sz="6" w:space="0" w:color="auto"/>
            </w:tcBorders>
          </w:tcPr>
          <w:p>
            <w:pPr/>
          </w:p>
        </w:tc>
      </w:tr>
      <w:tr>
        <w:trPr>
          <w:trHeight w:val="440" w:hRule="exact"/>
        </w:trPr>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2"/>
              <w:jc w:val="right"/>
              <w:rPr>
                <w:rFonts w:ascii="Times New Roman" w:hAnsi="Times New Roman" w:cs="Times New Roman" w:eastAsia="Times New Roman" w:hint="default"/>
                <w:sz w:val="18"/>
                <w:szCs w:val="18"/>
              </w:rPr>
            </w:pPr>
            <w:r>
              <w:rPr>
                <w:rFonts w:ascii="Times New Roman"/>
                <w:sz w:val="18"/>
              </w:rPr>
              <w:t>35,871.14</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2"/>
              <w:jc w:val="right"/>
              <w:rPr>
                <w:rFonts w:ascii="Times New Roman" w:hAnsi="Times New Roman" w:cs="Times New Roman" w:eastAsia="Times New Roman" w:hint="default"/>
                <w:sz w:val="18"/>
                <w:szCs w:val="18"/>
              </w:rPr>
            </w:pPr>
            <w:r>
              <w:rPr>
                <w:rFonts w:ascii="Times New Roman"/>
                <w:sz w:val="18"/>
              </w:rPr>
              <w:t>32,599.97</w:t>
            </w:r>
          </w:p>
        </w:tc>
        <w:tc>
          <w:tcPr>
            <w:tcW w:w="2038" w:type="dxa"/>
            <w:tcBorders>
              <w:top w:val="nil" w:sz="6" w:space="0" w:color="auto"/>
              <w:left w:val="nil" w:sz="6" w:space="0" w:color="auto"/>
              <w:bottom w:val="nil" w:sz="6" w:space="0" w:color="auto"/>
              <w:right w:val="nil" w:sz="6" w:space="0" w:color="auto"/>
            </w:tcBorders>
          </w:tcPr>
          <w:p>
            <w:pPr/>
          </w:p>
        </w:tc>
      </w:tr>
      <w:tr>
        <w:trPr>
          <w:trHeight w:val="315" w:hRule="exact"/>
        </w:trPr>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72"/>
              <w:jc w:val="right"/>
              <w:rPr>
                <w:rFonts w:ascii="Times New Roman" w:hAnsi="Times New Roman" w:cs="Times New Roman" w:eastAsia="Times New Roman" w:hint="default"/>
                <w:sz w:val="18"/>
                <w:szCs w:val="18"/>
              </w:rPr>
            </w:pPr>
            <w:r>
              <w:rPr>
                <w:rFonts w:ascii="Times New Roman"/>
                <w:sz w:val="18"/>
              </w:rPr>
              <w:t>20,040.00</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82"/>
              <w:jc w:val="right"/>
              <w:rPr>
                <w:rFonts w:ascii="Times New Roman" w:hAnsi="Times New Roman" w:cs="Times New Roman" w:eastAsia="Times New Roman" w:hint="default"/>
                <w:sz w:val="18"/>
                <w:szCs w:val="18"/>
              </w:rPr>
            </w:pPr>
            <w:r>
              <w:rPr>
                <w:rFonts w:ascii="Times New Roman"/>
                <w:sz w:val="18"/>
              </w:rPr>
              <w:t>7,253.33</w:t>
            </w:r>
          </w:p>
        </w:tc>
        <w:tc>
          <w:tcPr>
            <w:tcW w:w="203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2900"/>
        <w:gridCol w:w="2541"/>
        <w:gridCol w:w="1951"/>
        <w:gridCol w:w="2038"/>
      </w:tblGrid>
      <w:tr>
        <w:trPr>
          <w:trHeight w:val="272" w:hRule="exact"/>
        </w:trPr>
        <w:tc>
          <w:tcPr>
            <w:tcW w:w="2900" w:type="dxa"/>
            <w:tcBorders>
              <w:top w:val="nil" w:sz="6" w:space="0" w:color="auto"/>
              <w:left w:val="nil" w:sz="6" w:space="0" w:color="auto"/>
              <w:bottom w:val="single" w:sz="4" w:space="0" w:color="000000"/>
              <w:right w:val="nil" w:sz="6" w:space="0" w:color="auto"/>
            </w:tcBorders>
          </w:tcPr>
          <w:p>
            <w:pPr>
              <w:pStyle w:val="TableParagraph"/>
              <w:spacing w:line="180" w:lineRule="exact"/>
              <w:ind w:right="973"/>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41" w:type="dxa"/>
            <w:tcBorders>
              <w:top w:val="nil" w:sz="6" w:space="0" w:color="auto"/>
              <w:left w:val="nil" w:sz="6" w:space="0" w:color="auto"/>
              <w:bottom w:val="single" w:sz="4" w:space="0" w:color="000000"/>
              <w:right w:val="nil" w:sz="6" w:space="0" w:color="auto"/>
            </w:tcBorders>
          </w:tcPr>
          <w:p>
            <w:pPr>
              <w:pStyle w:val="TableParagraph"/>
              <w:spacing w:line="180" w:lineRule="exact"/>
              <w:ind w:left="97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51" w:type="dxa"/>
            <w:tcBorders>
              <w:top w:val="nil" w:sz="6" w:space="0" w:color="auto"/>
              <w:left w:val="nil" w:sz="6" w:space="0" w:color="auto"/>
              <w:bottom w:val="single" w:sz="4" w:space="0" w:color="000000"/>
              <w:right w:val="nil" w:sz="6" w:space="0" w:color="auto"/>
            </w:tcBorders>
          </w:tcPr>
          <w:p>
            <w:pPr>
              <w:pStyle w:val="TableParagraph"/>
              <w:spacing w:line="180" w:lineRule="exact"/>
              <w:ind w:left="47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38" w:type="dxa"/>
            <w:tcBorders>
              <w:top w:val="nil" w:sz="6" w:space="0" w:color="auto"/>
              <w:left w:val="nil" w:sz="6" w:space="0" w:color="auto"/>
              <w:bottom w:val="single" w:sz="4" w:space="0" w:color="000000"/>
              <w:right w:val="nil" w:sz="6" w:space="0" w:color="auto"/>
            </w:tcBorders>
          </w:tcPr>
          <w:p>
            <w:pPr>
              <w:pStyle w:val="TableParagraph"/>
              <w:spacing w:line="194" w:lineRule="exact"/>
              <w:ind w:right="3"/>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3" w:hRule="exact"/>
        </w:trPr>
        <w:tc>
          <w:tcPr>
            <w:tcW w:w="290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54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474"/>
              <w:jc w:val="right"/>
              <w:rPr>
                <w:rFonts w:ascii="Times New Roman" w:hAnsi="Times New Roman" w:cs="Times New Roman" w:eastAsia="Times New Roman" w:hint="default"/>
                <w:sz w:val="18"/>
                <w:szCs w:val="18"/>
              </w:rPr>
            </w:pPr>
            <w:r>
              <w:rPr>
                <w:rFonts w:ascii="Times New Roman"/>
                <w:spacing w:val="-1"/>
                <w:sz w:val="18"/>
              </w:rPr>
              <w:t>2,534,778.12</w:t>
            </w: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82"/>
              <w:jc w:val="right"/>
              <w:rPr>
                <w:rFonts w:ascii="Times New Roman" w:hAnsi="Times New Roman" w:cs="Times New Roman" w:eastAsia="Times New Roman" w:hint="default"/>
                <w:sz w:val="18"/>
                <w:szCs w:val="18"/>
              </w:rPr>
            </w:pPr>
            <w:r>
              <w:rPr>
                <w:rFonts w:ascii="Times New Roman"/>
                <w:sz w:val="18"/>
              </w:rPr>
              <w:t>909,381.95</w:t>
            </w:r>
          </w:p>
        </w:tc>
        <w:tc>
          <w:tcPr>
            <w:tcW w:w="2038"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541"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82"/>
              <w:jc w:val="right"/>
              <w:rPr>
                <w:rFonts w:ascii="Times New Roman" w:hAnsi="Times New Roman" w:cs="Times New Roman" w:eastAsia="Times New Roman" w:hint="default"/>
                <w:sz w:val="18"/>
                <w:szCs w:val="18"/>
              </w:rPr>
            </w:pPr>
            <w:r>
              <w:rPr>
                <w:rFonts w:ascii="Times New Roman"/>
                <w:sz w:val="18"/>
              </w:rPr>
              <w:t>45,943.56</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5</w:t>
            </w:r>
          </w:p>
        </w:tc>
      </w:tr>
      <w:tr>
        <w:trPr>
          <w:trHeight w:val="315"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74"/>
              <w:jc w:val="right"/>
              <w:rPr>
                <w:rFonts w:ascii="宋体" w:hAnsi="宋体" w:cs="宋体" w:eastAsia="宋体" w:hint="default"/>
                <w:sz w:val="18"/>
                <w:szCs w:val="18"/>
              </w:rPr>
            </w:pPr>
            <w:r>
              <w:rPr>
                <w:rFonts w:ascii="宋体" w:hAnsi="宋体" w:cs="宋体" w:eastAsia="宋体" w:hint="default"/>
                <w:sz w:val="18"/>
                <w:szCs w:val="18"/>
              </w:rPr>
              <w:t>合  计</w:t>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5,508,542.07</w:t>
            </w:r>
            <w:r>
              <w:rPr>
                <w:rFonts w:ascii="Times New Roman"/>
                <w:spacing w:val="-1"/>
                <w:sz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3,533,729.33</w:t>
            </w:r>
            <w:r>
              <w:rPr>
                <w:rFonts w:ascii="Times New Roman"/>
                <w:spacing w:val="-1"/>
                <w:sz w:val="18"/>
              </w:rPr>
            </w:r>
          </w:p>
        </w:tc>
        <w:tc>
          <w:tcPr>
            <w:tcW w:w="2038"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34.销售费用" w:id="226"/>
      <w:bookmarkEnd w:id="226"/>
      <w:r>
        <w:rPr/>
      </w:r>
      <w:r>
        <w:rPr>
          <w:rFonts w:ascii="Times New Roman" w:hAnsi="Times New Roman" w:cs="Times New Roman" w:eastAsia="Times New Roman" w:hint="default"/>
        </w:rPr>
        <w:t>34.</w:t>
      </w:r>
      <w:r>
        <w:rPr/>
        <w:t>销售费用</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2904"/>
        <w:gridCol w:w="3396"/>
        <w:gridCol w:w="2915"/>
      </w:tblGrid>
      <w:tr>
        <w:trPr>
          <w:trHeight w:val="272" w:hRule="exact"/>
        </w:trPr>
        <w:tc>
          <w:tcPr>
            <w:tcW w:w="2904" w:type="dxa"/>
            <w:tcBorders>
              <w:top w:val="nil" w:sz="6" w:space="0" w:color="auto"/>
              <w:left w:val="nil" w:sz="6" w:space="0" w:color="auto"/>
              <w:bottom w:val="single" w:sz="4" w:space="0" w:color="000000"/>
              <w:right w:val="nil" w:sz="6" w:space="0" w:color="auto"/>
            </w:tcBorders>
          </w:tcPr>
          <w:p>
            <w:pPr>
              <w:pStyle w:val="TableParagraph"/>
              <w:spacing w:line="180" w:lineRule="exact"/>
              <w:ind w:right="1064"/>
              <w:jc w:val="right"/>
              <w:rPr>
                <w:rFonts w:ascii="宋体" w:hAnsi="宋体" w:cs="宋体" w:eastAsia="宋体" w:hint="default"/>
                <w:sz w:val="18"/>
                <w:szCs w:val="18"/>
              </w:rPr>
            </w:pPr>
            <w:r>
              <w:rPr>
                <w:rFonts w:ascii="宋体" w:hAnsi="宋体" w:cs="宋体" w:eastAsia="宋体" w:hint="default"/>
                <w:b/>
                <w:bCs/>
                <w:w w:val="95"/>
                <w:sz w:val="18"/>
                <w:szCs w:val="18"/>
              </w:rPr>
              <w:t>费用性质</w:t>
            </w:r>
            <w:r>
              <w:rPr>
                <w:rFonts w:ascii="宋体" w:hAnsi="宋体" w:cs="宋体" w:eastAsia="宋体" w:hint="default"/>
                <w:sz w:val="18"/>
                <w:szCs w:val="18"/>
              </w:rPr>
            </w:r>
          </w:p>
        </w:tc>
        <w:tc>
          <w:tcPr>
            <w:tcW w:w="3396"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15" w:type="dxa"/>
            <w:tcBorders>
              <w:top w:val="nil" w:sz="6" w:space="0" w:color="auto"/>
              <w:left w:val="nil" w:sz="6" w:space="0" w:color="auto"/>
              <w:bottom w:val="single" w:sz="4" w:space="0" w:color="000000"/>
              <w:right w:val="nil" w:sz="6" w:space="0" w:color="auto"/>
            </w:tcBorders>
          </w:tcPr>
          <w:p>
            <w:pPr>
              <w:pStyle w:val="TableParagraph"/>
              <w:spacing w:line="180" w:lineRule="exact"/>
              <w:ind w:left="92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290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560"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39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925"/>
              <w:jc w:val="right"/>
              <w:rPr>
                <w:rFonts w:ascii="Times New Roman" w:hAnsi="Times New Roman" w:cs="Times New Roman" w:eastAsia="Times New Roman" w:hint="default"/>
                <w:sz w:val="18"/>
                <w:szCs w:val="18"/>
              </w:rPr>
            </w:pPr>
            <w:r>
              <w:rPr>
                <w:rFonts w:ascii="Times New Roman"/>
                <w:spacing w:val="-1"/>
                <w:sz w:val="18"/>
              </w:rPr>
              <w:t>20,576,513.42</w:t>
            </w:r>
          </w:p>
        </w:tc>
        <w:tc>
          <w:tcPr>
            <w:tcW w:w="291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767"/>
              <w:jc w:val="right"/>
              <w:rPr>
                <w:rFonts w:ascii="Times New Roman" w:hAnsi="Times New Roman" w:cs="Times New Roman" w:eastAsia="Times New Roman" w:hint="default"/>
                <w:sz w:val="18"/>
                <w:szCs w:val="18"/>
              </w:rPr>
            </w:pPr>
            <w:r>
              <w:rPr>
                <w:rFonts w:ascii="Times New Roman"/>
                <w:spacing w:val="-1"/>
                <w:sz w:val="18"/>
              </w:rPr>
              <w:t>19,682,061.16</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6"/>
              <w:jc w:val="right"/>
              <w:rPr>
                <w:rFonts w:ascii="Times New Roman" w:hAnsi="Times New Roman" w:cs="Times New Roman" w:eastAsia="Times New Roman" w:hint="default"/>
                <w:sz w:val="18"/>
                <w:szCs w:val="18"/>
              </w:rPr>
            </w:pPr>
            <w:r>
              <w:rPr>
                <w:rFonts w:ascii="Times New Roman"/>
                <w:spacing w:val="-1"/>
                <w:sz w:val="18"/>
              </w:rPr>
              <w:t>4,050,459.00</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4,025,146.09</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6"/>
              <w:jc w:val="right"/>
              <w:rPr>
                <w:rFonts w:ascii="Times New Roman" w:hAnsi="Times New Roman" w:cs="Times New Roman" w:eastAsia="Times New Roman" w:hint="default"/>
                <w:sz w:val="18"/>
                <w:szCs w:val="18"/>
              </w:rPr>
            </w:pPr>
            <w:r>
              <w:rPr>
                <w:rFonts w:ascii="Times New Roman"/>
                <w:spacing w:val="-1"/>
                <w:sz w:val="18"/>
              </w:rPr>
              <w:t>4,806,056.93</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3,863,596.41</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4"/>
              <w:jc w:val="right"/>
              <w:rPr>
                <w:rFonts w:ascii="Times New Roman" w:hAnsi="Times New Roman" w:cs="Times New Roman" w:eastAsia="Times New Roman" w:hint="default"/>
                <w:sz w:val="18"/>
                <w:szCs w:val="18"/>
              </w:rPr>
            </w:pPr>
            <w:r>
              <w:rPr>
                <w:rFonts w:ascii="Times New Roman"/>
                <w:spacing w:val="-1"/>
                <w:sz w:val="18"/>
              </w:rPr>
              <w:t>10,906,116.84</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7"/>
              <w:jc w:val="right"/>
              <w:rPr>
                <w:rFonts w:ascii="Times New Roman" w:hAnsi="Times New Roman" w:cs="Times New Roman" w:eastAsia="Times New Roman" w:hint="default"/>
                <w:sz w:val="18"/>
                <w:szCs w:val="18"/>
              </w:rPr>
            </w:pPr>
            <w:r>
              <w:rPr>
                <w:rFonts w:ascii="Times New Roman"/>
                <w:spacing w:val="-1"/>
                <w:sz w:val="18"/>
              </w:rPr>
              <w:t>13,627,726.45</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6"/>
              <w:jc w:val="right"/>
              <w:rPr>
                <w:rFonts w:ascii="Times New Roman" w:hAnsi="Times New Roman" w:cs="Times New Roman" w:eastAsia="Times New Roman" w:hint="default"/>
                <w:sz w:val="18"/>
                <w:szCs w:val="18"/>
              </w:rPr>
            </w:pPr>
            <w:r>
              <w:rPr>
                <w:rFonts w:ascii="Times New Roman"/>
                <w:spacing w:val="-1"/>
                <w:sz w:val="18"/>
              </w:rPr>
              <w:t>3,108,706.90</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2,747,047.22</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pacing w:val="-1"/>
                <w:sz w:val="18"/>
              </w:rPr>
              <w:t>2,130,619.53</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2,546,278.80</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6"/>
              <w:jc w:val="right"/>
              <w:rPr>
                <w:rFonts w:ascii="Times New Roman" w:hAnsi="Times New Roman" w:cs="Times New Roman" w:eastAsia="Times New Roman" w:hint="default"/>
                <w:sz w:val="18"/>
                <w:szCs w:val="18"/>
              </w:rPr>
            </w:pPr>
            <w:r>
              <w:rPr>
                <w:rFonts w:ascii="Times New Roman"/>
                <w:spacing w:val="-1"/>
                <w:sz w:val="18"/>
              </w:rPr>
              <w:t>2,925,893.66</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7"/>
              <w:jc w:val="right"/>
              <w:rPr>
                <w:rFonts w:ascii="Times New Roman" w:hAnsi="Times New Roman" w:cs="Times New Roman" w:eastAsia="Times New Roman" w:hint="default"/>
                <w:sz w:val="18"/>
                <w:szCs w:val="18"/>
              </w:rPr>
            </w:pPr>
            <w:r>
              <w:rPr>
                <w:rFonts w:ascii="Times New Roman"/>
                <w:spacing w:val="-1"/>
                <w:sz w:val="18"/>
              </w:rPr>
              <w:t>2,168,193.40</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pacing w:val="-1"/>
                <w:sz w:val="18"/>
              </w:rPr>
              <w:t>6,509,953.14</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7,347,351.23</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6"/>
              <w:jc w:val="right"/>
              <w:rPr>
                <w:rFonts w:ascii="Times New Roman" w:hAnsi="Times New Roman" w:cs="Times New Roman" w:eastAsia="Times New Roman" w:hint="default"/>
                <w:sz w:val="18"/>
                <w:szCs w:val="18"/>
              </w:rPr>
            </w:pPr>
            <w:r>
              <w:rPr>
                <w:rFonts w:ascii="Times New Roman"/>
                <w:spacing w:val="-1"/>
                <w:sz w:val="18"/>
              </w:rPr>
              <w:t>4,321,074.56</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3,934,403.59</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5"/>
              <w:jc w:val="right"/>
              <w:rPr>
                <w:rFonts w:ascii="Times New Roman" w:hAnsi="Times New Roman" w:cs="Times New Roman" w:eastAsia="Times New Roman" w:hint="default"/>
                <w:sz w:val="18"/>
                <w:szCs w:val="18"/>
              </w:rPr>
            </w:pPr>
            <w:r>
              <w:rPr>
                <w:rFonts w:ascii="Times New Roman"/>
                <w:sz w:val="18"/>
              </w:rPr>
              <w:t>593,821.32</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7"/>
              <w:jc w:val="right"/>
              <w:rPr>
                <w:rFonts w:ascii="Times New Roman" w:hAnsi="Times New Roman" w:cs="Times New Roman" w:eastAsia="Times New Roman" w:hint="default"/>
                <w:sz w:val="18"/>
                <w:szCs w:val="18"/>
              </w:rPr>
            </w:pPr>
            <w:r>
              <w:rPr>
                <w:rFonts w:ascii="Times New Roman"/>
                <w:sz w:val="18"/>
              </w:rPr>
              <w:t>830,462.64</w:t>
            </w:r>
          </w:p>
        </w:tc>
      </w:tr>
      <w:tr>
        <w:trPr>
          <w:trHeight w:val="440"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6"/>
              <w:jc w:val="right"/>
              <w:rPr>
                <w:rFonts w:ascii="Times New Roman" w:hAnsi="Times New Roman" w:cs="Times New Roman" w:eastAsia="Times New Roman" w:hint="default"/>
                <w:sz w:val="18"/>
                <w:szCs w:val="18"/>
              </w:rPr>
            </w:pPr>
            <w:r>
              <w:rPr>
                <w:rFonts w:ascii="Times New Roman"/>
                <w:spacing w:val="-1"/>
                <w:sz w:val="18"/>
              </w:rPr>
              <w:t>4,808,803.61</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2,946,130.96</w:t>
            </w:r>
          </w:p>
        </w:tc>
      </w:tr>
      <w:tr>
        <w:trPr>
          <w:trHeight w:val="315" w:hRule="exact"/>
        </w:trPr>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96"/>
              <w:jc w:val="right"/>
              <w:rPr>
                <w:rFonts w:ascii="宋体" w:hAnsi="宋体" w:cs="宋体" w:eastAsia="宋体" w:hint="default"/>
                <w:sz w:val="18"/>
                <w:szCs w:val="18"/>
              </w:rPr>
            </w:pPr>
            <w:r>
              <w:rPr>
                <w:rFonts w:ascii="宋体" w:hAnsi="宋体" w:cs="宋体" w:eastAsia="宋体" w:hint="default"/>
                <w:sz w:val="18"/>
                <w:szCs w:val="18"/>
              </w:rPr>
              <w:t>合  计</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64,738,018.91</w:t>
            </w:r>
            <w:r>
              <w:rPr>
                <w:rFonts w:ascii="Times New Roman"/>
                <w:sz w:val="18"/>
              </w:rPr>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63,718,397.95</w:t>
            </w:r>
            <w:r>
              <w:rPr>
                <w:rFonts w:ascii="Times New Roman"/>
                <w:spacing w:val="-1"/>
                <w:sz w:val="18"/>
              </w:rPr>
            </w: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35.管理费用" w:id="227"/>
      <w:bookmarkEnd w:id="227"/>
      <w:r>
        <w:rPr/>
      </w:r>
      <w:r>
        <w:rPr>
          <w:rFonts w:ascii="Times New Roman" w:hAnsi="Times New Roman" w:cs="Times New Roman" w:eastAsia="Times New Roman" w:hint="default"/>
        </w:rPr>
        <w:t>35.</w:t>
      </w:r>
      <w:r>
        <w:rPr/>
        <w:t>管理费用</w:t>
      </w:r>
    </w:p>
    <w:p>
      <w:pPr>
        <w:spacing w:line="240" w:lineRule="auto" w:before="10"/>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2996"/>
        <w:gridCol w:w="3303"/>
        <w:gridCol w:w="2916"/>
      </w:tblGrid>
      <w:tr>
        <w:trPr>
          <w:trHeight w:val="271" w:hRule="exact"/>
        </w:trPr>
        <w:tc>
          <w:tcPr>
            <w:tcW w:w="2996" w:type="dxa"/>
            <w:tcBorders>
              <w:top w:val="nil" w:sz="6" w:space="0" w:color="auto"/>
              <w:left w:val="nil" w:sz="6" w:space="0" w:color="auto"/>
              <w:bottom w:val="single" w:sz="4" w:space="0" w:color="000000"/>
              <w:right w:val="nil" w:sz="6" w:space="0" w:color="auto"/>
            </w:tcBorders>
          </w:tcPr>
          <w:p>
            <w:pPr>
              <w:pStyle w:val="TableParagraph"/>
              <w:spacing w:line="180" w:lineRule="exact"/>
              <w:ind w:right="1156"/>
              <w:jc w:val="right"/>
              <w:rPr>
                <w:rFonts w:ascii="宋体" w:hAnsi="宋体" w:cs="宋体" w:eastAsia="宋体" w:hint="default"/>
                <w:sz w:val="18"/>
                <w:szCs w:val="18"/>
              </w:rPr>
            </w:pPr>
            <w:r>
              <w:rPr>
                <w:rFonts w:ascii="宋体" w:hAnsi="宋体" w:cs="宋体" w:eastAsia="宋体" w:hint="default"/>
                <w:b/>
                <w:bCs/>
                <w:w w:val="95"/>
                <w:sz w:val="18"/>
                <w:szCs w:val="18"/>
              </w:rPr>
              <w:t>费用性质</w:t>
            </w:r>
            <w:r>
              <w:rPr>
                <w:rFonts w:ascii="宋体" w:hAnsi="宋体" w:cs="宋体" w:eastAsia="宋体" w:hint="default"/>
                <w:sz w:val="18"/>
                <w:szCs w:val="18"/>
              </w:rPr>
            </w:r>
          </w:p>
        </w:tc>
        <w:tc>
          <w:tcPr>
            <w:tcW w:w="3303" w:type="dxa"/>
            <w:tcBorders>
              <w:top w:val="nil" w:sz="6" w:space="0" w:color="auto"/>
              <w:left w:val="nil" w:sz="6" w:space="0" w:color="auto"/>
              <w:bottom w:val="single" w:sz="4" w:space="0" w:color="000000"/>
              <w:right w:val="nil" w:sz="6" w:space="0" w:color="auto"/>
            </w:tcBorders>
          </w:tcPr>
          <w:p>
            <w:pPr>
              <w:pStyle w:val="TableParagraph"/>
              <w:spacing w:line="180" w:lineRule="exact"/>
              <w:ind w:right="8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16" w:type="dxa"/>
            <w:tcBorders>
              <w:top w:val="nil" w:sz="6" w:space="0" w:color="auto"/>
              <w:left w:val="nil" w:sz="6" w:space="0" w:color="auto"/>
              <w:bottom w:val="single" w:sz="4" w:space="0" w:color="000000"/>
              <w:right w:val="nil" w:sz="6" w:space="0" w:color="auto"/>
            </w:tcBorders>
          </w:tcPr>
          <w:p>
            <w:pPr>
              <w:pStyle w:val="TableParagraph"/>
              <w:spacing w:line="180" w:lineRule="exact"/>
              <w:ind w:left="92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299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839"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30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25"/>
              <w:jc w:val="right"/>
              <w:rPr>
                <w:rFonts w:ascii="Times New Roman" w:hAnsi="Times New Roman" w:cs="Times New Roman" w:eastAsia="Times New Roman" w:hint="default"/>
                <w:sz w:val="18"/>
                <w:szCs w:val="18"/>
              </w:rPr>
            </w:pPr>
            <w:r>
              <w:rPr>
                <w:rFonts w:ascii="Times New Roman"/>
                <w:spacing w:val="-1"/>
                <w:sz w:val="18"/>
              </w:rPr>
              <w:t>145,922,832.75</w:t>
            </w:r>
          </w:p>
        </w:tc>
        <w:tc>
          <w:tcPr>
            <w:tcW w:w="2916"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769"/>
              <w:jc w:val="right"/>
              <w:rPr>
                <w:rFonts w:ascii="Times New Roman" w:hAnsi="Times New Roman" w:cs="Times New Roman" w:eastAsia="Times New Roman" w:hint="default"/>
                <w:sz w:val="18"/>
                <w:szCs w:val="18"/>
              </w:rPr>
            </w:pPr>
            <w:r>
              <w:rPr>
                <w:rFonts w:ascii="Times New Roman"/>
                <w:spacing w:val="-1"/>
                <w:sz w:val="18"/>
              </w:rPr>
              <w:t>69,985,677.51</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39"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5"/>
              <w:jc w:val="right"/>
              <w:rPr>
                <w:rFonts w:ascii="Times New Roman" w:hAnsi="Times New Roman" w:cs="Times New Roman" w:eastAsia="Times New Roman" w:hint="default"/>
                <w:sz w:val="18"/>
                <w:szCs w:val="18"/>
              </w:rPr>
            </w:pPr>
            <w:r>
              <w:rPr>
                <w:rFonts w:ascii="Times New Roman"/>
                <w:spacing w:val="-1"/>
                <w:sz w:val="18"/>
              </w:rPr>
              <w:t>8,156,470.97</w:t>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9"/>
              <w:jc w:val="right"/>
              <w:rPr>
                <w:rFonts w:ascii="Times New Roman" w:hAnsi="Times New Roman" w:cs="Times New Roman" w:eastAsia="Times New Roman" w:hint="default"/>
                <w:sz w:val="18"/>
                <w:szCs w:val="18"/>
              </w:rPr>
            </w:pPr>
            <w:r>
              <w:rPr>
                <w:rFonts w:ascii="Times New Roman"/>
                <w:spacing w:val="-1"/>
                <w:sz w:val="18"/>
              </w:rPr>
              <w:t>7,026,948.32</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39"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pacing w:val="-1"/>
                <w:sz w:val="18"/>
              </w:rPr>
              <w:t>4,555,270.19</w:t>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9"/>
              <w:jc w:val="right"/>
              <w:rPr>
                <w:rFonts w:ascii="Times New Roman" w:hAnsi="Times New Roman" w:cs="Times New Roman" w:eastAsia="Times New Roman" w:hint="default"/>
                <w:sz w:val="18"/>
                <w:szCs w:val="18"/>
              </w:rPr>
            </w:pPr>
            <w:r>
              <w:rPr>
                <w:rFonts w:ascii="Times New Roman"/>
                <w:spacing w:val="-1"/>
                <w:sz w:val="18"/>
              </w:rPr>
              <w:t>4,436,193.15</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39"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pacing w:val="-1"/>
                <w:sz w:val="18"/>
              </w:rPr>
              <w:t>21,739,091.34</w:t>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9"/>
              <w:jc w:val="right"/>
              <w:rPr>
                <w:rFonts w:ascii="Times New Roman" w:hAnsi="Times New Roman" w:cs="Times New Roman" w:eastAsia="Times New Roman" w:hint="default"/>
                <w:sz w:val="18"/>
                <w:szCs w:val="18"/>
              </w:rPr>
            </w:pPr>
            <w:r>
              <w:rPr>
                <w:rFonts w:ascii="Times New Roman"/>
                <w:spacing w:val="-1"/>
                <w:sz w:val="18"/>
              </w:rPr>
              <w:t>12,597,153.07</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39"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5"/>
              <w:jc w:val="right"/>
              <w:rPr>
                <w:rFonts w:ascii="Times New Roman" w:hAnsi="Times New Roman" w:cs="Times New Roman" w:eastAsia="Times New Roman" w:hint="default"/>
                <w:sz w:val="18"/>
                <w:szCs w:val="18"/>
              </w:rPr>
            </w:pPr>
            <w:r>
              <w:rPr>
                <w:rFonts w:ascii="Times New Roman"/>
                <w:spacing w:val="-1"/>
                <w:sz w:val="18"/>
              </w:rPr>
              <w:t>6,336,394.89</w:t>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9"/>
              <w:jc w:val="right"/>
              <w:rPr>
                <w:rFonts w:ascii="Times New Roman" w:hAnsi="Times New Roman" w:cs="Times New Roman" w:eastAsia="Times New Roman" w:hint="default"/>
                <w:sz w:val="18"/>
                <w:szCs w:val="18"/>
              </w:rPr>
            </w:pPr>
            <w:r>
              <w:rPr>
                <w:rFonts w:ascii="Times New Roman"/>
                <w:spacing w:val="-1"/>
                <w:sz w:val="18"/>
              </w:rPr>
              <w:t>4,975,496.21</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39"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pacing w:val="-1"/>
                <w:sz w:val="18"/>
              </w:rPr>
              <w:t>9,709,725.60</w:t>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9"/>
              <w:jc w:val="right"/>
              <w:rPr>
                <w:rFonts w:ascii="Times New Roman" w:hAnsi="Times New Roman" w:cs="Times New Roman" w:eastAsia="Times New Roman" w:hint="default"/>
                <w:sz w:val="18"/>
                <w:szCs w:val="18"/>
              </w:rPr>
            </w:pPr>
            <w:r>
              <w:rPr>
                <w:rFonts w:ascii="Times New Roman"/>
                <w:spacing w:val="-1"/>
                <w:sz w:val="18"/>
              </w:rPr>
              <w:t>5,732,454.96</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39"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pacing w:val="-1"/>
                <w:sz w:val="18"/>
              </w:rPr>
              <w:t>1,245,243.90</w:t>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9"/>
              <w:jc w:val="right"/>
              <w:rPr>
                <w:rFonts w:ascii="Times New Roman" w:hAnsi="Times New Roman" w:cs="Times New Roman" w:eastAsia="Times New Roman" w:hint="default"/>
                <w:sz w:val="18"/>
                <w:szCs w:val="18"/>
              </w:rPr>
            </w:pPr>
            <w:r>
              <w:rPr>
                <w:rFonts w:ascii="Times New Roman"/>
                <w:spacing w:val="-1"/>
                <w:sz w:val="18"/>
              </w:rPr>
              <w:t>1,346,794.44</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39"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5"/>
              <w:jc w:val="right"/>
              <w:rPr>
                <w:rFonts w:ascii="Times New Roman" w:hAnsi="Times New Roman" w:cs="Times New Roman" w:eastAsia="Times New Roman" w:hint="default"/>
                <w:sz w:val="18"/>
                <w:szCs w:val="18"/>
              </w:rPr>
            </w:pPr>
            <w:r>
              <w:rPr>
                <w:rFonts w:ascii="Times New Roman"/>
                <w:spacing w:val="-1"/>
                <w:sz w:val="18"/>
              </w:rPr>
              <w:t>3,334,043.21</w:t>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9"/>
              <w:jc w:val="right"/>
              <w:rPr>
                <w:rFonts w:ascii="Times New Roman" w:hAnsi="Times New Roman" w:cs="Times New Roman" w:eastAsia="Times New Roman" w:hint="default"/>
                <w:sz w:val="18"/>
                <w:szCs w:val="18"/>
              </w:rPr>
            </w:pPr>
            <w:r>
              <w:rPr>
                <w:rFonts w:ascii="Times New Roman"/>
                <w:spacing w:val="-1"/>
                <w:sz w:val="18"/>
              </w:rPr>
              <w:t>3,135,399.87</w:t>
            </w:r>
          </w:p>
        </w:tc>
      </w:tr>
      <w:tr>
        <w:trPr>
          <w:trHeight w:val="441"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pacing w:val="-1"/>
                <w:sz w:val="18"/>
              </w:rPr>
              <w:t>13,220,806.41</w:t>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9"/>
              <w:jc w:val="right"/>
              <w:rPr>
                <w:rFonts w:ascii="Times New Roman" w:hAnsi="Times New Roman" w:cs="Times New Roman" w:eastAsia="Times New Roman" w:hint="default"/>
                <w:sz w:val="18"/>
                <w:szCs w:val="18"/>
              </w:rPr>
            </w:pPr>
            <w:r>
              <w:rPr>
                <w:rFonts w:ascii="Times New Roman"/>
                <w:spacing w:val="-1"/>
                <w:sz w:val="18"/>
              </w:rPr>
              <w:t>9,816,470.15</w:t>
            </w:r>
          </w:p>
        </w:tc>
      </w:tr>
      <w:tr>
        <w:trPr>
          <w:trHeight w:val="315"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88"/>
              <w:jc w:val="right"/>
              <w:rPr>
                <w:rFonts w:ascii="宋体" w:hAnsi="宋体" w:cs="宋体" w:eastAsia="宋体" w:hint="default"/>
                <w:sz w:val="18"/>
                <w:szCs w:val="18"/>
              </w:rPr>
            </w:pPr>
            <w:r>
              <w:rPr>
                <w:rFonts w:ascii="宋体" w:hAnsi="宋体" w:cs="宋体" w:eastAsia="宋体" w:hint="default"/>
                <w:sz w:val="18"/>
                <w:szCs w:val="18"/>
              </w:rPr>
              <w:t>合  计</w:t>
            </w:r>
          </w:p>
        </w:tc>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214,219,879.26</w:t>
            </w:r>
            <w:r>
              <w:rPr>
                <w:rFonts w:ascii="Times New Roman"/>
                <w:spacing w:val="-1"/>
                <w:sz w:val="18"/>
              </w:rPr>
            </w:r>
          </w:p>
        </w:tc>
        <w:tc>
          <w:tcPr>
            <w:tcW w:w="29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119,052,587.68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t>注：管理费用中研发费用明细</w:t>
      </w:r>
    </w:p>
    <w:p>
      <w:pPr>
        <w:spacing w:line="240" w:lineRule="auto" w:before="9"/>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3187"/>
        <w:gridCol w:w="3312"/>
        <w:gridCol w:w="2932"/>
      </w:tblGrid>
      <w:tr>
        <w:trPr>
          <w:trHeight w:val="277" w:hRule="exact"/>
        </w:trPr>
        <w:tc>
          <w:tcPr>
            <w:tcW w:w="3187" w:type="dxa"/>
            <w:tcBorders>
              <w:top w:val="nil" w:sz="6" w:space="0" w:color="auto"/>
              <w:left w:val="nil" w:sz="6" w:space="0" w:color="auto"/>
              <w:bottom w:val="single" w:sz="8" w:space="0" w:color="000000"/>
              <w:right w:val="nil" w:sz="6" w:space="0" w:color="auto"/>
            </w:tcBorders>
          </w:tcPr>
          <w:p>
            <w:pPr>
              <w:pStyle w:val="TableParagraph"/>
              <w:spacing w:line="180" w:lineRule="exact"/>
              <w:ind w:left="1028" w:right="0"/>
              <w:jc w:val="left"/>
              <w:rPr>
                <w:rFonts w:ascii="宋体" w:hAnsi="宋体" w:cs="宋体" w:eastAsia="宋体" w:hint="default"/>
                <w:sz w:val="18"/>
                <w:szCs w:val="18"/>
              </w:rPr>
            </w:pPr>
            <w:r>
              <w:rPr>
                <w:rFonts w:ascii="宋体" w:hAnsi="宋体" w:cs="宋体" w:eastAsia="宋体" w:hint="default"/>
                <w:b/>
                <w:bCs/>
                <w:sz w:val="18"/>
                <w:szCs w:val="18"/>
              </w:rPr>
              <w:t>研发费用性质</w:t>
            </w:r>
            <w:r>
              <w:rPr>
                <w:rFonts w:ascii="宋体" w:hAnsi="宋体" w:cs="宋体" w:eastAsia="宋体" w:hint="default"/>
                <w:sz w:val="18"/>
                <w:szCs w:val="18"/>
              </w:rPr>
            </w:r>
          </w:p>
        </w:tc>
        <w:tc>
          <w:tcPr>
            <w:tcW w:w="3312" w:type="dxa"/>
            <w:tcBorders>
              <w:top w:val="nil" w:sz="6" w:space="0" w:color="auto"/>
              <w:left w:val="nil" w:sz="6" w:space="0" w:color="auto"/>
              <w:bottom w:val="single" w:sz="8" w:space="0" w:color="000000"/>
              <w:right w:val="nil" w:sz="6" w:space="0" w:color="auto"/>
            </w:tcBorders>
          </w:tcPr>
          <w:p>
            <w:pPr>
              <w:pStyle w:val="TableParagraph"/>
              <w:spacing w:line="180" w:lineRule="exact"/>
              <w:ind w:left="10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32" w:type="dxa"/>
            <w:tcBorders>
              <w:top w:val="nil" w:sz="6" w:space="0" w:color="auto"/>
              <w:left w:val="nil" w:sz="6" w:space="0" w:color="auto"/>
              <w:bottom w:val="single" w:sz="8" w:space="0" w:color="000000"/>
              <w:right w:val="nil" w:sz="6" w:space="0" w:color="auto"/>
            </w:tcBorders>
          </w:tcPr>
          <w:p>
            <w:pPr>
              <w:pStyle w:val="TableParagraph"/>
              <w:spacing w:line="180" w:lineRule="exact"/>
              <w:ind w:left="90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8" w:hRule="exact"/>
        </w:trPr>
        <w:tc>
          <w:tcPr>
            <w:tcW w:w="3187"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312" w:type="dxa"/>
            <w:tcBorders>
              <w:top w:val="single" w:sz="8" w:space="0" w:color="000000"/>
              <w:left w:val="nil" w:sz="6" w:space="0" w:color="auto"/>
              <w:bottom w:val="nil" w:sz="6" w:space="0" w:color="auto"/>
              <w:right w:val="nil" w:sz="6" w:space="0" w:color="auto"/>
            </w:tcBorders>
          </w:tcPr>
          <w:p>
            <w:pPr>
              <w:pStyle w:val="TableParagraph"/>
              <w:spacing w:line="240" w:lineRule="auto" w:before="159"/>
              <w:ind w:left="1283" w:right="0"/>
              <w:jc w:val="left"/>
              <w:rPr>
                <w:rFonts w:ascii="Times New Roman" w:hAnsi="Times New Roman" w:cs="Times New Roman" w:eastAsia="Times New Roman" w:hint="default"/>
                <w:sz w:val="18"/>
                <w:szCs w:val="18"/>
              </w:rPr>
            </w:pPr>
            <w:r>
              <w:rPr>
                <w:rFonts w:ascii="Times New Roman"/>
                <w:sz w:val="18"/>
              </w:rPr>
              <w:t>96,974,159.13</w:t>
            </w:r>
          </w:p>
        </w:tc>
        <w:tc>
          <w:tcPr>
            <w:tcW w:w="2932" w:type="dxa"/>
            <w:tcBorders>
              <w:top w:val="single" w:sz="8" w:space="0" w:color="000000"/>
              <w:left w:val="nil" w:sz="6" w:space="0" w:color="auto"/>
              <w:bottom w:val="nil" w:sz="6" w:space="0" w:color="auto"/>
              <w:right w:val="nil" w:sz="6" w:space="0" w:color="auto"/>
            </w:tcBorders>
          </w:tcPr>
          <w:p>
            <w:pPr>
              <w:pStyle w:val="TableParagraph"/>
              <w:spacing w:line="240" w:lineRule="auto" w:before="159"/>
              <w:ind w:right="778"/>
              <w:jc w:val="right"/>
              <w:rPr>
                <w:rFonts w:ascii="Times New Roman" w:hAnsi="Times New Roman" w:cs="Times New Roman" w:eastAsia="Times New Roman" w:hint="default"/>
                <w:sz w:val="18"/>
                <w:szCs w:val="18"/>
              </w:rPr>
            </w:pPr>
            <w:r>
              <w:rPr>
                <w:rFonts w:ascii="Times New Roman"/>
                <w:spacing w:val="-1"/>
                <w:sz w:val="18"/>
              </w:rPr>
              <w:t>40,175,707.87</w:t>
            </w:r>
          </w:p>
        </w:tc>
      </w:tr>
      <w:tr>
        <w:trPr>
          <w:trHeight w:val="441"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内容购买及开发费</w:t>
            </w:r>
          </w:p>
        </w:tc>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1"/>
              <w:jc w:val="right"/>
              <w:rPr>
                <w:rFonts w:ascii="Times New Roman" w:hAnsi="Times New Roman" w:cs="Times New Roman" w:eastAsia="Times New Roman" w:hint="default"/>
                <w:sz w:val="18"/>
                <w:szCs w:val="18"/>
              </w:rPr>
            </w:pPr>
            <w:r>
              <w:rPr>
                <w:rFonts w:ascii="Times New Roman"/>
                <w:spacing w:val="-1"/>
                <w:sz w:val="18"/>
              </w:rPr>
              <w:t>3,771,174.44</w:t>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8"/>
              <w:jc w:val="right"/>
              <w:rPr>
                <w:rFonts w:ascii="Times New Roman" w:hAnsi="Times New Roman" w:cs="Times New Roman" w:eastAsia="Times New Roman" w:hint="default"/>
                <w:sz w:val="18"/>
                <w:szCs w:val="18"/>
              </w:rPr>
            </w:pPr>
            <w:r>
              <w:rPr>
                <w:rFonts w:ascii="Times New Roman"/>
                <w:spacing w:val="-1"/>
                <w:sz w:val="18"/>
              </w:rPr>
              <w:t>5,990,589.34</w:t>
            </w:r>
          </w:p>
        </w:tc>
      </w:tr>
      <w:tr>
        <w:trPr>
          <w:trHeight w:val="44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房租及物业管理费</w:t>
            </w:r>
          </w:p>
        </w:tc>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1"/>
              <w:jc w:val="right"/>
              <w:rPr>
                <w:rFonts w:ascii="Times New Roman" w:hAnsi="Times New Roman" w:cs="Times New Roman" w:eastAsia="Times New Roman" w:hint="default"/>
                <w:sz w:val="18"/>
                <w:szCs w:val="18"/>
              </w:rPr>
            </w:pPr>
            <w:r>
              <w:rPr>
                <w:rFonts w:ascii="Times New Roman"/>
                <w:spacing w:val="-1"/>
                <w:sz w:val="18"/>
              </w:rPr>
              <w:t>6,338,885.22</w:t>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8"/>
              <w:jc w:val="right"/>
              <w:rPr>
                <w:rFonts w:ascii="Times New Roman" w:hAnsi="Times New Roman" w:cs="Times New Roman" w:eastAsia="Times New Roman" w:hint="default"/>
                <w:sz w:val="18"/>
                <w:szCs w:val="18"/>
              </w:rPr>
            </w:pPr>
            <w:r>
              <w:rPr>
                <w:rFonts w:ascii="Times New Roman"/>
                <w:spacing w:val="-1"/>
                <w:sz w:val="18"/>
              </w:rPr>
              <w:t>3,768,469.89</w:t>
            </w:r>
          </w:p>
        </w:tc>
      </w:tr>
      <w:tr>
        <w:trPr>
          <w:trHeight w:val="44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1"/>
              <w:jc w:val="right"/>
              <w:rPr>
                <w:rFonts w:ascii="Times New Roman" w:hAnsi="Times New Roman" w:cs="Times New Roman" w:eastAsia="Times New Roman" w:hint="default"/>
                <w:sz w:val="18"/>
                <w:szCs w:val="18"/>
              </w:rPr>
            </w:pPr>
            <w:r>
              <w:rPr>
                <w:rFonts w:ascii="Times New Roman"/>
                <w:spacing w:val="-1"/>
                <w:sz w:val="18"/>
              </w:rPr>
              <w:t>3,073,415.08</w:t>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8"/>
              <w:jc w:val="right"/>
              <w:rPr>
                <w:rFonts w:ascii="Times New Roman" w:hAnsi="Times New Roman" w:cs="Times New Roman" w:eastAsia="Times New Roman" w:hint="default"/>
                <w:sz w:val="18"/>
                <w:szCs w:val="18"/>
              </w:rPr>
            </w:pPr>
            <w:r>
              <w:rPr>
                <w:rFonts w:ascii="Times New Roman"/>
                <w:spacing w:val="-1"/>
                <w:sz w:val="18"/>
              </w:rPr>
              <w:t>2,070,299.20</w:t>
            </w:r>
          </w:p>
        </w:tc>
      </w:tr>
      <w:tr>
        <w:trPr>
          <w:trHeight w:val="44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1"/>
              <w:jc w:val="right"/>
              <w:rPr>
                <w:rFonts w:ascii="Times New Roman" w:hAnsi="Times New Roman" w:cs="Times New Roman" w:eastAsia="Times New Roman" w:hint="default"/>
                <w:sz w:val="18"/>
                <w:szCs w:val="18"/>
              </w:rPr>
            </w:pPr>
            <w:r>
              <w:rPr>
                <w:rFonts w:ascii="Times New Roman"/>
                <w:sz w:val="18"/>
              </w:rPr>
              <w:t>904,568.31</w:t>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8"/>
              <w:jc w:val="right"/>
              <w:rPr>
                <w:rFonts w:ascii="Times New Roman" w:hAnsi="Times New Roman" w:cs="Times New Roman" w:eastAsia="Times New Roman" w:hint="default"/>
                <w:sz w:val="18"/>
                <w:szCs w:val="18"/>
              </w:rPr>
            </w:pPr>
            <w:r>
              <w:rPr>
                <w:rFonts w:ascii="Times New Roman"/>
                <w:sz w:val="18"/>
              </w:rPr>
              <w:t>689,527.22</w:t>
            </w:r>
          </w:p>
        </w:tc>
      </w:tr>
      <w:tr>
        <w:trPr>
          <w:trHeight w:val="44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差旅费及业务招待费</w:t>
            </w:r>
          </w:p>
        </w:tc>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91"/>
              <w:jc w:val="right"/>
              <w:rPr>
                <w:rFonts w:ascii="Times New Roman" w:hAnsi="Times New Roman" w:cs="Times New Roman" w:eastAsia="Times New Roman" w:hint="default"/>
                <w:sz w:val="18"/>
                <w:szCs w:val="18"/>
              </w:rPr>
            </w:pPr>
            <w:r>
              <w:rPr>
                <w:rFonts w:ascii="Times New Roman"/>
                <w:sz w:val="18"/>
              </w:rPr>
              <w:t>171,052.40</w:t>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8"/>
              <w:jc w:val="right"/>
              <w:rPr>
                <w:rFonts w:ascii="Times New Roman" w:hAnsi="Times New Roman" w:cs="Times New Roman" w:eastAsia="Times New Roman" w:hint="default"/>
                <w:sz w:val="18"/>
                <w:szCs w:val="18"/>
              </w:rPr>
            </w:pPr>
            <w:r>
              <w:rPr>
                <w:rFonts w:ascii="Times New Roman"/>
                <w:sz w:val="18"/>
              </w:rPr>
              <w:t>66,270.90</w:t>
            </w:r>
          </w:p>
        </w:tc>
      </w:tr>
      <w:tr>
        <w:trPr>
          <w:trHeight w:val="44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91"/>
              <w:jc w:val="right"/>
              <w:rPr>
                <w:rFonts w:ascii="Times New Roman" w:hAnsi="Times New Roman" w:cs="Times New Roman" w:eastAsia="Times New Roman" w:hint="default"/>
                <w:sz w:val="18"/>
                <w:szCs w:val="18"/>
              </w:rPr>
            </w:pPr>
            <w:r>
              <w:rPr>
                <w:rFonts w:ascii="Times New Roman"/>
                <w:spacing w:val="-1"/>
                <w:sz w:val="18"/>
              </w:rPr>
              <w:t>2,374,792.84</w:t>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8"/>
              <w:jc w:val="right"/>
              <w:rPr>
                <w:rFonts w:ascii="Times New Roman" w:hAnsi="Times New Roman" w:cs="Times New Roman" w:eastAsia="Times New Roman" w:hint="default"/>
                <w:sz w:val="18"/>
                <w:szCs w:val="18"/>
              </w:rPr>
            </w:pPr>
            <w:r>
              <w:rPr>
                <w:rFonts w:ascii="Times New Roman"/>
                <w:spacing w:val="-1"/>
                <w:sz w:val="18"/>
              </w:rPr>
              <w:t>2,584,374.14</w:t>
            </w:r>
          </w:p>
        </w:tc>
      </w:tr>
      <w:tr>
        <w:trPr>
          <w:trHeight w:val="31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
              <w:jc w:val="center"/>
              <w:rPr>
                <w:rFonts w:ascii="宋体" w:hAnsi="宋体" w:cs="宋体" w:eastAsia="宋体" w:hint="default"/>
                <w:sz w:val="18"/>
                <w:szCs w:val="18"/>
              </w:rPr>
            </w:pPr>
            <w:r>
              <w:rPr>
                <w:rFonts w:ascii="宋体" w:hAnsi="宋体" w:cs="宋体" w:eastAsia="宋体" w:hint="default"/>
                <w:sz w:val="18"/>
                <w:szCs w:val="18"/>
              </w:rPr>
              <w:t>合  计</w:t>
            </w:r>
          </w:p>
        </w:tc>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113,608,047.42</w:t>
            </w:r>
            <w:r>
              <w:rPr>
                <w:rFonts w:ascii="Times New Roman"/>
                <w:spacing w:val="-1"/>
                <w:sz w:val="18"/>
              </w:rPr>
            </w:r>
          </w:p>
        </w:tc>
        <w:tc>
          <w:tcPr>
            <w:tcW w:w="29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55,345,238.56</w:t>
            </w:r>
            <w:r>
              <w:rPr>
                <w:rFonts w:ascii="Times New Roman"/>
                <w:spacing w:val="-1"/>
                <w:sz w:val="18"/>
              </w:rPr>
            </w: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36.财务费用" w:id="228"/>
      <w:bookmarkEnd w:id="228"/>
      <w:r>
        <w:rPr/>
      </w:r>
      <w:r>
        <w:rPr>
          <w:rFonts w:ascii="Times New Roman" w:hAnsi="Times New Roman" w:cs="Times New Roman" w:eastAsia="Times New Roman" w:hint="default"/>
        </w:rPr>
        <w:t>36.</w:t>
      </w:r>
      <w:r>
        <w:rPr/>
        <w:t>财务费用</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2996"/>
        <w:gridCol w:w="3304"/>
        <w:gridCol w:w="2915"/>
      </w:tblGrid>
      <w:tr>
        <w:trPr>
          <w:trHeight w:val="272" w:hRule="exact"/>
        </w:trPr>
        <w:tc>
          <w:tcPr>
            <w:tcW w:w="2996" w:type="dxa"/>
            <w:tcBorders>
              <w:top w:val="nil" w:sz="6" w:space="0" w:color="auto"/>
              <w:left w:val="nil" w:sz="6" w:space="0" w:color="auto"/>
              <w:bottom w:val="single" w:sz="4" w:space="0" w:color="000000"/>
              <w:right w:val="nil" w:sz="6" w:space="0" w:color="auto"/>
            </w:tcBorders>
          </w:tcPr>
          <w:p>
            <w:pPr>
              <w:pStyle w:val="TableParagraph"/>
              <w:spacing w:line="180" w:lineRule="exact"/>
              <w:ind w:right="1156"/>
              <w:jc w:val="right"/>
              <w:rPr>
                <w:rFonts w:ascii="宋体" w:hAnsi="宋体" w:cs="宋体" w:eastAsia="宋体" w:hint="default"/>
                <w:sz w:val="18"/>
                <w:szCs w:val="18"/>
              </w:rPr>
            </w:pPr>
            <w:r>
              <w:rPr>
                <w:rFonts w:ascii="宋体" w:hAnsi="宋体" w:cs="宋体" w:eastAsia="宋体" w:hint="default"/>
                <w:b/>
                <w:bCs/>
                <w:w w:val="95"/>
                <w:sz w:val="18"/>
                <w:szCs w:val="18"/>
              </w:rPr>
              <w:t>费用性质</w:t>
            </w:r>
            <w:r>
              <w:rPr>
                <w:rFonts w:ascii="宋体" w:hAnsi="宋体" w:cs="宋体" w:eastAsia="宋体" w:hint="default"/>
                <w:sz w:val="18"/>
                <w:szCs w:val="18"/>
              </w:rPr>
            </w:r>
          </w:p>
        </w:tc>
        <w:tc>
          <w:tcPr>
            <w:tcW w:w="3304" w:type="dxa"/>
            <w:tcBorders>
              <w:top w:val="nil" w:sz="6" w:space="0" w:color="auto"/>
              <w:left w:val="nil" w:sz="6" w:space="0" w:color="auto"/>
              <w:bottom w:val="single" w:sz="4" w:space="0" w:color="000000"/>
              <w:right w:val="nil" w:sz="6" w:space="0" w:color="auto"/>
            </w:tcBorders>
          </w:tcPr>
          <w:p>
            <w:pPr>
              <w:pStyle w:val="TableParagraph"/>
              <w:spacing w:line="180" w:lineRule="exact"/>
              <w:ind w:right="83"/>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15" w:type="dxa"/>
            <w:tcBorders>
              <w:top w:val="nil" w:sz="6" w:space="0" w:color="auto"/>
              <w:left w:val="nil" w:sz="6" w:space="0" w:color="auto"/>
              <w:bottom w:val="single" w:sz="4" w:space="0" w:color="000000"/>
              <w:right w:val="nil" w:sz="6" w:space="0" w:color="auto"/>
            </w:tcBorders>
          </w:tcPr>
          <w:p>
            <w:pPr>
              <w:pStyle w:val="TableParagraph"/>
              <w:spacing w:line="180" w:lineRule="exact"/>
              <w:ind w:left="92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299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利息支出</w:t>
            </w:r>
          </w:p>
        </w:tc>
        <w:tc>
          <w:tcPr>
            <w:tcW w:w="3304" w:type="dxa"/>
            <w:tcBorders>
              <w:top w:val="single" w:sz="4" w:space="0" w:color="000000"/>
              <w:left w:val="nil" w:sz="6" w:space="0" w:color="auto"/>
              <w:bottom w:val="nil" w:sz="6" w:space="0" w:color="auto"/>
              <w:right w:val="nil" w:sz="6" w:space="0" w:color="auto"/>
            </w:tcBorders>
          </w:tcPr>
          <w:p>
            <w:pPr/>
          </w:p>
        </w:tc>
        <w:tc>
          <w:tcPr>
            <w:tcW w:w="2915"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pacing w:val="-1"/>
                <w:sz w:val="18"/>
              </w:rPr>
              <w:t>16,163,890.98</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pacing w:val="-1"/>
                <w:sz w:val="18"/>
              </w:rPr>
              <w:t>7,970,488.24</w:t>
            </w:r>
          </w:p>
        </w:tc>
      </w:tr>
      <w:tr>
        <w:trPr>
          <w:trHeight w:val="440"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汇兑损益</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4"/>
              <w:jc w:val="right"/>
              <w:rPr>
                <w:rFonts w:ascii="Times New Roman" w:hAnsi="Times New Roman" w:cs="Times New Roman" w:eastAsia="Times New Roman" w:hint="default"/>
                <w:sz w:val="18"/>
                <w:szCs w:val="18"/>
              </w:rPr>
            </w:pPr>
            <w:r>
              <w:rPr>
                <w:rFonts w:ascii="Times New Roman"/>
                <w:sz w:val="18"/>
              </w:rPr>
              <w:t>653,716.23</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7"/>
              <w:jc w:val="right"/>
              <w:rPr>
                <w:rFonts w:ascii="Times New Roman" w:hAnsi="Times New Roman" w:cs="Times New Roman" w:eastAsia="Times New Roman" w:hint="default"/>
                <w:sz w:val="18"/>
                <w:szCs w:val="18"/>
              </w:rPr>
            </w:pPr>
            <w:r>
              <w:rPr>
                <w:rFonts w:ascii="Times New Roman"/>
                <w:w w:val="95"/>
                <w:sz w:val="18"/>
              </w:rPr>
              <w:t>-363,268.20</w:t>
            </w:r>
            <w:r>
              <w:rPr>
                <w:rFonts w:ascii="Times New Roman"/>
                <w:sz w:val="18"/>
              </w:rPr>
            </w:r>
          </w:p>
        </w:tc>
      </w:tr>
      <w:tr>
        <w:trPr>
          <w:trHeight w:val="441"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4"/>
              <w:jc w:val="right"/>
              <w:rPr>
                <w:rFonts w:ascii="Times New Roman" w:hAnsi="Times New Roman" w:cs="Times New Roman" w:eastAsia="Times New Roman" w:hint="default"/>
                <w:sz w:val="18"/>
                <w:szCs w:val="18"/>
              </w:rPr>
            </w:pPr>
            <w:r>
              <w:rPr>
                <w:rFonts w:ascii="Times New Roman"/>
                <w:sz w:val="18"/>
              </w:rPr>
              <w:t>715,966.07</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z w:val="18"/>
              </w:rPr>
              <w:t>323,921.86</w:t>
            </w:r>
          </w:p>
        </w:tc>
      </w:tr>
      <w:tr>
        <w:trPr>
          <w:trHeight w:val="315"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88"/>
              <w:jc w:val="right"/>
              <w:rPr>
                <w:rFonts w:ascii="宋体" w:hAnsi="宋体" w:cs="宋体" w:eastAsia="宋体" w:hint="default"/>
                <w:sz w:val="18"/>
                <w:szCs w:val="18"/>
              </w:rPr>
            </w:pPr>
            <w:r>
              <w:rPr>
                <w:rFonts w:ascii="宋体" w:hAnsi="宋体" w:cs="宋体" w:eastAsia="宋体" w:hint="default"/>
                <w:sz w:val="18"/>
                <w:szCs w:val="18"/>
              </w:rPr>
              <w:t>合  计</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-14,794,208.68</w:t>
            </w:r>
            <w:r>
              <w:rPr>
                <w:rFonts w:ascii="Times New Roman"/>
                <w:spacing w:val="-1"/>
                <w:sz w:val="18"/>
              </w:rPr>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-8,009,834.58</w:t>
            </w:r>
            <w:r>
              <w:rPr>
                <w:rFonts w:ascii="Times New Roman"/>
                <w:spacing w:val="-1"/>
                <w:sz w:val="18"/>
              </w:rPr>
            </w: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37.资产减值损失" w:id="229"/>
      <w:bookmarkEnd w:id="229"/>
      <w:r>
        <w:rPr/>
      </w:r>
      <w:r>
        <w:rPr>
          <w:rFonts w:ascii="Times New Roman" w:hAnsi="Times New Roman" w:cs="Times New Roman" w:eastAsia="Times New Roman" w:hint="default"/>
        </w:rPr>
        <w:t>37.</w:t>
      </w:r>
      <w:r>
        <w:rPr/>
        <w:t>资产减值损失</w:t>
      </w:r>
    </w:p>
    <w:p>
      <w:pPr>
        <w:spacing w:line="240" w:lineRule="auto" w:before="10"/>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3710"/>
        <w:gridCol w:w="3112"/>
        <w:gridCol w:w="2393"/>
      </w:tblGrid>
      <w:tr>
        <w:trPr>
          <w:trHeight w:val="271" w:hRule="exact"/>
        </w:trPr>
        <w:tc>
          <w:tcPr>
            <w:tcW w:w="3710"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180" w:lineRule="exact"/>
              <w:ind w:right="1270"/>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3112" w:type="dxa"/>
            <w:tcBorders>
              <w:top w:val="nil" w:sz="6" w:space="0" w:color="auto"/>
              <w:left w:val="nil" w:sz="6" w:space="0" w:color="auto"/>
              <w:bottom w:val="single" w:sz="4" w:space="0" w:color="000000"/>
              <w:right w:val="nil" w:sz="6" w:space="0" w:color="auto"/>
            </w:tcBorders>
          </w:tcPr>
          <w:p>
            <w:pPr>
              <w:pStyle w:val="TableParagraph"/>
              <w:spacing w:line="180" w:lineRule="exact"/>
              <w:ind w:left="127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93" w:type="dxa"/>
            <w:tcBorders>
              <w:top w:val="nil" w:sz="6" w:space="0" w:color="auto"/>
              <w:left w:val="nil" w:sz="6" w:space="0" w:color="auto"/>
              <w:bottom w:val="single" w:sz="4" w:space="0" w:color="000000"/>
              <w:right w:val="nil" w:sz="6" w:space="0" w:color="auto"/>
            </w:tcBorders>
          </w:tcPr>
          <w:p>
            <w:pPr>
              <w:pStyle w:val="TableParagraph"/>
              <w:spacing w:line="180" w:lineRule="exact"/>
              <w:ind w:left="62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371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．坏账损失</w:t>
            </w:r>
          </w:p>
        </w:tc>
        <w:tc>
          <w:tcPr>
            <w:tcW w:w="311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629"/>
              <w:jc w:val="right"/>
              <w:rPr>
                <w:rFonts w:ascii="Times New Roman" w:hAnsi="Times New Roman" w:cs="Times New Roman" w:eastAsia="Times New Roman" w:hint="default"/>
                <w:sz w:val="18"/>
                <w:szCs w:val="18"/>
              </w:rPr>
            </w:pPr>
            <w:r>
              <w:rPr>
                <w:rFonts w:ascii="Times New Roman"/>
                <w:spacing w:val="-1"/>
                <w:sz w:val="18"/>
              </w:rPr>
              <w:t>3,339,051.31</w:t>
            </w:r>
          </w:p>
        </w:tc>
        <w:tc>
          <w:tcPr>
            <w:tcW w:w="239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95"/>
              <w:jc w:val="right"/>
              <w:rPr>
                <w:rFonts w:ascii="Times New Roman" w:hAnsi="Times New Roman" w:cs="Times New Roman" w:eastAsia="Times New Roman" w:hint="default"/>
                <w:sz w:val="18"/>
                <w:szCs w:val="18"/>
              </w:rPr>
            </w:pPr>
            <w:r>
              <w:rPr>
                <w:rFonts w:ascii="Times New Roman"/>
                <w:spacing w:val="-1"/>
                <w:sz w:val="18"/>
              </w:rPr>
              <w:t>5,518,121.13</w:t>
            </w:r>
          </w:p>
        </w:tc>
      </w:tr>
      <w:tr>
        <w:trPr>
          <w:trHeight w:val="440" w:hRule="exact"/>
        </w:trPr>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．存货跌价损失</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7"/>
              <w:jc w:val="right"/>
              <w:rPr>
                <w:rFonts w:ascii="Times New Roman" w:hAnsi="Times New Roman" w:cs="Times New Roman" w:eastAsia="Times New Roman" w:hint="default"/>
                <w:sz w:val="18"/>
                <w:szCs w:val="18"/>
              </w:rPr>
            </w:pPr>
            <w:r>
              <w:rPr>
                <w:rFonts w:ascii="Times New Roman"/>
                <w:spacing w:val="-1"/>
                <w:sz w:val="18"/>
              </w:rPr>
              <w:t>411,537.96</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5"/>
              <w:jc w:val="right"/>
              <w:rPr>
                <w:rFonts w:ascii="Times New Roman" w:hAnsi="Times New Roman" w:cs="Times New Roman" w:eastAsia="Times New Roman" w:hint="default"/>
                <w:sz w:val="18"/>
                <w:szCs w:val="18"/>
              </w:rPr>
            </w:pPr>
            <w:r>
              <w:rPr>
                <w:rFonts w:ascii="Times New Roman"/>
                <w:spacing w:val="-1"/>
                <w:sz w:val="18"/>
              </w:rPr>
              <w:t>4,711,104.06</w:t>
            </w:r>
          </w:p>
        </w:tc>
      </w:tr>
      <w:tr>
        <w:trPr>
          <w:trHeight w:val="440" w:hRule="exact"/>
        </w:trPr>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．可供出售金融资产减值损失</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29"/>
              <w:jc w:val="right"/>
              <w:rPr>
                <w:rFonts w:ascii="Times New Roman" w:hAnsi="Times New Roman" w:cs="Times New Roman" w:eastAsia="Times New Roman" w:hint="default"/>
                <w:sz w:val="18"/>
                <w:szCs w:val="18"/>
              </w:rPr>
            </w:pPr>
            <w:r>
              <w:rPr>
                <w:rFonts w:ascii="Times New Roman"/>
                <w:spacing w:val="-1"/>
                <w:sz w:val="18"/>
              </w:rPr>
              <w:t>14,000,000.00</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95"/>
              <w:jc w:val="right"/>
              <w:rPr>
                <w:rFonts w:ascii="Times New Roman" w:hAnsi="Times New Roman" w:cs="Times New Roman" w:eastAsia="Times New Roman" w:hint="default"/>
                <w:sz w:val="18"/>
                <w:szCs w:val="18"/>
              </w:rPr>
            </w:pPr>
            <w:r>
              <w:rPr>
                <w:rFonts w:ascii="Times New Roman"/>
                <w:spacing w:val="-1"/>
                <w:sz w:val="18"/>
              </w:rPr>
              <w:t>7,347,000.00</w:t>
            </w:r>
          </w:p>
        </w:tc>
      </w:tr>
      <w:tr>
        <w:trPr>
          <w:trHeight w:val="440" w:hRule="exact"/>
        </w:trPr>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．商誉减值损失</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29"/>
              <w:jc w:val="right"/>
              <w:rPr>
                <w:rFonts w:ascii="Times New Roman" w:hAnsi="Times New Roman" w:cs="Times New Roman" w:eastAsia="Times New Roman" w:hint="default"/>
                <w:sz w:val="18"/>
                <w:szCs w:val="18"/>
              </w:rPr>
            </w:pPr>
            <w:r>
              <w:rPr>
                <w:rFonts w:ascii="Times New Roman"/>
                <w:spacing w:val="-1"/>
                <w:sz w:val="18"/>
              </w:rPr>
              <w:t>88,216,269.98</w:t>
            </w:r>
          </w:p>
        </w:tc>
        <w:tc>
          <w:tcPr>
            <w:tcW w:w="2393" w:type="dxa"/>
            <w:tcBorders>
              <w:top w:val="nil" w:sz="6" w:space="0" w:color="auto"/>
              <w:left w:val="nil" w:sz="6" w:space="0" w:color="auto"/>
              <w:bottom w:val="nil" w:sz="6" w:space="0" w:color="auto"/>
              <w:right w:val="nil" w:sz="6" w:space="0" w:color="auto"/>
            </w:tcBorders>
          </w:tcPr>
          <w:p>
            <w:pPr/>
          </w:p>
        </w:tc>
      </w:tr>
      <w:tr>
        <w:trPr>
          <w:trHeight w:val="315" w:hRule="exact"/>
        </w:trPr>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00"/>
              <w:jc w:val="right"/>
              <w:rPr>
                <w:rFonts w:ascii="宋体" w:hAnsi="宋体" w:cs="宋体" w:eastAsia="宋体" w:hint="default"/>
                <w:sz w:val="18"/>
                <w:szCs w:val="18"/>
              </w:rPr>
            </w:pPr>
            <w:r>
              <w:rPr>
                <w:rFonts w:ascii="宋体" w:hAnsi="宋体" w:cs="宋体" w:eastAsia="宋体" w:hint="default"/>
                <w:sz w:val="18"/>
                <w:szCs w:val="18"/>
              </w:rPr>
              <w:t>合  计</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105,966,859.25</w:t>
            </w:r>
            <w:r>
              <w:rPr>
                <w:rFonts w:ascii="Times New Roman"/>
                <w:spacing w:val="-1"/>
                <w:sz w:val="18"/>
              </w:rPr>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17,576,225.19</w:t>
            </w:r>
            <w:r>
              <w:rPr>
                <w:rFonts w:ascii="Times New Roman"/>
                <w:spacing w:val="-1"/>
                <w:sz w:val="18"/>
              </w:rPr>
            </w: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38.投资收益" w:id="230"/>
      <w:bookmarkEnd w:id="230"/>
      <w:r>
        <w:rPr/>
      </w:r>
      <w:r>
        <w:rPr>
          <w:rFonts w:ascii="Times New Roman" w:hAnsi="Times New Roman" w:cs="Times New Roman" w:eastAsia="Times New Roman" w:hint="default"/>
        </w:rPr>
        <w:t>38.</w:t>
      </w:r>
      <w:r>
        <w:rPr/>
        <w:t>投资收益</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4200"/>
        <w:gridCol w:w="2767"/>
        <w:gridCol w:w="2247"/>
      </w:tblGrid>
      <w:tr>
        <w:trPr>
          <w:trHeight w:val="272" w:hRule="exact"/>
        </w:trPr>
        <w:tc>
          <w:tcPr>
            <w:tcW w:w="4200" w:type="dxa"/>
            <w:tcBorders>
              <w:top w:val="nil" w:sz="6" w:space="0" w:color="auto"/>
              <w:left w:val="nil" w:sz="6" w:space="0" w:color="auto"/>
              <w:bottom w:val="single" w:sz="4" w:space="0" w:color="000000"/>
              <w:right w:val="nil" w:sz="6" w:space="0" w:color="auto"/>
            </w:tcBorders>
          </w:tcPr>
          <w:p>
            <w:pPr>
              <w:pStyle w:val="TableParagraph"/>
              <w:spacing w:line="180" w:lineRule="exact"/>
              <w:ind w:left="1367"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767" w:type="dxa"/>
            <w:tcBorders>
              <w:top w:val="nil" w:sz="6" w:space="0" w:color="auto"/>
              <w:left w:val="nil" w:sz="6" w:space="0" w:color="auto"/>
              <w:bottom w:val="single" w:sz="4" w:space="0" w:color="000000"/>
              <w:right w:val="nil" w:sz="6" w:space="0" w:color="auto"/>
            </w:tcBorders>
          </w:tcPr>
          <w:p>
            <w:pPr>
              <w:pStyle w:val="TableParagraph"/>
              <w:spacing w:line="180" w:lineRule="exact"/>
              <w:ind w:left="96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47" w:type="dxa"/>
            <w:tcBorders>
              <w:top w:val="nil" w:sz="6" w:space="0" w:color="auto"/>
              <w:left w:val="nil" w:sz="6" w:space="0" w:color="auto"/>
              <w:bottom w:val="single" w:sz="4" w:space="0" w:color="000000"/>
              <w:right w:val="nil" w:sz="6" w:space="0" w:color="auto"/>
            </w:tcBorders>
          </w:tcPr>
          <w:p>
            <w:pPr>
              <w:pStyle w:val="TableParagraph"/>
              <w:spacing w:line="180" w:lineRule="exact"/>
              <w:ind w:left="61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420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6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617"/>
              <w:jc w:val="right"/>
              <w:rPr>
                <w:rFonts w:ascii="Times New Roman" w:hAnsi="Times New Roman" w:cs="Times New Roman" w:eastAsia="Times New Roman" w:hint="default"/>
                <w:sz w:val="18"/>
                <w:szCs w:val="18"/>
              </w:rPr>
            </w:pPr>
            <w:r>
              <w:rPr>
                <w:rFonts w:ascii="Times New Roman"/>
                <w:spacing w:val="-1"/>
                <w:sz w:val="18"/>
              </w:rPr>
              <w:t>22,794,708.18</w:t>
            </w:r>
          </w:p>
        </w:tc>
        <w:tc>
          <w:tcPr>
            <w:tcW w:w="224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14"/>
              <w:jc w:val="right"/>
              <w:rPr>
                <w:rFonts w:ascii="Times New Roman" w:hAnsi="Times New Roman" w:cs="Times New Roman" w:eastAsia="Times New Roman" w:hint="default"/>
                <w:sz w:val="18"/>
                <w:szCs w:val="18"/>
              </w:rPr>
            </w:pPr>
            <w:r>
              <w:rPr>
                <w:rFonts w:ascii="Times New Roman"/>
                <w:spacing w:val="-1"/>
                <w:sz w:val="18"/>
              </w:rPr>
              <w:t>-3,060,229.08</w:t>
            </w:r>
          </w:p>
        </w:tc>
      </w:tr>
      <w:tr>
        <w:trPr>
          <w:trHeight w:val="441"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7"/>
              <w:jc w:val="right"/>
              <w:rPr>
                <w:rFonts w:ascii="Times New Roman" w:hAnsi="Times New Roman" w:cs="Times New Roman" w:eastAsia="Times New Roman" w:hint="default"/>
                <w:sz w:val="18"/>
                <w:szCs w:val="18"/>
              </w:rPr>
            </w:pPr>
            <w:r>
              <w:rPr>
                <w:rFonts w:ascii="Times New Roman"/>
                <w:spacing w:val="-1"/>
                <w:sz w:val="18"/>
              </w:rPr>
              <w:t>19,799,961.26</w:t>
            </w: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4"/>
              <w:jc w:val="right"/>
              <w:rPr>
                <w:rFonts w:ascii="Times New Roman" w:hAnsi="Times New Roman" w:cs="Times New Roman" w:eastAsia="Times New Roman" w:hint="default"/>
                <w:sz w:val="18"/>
                <w:szCs w:val="18"/>
              </w:rPr>
            </w:pPr>
            <w:r>
              <w:rPr>
                <w:rFonts w:ascii="Times New Roman"/>
                <w:sz w:val="18"/>
              </w:rPr>
              <w:t>563,967.75</w:t>
            </w:r>
          </w:p>
        </w:tc>
      </w:tr>
      <w:tr>
        <w:trPr>
          <w:trHeight w:val="440"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18"/>
              <w:jc w:val="right"/>
              <w:rPr>
                <w:rFonts w:ascii="Times New Roman" w:hAnsi="Times New Roman" w:cs="Times New Roman" w:eastAsia="Times New Roman" w:hint="default"/>
                <w:sz w:val="18"/>
                <w:szCs w:val="18"/>
              </w:rPr>
            </w:pPr>
            <w:r>
              <w:rPr>
                <w:rFonts w:ascii="Times New Roman"/>
                <w:sz w:val="18"/>
              </w:rPr>
              <w:t>636,942.00</w:t>
            </w:r>
          </w:p>
        </w:tc>
        <w:tc>
          <w:tcPr>
            <w:tcW w:w="2247" w:type="dxa"/>
            <w:tcBorders>
              <w:top w:val="nil" w:sz="6" w:space="0" w:color="auto"/>
              <w:left w:val="nil" w:sz="6" w:space="0" w:color="auto"/>
              <w:bottom w:val="nil" w:sz="6" w:space="0" w:color="auto"/>
              <w:right w:val="nil" w:sz="6" w:space="0" w:color="auto"/>
            </w:tcBorders>
          </w:tcPr>
          <w:p>
            <w:pPr/>
          </w:p>
        </w:tc>
      </w:tr>
      <w:tr>
        <w:trPr>
          <w:trHeight w:val="315"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7"/>
              <w:jc w:val="right"/>
              <w:rPr>
                <w:rFonts w:ascii="Times New Roman" w:hAnsi="Times New Roman" w:cs="Times New Roman" w:eastAsia="Times New Roman" w:hint="default"/>
                <w:sz w:val="18"/>
                <w:szCs w:val="18"/>
              </w:rPr>
            </w:pPr>
            <w:r>
              <w:rPr>
                <w:rFonts w:ascii="Times New Roman"/>
                <w:spacing w:val="-1"/>
                <w:sz w:val="18"/>
              </w:rPr>
              <w:t>1,800,000.00</w:t>
            </w:r>
          </w:p>
        </w:tc>
        <w:tc>
          <w:tcPr>
            <w:tcW w:w="224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418" w:type="dxa"/>
        <w:tblLayout w:type="fixed"/>
        <w:tblCellMar>
          <w:top w:w="0" w:type="dxa"/>
          <w:left w:w="0" w:type="dxa"/>
          <w:bottom w:w="0" w:type="dxa"/>
          <w:right w:w="0" w:type="dxa"/>
        </w:tblCellMar>
        <w:tblLook w:val="01E0"/>
      </w:tblPr>
      <w:tblGrid>
        <w:gridCol w:w="4077"/>
        <w:gridCol w:w="2891"/>
        <w:gridCol w:w="2248"/>
      </w:tblGrid>
      <w:tr>
        <w:trPr>
          <w:trHeight w:val="272" w:hRule="exact"/>
        </w:trPr>
        <w:tc>
          <w:tcPr>
            <w:tcW w:w="4077" w:type="dxa"/>
            <w:tcBorders>
              <w:top w:val="nil" w:sz="6" w:space="0" w:color="auto"/>
              <w:left w:val="nil" w:sz="6" w:space="0" w:color="auto"/>
              <w:bottom w:val="single" w:sz="4" w:space="0" w:color="000000"/>
              <w:right w:val="nil" w:sz="6" w:space="0" w:color="auto"/>
            </w:tcBorders>
          </w:tcPr>
          <w:p>
            <w:pPr>
              <w:pStyle w:val="TableParagraph"/>
              <w:spacing w:line="180" w:lineRule="exact"/>
              <w:ind w:left="1367"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891" w:type="dxa"/>
            <w:tcBorders>
              <w:top w:val="nil" w:sz="6" w:space="0" w:color="auto"/>
              <w:left w:val="nil" w:sz="6" w:space="0" w:color="auto"/>
              <w:bottom w:val="single" w:sz="4" w:space="0" w:color="000000"/>
              <w:right w:val="nil" w:sz="6" w:space="0" w:color="auto"/>
            </w:tcBorders>
          </w:tcPr>
          <w:p>
            <w:pPr>
              <w:pStyle w:val="TableParagraph"/>
              <w:spacing w:line="180" w:lineRule="exact"/>
              <w:ind w:left="108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48" w:type="dxa"/>
            <w:tcBorders>
              <w:top w:val="nil" w:sz="6" w:space="0" w:color="auto"/>
              <w:left w:val="nil" w:sz="6" w:space="0" w:color="auto"/>
              <w:bottom w:val="single" w:sz="4" w:space="0" w:color="000000"/>
              <w:right w:val="nil" w:sz="6" w:space="0" w:color="auto"/>
            </w:tcBorders>
          </w:tcPr>
          <w:p>
            <w:pPr>
              <w:pStyle w:val="TableParagraph"/>
              <w:spacing w:line="180" w:lineRule="exact"/>
              <w:ind w:left="62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407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理财产品取得的投资收益</w:t>
            </w:r>
          </w:p>
        </w:tc>
        <w:tc>
          <w:tcPr>
            <w:tcW w:w="2891" w:type="dxa"/>
            <w:tcBorders>
              <w:top w:val="single" w:sz="4" w:space="0" w:color="000000"/>
              <w:left w:val="nil" w:sz="6" w:space="0" w:color="auto"/>
              <w:bottom w:val="nil" w:sz="6" w:space="0" w:color="auto"/>
              <w:right w:val="nil" w:sz="6" w:space="0" w:color="auto"/>
            </w:tcBorders>
          </w:tcPr>
          <w:p>
            <w:pPr/>
          </w:p>
        </w:tc>
        <w:tc>
          <w:tcPr>
            <w:tcW w:w="224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14"/>
              <w:jc w:val="right"/>
              <w:rPr>
                <w:rFonts w:ascii="Times New Roman" w:hAnsi="Times New Roman" w:cs="Times New Roman" w:eastAsia="Times New Roman" w:hint="default"/>
                <w:sz w:val="18"/>
                <w:szCs w:val="18"/>
              </w:rPr>
            </w:pPr>
            <w:r>
              <w:rPr>
                <w:rFonts w:ascii="Times New Roman"/>
                <w:spacing w:val="-1"/>
                <w:sz w:val="18"/>
              </w:rPr>
              <w:t>2,096,825.88</w:t>
            </w:r>
          </w:p>
        </w:tc>
      </w:tr>
      <w:tr>
        <w:trPr>
          <w:trHeight w:val="315"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89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3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45,031,611.44</w:t>
            </w:r>
            <w:r>
              <w:rPr>
                <w:rFonts w:ascii="Times New Roman"/>
                <w:sz w:val="18"/>
              </w:rPr>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4"/>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-399,435.45</w:t>
            </w:r>
            <w:r>
              <w:rPr>
                <w:rFonts w:ascii="Times New Roman"/>
                <w:w w:val="95"/>
                <w:sz w:val="18"/>
              </w:rPr>
            </w:r>
            <w:r>
              <w:rPr>
                <w:rFonts w:ascii="Times New Roman"/>
                <w:sz w:val="18"/>
              </w:rPr>
            </w:r>
          </w:p>
        </w:tc>
      </w:tr>
    </w:tbl>
    <w:p>
      <w:pPr>
        <w:spacing w:line="240" w:lineRule="auto" w:before="6"/>
        <w:rPr>
          <w:rFonts w:ascii="宋体" w:hAnsi="宋体" w:cs="宋体" w:eastAsia="宋体" w:hint="default"/>
          <w:sz w:val="11"/>
          <w:szCs w:val="11"/>
        </w:rPr>
      </w:pPr>
    </w:p>
    <w:p>
      <w:pPr>
        <w:pStyle w:val="BodyText"/>
        <w:spacing w:line="240" w:lineRule="auto" w:before="44"/>
        <w:ind w:right="1117"/>
        <w:jc w:val="left"/>
      </w:pPr>
      <w:bookmarkStart w:name="39.其他收益" w:id="231"/>
      <w:bookmarkEnd w:id="231"/>
      <w:r>
        <w:rPr/>
      </w:r>
      <w:r>
        <w:rPr>
          <w:rFonts w:ascii="Times New Roman" w:hAnsi="Times New Roman" w:cs="Times New Roman" w:eastAsia="Times New Roman" w:hint="default"/>
        </w:rPr>
        <w:t>39.</w:t>
      </w:r>
      <w:r>
        <w:rPr/>
        <w:t>其他收益</w:t>
      </w:r>
    </w:p>
    <w:p>
      <w:pPr>
        <w:spacing w:line="240" w:lineRule="auto" w:before="6"/>
        <w:rPr>
          <w:rFonts w:ascii="宋体" w:hAnsi="宋体" w:cs="宋体" w:eastAsia="宋体" w:hint="default"/>
          <w:sz w:val="28"/>
          <w:szCs w:val="28"/>
        </w:rPr>
      </w:pPr>
    </w:p>
    <w:tbl>
      <w:tblPr>
        <w:tblW w:w="0" w:type="auto"/>
        <w:jc w:val="left"/>
        <w:tblInd w:w="1418" w:type="dxa"/>
        <w:tblLayout w:type="fixed"/>
        <w:tblCellMar>
          <w:top w:w="0" w:type="dxa"/>
          <w:left w:w="0" w:type="dxa"/>
          <w:bottom w:w="0" w:type="dxa"/>
          <w:right w:w="0" w:type="dxa"/>
        </w:tblCellMar>
        <w:tblLook w:val="01E0"/>
      </w:tblPr>
      <w:tblGrid>
        <w:gridCol w:w="5330"/>
        <w:gridCol w:w="1943"/>
        <w:gridCol w:w="1941"/>
      </w:tblGrid>
      <w:tr>
        <w:trPr>
          <w:trHeight w:val="261" w:hRule="exact"/>
        </w:trPr>
        <w:tc>
          <w:tcPr>
            <w:tcW w:w="533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43" w:type="dxa"/>
            <w:tcBorders>
              <w:top w:val="nil" w:sz="6" w:space="0" w:color="auto"/>
              <w:left w:val="nil" w:sz="6" w:space="0" w:color="auto"/>
              <w:bottom w:val="single" w:sz="4" w:space="0" w:color="000000"/>
              <w:right w:val="nil" w:sz="6" w:space="0" w:color="auto"/>
            </w:tcBorders>
          </w:tcPr>
          <w:p>
            <w:pPr>
              <w:pStyle w:val="TableParagraph"/>
              <w:spacing w:line="180" w:lineRule="exact"/>
              <w:ind w:left="52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41" w:type="dxa"/>
            <w:tcBorders>
              <w:top w:val="nil" w:sz="6" w:space="0" w:color="auto"/>
              <w:left w:val="nil" w:sz="6" w:space="0" w:color="auto"/>
              <w:bottom w:val="single" w:sz="4" w:space="0" w:color="000000"/>
              <w:right w:val="nil" w:sz="6" w:space="0" w:color="auto"/>
            </w:tcBorders>
          </w:tcPr>
          <w:p>
            <w:pPr>
              <w:pStyle w:val="TableParagraph"/>
              <w:spacing w:line="180" w:lineRule="exact"/>
              <w:ind w:left="51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533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政府研发费补助</w:t>
            </w:r>
          </w:p>
        </w:tc>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04"/>
              <w:jc w:val="right"/>
              <w:rPr>
                <w:rFonts w:ascii="Times New Roman" w:hAnsi="Times New Roman" w:cs="Times New Roman" w:eastAsia="Times New Roman" w:hint="default"/>
                <w:sz w:val="18"/>
                <w:szCs w:val="18"/>
              </w:rPr>
            </w:pPr>
            <w:r>
              <w:rPr>
                <w:rFonts w:ascii="Times New Roman"/>
                <w:spacing w:val="-1"/>
                <w:sz w:val="18"/>
              </w:rPr>
              <w:t>3,861,200.00</w:t>
            </w:r>
          </w:p>
        </w:tc>
        <w:tc>
          <w:tcPr>
            <w:tcW w:w="1941" w:type="dxa"/>
            <w:tcBorders>
              <w:top w:val="single" w:sz="4" w:space="0" w:color="000000"/>
              <w:left w:val="nil" w:sz="6" w:space="0" w:color="auto"/>
              <w:bottom w:val="nil" w:sz="6" w:space="0" w:color="auto"/>
              <w:right w:val="nil" w:sz="6" w:space="0" w:color="auto"/>
            </w:tcBorders>
          </w:tcPr>
          <w:p>
            <w:pPr/>
          </w:p>
        </w:tc>
      </w:tr>
      <w:tr>
        <w:trPr>
          <w:trHeight w:val="440" w:hRule="exact"/>
        </w:trPr>
        <w:tc>
          <w:tcPr>
            <w:tcW w:w="5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4"/>
              <w:jc w:val="right"/>
              <w:rPr>
                <w:rFonts w:ascii="Times New Roman" w:hAnsi="Times New Roman" w:cs="Times New Roman" w:eastAsia="Times New Roman" w:hint="default"/>
                <w:sz w:val="18"/>
                <w:szCs w:val="18"/>
              </w:rPr>
            </w:pPr>
            <w:r>
              <w:rPr>
                <w:rFonts w:ascii="Times New Roman"/>
                <w:spacing w:val="-1"/>
                <w:sz w:val="18"/>
              </w:rPr>
              <w:t>2,018,800.00</w:t>
            </w:r>
          </w:p>
        </w:tc>
        <w:tc>
          <w:tcPr>
            <w:tcW w:w="1941" w:type="dxa"/>
            <w:tcBorders>
              <w:top w:val="nil" w:sz="6" w:space="0" w:color="auto"/>
              <w:left w:val="nil" w:sz="6" w:space="0" w:color="auto"/>
              <w:bottom w:val="nil" w:sz="6" w:space="0" w:color="auto"/>
              <w:right w:val="nil" w:sz="6" w:space="0" w:color="auto"/>
            </w:tcBorders>
          </w:tcPr>
          <w:p>
            <w:pPr/>
          </w:p>
        </w:tc>
      </w:tr>
      <w:tr>
        <w:trPr>
          <w:trHeight w:val="440" w:hRule="exact"/>
        </w:trPr>
        <w:tc>
          <w:tcPr>
            <w:tcW w:w="5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科技与创新专项补助</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4"/>
              <w:jc w:val="right"/>
              <w:rPr>
                <w:rFonts w:ascii="Times New Roman" w:hAnsi="Times New Roman" w:cs="Times New Roman" w:eastAsia="Times New Roman" w:hint="default"/>
                <w:sz w:val="18"/>
                <w:szCs w:val="18"/>
              </w:rPr>
            </w:pPr>
            <w:r>
              <w:rPr>
                <w:rFonts w:ascii="Times New Roman"/>
                <w:spacing w:val="-1"/>
                <w:sz w:val="18"/>
              </w:rPr>
              <w:t>1,000,000.00</w:t>
            </w:r>
          </w:p>
        </w:tc>
        <w:tc>
          <w:tcPr>
            <w:tcW w:w="1941" w:type="dxa"/>
            <w:tcBorders>
              <w:top w:val="nil" w:sz="6" w:space="0" w:color="auto"/>
              <w:left w:val="nil" w:sz="6" w:space="0" w:color="auto"/>
              <w:bottom w:val="nil" w:sz="6" w:space="0" w:color="auto"/>
              <w:right w:val="nil" w:sz="6" w:space="0" w:color="auto"/>
            </w:tcBorders>
          </w:tcPr>
          <w:p>
            <w:pPr/>
          </w:p>
        </w:tc>
      </w:tr>
      <w:tr>
        <w:trPr>
          <w:trHeight w:val="440" w:hRule="exact"/>
        </w:trPr>
        <w:tc>
          <w:tcPr>
            <w:tcW w:w="5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3"/>
              <w:jc w:val="right"/>
              <w:rPr>
                <w:rFonts w:ascii="Times New Roman" w:hAnsi="Times New Roman" w:cs="Times New Roman" w:eastAsia="Times New Roman" w:hint="default"/>
                <w:sz w:val="18"/>
                <w:szCs w:val="18"/>
              </w:rPr>
            </w:pPr>
            <w:r>
              <w:rPr>
                <w:rFonts w:ascii="Times New Roman"/>
                <w:sz w:val="18"/>
              </w:rPr>
              <w:t>400,000.00</w:t>
            </w:r>
          </w:p>
        </w:tc>
        <w:tc>
          <w:tcPr>
            <w:tcW w:w="1941" w:type="dxa"/>
            <w:tcBorders>
              <w:top w:val="nil" w:sz="6" w:space="0" w:color="auto"/>
              <w:left w:val="nil" w:sz="6" w:space="0" w:color="auto"/>
              <w:bottom w:val="nil" w:sz="6" w:space="0" w:color="auto"/>
              <w:right w:val="nil" w:sz="6" w:space="0" w:color="auto"/>
            </w:tcBorders>
          </w:tcPr>
          <w:p>
            <w:pPr/>
          </w:p>
        </w:tc>
      </w:tr>
      <w:tr>
        <w:trPr>
          <w:trHeight w:val="440" w:hRule="exact"/>
        </w:trPr>
        <w:tc>
          <w:tcPr>
            <w:tcW w:w="5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在线心育服务平台</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3"/>
              <w:jc w:val="right"/>
              <w:rPr>
                <w:rFonts w:ascii="Times New Roman" w:hAnsi="Times New Roman" w:cs="Times New Roman" w:eastAsia="Times New Roman" w:hint="default"/>
                <w:sz w:val="18"/>
                <w:szCs w:val="18"/>
              </w:rPr>
            </w:pPr>
            <w:r>
              <w:rPr>
                <w:rFonts w:ascii="Times New Roman"/>
                <w:sz w:val="18"/>
              </w:rPr>
              <w:t>400,000.00</w:t>
            </w:r>
          </w:p>
        </w:tc>
        <w:tc>
          <w:tcPr>
            <w:tcW w:w="1941" w:type="dxa"/>
            <w:tcBorders>
              <w:top w:val="nil" w:sz="6" w:space="0" w:color="auto"/>
              <w:left w:val="nil" w:sz="6" w:space="0" w:color="auto"/>
              <w:bottom w:val="nil" w:sz="6" w:space="0" w:color="auto"/>
              <w:right w:val="nil" w:sz="6" w:space="0" w:color="auto"/>
            </w:tcBorders>
          </w:tcPr>
          <w:p>
            <w:pPr/>
          </w:p>
        </w:tc>
      </w:tr>
      <w:tr>
        <w:trPr>
          <w:trHeight w:val="440" w:hRule="exact"/>
        </w:trPr>
        <w:tc>
          <w:tcPr>
            <w:tcW w:w="5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大型自研发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引擎传统娱乐文化传播平台（卧虎藏龙项目）</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3"/>
              <w:jc w:val="right"/>
              <w:rPr>
                <w:rFonts w:ascii="Times New Roman" w:hAnsi="Times New Roman" w:cs="Times New Roman" w:eastAsia="Times New Roman" w:hint="default"/>
                <w:sz w:val="18"/>
                <w:szCs w:val="18"/>
              </w:rPr>
            </w:pPr>
            <w:r>
              <w:rPr>
                <w:rFonts w:ascii="Times New Roman"/>
                <w:sz w:val="18"/>
              </w:rPr>
              <w:t>333,333.33</w:t>
            </w:r>
          </w:p>
        </w:tc>
        <w:tc>
          <w:tcPr>
            <w:tcW w:w="1941" w:type="dxa"/>
            <w:tcBorders>
              <w:top w:val="nil" w:sz="6" w:space="0" w:color="auto"/>
              <w:left w:val="nil" w:sz="6" w:space="0" w:color="auto"/>
              <w:bottom w:val="nil" w:sz="6" w:space="0" w:color="auto"/>
              <w:right w:val="nil" w:sz="6" w:space="0" w:color="auto"/>
            </w:tcBorders>
          </w:tcPr>
          <w:p>
            <w:pPr/>
          </w:p>
        </w:tc>
      </w:tr>
      <w:tr>
        <w:trPr>
          <w:trHeight w:val="440" w:hRule="exact"/>
        </w:trPr>
        <w:tc>
          <w:tcPr>
            <w:tcW w:w="5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技术市场促进专项资金</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3"/>
              <w:jc w:val="right"/>
              <w:rPr>
                <w:rFonts w:ascii="Times New Roman" w:hAnsi="Times New Roman" w:cs="Times New Roman" w:eastAsia="Times New Roman" w:hint="default"/>
                <w:sz w:val="18"/>
                <w:szCs w:val="18"/>
              </w:rPr>
            </w:pPr>
            <w:r>
              <w:rPr>
                <w:rFonts w:ascii="Times New Roman"/>
                <w:sz w:val="18"/>
              </w:rPr>
              <w:t>150,000.00</w:t>
            </w:r>
          </w:p>
        </w:tc>
        <w:tc>
          <w:tcPr>
            <w:tcW w:w="1941" w:type="dxa"/>
            <w:tcBorders>
              <w:top w:val="nil" w:sz="6" w:space="0" w:color="auto"/>
              <w:left w:val="nil" w:sz="6" w:space="0" w:color="auto"/>
              <w:bottom w:val="nil" w:sz="6" w:space="0" w:color="auto"/>
              <w:right w:val="nil" w:sz="6" w:space="0" w:color="auto"/>
            </w:tcBorders>
          </w:tcPr>
          <w:p>
            <w:pPr/>
          </w:p>
        </w:tc>
      </w:tr>
      <w:tr>
        <w:trPr>
          <w:trHeight w:val="440" w:hRule="exact"/>
        </w:trPr>
        <w:tc>
          <w:tcPr>
            <w:tcW w:w="5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移动互联网产业发展资金</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03"/>
              <w:jc w:val="right"/>
              <w:rPr>
                <w:rFonts w:ascii="Times New Roman" w:hAnsi="Times New Roman" w:cs="Times New Roman" w:eastAsia="Times New Roman" w:hint="default"/>
                <w:sz w:val="18"/>
                <w:szCs w:val="18"/>
              </w:rPr>
            </w:pPr>
            <w:r>
              <w:rPr>
                <w:rFonts w:ascii="Times New Roman"/>
                <w:sz w:val="18"/>
              </w:rPr>
              <w:t>150,000.00</w:t>
            </w:r>
          </w:p>
        </w:tc>
        <w:tc>
          <w:tcPr>
            <w:tcW w:w="1941" w:type="dxa"/>
            <w:tcBorders>
              <w:top w:val="nil" w:sz="6" w:space="0" w:color="auto"/>
              <w:left w:val="nil" w:sz="6" w:space="0" w:color="auto"/>
              <w:bottom w:val="nil" w:sz="6" w:space="0" w:color="auto"/>
              <w:right w:val="nil" w:sz="6" w:space="0" w:color="auto"/>
            </w:tcBorders>
          </w:tcPr>
          <w:p>
            <w:pPr/>
          </w:p>
        </w:tc>
      </w:tr>
      <w:tr>
        <w:trPr>
          <w:trHeight w:val="440" w:hRule="exact"/>
        </w:trPr>
        <w:tc>
          <w:tcPr>
            <w:tcW w:w="5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信息化管理系统升级改造工程</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3"/>
              <w:jc w:val="right"/>
              <w:rPr>
                <w:rFonts w:ascii="Times New Roman" w:hAnsi="Times New Roman" w:cs="Times New Roman" w:eastAsia="Times New Roman" w:hint="default"/>
                <w:sz w:val="18"/>
                <w:szCs w:val="18"/>
              </w:rPr>
            </w:pPr>
            <w:r>
              <w:rPr>
                <w:rFonts w:ascii="Times New Roman"/>
                <w:sz w:val="18"/>
              </w:rPr>
              <w:t>120,000.00</w:t>
            </w:r>
          </w:p>
        </w:tc>
        <w:tc>
          <w:tcPr>
            <w:tcW w:w="1941" w:type="dxa"/>
            <w:tcBorders>
              <w:top w:val="nil" w:sz="6" w:space="0" w:color="auto"/>
              <w:left w:val="nil" w:sz="6" w:space="0" w:color="auto"/>
              <w:bottom w:val="nil" w:sz="6" w:space="0" w:color="auto"/>
              <w:right w:val="nil" w:sz="6" w:space="0" w:color="auto"/>
            </w:tcBorders>
          </w:tcPr>
          <w:p>
            <w:pPr/>
          </w:p>
        </w:tc>
      </w:tr>
      <w:tr>
        <w:trPr>
          <w:trHeight w:val="315" w:hRule="exact"/>
        </w:trPr>
        <w:tc>
          <w:tcPr>
            <w:tcW w:w="5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8,433,333.33</w:t>
            </w:r>
            <w:r>
              <w:rPr>
                <w:rFonts w:ascii="Times New Roman"/>
                <w:spacing w:val="-1"/>
                <w:sz w:val="18"/>
              </w:rPr>
            </w:r>
          </w:p>
        </w:tc>
        <w:tc>
          <w:tcPr>
            <w:tcW w:w="1941"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1"/>
          <w:szCs w:val="11"/>
        </w:rPr>
      </w:pPr>
    </w:p>
    <w:p>
      <w:pPr>
        <w:pStyle w:val="BodyText"/>
        <w:spacing w:line="240" w:lineRule="auto" w:before="44"/>
        <w:ind w:right="1117"/>
        <w:jc w:val="left"/>
      </w:pPr>
      <w:bookmarkStart w:name="40.营业外收入" w:id="232"/>
      <w:bookmarkEnd w:id="232"/>
      <w:r>
        <w:rPr/>
      </w:r>
      <w:r>
        <w:rPr>
          <w:rFonts w:ascii="Times New Roman" w:hAnsi="Times New Roman" w:cs="Times New Roman" w:eastAsia="Times New Roman" w:hint="default"/>
        </w:rPr>
        <w:t>40.</w:t>
      </w:r>
      <w:r>
        <w:rPr/>
        <w:t>营业外收入</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3009"/>
        <w:gridCol w:w="2270"/>
        <w:gridCol w:w="1741"/>
        <w:gridCol w:w="2194"/>
      </w:tblGrid>
      <w:tr>
        <w:trPr>
          <w:trHeight w:val="631" w:hRule="exact"/>
        </w:trPr>
        <w:tc>
          <w:tcPr>
            <w:tcW w:w="3009" w:type="dxa"/>
            <w:tcBorders>
              <w:top w:val="nil" w:sz="6" w:space="0" w:color="auto"/>
              <w:left w:val="nil" w:sz="6" w:space="0" w:color="auto"/>
              <w:bottom w:val="single" w:sz="4" w:space="0" w:color="000000"/>
              <w:right w:val="nil" w:sz="6" w:space="0" w:color="auto"/>
            </w:tcBorders>
          </w:tcPr>
          <w:p>
            <w:pPr>
              <w:pStyle w:val="TableParagraph"/>
              <w:tabs>
                <w:tab w:pos="672" w:val="left" w:leader="none"/>
              </w:tabs>
              <w:spacing w:line="240" w:lineRule="auto" w:before="124"/>
              <w:ind w:left="252"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27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75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41"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45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194" w:type="dxa"/>
            <w:tcBorders>
              <w:top w:val="nil" w:sz="6" w:space="0" w:color="auto"/>
              <w:left w:val="nil" w:sz="6" w:space="0" w:color="auto"/>
              <w:bottom w:val="single" w:sz="4" w:space="0" w:color="000000"/>
              <w:right w:val="nil" w:sz="6" w:space="0" w:color="auto"/>
            </w:tcBorders>
          </w:tcPr>
          <w:p>
            <w:pPr>
              <w:pStyle w:val="TableParagraph"/>
              <w:spacing w:line="180" w:lineRule="exact"/>
              <w:ind w:left="162" w:right="0"/>
              <w:jc w:val="center"/>
              <w:rPr>
                <w:rFonts w:ascii="宋体" w:hAnsi="宋体" w:cs="宋体" w:eastAsia="宋体" w:hint="default"/>
                <w:sz w:val="18"/>
                <w:szCs w:val="18"/>
              </w:rPr>
            </w:pPr>
            <w:r>
              <w:rPr>
                <w:rFonts w:ascii="宋体" w:hAnsi="宋体" w:cs="宋体" w:eastAsia="宋体" w:hint="default"/>
                <w:b/>
                <w:bCs/>
                <w:sz w:val="18"/>
                <w:szCs w:val="18"/>
              </w:rPr>
              <w:t>计入当期非经常性损益的</w:t>
            </w:r>
            <w:r>
              <w:rPr>
                <w:rFonts w:ascii="宋体" w:hAnsi="宋体" w:cs="宋体" w:eastAsia="宋体" w:hint="default"/>
                <w:sz w:val="18"/>
                <w:szCs w:val="18"/>
              </w:rPr>
            </w:r>
          </w:p>
          <w:p>
            <w:pPr>
              <w:pStyle w:val="TableParagraph"/>
              <w:spacing w:line="240" w:lineRule="auto" w:before="124"/>
              <w:ind w:left="166"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93" w:hRule="exact"/>
        </w:trPr>
        <w:tc>
          <w:tcPr>
            <w:tcW w:w="300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．政府补助</w:t>
            </w:r>
          </w:p>
        </w:tc>
        <w:tc>
          <w:tcPr>
            <w:tcW w:w="227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449"/>
              <w:jc w:val="right"/>
              <w:rPr>
                <w:rFonts w:ascii="Times New Roman" w:hAnsi="Times New Roman" w:cs="Times New Roman" w:eastAsia="Times New Roman" w:hint="default"/>
                <w:sz w:val="18"/>
                <w:szCs w:val="18"/>
              </w:rPr>
            </w:pPr>
            <w:r>
              <w:rPr>
                <w:rFonts w:ascii="Times New Roman"/>
                <w:sz w:val="18"/>
              </w:rPr>
              <w:t>97,504.75</w:t>
            </w:r>
          </w:p>
        </w:tc>
        <w:tc>
          <w:tcPr>
            <w:tcW w:w="174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83"/>
              <w:jc w:val="right"/>
              <w:rPr>
                <w:rFonts w:ascii="Times New Roman" w:hAnsi="Times New Roman" w:cs="Times New Roman" w:eastAsia="Times New Roman" w:hint="default"/>
                <w:sz w:val="18"/>
                <w:szCs w:val="18"/>
              </w:rPr>
            </w:pPr>
            <w:r>
              <w:rPr>
                <w:rFonts w:ascii="Times New Roman"/>
                <w:spacing w:val="-1"/>
                <w:sz w:val="18"/>
              </w:rPr>
              <w:t>6,207,911.58</w:t>
            </w:r>
          </w:p>
        </w:tc>
        <w:tc>
          <w:tcPr>
            <w:tcW w:w="219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48"/>
              <w:jc w:val="right"/>
              <w:rPr>
                <w:rFonts w:ascii="Times New Roman" w:hAnsi="Times New Roman" w:cs="Times New Roman" w:eastAsia="Times New Roman" w:hint="default"/>
                <w:sz w:val="18"/>
                <w:szCs w:val="18"/>
              </w:rPr>
            </w:pPr>
            <w:r>
              <w:rPr>
                <w:rFonts w:ascii="Times New Roman"/>
                <w:sz w:val="18"/>
              </w:rPr>
              <w:t>97,504.75</w:t>
            </w: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．非流动资产毁损报废利得</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9"/>
              <w:jc w:val="right"/>
              <w:rPr>
                <w:rFonts w:ascii="Times New Roman" w:hAnsi="Times New Roman" w:cs="Times New Roman" w:eastAsia="Times New Roman" w:hint="default"/>
                <w:sz w:val="18"/>
                <w:szCs w:val="18"/>
              </w:rPr>
            </w:pPr>
            <w:r>
              <w:rPr>
                <w:rFonts w:ascii="Times New Roman"/>
                <w:sz w:val="18"/>
              </w:rPr>
              <w:t>5,200.00</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3"/>
              <w:jc w:val="right"/>
              <w:rPr>
                <w:rFonts w:ascii="Times New Roman" w:hAnsi="Times New Roman" w:cs="Times New Roman" w:eastAsia="Times New Roman" w:hint="default"/>
                <w:sz w:val="18"/>
                <w:szCs w:val="18"/>
              </w:rPr>
            </w:pPr>
            <w:r>
              <w:rPr>
                <w:rFonts w:ascii="Times New Roman"/>
                <w:sz w:val="18"/>
              </w:rPr>
              <w:t>152,849.70</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8"/>
              <w:jc w:val="right"/>
              <w:rPr>
                <w:rFonts w:ascii="Times New Roman" w:hAnsi="Times New Roman" w:cs="Times New Roman" w:eastAsia="Times New Roman" w:hint="default"/>
                <w:sz w:val="18"/>
                <w:szCs w:val="18"/>
              </w:rPr>
            </w:pPr>
            <w:r>
              <w:rPr>
                <w:rFonts w:ascii="Times New Roman"/>
                <w:sz w:val="18"/>
              </w:rPr>
              <w:t>5,200.00</w:t>
            </w: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业绩承诺补偿款</w:t>
            </w:r>
          </w:p>
        </w:tc>
        <w:tc>
          <w:tcPr>
            <w:tcW w:w="2270" w:type="dxa"/>
            <w:tcBorders>
              <w:top w:val="nil" w:sz="6" w:space="0" w:color="auto"/>
              <w:left w:val="nil" w:sz="6" w:space="0" w:color="auto"/>
              <w:bottom w:val="nil" w:sz="6" w:space="0" w:color="auto"/>
              <w:right w:val="nil" w:sz="6" w:space="0" w:color="auto"/>
            </w:tcBorders>
          </w:tcPr>
          <w:p>
            <w:pP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3"/>
              <w:jc w:val="right"/>
              <w:rPr>
                <w:rFonts w:ascii="Times New Roman" w:hAnsi="Times New Roman" w:cs="Times New Roman" w:eastAsia="Times New Roman" w:hint="default"/>
                <w:sz w:val="18"/>
                <w:szCs w:val="18"/>
              </w:rPr>
            </w:pPr>
            <w:r>
              <w:rPr>
                <w:rFonts w:ascii="Times New Roman"/>
                <w:spacing w:val="-1"/>
                <w:sz w:val="18"/>
              </w:rPr>
              <w:t>12,523,502.87</w:t>
            </w:r>
          </w:p>
        </w:tc>
        <w:tc>
          <w:tcPr>
            <w:tcW w:w="2194" w:type="dxa"/>
            <w:tcBorders>
              <w:top w:val="nil" w:sz="6" w:space="0" w:color="auto"/>
              <w:left w:val="nil" w:sz="6" w:space="0" w:color="auto"/>
              <w:bottom w:val="nil" w:sz="6" w:space="0" w:color="auto"/>
              <w:right w:val="nil" w:sz="6" w:space="0" w:color="auto"/>
            </w:tcBorders>
          </w:tcPr>
          <w:p>
            <w:pPr/>
          </w:p>
        </w:tc>
      </w:tr>
      <w:tr>
        <w:trPr>
          <w:trHeight w:val="4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9"/>
              <w:jc w:val="right"/>
              <w:rPr>
                <w:rFonts w:ascii="Times New Roman" w:hAnsi="Times New Roman" w:cs="Times New Roman" w:eastAsia="Times New Roman" w:hint="default"/>
                <w:sz w:val="18"/>
                <w:szCs w:val="18"/>
              </w:rPr>
            </w:pPr>
            <w:r>
              <w:rPr>
                <w:rFonts w:ascii="Times New Roman"/>
                <w:sz w:val="18"/>
              </w:rPr>
              <w:t>232,050.41</w:t>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3"/>
              <w:jc w:val="right"/>
              <w:rPr>
                <w:rFonts w:ascii="Times New Roman" w:hAnsi="Times New Roman" w:cs="Times New Roman" w:eastAsia="Times New Roman" w:hint="default"/>
                <w:sz w:val="18"/>
                <w:szCs w:val="18"/>
              </w:rPr>
            </w:pPr>
            <w:r>
              <w:rPr>
                <w:rFonts w:ascii="Times New Roman"/>
                <w:sz w:val="18"/>
              </w:rPr>
              <w:t>730,510.79</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8"/>
              <w:jc w:val="right"/>
              <w:rPr>
                <w:rFonts w:ascii="Times New Roman" w:hAnsi="Times New Roman" w:cs="Times New Roman" w:eastAsia="Times New Roman" w:hint="default"/>
                <w:sz w:val="18"/>
                <w:szCs w:val="18"/>
              </w:rPr>
            </w:pPr>
            <w:r>
              <w:rPr>
                <w:rFonts w:ascii="Times New Roman"/>
                <w:sz w:val="18"/>
              </w:rPr>
              <w:t>232,050.41</w:t>
            </w:r>
          </w:p>
        </w:tc>
      </w:tr>
      <w:tr>
        <w:trPr>
          <w:trHeight w:val="31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5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4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334,755.16</w:t>
            </w:r>
            <w:r>
              <w:rPr>
                <w:rFonts w:ascii="Times New Roman"/>
                <w:sz w:val="18"/>
              </w:rPr>
            </w:r>
          </w:p>
        </w:tc>
        <w:tc>
          <w:tcPr>
            <w:tcW w:w="17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19,614,774.94</w:t>
            </w:r>
            <w:r>
              <w:rPr>
                <w:rFonts w:ascii="Times New Roman"/>
                <w:spacing w:val="-1"/>
                <w:sz w:val="18"/>
              </w:rPr>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334,755.16</w:t>
            </w:r>
            <w:r>
              <w:rPr>
                <w:rFonts w:ascii="Times New Roman"/>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）计入当期损益的政府补助</w:t>
      </w:r>
    </w:p>
    <w:p>
      <w:pPr>
        <w:spacing w:line="240" w:lineRule="auto" w:before="8"/>
        <w:rPr>
          <w:rFonts w:ascii="宋体" w:hAnsi="宋体" w:cs="宋体" w:eastAsia="宋体" w:hint="default"/>
          <w:sz w:val="29"/>
          <w:szCs w:val="29"/>
        </w:rPr>
      </w:pPr>
    </w:p>
    <w:tbl>
      <w:tblPr>
        <w:tblW w:w="0" w:type="auto"/>
        <w:jc w:val="left"/>
        <w:tblInd w:w="1418" w:type="dxa"/>
        <w:tblLayout w:type="fixed"/>
        <w:tblCellMar>
          <w:top w:w="0" w:type="dxa"/>
          <w:left w:w="0" w:type="dxa"/>
          <w:bottom w:w="0" w:type="dxa"/>
          <w:right w:w="0" w:type="dxa"/>
        </w:tblCellMar>
        <w:tblLook w:val="01E0"/>
      </w:tblPr>
      <w:tblGrid>
        <w:gridCol w:w="3692"/>
        <w:gridCol w:w="2260"/>
        <w:gridCol w:w="1323"/>
        <w:gridCol w:w="1941"/>
      </w:tblGrid>
      <w:tr>
        <w:trPr>
          <w:trHeight w:val="247" w:hRule="exact"/>
        </w:trPr>
        <w:tc>
          <w:tcPr>
            <w:tcW w:w="3692" w:type="dxa"/>
            <w:tcBorders>
              <w:top w:val="nil" w:sz="6" w:space="0" w:color="auto"/>
              <w:left w:val="nil" w:sz="6" w:space="0" w:color="auto"/>
              <w:bottom w:val="single" w:sz="4" w:space="0" w:color="000000"/>
              <w:right w:val="nil" w:sz="6" w:space="0" w:color="auto"/>
            </w:tcBorders>
          </w:tcPr>
          <w:p>
            <w:pPr>
              <w:pStyle w:val="TableParagraph"/>
              <w:spacing w:line="150" w:lineRule="exact"/>
              <w:ind w:left="1992" w:right="0"/>
              <w:jc w:val="left"/>
              <w:rPr>
                <w:rFonts w:ascii="宋体" w:hAnsi="宋体" w:cs="宋体" w:eastAsia="宋体" w:hint="default"/>
                <w:sz w:val="15"/>
                <w:szCs w:val="15"/>
              </w:rPr>
            </w:pPr>
            <w:r>
              <w:rPr>
                <w:rFonts w:ascii="宋体" w:hAnsi="宋体" w:cs="宋体" w:eastAsia="宋体" w:hint="default"/>
                <w:b/>
                <w:bCs/>
                <w:sz w:val="15"/>
                <w:szCs w:val="15"/>
              </w:rPr>
              <w:t>补助项目</w:t>
            </w:r>
            <w:r>
              <w:rPr>
                <w:rFonts w:ascii="宋体" w:hAnsi="宋体" w:cs="宋体" w:eastAsia="宋体" w:hint="default"/>
                <w:sz w:val="15"/>
                <w:szCs w:val="15"/>
              </w:rPr>
            </w:r>
          </w:p>
        </w:tc>
        <w:tc>
          <w:tcPr>
            <w:tcW w:w="2260" w:type="dxa"/>
            <w:tcBorders>
              <w:top w:val="nil" w:sz="6" w:space="0" w:color="auto"/>
              <w:left w:val="nil" w:sz="6" w:space="0" w:color="auto"/>
              <w:bottom w:val="single" w:sz="4" w:space="0" w:color="000000"/>
              <w:right w:val="nil" w:sz="6" w:space="0" w:color="auto"/>
            </w:tcBorders>
          </w:tcPr>
          <w:p>
            <w:pPr>
              <w:pStyle w:val="TableParagraph"/>
              <w:spacing w:line="150" w:lineRule="exact"/>
              <w:ind w:right="257"/>
              <w:jc w:val="right"/>
              <w:rPr>
                <w:rFonts w:ascii="宋体" w:hAnsi="宋体" w:cs="宋体" w:eastAsia="宋体" w:hint="default"/>
                <w:sz w:val="15"/>
                <w:szCs w:val="15"/>
              </w:rPr>
            </w:pPr>
            <w:r>
              <w:rPr>
                <w:rFonts w:ascii="宋体" w:hAnsi="宋体" w:cs="宋体" w:eastAsia="宋体" w:hint="default"/>
                <w:b/>
                <w:bCs/>
                <w:w w:val="95"/>
                <w:sz w:val="15"/>
                <w:szCs w:val="15"/>
              </w:rPr>
              <w:t>本期发生金额</w:t>
            </w:r>
            <w:r>
              <w:rPr>
                <w:rFonts w:ascii="宋体" w:hAnsi="宋体" w:cs="宋体" w:eastAsia="宋体" w:hint="default"/>
                <w:sz w:val="15"/>
                <w:szCs w:val="15"/>
              </w:rPr>
            </w:r>
          </w:p>
        </w:tc>
        <w:tc>
          <w:tcPr>
            <w:tcW w:w="1323" w:type="dxa"/>
            <w:tcBorders>
              <w:top w:val="nil" w:sz="6" w:space="0" w:color="auto"/>
              <w:left w:val="nil" w:sz="6" w:space="0" w:color="auto"/>
              <w:bottom w:val="single" w:sz="4" w:space="0" w:color="000000"/>
              <w:right w:val="nil" w:sz="6" w:space="0" w:color="auto"/>
            </w:tcBorders>
          </w:tcPr>
          <w:p>
            <w:pPr>
              <w:pStyle w:val="TableParagraph"/>
              <w:spacing w:line="150" w:lineRule="exact"/>
              <w:ind w:left="145" w:right="0"/>
              <w:jc w:val="left"/>
              <w:rPr>
                <w:rFonts w:ascii="宋体" w:hAnsi="宋体" w:cs="宋体" w:eastAsia="宋体" w:hint="default"/>
                <w:sz w:val="15"/>
                <w:szCs w:val="15"/>
              </w:rPr>
            </w:pPr>
            <w:r>
              <w:rPr>
                <w:rFonts w:ascii="宋体" w:hAnsi="宋体" w:cs="宋体" w:eastAsia="宋体" w:hint="default"/>
                <w:b/>
                <w:bCs/>
                <w:sz w:val="15"/>
                <w:szCs w:val="15"/>
              </w:rPr>
              <w:t>上期发生金额</w:t>
            </w:r>
            <w:r>
              <w:rPr>
                <w:rFonts w:ascii="宋体" w:hAnsi="宋体" w:cs="宋体" w:eastAsia="宋体" w:hint="default"/>
                <w:sz w:val="15"/>
                <w:szCs w:val="15"/>
              </w:rPr>
            </w:r>
          </w:p>
        </w:tc>
        <w:tc>
          <w:tcPr>
            <w:tcW w:w="1941" w:type="dxa"/>
            <w:tcBorders>
              <w:top w:val="nil" w:sz="6" w:space="0" w:color="auto"/>
              <w:left w:val="nil" w:sz="6" w:space="0" w:color="auto"/>
              <w:bottom w:val="single" w:sz="4" w:space="0" w:color="000000"/>
              <w:right w:val="nil" w:sz="6" w:space="0" w:color="auto"/>
            </w:tcBorders>
          </w:tcPr>
          <w:p>
            <w:pPr>
              <w:pStyle w:val="TableParagraph"/>
              <w:spacing w:line="171" w:lineRule="exact"/>
              <w:ind w:right="69"/>
              <w:jc w:val="center"/>
              <w:rPr>
                <w:rFonts w:ascii="宋体" w:hAnsi="宋体" w:cs="宋体" w:eastAsia="宋体" w:hint="default"/>
                <w:sz w:val="15"/>
                <w:szCs w:val="15"/>
              </w:rPr>
            </w:pPr>
            <w:r>
              <w:rPr>
                <w:rFonts w:ascii="宋体" w:hAnsi="宋体" w:cs="宋体" w:eastAsia="宋体" w:hint="default"/>
                <w:b/>
                <w:bCs/>
                <w:sz w:val="15"/>
                <w:szCs w:val="15"/>
              </w:rPr>
              <w:t>与资产相关</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与收益相关</w:t>
            </w:r>
            <w:r>
              <w:rPr>
                <w:rFonts w:ascii="宋体" w:hAnsi="宋体" w:cs="宋体" w:eastAsia="宋体" w:hint="default"/>
                <w:sz w:val="15"/>
                <w:szCs w:val="15"/>
              </w:rPr>
            </w:r>
          </w:p>
        </w:tc>
      </w:tr>
      <w:tr>
        <w:trPr>
          <w:trHeight w:val="476" w:hRule="exact"/>
        </w:trPr>
        <w:tc>
          <w:tcPr>
            <w:tcW w:w="369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稳岗补贴</w:t>
            </w:r>
          </w:p>
        </w:tc>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pacing w:val="-1"/>
                <w:sz w:val="15"/>
              </w:rPr>
              <w:t>82,504.75</w:t>
            </w:r>
          </w:p>
        </w:tc>
        <w:tc>
          <w:tcPr>
            <w:tcW w:w="1323" w:type="dxa"/>
            <w:tcBorders>
              <w:top w:val="single" w:sz="4" w:space="0" w:color="000000"/>
              <w:left w:val="nil" w:sz="6" w:space="0" w:color="auto"/>
              <w:bottom w:val="nil" w:sz="6" w:space="0" w:color="auto"/>
              <w:right w:val="nil" w:sz="6" w:space="0" w:color="auto"/>
            </w:tcBorders>
          </w:tcPr>
          <w:p>
            <w:pPr/>
          </w:p>
        </w:tc>
        <w:tc>
          <w:tcPr>
            <w:tcW w:w="194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1"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商贸流通企业奖励</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5"/>
                <w:szCs w:val="15"/>
              </w:rPr>
            </w:pPr>
            <w:r>
              <w:rPr>
                <w:rFonts w:ascii="Times New Roman"/>
                <w:spacing w:val="-1"/>
                <w:sz w:val="15"/>
              </w:rPr>
              <w:t>12,000.00</w:t>
            </w:r>
          </w:p>
        </w:tc>
        <w:tc>
          <w:tcPr>
            <w:tcW w:w="1323" w:type="dxa"/>
            <w:tcBorders>
              <w:top w:val="nil" w:sz="6" w:space="0" w:color="auto"/>
              <w:left w:val="nil" w:sz="6" w:space="0" w:color="auto"/>
              <w:bottom w:val="nil" w:sz="6" w:space="0" w:color="auto"/>
              <w:right w:val="nil" w:sz="6" w:space="0" w:color="auto"/>
            </w:tcBorders>
          </w:tcPr>
          <w:p>
            <w:pP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知识产权证书奖励</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43"/>
              <w:jc w:val="right"/>
              <w:rPr>
                <w:rFonts w:ascii="Times New Roman" w:hAnsi="Times New Roman" w:cs="Times New Roman" w:eastAsia="Times New Roman" w:hint="default"/>
                <w:sz w:val="15"/>
                <w:szCs w:val="15"/>
              </w:rPr>
            </w:pPr>
            <w:r>
              <w:rPr>
                <w:rFonts w:ascii="Times New Roman"/>
                <w:spacing w:val="-1"/>
                <w:sz w:val="15"/>
              </w:rPr>
              <w:t>3,000.00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9,000.00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326"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增值税退税</w:t>
            </w:r>
          </w:p>
        </w:tc>
        <w:tc>
          <w:tcPr>
            <w:tcW w:w="2260"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105,120.00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bl>
    <w:p>
      <w:pPr>
        <w:spacing w:after="0" w:line="240" w:lineRule="auto"/>
        <w:jc w:val="center"/>
        <w:rPr>
          <w:rFonts w:ascii="宋体" w:hAnsi="宋体" w:cs="宋体" w:eastAsia="宋体" w:hint="default"/>
          <w:sz w:val="15"/>
          <w:szCs w:val="15"/>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418" w:type="dxa"/>
        <w:tblLayout w:type="fixed"/>
        <w:tblCellMar>
          <w:top w:w="0" w:type="dxa"/>
          <w:left w:w="0" w:type="dxa"/>
          <w:bottom w:w="0" w:type="dxa"/>
          <w:right w:w="0" w:type="dxa"/>
        </w:tblCellMar>
        <w:tblLook w:val="01E0"/>
      </w:tblPr>
      <w:tblGrid>
        <w:gridCol w:w="4455"/>
        <w:gridCol w:w="1496"/>
        <w:gridCol w:w="1323"/>
        <w:gridCol w:w="1941"/>
      </w:tblGrid>
      <w:tr>
        <w:trPr>
          <w:trHeight w:val="247" w:hRule="exact"/>
        </w:trPr>
        <w:tc>
          <w:tcPr>
            <w:tcW w:w="4455" w:type="dxa"/>
            <w:tcBorders>
              <w:top w:val="nil" w:sz="6" w:space="0" w:color="auto"/>
              <w:left w:val="nil" w:sz="6" w:space="0" w:color="auto"/>
              <w:bottom w:val="single" w:sz="4" w:space="0" w:color="000000"/>
              <w:right w:val="nil" w:sz="6" w:space="0" w:color="auto"/>
            </w:tcBorders>
          </w:tcPr>
          <w:p>
            <w:pPr>
              <w:pStyle w:val="TableParagraph"/>
              <w:spacing w:line="150" w:lineRule="exact"/>
              <w:ind w:left="131" w:right="0"/>
              <w:jc w:val="center"/>
              <w:rPr>
                <w:rFonts w:ascii="宋体" w:hAnsi="宋体" w:cs="宋体" w:eastAsia="宋体" w:hint="default"/>
                <w:sz w:val="15"/>
                <w:szCs w:val="15"/>
              </w:rPr>
            </w:pPr>
            <w:r>
              <w:rPr>
                <w:rFonts w:ascii="宋体" w:hAnsi="宋体" w:cs="宋体" w:eastAsia="宋体" w:hint="default"/>
                <w:b/>
                <w:bCs/>
                <w:sz w:val="15"/>
                <w:szCs w:val="15"/>
              </w:rPr>
              <w:t>补助项目</w:t>
            </w:r>
            <w:r>
              <w:rPr>
                <w:rFonts w:ascii="宋体" w:hAnsi="宋体" w:cs="宋体" w:eastAsia="宋体" w:hint="default"/>
                <w:sz w:val="15"/>
                <w:szCs w:val="15"/>
              </w:rPr>
            </w:r>
          </w:p>
        </w:tc>
        <w:tc>
          <w:tcPr>
            <w:tcW w:w="1496" w:type="dxa"/>
            <w:tcBorders>
              <w:top w:val="nil" w:sz="6" w:space="0" w:color="auto"/>
              <w:left w:val="nil" w:sz="6" w:space="0" w:color="auto"/>
              <w:bottom w:val="single" w:sz="4" w:space="0" w:color="000000"/>
              <w:right w:val="nil" w:sz="6" w:space="0" w:color="auto"/>
            </w:tcBorders>
          </w:tcPr>
          <w:p>
            <w:pPr>
              <w:pStyle w:val="TableParagraph"/>
              <w:spacing w:line="150" w:lineRule="exact"/>
              <w:ind w:left="333" w:right="0"/>
              <w:jc w:val="left"/>
              <w:rPr>
                <w:rFonts w:ascii="宋体" w:hAnsi="宋体" w:cs="宋体" w:eastAsia="宋体" w:hint="default"/>
                <w:sz w:val="15"/>
                <w:szCs w:val="15"/>
              </w:rPr>
            </w:pPr>
            <w:r>
              <w:rPr>
                <w:rFonts w:ascii="宋体" w:hAnsi="宋体" w:cs="宋体" w:eastAsia="宋体" w:hint="default"/>
                <w:b/>
                <w:bCs/>
                <w:sz w:val="15"/>
                <w:szCs w:val="15"/>
              </w:rPr>
              <w:t>本期发生金额</w:t>
            </w:r>
            <w:r>
              <w:rPr>
                <w:rFonts w:ascii="宋体" w:hAnsi="宋体" w:cs="宋体" w:eastAsia="宋体" w:hint="default"/>
                <w:sz w:val="15"/>
                <w:szCs w:val="15"/>
              </w:rPr>
            </w:r>
          </w:p>
        </w:tc>
        <w:tc>
          <w:tcPr>
            <w:tcW w:w="1323" w:type="dxa"/>
            <w:tcBorders>
              <w:top w:val="nil" w:sz="6" w:space="0" w:color="auto"/>
              <w:left w:val="nil" w:sz="6" w:space="0" w:color="auto"/>
              <w:bottom w:val="single" w:sz="4" w:space="0" w:color="000000"/>
              <w:right w:val="nil" w:sz="6" w:space="0" w:color="auto"/>
            </w:tcBorders>
          </w:tcPr>
          <w:p>
            <w:pPr>
              <w:pStyle w:val="TableParagraph"/>
              <w:spacing w:line="150" w:lineRule="exact"/>
              <w:ind w:left="145" w:right="0"/>
              <w:jc w:val="left"/>
              <w:rPr>
                <w:rFonts w:ascii="宋体" w:hAnsi="宋体" w:cs="宋体" w:eastAsia="宋体" w:hint="default"/>
                <w:sz w:val="15"/>
                <w:szCs w:val="15"/>
              </w:rPr>
            </w:pPr>
            <w:r>
              <w:rPr>
                <w:rFonts w:ascii="宋体" w:hAnsi="宋体" w:cs="宋体" w:eastAsia="宋体" w:hint="default"/>
                <w:b/>
                <w:bCs/>
                <w:sz w:val="15"/>
                <w:szCs w:val="15"/>
              </w:rPr>
              <w:t>上期发生金额</w:t>
            </w:r>
            <w:r>
              <w:rPr>
                <w:rFonts w:ascii="宋体" w:hAnsi="宋体" w:cs="宋体" w:eastAsia="宋体" w:hint="default"/>
                <w:sz w:val="15"/>
                <w:szCs w:val="15"/>
              </w:rPr>
            </w:r>
          </w:p>
        </w:tc>
        <w:tc>
          <w:tcPr>
            <w:tcW w:w="1941" w:type="dxa"/>
            <w:tcBorders>
              <w:top w:val="nil" w:sz="6" w:space="0" w:color="auto"/>
              <w:left w:val="nil" w:sz="6" w:space="0" w:color="auto"/>
              <w:bottom w:val="single" w:sz="4" w:space="0" w:color="000000"/>
              <w:right w:val="nil" w:sz="6" w:space="0" w:color="auto"/>
            </w:tcBorders>
          </w:tcPr>
          <w:p>
            <w:pPr>
              <w:pStyle w:val="TableParagraph"/>
              <w:spacing w:line="171" w:lineRule="exact"/>
              <w:ind w:right="69"/>
              <w:jc w:val="center"/>
              <w:rPr>
                <w:rFonts w:ascii="宋体" w:hAnsi="宋体" w:cs="宋体" w:eastAsia="宋体" w:hint="default"/>
                <w:sz w:val="15"/>
                <w:szCs w:val="15"/>
              </w:rPr>
            </w:pPr>
            <w:r>
              <w:rPr>
                <w:rFonts w:ascii="宋体" w:hAnsi="宋体" w:cs="宋体" w:eastAsia="宋体" w:hint="default"/>
                <w:b/>
                <w:bCs/>
                <w:sz w:val="15"/>
                <w:szCs w:val="15"/>
              </w:rPr>
              <w:t>与资产相关</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与收益相关</w:t>
            </w:r>
            <w:r>
              <w:rPr>
                <w:rFonts w:ascii="宋体" w:hAnsi="宋体" w:cs="宋体" w:eastAsia="宋体" w:hint="default"/>
                <w:sz w:val="15"/>
                <w:szCs w:val="15"/>
              </w:rPr>
            </w:r>
          </w:p>
        </w:tc>
      </w:tr>
      <w:tr>
        <w:trPr>
          <w:trHeight w:val="476" w:hRule="exact"/>
        </w:trPr>
        <w:tc>
          <w:tcPr>
            <w:tcW w:w="445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在线心育服务平台</w:t>
            </w:r>
          </w:p>
        </w:tc>
        <w:tc>
          <w:tcPr>
            <w:tcW w:w="1496" w:type="dxa"/>
            <w:tcBorders>
              <w:top w:val="single" w:sz="4" w:space="0" w:color="000000"/>
              <w:left w:val="nil" w:sz="6" w:space="0" w:color="auto"/>
              <w:bottom w:val="nil" w:sz="6" w:space="0" w:color="auto"/>
              <w:right w:val="nil" w:sz="6" w:space="0" w:color="auto"/>
            </w:tcBorders>
          </w:tcPr>
          <w:p>
            <w:pPr/>
          </w:p>
        </w:tc>
        <w:tc>
          <w:tcPr>
            <w:tcW w:w="132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400,000.00</w:t>
            </w:r>
          </w:p>
        </w:tc>
        <w:tc>
          <w:tcPr>
            <w:tcW w:w="194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大型自研发</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3D</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引擎传统娱乐文化传播平台（卧虎藏龙项目）</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333,333.33</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w:t>
            </w:r>
            <w:r>
              <w:rPr>
                <w:rFonts w:ascii="宋体" w:hAnsi="宋体" w:cs="宋体" w:eastAsia="宋体" w:hint="default"/>
                <w:sz w:val="15"/>
                <w:szCs w:val="15"/>
              </w:rPr>
              <w:t>移动互联网产业发展资金</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250,000.00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w:t>
            </w:r>
            <w:r>
              <w:rPr>
                <w:rFonts w:ascii="宋体" w:hAnsi="宋体" w:cs="宋体" w:eastAsia="宋体" w:hint="default"/>
                <w:sz w:val="15"/>
                <w:szCs w:val="15"/>
              </w:rPr>
              <w:t>文化出口奖励基金</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2,950,000.00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9.</w:t>
            </w:r>
            <w:r>
              <w:rPr>
                <w:rFonts w:ascii="宋体" w:hAnsi="宋体" w:cs="宋体" w:eastAsia="宋体" w:hint="default"/>
                <w:sz w:val="15"/>
                <w:szCs w:val="15"/>
              </w:rPr>
              <w:t>企业上市融资奖励</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500,000.00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w:t>
            </w:r>
            <w:r>
              <w:rPr>
                <w:rFonts w:ascii="宋体" w:hAnsi="宋体" w:cs="宋体" w:eastAsia="宋体" w:hint="default"/>
                <w:sz w:val="15"/>
                <w:szCs w:val="15"/>
              </w:rPr>
              <w:t>资本市场融资奖励</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408,000.00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11.</w:t>
            </w:r>
            <w:r>
              <w:rPr>
                <w:rFonts w:ascii="宋体" w:hAnsi="宋体" w:cs="宋体" w:eastAsia="宋体" w:hint="default"/>
                <w:sz w:val="15"/>
                <w:szCs w:val="15"/>
              </w:rPr>
              <w:t>文化产业引导资金（话剧进校园项目）</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250,000.00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天舟文化信息化管理平台</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200,000.00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宋体" w:hAnsi="宋体" w:cs="宋体" w:eastAsia="宋体" w:hint="default"/>
                <w:sz w:val="15"/>
                <w:szCs w:val="15"/>
              </w:rPr>
              <w:t>企业创新体系建设补助</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200,000.00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14.</w:t>
            </w:r>
            <w:r>
              <w:rPr>
                <w:rFonts w:ascii="宋体" w:hAnsi="宋体" w:cs="宋体" w:eastAsia="宋体" w:hint="default"/>
                <w:sz w:val="15"/>
                <w:szCs w:val="15"/>
              </w:rPr>
              <w:t>区科信局天河区移动互联网企业租金补贴</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184,400.00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15.</w:t>
            </w:r>
            <w:r>
              <w:rPr>
                <w:rFonts w:ascii="宋体" w:hAnsi="宋体" w:cs="宋体" w:eastAsia="宋体" w:hint="default"/>
                <w:sz w:val="15"/>
                <w:szCs w:val="15"/>
              </w:rPr>
              <w:t>长沙市国库集中支付核算中心款（市级文化产业）</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100,000.00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16.</w:t>
            </w:r>
            <w:r>
              <w:rPr>
                <w:rFonts w:ascii="宋体" w:hAnsi="宋体" w:cs="宋体" w:eastAsia="宋体" w:hint="default"/>
                <w:sz w:val="15"/>
                <w:szCs w:val="15"/>
              </w:rPr>
              <w:t>原创游戏和动漫作品奖励</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100,000.00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17.</w:t>
            </w:r>
            <w:r>
              <w:rPr>
                <w:rFonts w:ascii="宋体" w:hAnsi="宋体" w:cs="宋体" w:eastAsia="宋体" w:hint="default"/>
                <w:sz w:val="15"/>
                <w:szCs w:val="15"/>
              </w:rPr>
              <w:t>技术合同备案补贴</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100,000.00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18.</w:t>
            </w:r>
            <w:r>
              <w:rPr>
                <w:rFonts w:ascii="宋体" w:hAnsi="宋体" w:cs="宋体" w:eastAsia="宋体" w:hint="default"/>
                <w:sz w:val="15"/>
                <w:szCs w:val="15"/>
              </w:rPr>
              <w:t>创业带动就业补贴</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60,000.00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19.</w:t>
            </w:r>
            <w:r>
              <w:rPr>
                <w:rFonts w:ascii="宋体" w:hAnsi="宋体" w:cs="宋体" w:eastAsia="宋体" w:hint="default"/>
                <w:sz w:val="15"/>
                <w:szCs w:val="15"/>
              </w:rPr>
              <w:t>软著资助费用</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24,800.00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1"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长沙市知识产权局著作权补助金</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19,520.00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40"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21.</w:t>
            </w:r>
            <w:r>
              <w:rPr>
                <w:rFonts w:ascii="宋体" w:hAnsi="宋体" w:cs="宋体" w:eastAsia="宋体" w:hint="default"/>
                <w:sz w:val="15"/>
                <w:szCs w:val="15"/>
              </w:rPr>
              <w:t>著作权补助金</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8,000.00</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67"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22.</w:t>
            </w:r>
            <w:r>
              <w:rPr>
                <w:rFonts w:ascii="宋体" w:hAnsi="宋体" w:cs="宋体" w:eastAsia="宋体" w:hint="default"/>
                <w:sz w:val="15"/>
                <w:szCs w:val="15"/>
              </w:rPr>
              <w:t>工伤保险奖励金</w:t>
            </w:r>
          </w:p>
        </w:tc>
        <w:tc>
          <w:tcPr>
            <w:tcW w:w="1496"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pacing w:val="-1"/>
                <w:sz w:val="15"/>
              </w:rPr>
              <w:t>5,738.25</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9"/>
              <w:jc w:val="center"/>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299"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2"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75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97,504.75</w:t>
            </w:r>
            <w:r>
              <w:rPr>
                <w:rFonts w:ascii="Times New Roman"/>
                <w:sz w:val="15"/>
              </w:rPr>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5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6,207,911.58</w:t>
            </w:r>
            <w:r>
              <w:rPr>
                <w:rFonts w:ascii="Times New Roman"/>
                <w:spacing w:val="-1"/>
                <w:sz w:val="15"/>
              </w:rPr>
            </w:r>
          </w:p>
        </w:tc>
        <w:tc>
          <w:tcPr>
            <w:tcW w:w="194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1"/>
          <w:szCs w:val="11"/>
        </w:rPr>
      </w:pPr>
    </w:p>
    <w:p>
      <w:pPr>
        <w:pStyle w:val="BodyText"/>
        <w:spacing w:line="240" w:lineRule="auto" w:before="44"/>
        <w:ind w:right="1117"/>
        <w:jc w:val="left"/>
      </w:pPr>
      <w:bookmarkStart w:name="41.营业外支出" w:id="233"/>
      <w:bookmarkEnd w:id="233"/>
      <w:r>
        <w:rPr/>
      </w:r>
      <w:r>
        <w:rPr>
          <w:rFonts w:ascii="Times New Roman" w:hAnsi="Times New Roman" w:cs="Times New Roman" w:eastAsia="Times New Roman" w:hint="default"/>
        </w:rPr>
        <w:t>41.</w:t>
      </w:r>
      <w:r>
        <w:rPr/>
        <w:t>营业外支出</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2808"/>
        <w:gridCol w:w="2151"/>
        <w:gridCol w:w="2023"/>
        <w:gridCol w:w="2232"/>
      </w:tblGrid>
      <w:tr>
        <w:trPr>
          <w:trHeight w:val="672" w:hRule="exact"/>
        </w:trPr>
        <w:tc>
          <w:tcPr>
            <w:tcW w:w="2808"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240" w:lineRule="auto" w:before="145"/>
              <w:ind w:right="6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151"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55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56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232" w:type="dxa"/>
            <w:tcBorders>
              <w:top w:val="nil" w:sz="6" w:space="0" w:color="auto"/>
              <w:left w:val="nil" w:sz="6" w:space="0" w:color="auto"/>
              <w:bottom w:val="single" w:sz="4" w:space="0" w:color="000000"/>
              <w:right w:val="nil" w:sz="6" w:space="0" w:color="auto"/>
            </w:tcBorders>
          </w:tcPr>
          <w:p>
            <w:pPr>
              <w:pStyle w:val="TableParagraph"/>
              <w:spacing w:line="180" w:lineRule="exact"/>
              <w:ind w:left="74" w:right="0"/>
              <w:jc w:val="center"/>
              <w:rPr>
                <w:rFonts w:ascii="宋体" w:hAnsi="宋体" w:cs="宋体" w:eastAsia="宋体" w:hint="default"/>
                <w:sz w:val="18"/>
                <w:szCs w:val="18"/>
              </w:rPr>
            </w:pPr>
            <w:r>
              <w:rPr>
                <w:rFonts w:ascii="宋体" w:hAnsi="宋体" w:cs="宋体" w:eastAsia="宋体" w:hint="default"/>
                <w:b/>
                <w:bCs/>
                <w:sz w:val="18"/>
                <w:szCs w:val="18"/>
              </w:rPr>
              <w:t>计入当期非经常性</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3" w:right="0"/>
              <w:jc w:val="center"/>
              <w:rPr>
                <w:rFonts w:ascii="宋体" w:hAnsi="宋体" w:cs="宋体" w:eastAsia="宋体" w:hint="default"/>
                <w:sz w:val="18"/>
                <w:szCs w:val="18"/>
              </w:rPr>
            </w:pP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493" w:hRule="exact"/>
        </w:trPr>
        <w:tc>
          <w:tcPr>
            <w:tcW w:w="280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．公益性捐赠支出</w:t>
            </w:r>
          </w:p>
        </w:tc>
        <w:tc>
          <w:tcPr>
            <w:tcW w:w="215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63"/>
              <w:jc w:val="right"/>
              <w:rPr>
                <w:rFonts w:ascii="Times New Roman" w:hAnsi="Times New Roman" w:cs="Times New Roman" w:eastAsia="Times New Roman" w:hint="default"/>
                <w:sz w:val="18"/>
                <w:szCs w:val="18"/>
              </w:rPr>
            </w:pPr>
            <w:r>
              <w:rPr>
                <w:rFonts w:ascii="Times New Roman"/>
                <w:sz w:val="18"/>
              </w:rPr>
              <w:t>166,000.00</w:t>
            </w:r>
          </w:p>
        </w:tc>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429"/>
              <w:jc w:val="right"/>
              <w:rPr>
                <w:rFonts w:ascii="Times New Roman" w:hAnsi="Times New Roman" w:cs="Times New Roman" w:eastAsia="Times New Roman" w:hint="default"/>
                <w:sz w:val="18"/>
                <w:szCs w:val="18"/>
              </w:rPr>
            </w:pPr>
            <w:r>
              <w:rPr>
                <w:rFonts w:ascii="Times New Roman"/>
                <w:sz w:val="18"/>
              </w:rPr>
              <w:t>30,000.00</w:t>
            </w:r>
          </w:p>
        </w:tc>
        <w:tc>
          <w:tcPr>
            <w:tcW w:w="2232"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02"/>
              <w:jc w:val="right"/>
              <w:rPr>
                <w:rFonts w:ascii="Times New Roman" w:hAnsi="Times New Roman" w:cs="Times New Roman" w:eastAsia="Times New Roman" w:hint="default"/>
                <w:sz w:val="18"/>
                <w:szCs w:val="18"/>
              </w:rPr>
            </w:pPr>
            <w:r>
              <w:rPr>
                <w:rFonts w:ascii="Times New Roman"/>
                <w:sz w:val="18"/>
              </w:rPr>
              <w:t>166,000.00</w:t>
            </w:r>
          </w:p>
        </w:tc>
      </w:tr>
      <w:tr>
        <w:trPr>
          <w:trHeight w:val="44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．非流动资产毁损报废损失</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3"/>
              <w:jc w:val="right"/>
              <w:rPr>
                <w:rFonts w:ascii="Times New Roman" w:hAnsi="Times New Roman" w:cs="Times New Roman" w:eastAsia="Times New Roman" w:hint="default"/>
                <w:sz w:val="18"/>
                <w:szCs w:val="18"/>
              </w:rPr>
            </w:pPr>
            <w:r>
              <w:rPr>
                <w:rFonts w:ascii="Times New Roman"/>
                <w:sz w:val="18"/>
              </w:rPr>
              <w:t>46,132.88</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29"/>
              <w:jc w:val="right"/>
              <w:rPr>
                <w:rFonts w:ascii="Times New Roman" w:hAnsi="Times New Roman" w:cs="Times New Roman" w:eastAsia="Times New Roman" w:hint="default"/>
                <w:sz w:val="18"/>
                <w:szCs w:val="18"/>
              </w:rPr>
            </w:pPr>
            <w:r>
              <w:rPr>
                <w:rFonts w:ascii="Times New Roman"/>
                <w:sz w:val="18"/>
              </w:rPr>
              <w:t>16,074.88</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02"/>
              <w:jc w:val="right"/>
              <w:rPr>
                <w:rFonts w:ascii="Times New Roman" w:hAnsi="Times New Roman" w:cs="Times New Roman" w:eastAsia="Times New Roman" w:hint="default"/>
                <w:sz w:val="18"/>
                <w:szCs w:val="18"/>
              </w:rPr>
            </w:pPr>
            <w:r>
              <w:rPr>
                <w:rFonts w:ascii="Times New Roman"/>
                <w:sz w:val="18"/>
              </w:rPr>
              <w:t>46,132.88</w:t>
            </w:r>
          </w:p>
        </w:tc>
      </w:tr>
      <w:tr>
        <w:trPr>
          <w:trHeight w:val="440"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63"/>
              <w:jc w:val="right"/>
              <w:rPr>
                <w:rFonts w:ascii="Times New Roman" w:hAnsi="Times New Roman" w:cs="Times New Roman" w:eastAsia="Times New Roman" w:hint="default"/>
                <w:sz w:val="18"/>
                <w:szCs w:val="18"/>
              </w:rPr>
            </w:pPr>
            <w:r>
              <w:rPr>
                <w:rFonts w:ascii="Times New Roman"/>
                <w:sz w:val="18"/>
              </w:rPr>
              <w:t>70,765.26</w:t>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29"/>
              <w:jc w:val="right"/>
              <w:rPr>
                <w:rFonts w:ascii="Times New Roman" w:hAnsi="Times New Roman" w:cs="Times New Roman" w:eastAsia="Times New Roman" w:hint="default"/>
                <w:sz w:val="18"/>
                <w:szCs w:val="18"/>
              </w:rPr>
            </w:pPr>
            <w:r>
              <w:rPr>
                <w:rFonts w:ascii="Times New Roman"/>
                <w:sz w:val="18"/>
              </w:rPr>
              <w:t>9,096.48</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02"/>
              <w:jc w:val="right"/>
              <w:rPr>
                <w:rFonts w:ascii="Times New Roman" w:hAnsi="Times New Roman" w:cs="Times New Roman" w:eastAsia="Times New Roman" w:hint="default"/>
                <w:sz w:val="18"/>
                <w:szCs w:val="18"/>
              </w:rPr>
            </w:pPr>
            <w:r>
              <w:rPr>
                <w:rFonts w:ascii="Times New Roman"/>
                <w:sz w:val="18"/>
              </w:rPr>
              <w:t>70,765.26</w:t>
            </w:r>
          </w:p>
        </w:tc>
      </w:tr>
      <w:tr>
        <w:trPr>
          <w:trHeight w:val="315" w:hRule="exact"/>
        </w:trPr>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7"/>
              <w:jc w:val="center"/>
              <w:rPr>
                <w:rFonts w:ascii="宋体" w:hAnsi="宋体" w:cs="宋体" w:eastAsia="宋体" w:hint="default"/>
                <w:sz w:val="18"/>
                <w:szCs w:val="18"/>
              </w:rPr>
            </w:pPr>
            <w:r>
              <w:rPr>
                <w:rFonts w:ascii="宋体" w:hAnsi="宋体" w:cs="宋体" w:eastAsia="宋体" w:hint="default"/>
                <w:sz w:val="18"/>
                <w:szCs w:val="18"/>
              </w:rPr>
              <w:t>合  计</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6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282,898.14</w:t>
            </w:r>
            <w:r>
              <w:rPr>
                <w:rFonts w:ascii="Times New Roman"/>
                <w:sz w:val="18"/>
              </w:rPr>
            </w: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2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55,171.36</w:t>
            </w:r>
            <w:r>
              <w:rPr>
                <w:rFonts w:ascii="Times New Roman"/>
                <w:sz w:val="18"/>
              </w:rPr>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02"/>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282,898.14</w:t>
            </w:r>
            <w:r>
              <w:rPr>
                <w:rFonts w:ascii="Times New Roman"/>
                <w:sz w:val="18"/>
              </w:rPr>
            </w: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42.所得税费用" w:id="234"/>
      <w:bookmarkEnd w:id="234"/>
      <w:r>
        <w:rPr/>
      </w:r>
      <w:r>
        <w:rPr>
          <w:rFonts w:ascii="Times New Roman" w:hAnsi="Times New Roman" w:cs="Times New Roman" w:eastAsia="Times New Roman" w:hint="default"/>
        </w:rPr>
        <w:t>42.</w:t>
      </w:r>
      <w:r>
        <w:rPr/>
        <w:t>所得税费用</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2994"/>
        <w:gridCol w:w="3305"/>
        <w:gridCol w:w="2915"/>
      </w:tblGrid>
      <w:tr>
        <w:trPr>
          <w:trHeight w:val="272" w:hRule="exact"/>
        </w:trPr>
        <w:tc>
          <w:tcPr>
            <w:tcW w:w="2994" w:type="dxa"/>
            <w:tcBorders>
              <w:top w:val="nil" w:sz="6" w:space="0" w:color="auto"/>
              <w:left w:val="nil" w:sz="6" w:space="0" w:color="auto"/>
              <w:bottom w:val="single" w:sz="4" w:space="0" w:color="000000"/>
              <w:right w:val="nil" w:sz="6" w:space="0" w:color="auto"/>
            </w:tcBorders>
          </w:tcPr>
          <w:p>
            <w:pPr>
              <w:pStyle w:val="TableParagraph"/>
              <w:tabs>
                <w:tab w:pos="493" w:val="left" w:leader="none"/>
              </w:tabs>
              <w:spacing w:line="180" w:lineRule="exact"/>
              <w:ind w:left="7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305" w:type="dxa"/>
            <w:tcBorders>
              <w:top w:val="nil" w:sz="6" w:space="0" w:color="auto"/>
              <w:left w:val="nil" w:sz="6" w:space="0" w:color="auto"/>
              <w:bottom w:val="single" w:sz="4" w:space="0" w:color="000000"/>
              <w:right w:val="nil" w:sz="6" w:space="0" w:color="auto"/>
            </w:tcBorders>
          </w:tcPr>
          <w:p>
            <w:pPr>
              <w:pStyle w:val="TableParagraph"/>
              <w:spacing w:line="180" w:lineRule="exact"/>
              <w:ind w:right="8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15" w:type="dxa"/>
            <w:tcBorders>
              <w:top w:val="nil" w:sz="6" w:space="0" w:color="auto"/>
              <w:left w:val="nil" w:sz="6" w:space="0" w:color="auto"/>
              <w:bottom w:val="single" w:sz="4" w:space="0" w:color="000000"/>
              <w:right w:val="nil" w:sz="6" w:space="0" w:color="auto"/>
            </w:tcBorders>
          </w:tcPr>
          <w:p>
            <w:pPr>
              <w:pStyle w:val="TableParagraph"/>
              <w:spacing w:line="180" w:lineRule="exact"/>
              <w:ind w:left="92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68" w:hRule="exact"/>
        </w:trPr>
        <w:tc>
          <w:tcPr>
            <w:tcW w:w="299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30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34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36,831,557.82</w:t>
            </w:r>
            <w:r>
              <w:rPr>
                <w:rFonts w:ascii="Times New Roman"/>
                <w:sz w:val="18"/>
              </w:rPr>
            </w:r>
          </w:p>
        </w:tc>
        <w:tc>
          <w:tcPr>
            <w:tcW w:w="291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11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46,321,511.02</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218" w:type="dxa"/>
        <w:tblLayout w:type="fixed"/>
        <w:tblCellMar>
          <w:top w:w="0" w:type="dxa"/>
          <w:left w:w="0" w:type="dxa"/>
          <w:bottom w:w="0" w:type="dxa"/>
          <w:right w:w="0" w:type="dxa"/>
        </w:tblCellMar>
        <w:tblLook w:val="01E0"/>
      </w:tblPr>
      <w:tblGrid>
        <w:gridCol w:w="3089"/>
        <w:gridCol w:w="3502"/>
        <w:gridCol w:w="2253"/>
      </w:tblGrid>
      <w:tr>
        <w:trPr>
          <w:trHeight w:val="315"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180" w:lineRule="exact"/>
              <w:ind w:right="1448"/>
              <w:jc w:val="right"/>
              <w:rPr>
                <w:rFonts w:ascii="宋体" w:hAnsi="宋体" w:cs="宋体" w:eastAsia="宋体" w:hint="default"/>
                <w:sz w:val="18"/>
                <w:szCs w:val="18"/>
              </w:rPr>
            </w:pPr>
            <w:r>
              <w:rPr>
                <w:rFonts w:ascii="宋体" w:hAnsi="宋体" w:cs="宋体" w:eastAsia="宋体" w:hint="default"/>
                <w:sz w:val="18"/>
                <w:szCs w:val="18"/>
              </w:rPr>
              <w:t>其中：当期所得税</w:t>
            </w:r>
          </w:p>
        </w:tc>
        <w:tc>
          <w:tcPr>
            <w:tcW w:w="3502" w:type="dxa"/>
            <w:tcBorders>
              <w:top w:val="nil" w:sz="6" w:space="0" w:color="auto"/>
              <w:left w:val="nil" w:sz="6" w:space="0" w:color="auto"/>
              <w:bottom w:val="nil" w:sz="6" w:space="0" w:color="auto"/>
              <w:right w:val="nil" w:sz="6" w:space="0" w:color="auto"/>
            </w:tcBorders>
          </w:tcPr>
          <w:p>
            <w:pPr>
              <w:pStyle w:val="TableParagraph"/>
              <w:spacing w:line="194" w:lineRule="exact"/>
              <w:ind w:right="1016"/>
              <w:jc w:val="right"/>
              <w:rPr>
                <w:rFonts w:ascii="Times New Roman" w:hAnsi="Times New Roman" w:cs="Times New Roman" w:eastAsia="Times New Roman" w:hint="default"/>
                <w:sz w:val="18"/>
                <w:szCs w:val="18"/>
              </w:rPr>
            </w:pPr>
            <w:r>
              <w:rPr>
                <w:rFonts w:ascii="Times New Roman"/>
                <w:spacing w:val="-1"/>
                <w:sz w:val="18"/>
              </w:rPr>
              <w:t>36,986,830.68</w:t>
            </w:r>
          </w:p>
        </w:tc>
        <w:tc>
          <w:tcPr>
            <w:tcW w:w="2253" w:type="dxa"/>
            <w:tcBorders>
              <w:top w:val="nil" w:sz="6" w:space="0" w:color="auto"/>
              <w:left w:val="nil" w:sz="6" w:space="0" w:color="auto"/>
              <w:bottom w:val="nil" w:sz="6" w:space="0" w:color="auto"/>
              <w:right w:val="nil" w:sz="6" w:space="0" w:color="auto"/>
            </w:tcBorders>
          </w:tcPr>
          <w:p>
            <w:pPr>
              <w:pStyle w:val="TableParagraph"/>
              <w:spacing w:line="194" w:lineRule="exact"/>
              <w:ind w:right="198"/>
              <w:jc w:val="right"/>
              <w:rPr>
                <w:rFonts w:ascii="Times New Roman" w:hAnsi="Times New Roman" w:cs="Times New Roman" w:eastAsia="Times New Roman" w:hint="default"/>
                <w:sz w:val="18"/>
                <w:szCs w:val="18"/>
              </w:rPr>
            </w:pPr>
            <w:r>
              <w:rPr>
                <w:rFonts w:ascii="Times New Roman"/>
                <w:spacing w:val="-1"/>
                <w:sz w:val="18"/>
              </w:rPr>
              <w:t>47,786,869.88</w:t>
            </w:r>
          </w:p>
        </w:tc>
      </w:tr>
      <w:tr>
        <w:trPr>
          <w:trHeight w:val="315" w:hRule="exact"/>
        </w:trPr>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46"/>
              <w:jc w:val="right"/>
              <w:rPr>
                <w:rFonts w:ascii="宋体" w:hAnsi="宋体" w:cs="宋体" w:eastAsia="宋体" w:hint="default"/>
                <w:sz w:val="18"/>
                <w:szCs w:val="18"/>
              </w:rPr>
            </w:pPr>
            <w:r>
              <w:rPr>
                <w:rFonts w:ascii="宋体" w:hAnsi="宋体" w:cs="宋体" w:eastAsia="宋体" w:hint="default"/>
                <w:sz w:val="18"/>
                <w:szCs w:val="18"/>
              </w:rPr>
              <w:t>递延所得税</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16"/>
              <w:jc w:val="right"/>
              <w:rPr>
                <w:rFonts w:ascii="Times New Roman" w:hAnsi="Times New Roman" w:cs="Times New Roman" w:eastAsia="Times New Roman" w:hint="default"/>
                <w:sz w:val="18"/>
                <w:szCs w:val="18"/>
              </w:rPr>
            </w:pPr>
            <w:r>
              <w:rPr>
                <w:rFonts w:ascii="Times New Roman"/>
                <w:w w:val="95"/>
                <w:sz w:val="18"/>
              </w:rPr>
              <w:t>-155,272.86</w:t>
            </w:r>
            <w:r>
              <w:rPr>
                <w:rFonts w:ascii="Times New Roman"/>
                <w:sz w:val="18"/>
              </w:rPr>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pacing w:val="-1"/>
                <w:sz w:val="18"/>
              </w:rPr>
              <w:t>-1,465,358.86</w:t>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）所得税费用（收益）与会计利润关系的说明</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5761"/>
        <w:gridCol w:w="1811"/>
        <w:gridCol w:w="1859"/>
      </w:tblGrid>
      <w:tr>
        <w:trPr>
          <w:trHeight w:val="271" w:hRule="exact"/>
        </w:trPr>
        <w:tc>
          <w:tcPr>
            <w:tcW w:w="5761" w:type="dxa"/>
            <w:tcBorders>
              <w:top w:val="nil" w:sz="6" w:space="0" w:color="auto"/>
              <w:left w:val="nil" w:sz="6" w:space="0" w:color="auto"/>
              <w:bottom w:val="single" w:sz="4" w:space="0" w:color="000000"/>
              <w:right w:val="nil" w:sz="6" w:space="0" w:color="auto"/>
            </w:tcBorders>
          </w:tcPr>
          <w:p>
            <w:pPr>
              <w:pStyle w:val="TableParagraph"/>
              <w:spacing w:line="180" w:lineRule="exact"/>
              <w:ind w:right="17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11" w:type="dxa"/>
            <w:tcBorders>
              <w:top w:val="nil" w:sz="6" w:space="0" w:color="auto"/>
              <w:left w:val="nil" w:sz="6" w:space="0" w:color="auto"/>
              <w:bottom w:val="single" w:sz="4" w:space="0" w:color="000000"/>
              <w:right w:val="nil" w:sz="6" w:space="0" w:color="auto"/>
            </w:tcBorders>
          </w:tcPr>
          <w:p>
            <w:pPr>
              <w:pStyle w:val="TableParagraph"/>
              <w:spacing w:line="180"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59" w:type="dxa"/>
            <w:tcBorders>
              <w:top w:val="nil" w:sz="6" w:space="0" w:color="auto"/>
              <w:left w:val="nil" w:sz="6" w:space="0" w:color="auto"/>
              <w:bottom w:val="single" w:sz="4" w:space="0" w:color="000000"/>
              <w:right w:val="nil" w:sz="6" w:space="0" w:color="auto"/>
            </w:tcBorders>
          </w:tcPr>
          <w:p>
            <w:pPr>
              <w:pStyle w:val="TableParagraph"/>
              <w:spacing w:line="180" w:lineRule="exact"/>
              <w:ind w:left="44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576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97"/>
              <w:jc w:val="right"/>
              <w:rPr>
                <w:rFonts w:ascii="Times New Roman" w:hAnsi="Times New Roman" w:cs="Times New Roman" w:eastAsia="Times New Roman" w:hint="default"/>
                <w:sz w:val="18"/>
                <w:szCs w:val="18"/>
              </w:rPr>
            </w:pPr>
            <w:r>
              <w:rPr>
                <w:rFonts w:ascii="Times New Roman"/>
                <w:spacing w:val="-1"/>
                <w:sz w:val="18"/>
              </w:rPr>
              <w:t>174,372,863.03</w:t>
            </w:r>
          </w:p>
        </w:tc>
        <w:tc>
          <w:tcPr>
            <w:tcW w:w="185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33"/>
              <w:jc w:val="right"/>
              <w:rPr>
                <w:rFonts w:ascii="Times New Roman" w:hAnsi="Times New Roman" w:cs="Times New Roman" w:eastAsia="Times New Roman" w:hint="default"/>
                <w:sz w:val="18"/>
                <w:szCs w:val="18"/>
              </w:rPr>
            </w:pPr>
            <w:r>
              <w:rPr>
                <w:rFonts w:ascii="Times New Roman"/>
                <w:spacing w:val="-1"/>
                <w:sz w:val="18"/>
              </w:rPr>
              <w:t>302,791,093.83</w:t>
            </w:r>
          </w:p>
        </w:tc>
      </w:tr>
      <w:tr>
        <w:trPr>
          <w:trHeight w:val="440"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按法定税率计算的所得税费用</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6"/>
              <w:jc w:val="right"/>
              <w:rPr>
                <w:rFonts w:ascii="Times New Roman" w:hAnsi="Times New Roman" w:cs="Times New Roman" w:eastAsia="Times New Roman" w:hint="default"/>
                <w:sz w:val="18"/>
                <w:szCs w:val="18"/>
              </w:rPr>
            </w:pPr>
            <w:r>
              <w:rPr>
                <w:rFonts w:ascii="Times New Roman"/>
                <w:spacing w:val="-1"/>
                <w:sz w:val="18"/>
              </w:rPr>
              <w:t>43,593,215.76</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3"/>
              <w:jc w:val="right"/>
              <w:rPr>
                <w:rFonts w:ascii="Times New Roman" w:hAnsi="Times New Roman" w:cs="Times New Roman" w:eastAsia="Times New Roman" w:hint="default"/>
                <w:sz w:val="18"/>
                <w:szCs w:val="18"/>
              </w:rPr>
            </w:pPr>
            <w:r>
              <w:rPr>
                <w:rFonts w:ascii="Times New Roman"/>
                <w:spacing w:val="-1"/>
                <w:sz w:val="18"/>
              </w:rPr>
              <w:t>75,697,773.46</w:t>
            </w:r>
          </w:p>
        </w:tc>
      </w:tr>
      <w:tr>
        <w:trPr>
          <w:trHeight w:val="440"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组成部分适用优惠税率的影响</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96"/>
              <w:jc w:val="right"/>
              <w:rPr>
                <w:rFonts w:ascii="Times New Roman" w:hAnsi="Times New Roman" w:cs="Times New Roman" w:eastAsia="Times New Roman" w:hint="default"/>
                <w:sz w:val="18"/>
                <w:szCs w:val="18"/>
              </w:rPr>
            </w:pPr>
            <w:r>
              <w:rPr>
                <w:rFonts w:ascii="Times New Roman"/>
                <w:spacing w:val="-1"/>
                <w:sz w:val="18"/>
              </w:rPr>
              <w:t>-38,931,144.83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3"/>
              <w:jc w:val="right"/>
              <w:rPr>
                <w:rFonts w:ascii="Times New Roman" w:hAnsi="Times New Roman" w:cs="Times New Roman" w:eastAsia="Times New Roman" w:hint="default"/>
                <w:sz w:val="18"/>
                <w:szCs w:val="18"/>
              </w:rPr>
            </w:pPr>
            <w:r>
              <w:rPr>
                <w:rFonts w:ascii="Times New Roman"/>
                <w:spacing w:val="-1"/>
                <w:sz w:val="18"/>
              </w:rPr>
              <w:t>-31,102,203.41</w:t>
            </w:r>
          </w:p>
        </w:tc>
      </w:tr>
      <w:tr>
        <w:trPr>
          <w:trHeight w:val="440"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96"/>
              <w:jc w:val="right"/>
              <w:rPr>
                <w:rFonts w:ascii="Times New Roman" w:hAnsi="Times New Roman" w:cs="Times New Roman" w:eastAsia="Times New Roman" w:hint="default"/>
                <w:sz w:val="18"/>
                <w:szCs w:val="18"/>
              </w:rPr>
            </w:pPr>
            <w:r>
              <w:rPr>
                <w:rFonts w:ascii="Times New Roman"/>
                <w:spacing w:val="-1"/>
                <w:sz w:val="18"/>
              </w:rPr>
              <w:t>-2,972,038.13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3"/>
              <w:jc w:val="right"/>
              <w:rPr>
                <w:rFonts w:ascii="Times New Roman" w:hAnsi="Times New Roman" w:cs="Times New Roman" w:eastAsia="Times New Roman" w:hint="default"/>
                <w:sz w:val="18"/>
                <w:szCs w:val="18"/>
              </w:rPr>
            </w:pPr>
            <w:r>
              <w:rPr>
                <w:rFonts w:ascii="Times New Roman"/>
                <w:spacing w:val="-1"/>
                <w:sz w:val="18"/>
              </w:rPr>
              <w:t>-3,011,265.12</w:t>
            </w:r>
          </w:p>
        </w:tc>
      </w:tr>
      <w:tr>
        <w:trPr>
          <w:trHeight w:val="440"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6"/>
              <w:jc w:val="right"/>
              <w:rPr>
                <w:rFonts w:ascii="Times New Roman" w:hAnsi="Times New Roman" w:cs="Times New Roman" w:eastAsia="Times New Roman" w:hint="default"/>
                <w:sz w:val="18"/>
                <w:szCs w:val="18"/>
              </w:rPr>
            </w:pPr>
            <w:r>
              <w:rPr>
                <w:rFonts w:ascii="Times New Roman"/>
                <w:spacing w:val="-1"/>
                <w:sz w:val="18"/>
              </w:rPr>
              <w:t>-1,987,028.93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3"/>
              <w:jc w:val="right"/>
              <w:rPr>
                <w:rFonts w:ascii="Times New Roman" w:hAnsi="Times New Roman" w:cs="Times New Roman" w:eastAsia="Times New Roman" w:hint="default"/>
                <w:sz w:val="18"/>
                <w:szCs w:val="18"/>
              </w:rPr>
            </w:pPr>
            <w:r>
              <w:rPr>
                <w:rFonts w:ascii="Times New Roman"/>
                <w:sz w:val="18"/>
              </w:rPr>
              <w:t>765,057.27</w:t>
            </w:r>
          </w:p>
        </w:tc>
      </w:tr>
      <w:tr>
        <w:trPr>
          <w:trHeight w:val="440"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96"/>
              <w:jc w:val="right"/>
              <w:rPr>
                <w:rFonts w:ascii="Times New Roman" w:hAnsi="Times New Roman" w:cs="Times New Roman" w:eastAsia="Times New Roman" w:hint="default"/>
                <w:sz w:val="18"/>
                <w:szCs w:val="18"/>
              </w:rPr>
            </w:pPr>
            <w:r>
              <w:rPr>
                <w:rFonts w:ascii="Times New Roman"/>
                <w:w w:val="95"/>
                <w:sz w:val="18"/>
              </w:rPr>
              <w:t>-159,235.49</w:t>
            </w:r>
            <w:r>
              <w:rPr>
                <w:rFonts w:ascii="Times New Roman"/>
                <w:sz w:val="18"/>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3"/>
              <w:jc w:val="right"/>
              <w:rPr>
                <w:rFonts w:ascii="Times New Roman" w:hAnsi="Times New Roman" w:cs="Times New Roman" w:eastAsia="Times New Roman" w:hint="default"/>
                <w:sz w:val="18"/>
                <w:szCs w:val="18"/>
              </w:rPr>
            </w:pPr>
            <w:r>
              <w:rPr>
                <w:rFonts w:ascii="Times New Roman"/>
                <w:spacing w:val="-1"/>
                <w:sz w:val="18"/>
              </w:rPr>
              <w:t>-3,595,803.49</w:t>
            </w:r>
          </w:p>
        </w:tc>
      </w:tr>
      <w:tr>
        <w:trPr>
          <w:trHeight w:val="440"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96"/>
              <w:jc w:val="right"/>
              <w:rPr>
                <w:rFonts w:ascii="Times New Roman" w:hAnsi="Times New Roman" w:cs="Times New Roman" w:eastAsia="Times New Roman" w:hint="default"/>
                <w:sz w:val="18"/>
                <w:szCs w:val="18"/>
              </w:rPr>
            </w:pPr>
            <w:r>
              <w:rPr>
                <w:rFonts w:ascii="Times New Roman"/>
                <w:spacing w:val="-1"/>
                <w:sz w:val="18"/>
              </w:rPr>
              <w:t>5,194,995.64</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4"/>
              <w:jc w:val="right"/>
              <w:rPr>
                <w:rFonts w:ascii="Times New Roman" w:hAnsi="Times New Roman" w:cs="Times New Roman" w:eastAsia="Times New Roman" w:hint="default"/>
                <w:sz w:val="18"/>
                <w:szCs w:val="18"/>
              </w:rPr>
            </w:pPr>
            <w:r>
              <w:rPr>
                <w:rFonts w:ascii="Times New Roman"/>
                <w:spacing w:val="-1"/>
                <w:sz w:val="18"/>
              </w:rPr>
              <w:t>3,458,439.39</w:t>
            </w:r>
          </w:p>
        </w:tc>
      </w:tr>
      <w:tr>
        <w:trPr>
          <w:trHeight w:val="435"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1811"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
        </w:tc>
      </w:tr>
      <w:tr>
        <w:trPr>
          <w:trHeight w:val="800"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8" w:right="284"/>
              <w:jc w:val="left"/>
              <w:rPr>
                <w:rFonts w:ascii="宋体" w:hAnsi="宋体" w:cs="宋体" w:eastAsia="宋体" w:hint="default"/>
                <w:sz w:val="18"/>
                <w:szCs w:val="18"/>
              </w:rPr>
            </w:pPr>
            <w:r>
              <w:rPr>
                <w:rFonts w:ascii="宋体" w:hAnsi="宋体" w:cs="宋体" w:eastAsia="宋体" w:hint="default"/>
                <w:spacing w:val="4"/>
                <w:sz w:val="18"/>
                <w:szCs w:val="18"/>
              </w:rPr>
              <w:t>以前年度已确认递延所得税的可抵扣暂时性差异和可抵扣亏损的影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响</w:t>
            </w:r>
          </w:p>
        </w:tc>
        <w:tc>
          <w:tcPr>
            <w:tcW w:w="1811"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3"/>
              <w:jc w:val="right"/>
              <w:rPr>
                <w:rFonts w:ascii="Times New Roman" w:hAnsi="Times New Roman" w:cs="Times New Roman" w:eastAsia="Times New Roman" w:hint="default"/>
                <w:sz w:val="18"/>
                <w:szCs w:val="18"/>
              </w:rPr>
            </w:pPr>
            <w:r>
              <w:rPr>
                <w:rFonts w:ascii="Times New Roman"/>
                <w:spacing w:val="-1"/>
                <w:sz w:val="18"/>
              </w:rPr>
              <w:t>-1,166,099.86</w:t>
            </w:r>
          </w:p>
        </w:tc>
      </w:tr>
      <w:tr>
        <w:trPr>
          <w:trHeight w:val="445"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未确认的可抵扣暂时性差异和可抵扣亏损的影响</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96"/>
              <w:jc w:val="right"/>
              <w:rPr>
                <w:rFonts w:ascii="Times New Roman" w:hAnsi="Times New Roman" w:cs="Times New Roman" w:eastAsia="Times New Roman" w:hint="default"/>
                <w:sz w:val="18"/>
                <w:szCs w:val="18"/>
              </w:rPr>
            </w:pPr>
            <w:r>
              <w:rPr>
                <w:rFonts w:ascii="Times New Roman"/>
                <w:spacing w:val="-1"/>
                <w:sz w:val="18"/>
              </w:rPr>
              <w:t>10,038,726.30</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3"/>
              <w:jc w:val="right"/>
              <w:rPr>
                <w:rFonts w:ascii="Times New Roman" w:hAnsi="Times New Roman" w:cs="Times New Roman" w:eastAsia="Times New Roman" w:hint="default"/>
                <w:sz w:val="18"/>
                <w:szCs w:val="18"/>
              </w:rPr>
            </w:pPr>
            <w:r>
              <w:rPr>
                <w:rFonts w:ascii="Times New Roman"/>
                <w:spacing w:val="-1"/>
                <w:sz w:val="18"/>
              </w:rPr>
              <w:t>5,275,612.78</w:t>
            </w:r>
          </w:p>
        </w:tc>
      </w:tr>
      <w:tr>
        <w:trPr>
          <w:trHeight w:val="440"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96"/>
              <w:jc w:val="right"/>
              <w:rPr>
                <w:rFonts w:ascii="Times New Roman" w:hAnsi="Times New Roman" w:cs="Times New Roman" w:eastAsia="Times New Roman" w:hint="default"/>
                <w:sz w:val="18"/>
                <w:szCs w:val="18"/>
              </w:rPr>
            </w:pPr>
            <w:r>
              <w:rPr>
                <w:rFonts w:ascii="Times New Roman"/>
                <w:spacing w:val="-1"/>
                <w:sz w:val="18"/>
              </w:rPr>
              <w:t>22,054,067.50</w:t>
            </w:r>
          </w:p>
        </w:tc>
        <w:tc>
          <w:tcPr>
            <w:tcW w:w="1859" w:type="dxa"/>
            <w:tcBorders>
              <w:top w:val="nil" w:sz="6" w:space="0" w:color="auto"/>
              <w:left w:val="nil" w:sz="6" w:space="0" w:color="auto"/>
              <w:bottom w:val="nil" w:sz="6" w:space="0" w:color="auto"/>
              <w:right w:val="nil" w:sz="6" w:space="0" w:color="auto"/>
            </w:tcBorders>
          </w:tcPr>
          <w:p>
            <w:pPr/>
          </w:p>
        </w:tc>
      </w:tr>
      <w:tr>
        <w:trPr>
          <w:trHeight w:val="440"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所得税费用合计</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36,831,557.82</w:t>
            </w:r>
            <w:r>
              <w:rPr>
                <w:rFonts w:ascii="Times New Roman"/>
                <w:spacing w:val="-1"/>
                <w:sz w:val="18"/>
              </w:rPr>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46,321,511.02</w:t>
            </w:r>
            <w:r>
              <w:rPr>
                <w:rFonts w:ascii="Times New Roman"/>
                <w:spacing w:val="-1"/>
                <w:sz w:val="18"/>
              </w:rPr>
            </w:r>
          </w:p>
        </w:tc>
      </w:tr>
      <w:tr>
        <w:trPr>
          <w:trHeight w:val="305" w:hRule="exact"/>
        </w:trPr>
        <w:tc>
          <w:tcPr>
            <w:tcW w:w="576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注：其他系本期计提合并商誉减值损失对所得税的影响。</w:t>
            </w:r>
          </w:p>
        </w:tc>
        <w:tc>
          <w:tcPr>
            <w:tcW w:w="1811"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2"/>
          <w:szCs w:val="12"/>
        </w:rPr>
      </w:pPr>
    </w:p>
    <w:p>
      <w:pPr>
        <w:pStyle w:val="BodyText"/>
        <w:spacing w:line="240" w:lineRule="auto" w:before="44"/>
        <w:ind w:right="1117"/>
        <w:jc w:val="left"/>
      </w:pPr>
      <w:bookmarkStart w:name="43.现金流量表项目注释" w:id="235"/>
      <w:bookmarkEnd w:id="235"/>
      <w:r>
        <w:rPr/>
      </w:r>
      <w:r>
        <w:rPr>
          <w:rFonts w:ascii="Times New Roman" w:hAnsi="Times New Roman" w:cs="Times New Roman" w:eastAsia="Times New Roman" w:hint="default"/>
        </w:rPr>
        <w:t>43.</w:t>
      </w:r>
      <w:r>
        <w:rPr/>
        <w:t>现金流量表项目注释</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205"/>
        <w:gridCol w:w="3234"/>
        <w:gridCol w:w="2991"/>
      </w:tblGrid>
      <w:tr>
        <w:trPr>
          <w:trHeight w:val="271" w:hRule="exact"/>
        </w:trPr>
        <w:tc>
          <w:tcPr>
            <w:tcW w:w="3205" w:type="dxa"/>
            <w:tcBorders>
              <w:top w:val="nil" w:sz="6" w:space="0" w:color="auto"/>
              <w:left w:val="nil" w:sz="6" w:space="0" w:color="auto"/>
              <w:bottom w:val="single" w:sz="4" w:space="0" w:color="000000"/>
              <w:right w:val="nil" w:sz="6" w:space="0" w:color="auto"/>
            </w:tcBorders>
          </w:tcPr>
          <w:p>
            <w:pPr>
              <w:pStyle w:val="TableParagraph"/>
              <w:spacing w:line="180" w:lineRule="exact"/>
              <w:ind w:right="6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34" w:type="dxa"/>
            <w:tcBorders>
              <w:top w:val="nil" w:sz="6" w:space="0" w:color="auto"/>
              <w:left w:val="nil" w:sz="6" w:space="0" w:color="auto"/>
              <w:bottom w:val="single" w:sz="4" w:space="0" w:color="000000"/>
              <w:right w:val="nil" w:sz="6" w:space="0" w:color="auto"/>
            </w:tcBorders>
          </w:tcPr>
          <w:p>
            <w:pPr>
              <w:pStyle w:val="TableParagraph"/>
              <w:spacing w:line="180" w:lineRule="exact"/>
              <w:ind w:left="105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91" w:type="dxa"/>
            <w:tcBorders>
              <w:top w:val="nil" w:sz="6" w:space="0" w:color="auto"/>
              <w:left w:val="nil" w:sz="6" w:space="0" w:color="auto"/>
              <w:bottom w:val="single" w:sz="4" w:space="0" w:color="000000"/>
              <w:right w:val="nil" w:sz="6" w:space="0" w:color="auto"/>
            </w:tcBorders>
          </w:tcPr>
          <w:p>
            <w:pPr>
              <w:pStyle w:val="TableParagraph"/>
              <w:spacing w:line="180" w:lineRule="exact"/>
              <w:ind w:left="96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320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其中：财务费用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234"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965"/>
              <w:jc w:val="right"/>
              <w:rPr>
                <w:rFonts w:ascii="Times New Roman" w:hAnsi="Times New Roman" w:cs="Times New Roman" w:eastAsia="Times New Roman" w:hint="default"/>
                <w:sz w:val="18"/>
                <w:szCs w:val="18"/>
              </w:rPr>
            </w:pPr>
            <w:r>
              <w:rPr>
                <w:rFonts w:ascii="Times New Roman"/>
                <w:spacing w:val="-1"/>
                <w:sz w:val="18"/>
              </w:rPr>
              <w:t>15,272,803.66</w:t>
            </w:r>
          </w:p>
        </w:tc>
        <w:tc>
          <w:tcPr>
            <w:tcW w:w="299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813"/>
              <w:jc w:val="right"/>
              <w:rPr>
                <w:rFonts w:ascii="Times New Roman" w:hAnsi="Times New Roman" w:cs="Times New Roman" w:eastAsia="Times New Roman" w:hint="default"/>
                <w:sz w:val="18"/>
                <w:szCs w:val="18"/>
              </w:rPr>
            </w:pPr>
            <w:r>
              <w:rPr>
                <w:rFonts w:ascii="Times New Roman"/>
                <w:spacing w:val="-1"/>
                <w:sz w:val="18"/>
              </w:rPr>
              <w:t>6,973,391.77</w:t>
            </w:r>
          </w:p>
        </w:tc>
      </w:tr>
      <w:tr>
        <w:trPr>
          <w:trHeight w:val="440"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5"/>
              <w:jc w:val="right"/>
              <w:rPr>
                <w:rFonts w:ascii="Times New Roman" w:hAnsi="Times New Roman" w:cs="Times New Roman" w:eastAsia="Times New Roman" w:hint="default"/>
                <w:sz w:val="18"/>
                <w:szCs w:val="18"/>
              </w:rPr>
            </w:pPr>
            <w:r>
              <w:rPr>
                <w:rFonts w:ascii="Times New Roman"/>
                <w:spacing w:val="-1"/>
                <w:sz w:val="18"/>
              </w:rPr>
              <w:t>5,858,704.75</w:t>
            </w: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12"/>
              <w:jc w:val="right"/>
              <w:rPr>
                <w:rFonts w:ascii="Times New Roman" w:hAnsi="Times New Roman" w:cs="Times New Roman" w:eastAsia="Times New Roman" w:hint="default"/>
                <w:sz w:val="18"/>
                <w:szCs w:val="18"/>
              </w:rPr>
            </w:pPr>
            <w:r>
              <w:rPr>
                <w:rFonts w:ascii="Times New Roman"/>
                <w:spacing w:val="-1"/>
                <w:sz w:val="18"/>
              </w:rPr>
              <w:t>6,669,458.25</w:t>
            </w:r>
          </w:p>
        </w:tc>
      </w:tr>
      <w:tr>
        <w:trPr>
          <w:trHeight w:val="440"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收到往来款项</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65"/>
              <w:jc w:val="right"/>
              <w:rPr>
                <w:rFonts w:ascii="Times New Roman" w:hAnsi="Times New Roman" w:cs="Times New Roman" w:eastAsia="Times New Roman" w:hint="default"/>
                <w:sz w:val="18"/>
                <w:szCs w:val="18"/>
              </w:rPr>
            </w:pPr>
            <w:r>
              <w:rPr>
                <w:rFonts w:ascii="Times New Roman"/>
                <w:spacing w:val="-1"/>
                <w:sz w:val="18"/>
              </w:rPr>
              <w:t>13,339,604.72</w:t>
            </w: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12"/>
              <w:jc w:val="right"/>
              <w:rPr>
                <w:rFonts w:ascii="Times New Roman" w:hAnsi="Times New Roman" w:cs="Times New Roman" w:eastAsia="Times New Roman" w:hint="default"/>
                <w:sz w:val="18"/>
                <w:szCs w:val="18"/>
              </w:rPr>
            </w:pPr>
            <w:r>
              <w:rPr>
                <w:rFonts w:ascii="Times New Roman"/>
                <w:sz w:val="18"/>
              </w:rPr>
              <w:t>283,225.86</w:t>
            </w:r>
          </w:p>
        </w:tc>
      </w:tr>
      <w:tr>
        <w:trPr>
          <w:trHeight w:val="440"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收到其他</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65"/>
              <w:jc w:val="right"/>
              <w:rPr>
                <w:rFonts w:ascii="Times New Roman" w:hAnsi="Times New Roman" w:cs="Times New Roman" w:eastAsia="Times New Roman" w:hint="default"/>
                <w:sz w:val="18"/>
                <w:szCs w:val="18"/>
              </w:rPr>
            </w:pPr>
            <w:r>
              <w:rPr>
                <w:rFonts w:ascii="Times New Roman"/>
                <w:sz w:val="18"/>
              </w:rPr>
              <w:t>232,050.41</w:t>
            </w: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12"/>
              <w:jc w:val="right"/>
              <w:rPr>
                <w:rFonts w:ascii="Times New Roman" w:hAnsi="Times New Roman" w:cs="Times New Roman" w:eastAsia="Times New Roman" w:hint="default"/>
                <w:sz w:val="18"/>
                <w:szCs w:val="18"/>
              </w:rPr>
            </w:pPr>
            <w:r>
              <w:rPr>
                <w:rFonts w:ascii="Times New Roman"/>
                <w:sz w:val="18"/>
              </w:rPr>
              <w:t>730,510.79</w:t>
            </w:r>
          </w:p>
        </w:tc>
      </w:tr>
      <w:tr>
        <w:trPr>
          <w:trHeight w:val="315" w:hRule="exact"/>
        </w:trPr>
        <w:tc>
          <w:tcPr>
            <w:tcW w:w="320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0"/>
              <w:jc w:val="center"/>
              <w:rPr>
                <w:rFonts w:ascii="宋体" w:hAnsi="宋体" w:cs="宋体" w:eastAsia="宋体" w:hint="default"/>
                <w:sz w:val="18"/>
                <w:szCs w:val="18"/>
              </w:rPr>
            </w:pPr>
            <w:r>
              <w:rPr>
                <w:rFonts w:ascii="宋体" w:hAnsi="宋体" w:cs="宋体" w:eastAsia="宋体" w:hint="default"/>
                <w:sz w:val="18"/>
                <w:szCs w:val="18"/>
              </w:rPr>
              <w:t>合  计</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34,703,163.54</w:t>
            </w:r>
            <w:r>
              <w:rPr>
                <w:rFonts w:ascii="Times New Roman"/>
                <w:spacing w:val="-1"/>
                <w:sz w:val="18"/>
              </w:rPr>
            </w: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14,656,586.67</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pict>
          <v:group style="position:absolute;margin-left:64.559998pt;margin-top:46.131718pt;width:472.75pt;height:.5pt;mso-position-horizontal-relative:page;mso-position-vertical-relative:paragraph;z-index:-946864" coordorigin="1291,923" coordsize="9455,10">
            <v:group style="position:absolute;left:1296;top:927;width:3157;height:2" coordorigin="1296,927" coordsize="3157,2">
              <v:shape style="position:absolute;left:1296;top:927;width:3157;height:2" coordorigin="1296,927" coordsize="3157,0" path="m1296,927l4452,927e" filled="false" stroked="true" strokeweight=".48pt" strokecolor="#000000">
                <v:path arrowok="t"/>
              </v:shape>
            </v:group>
            <v:group style="position:absolute;left:4438;top:927;width:10;height:2" coordorigin="4438,927" coordsize="10,2">
              <v:shape style="position:absolute;left:4438;top:927;width:10;height:2" coordorigin="4438,927" coordsize="10,0" path="m4438,927l4448,927e" filled="false" stroked="true" strokeweight=".48pt" strokecolor="#000000">
                <v:path arrowok="t"/>
              </v:shape>
            </v:group>
            <v:group style="position:absolute;left:4448;top:927;width:3150;height:2" coordorigin="4448,927" coordsize="3150,2">
              <v:shape style="position:absolute;left:4448;top:927;width:3150;height:2" coordorigin="4448,927" coordsize="3150,0" path="m4448,927l7597,927e" filled="false" stroked="true" strokeweight=".48pt" strokecolor="#000000">
                <v:path arrowok="t"/>
              </v:shape>
            </v:group>
            <v:group style="position:absolute;left:7582;top:927;width:10;height:2" coordorigin="7582,927" coordsize="10,2">
              <v:shape style="position:absolute;left:7582;top:927;width:10;height:2" coordorigin="7582,927" coordsize="10,0" path="m7582,927l7592,927e" filled="false" stroked="true" strokeweight=".48pt" strokecolor="#000000">
                <v:path arrowok="t"/>
              </v:shape>
            </v:group>
            <v:group style="position:absolute;left:7592;top:927;width:3150;height:2" coordorigin="7592,927" coordsize="3150,2">
              <v:shape style="position:absolute;left:7592;top:927;width:3150;height:2" coordorigin="7592,927" coordsize="3150,0" path="m7592,927l10741,927e" filled="false" stroked="true" strokeweight=".48pt" strokecolor="#000000">
                <v:path arrowok="t"/>
              </v:shape>
            </v:group>
            <w10:wrap type="none"/>
          </v:group>
        </w:pict>
      </w:r>
      <w:r>
        <w:rPr/>
        <w:t>（</w:t>
      </w:r>
      <w:r>
        <w:rPr>
          <w:rFonts w:ascii="Times New Roman" w:hAnsi="Times New Roman" w:cs="Times New Roman" w:eastAsia="Times New Roman" w:hint="default"/>
        </w:rPr>
        <w:t>2</w:t>
      </w:r>
      <w:r>
        <w:rPr/>
        <w:t>）支付的其他与经营活动有关的现金</w:t>
      </w:r>
    </w:p>
    <w:p>
      <w:pPr>
        <w:spacing w:line="240" w:lineRule="auto" w:before="9"/>
        <w:rPr>
          <w:rFonts w:ascii="宋体" w:hAnsi="宋体" w:cs="宋体" w:eastAsia="宋体" w:hint="default"/>
          <w:sz w:val="27"/>
          <w:szCs w:val="27"/>
        </w:rPr>
      </w:pPr>
    </w:p>
    <w:tbl>
      <w:tblPr>
        <w:tblW w:w="0" w:type="auto"/>
        <w:jc w:val="left"/>
        <w:tblInd w:w="2410" w:type="dxa"/>
        <w:tblLayout w:type="fixed"/>
        <w:tblCellMar>
          <w:top w:w="0" w:type="dxa"/>
          <w:left w:w="0" w:type="dxa"/>
          <w:bottom w:w="0" w:type="dxa"/>
          <w:right w:w="0" w:type="dxa"/>
        </w:tblCellMar>
        <w:tblLook w:val="01E0"/>
      </w:tblPr>
      <w:tblGrid>
        <w:gridCol w:w="1952"/>
        <w:gridCol w:w="3234"/>
        <w:gridCol w:w="2224"/>
      </w:tblGrid>
      <w:tr>
        <w:trPr>
          <w:trHeight w:val="272"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34"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24" w:type="dxa"/>
            <w:tcBorders>
              <w:top w:val="nil" w:sz="6" w:space="0" w:color="auto"/>
              <w:left w:val="nil" w:sz="6" w:space="0" w:color="auto"/>
              <w:bottom w:val="nil" w:sz="6" w:space="0" w:color="auto"/>
              <w:right w:val="nil" w:sz="6" w:space="0" w:color="auto"/>
            </w:tcBorders>
          </w:tcPr>
          <w:p>
            <w:pPr>
              <w:pStyle w:val="TableParagraph"/>
              <w:spacing w:line="180" w:lineRule="exact"/>
              <w:ind w:left="112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3085"/>
        <w:gridCol w:w="3368"/>
        <w:gridCol w:w="2978"/>
      </w:tblGrid>
      <w:tr>
        <w:trPr>
          <w:trHeight w:val="272" w:hRule="exact"/>
        </w:trPr>
        <w:tc>
          <w:tcPr>
            <w:tcW w:w="3085" w:type="dxa"/>
            <w:tcBorders>
              <w:top w:val="nil" w:sz="6" w:space="0" w:color="auto"/>
              <w:left w:val="nil" w:sz="6" w:space="0" w:color="auto"/>
              <w:bottom w:val="single" w:sz="4" w:space="0" w:color="000000"/>
              <w:right w:val="nil" w:sz="6" w:space="0" w:color="auto"/>
            </w:tcBorders>
          </w:tcPr>
          <w:p>
            <w:pPr>
              <w:pStyle w:val="TableParagraph"/>
              <w:spacing w:line="180" w:lineRule="exact"/>
              <w:ind w:left="57"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368" w:type="dxa"/>
            <w:tcBorders>
              <w:top w:val="nil" w:sz="6" w:space="0" w:color="auto"/>
              <w:left w:val="nil" w:sz="6" w:space="0" w:color="auto"/>
              <w:bottom w:val="single" w:sz="4" w:space="0" w:color="000000"/>
              <w:right w:val="nil" w:sz="6" w:space="0" w:color="auto"/>
            </w:tcBorders>
          </w:tcPr>
          <w:p>
            <w:pPr>
              <w:pStyle w:val="TableParagraph"/>
              <w:spacing w:line="180" w:lineRule="exact"/>
              <w:ind w:right="109"/>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78" w:type="dxa"/>
            <w:tcBorders>
              <w:top w:val="nil" w:sz="6" w:space="0" w:color="auto"/>
              <w:left w:val="nil" w:sz="6" w:space="0" w:color="auto"/>
              <w:bottom w:val="single" w:sz="4" w:space="0" w:color="000000"/>
              <w:right w:val="nil" w:sz="6" w:space="0" w:color="auto"/>
            </w:tcBorders>
          </w:tcPr>
          <w:p>
            <w:pPr>
              <w:pStyle w:val="TableParagraph"/>
              <w:spacing w:line="180" w:lineRule="exact"/>
              <w:ind w:left="95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308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175"/>
              <w:jc w:val="right"/>
              <w:rPr>
                <w:rFonts w:ascii="宋体" w:hAnsi="宋体" w:cs="宋体" w:eastAsia="宋体" w:hint="default"/>
                <w:sz w:val="18"/>
                <w:szCs w:val="18"/>
              </w:rPr>
            </w:pPr>
            <w:r>
              <w:rPr>
                <w:rFonts w:ascii="宋体" w:hAnsi="宋体" w:cs="宋体" w:eastAsia="宋体" w:hint="default"/>
                <w:sz w:val="18"/>
                <w:szCs w:val="18"/>
              </w:rPr>
              <w:t>其中：支付的工会经费</w:t>
            </w:r>
          </w:p>
        </w:tc>
        <w:tc>
          <w:tcPr>
            <w:tcW w:w="336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951"/>
              <w:jc w:val="right"/>
              <w:rPr>
                <w:rFonts w:ascii="Times New Roman" w:hAnsi="Times New Roman" w:cs="Times New Roman" w:eastAsia="Times New Roman" w:hint="default"/>
                <w:sz w:val="18"/>
                <w:szCs w:val="18"/>
              </w:rPr>
            </w:pPr>
            <w:r>
              <w:rPr>
                <w:rFonts w:ascii="Times New Roman"/>
                <w:sz w:val="18"/>
              </w:rPr>
              <w:t>194,675.81</w:t>
            </w:r>
          </w:p>
        </w:tc>
        <w:tc>
          <w:tcPr>
            <w:tcW w:w="297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784"/>
              <w:jc w:val="right"/>
              <w:rPr>
                <w:rFonts w:ascii="Times New Roman" w:hAnsi="Times New Roman" w:cs="Times New Roman" w:eastAsia="Times New Roman" w:hint="default"/>
                <w:sz w:val="18"/>
                <w:szCs w:val="18"/>
              </w:rPr>
            </w:pPr>
            <w:r>
              <w:rPr>
                <w:rFonts w:ascii="Times New Roman"/>
                <w:sz w:val="18"/>
              </w:rPr>
              <w:t>389,913.08</w:t>
            </w:r>
          </w:p>
        </w:tc>
      </w:tr>
      <w:tr>
        <w:trPr>
          <w:trHeight w:val="440"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74"/>
              <w:jc w:val="right"/>
              <w:rPr>
                <w:rFonts w:ascii="宋体" w:hAnsi="宋体" w:cs="宋体" w:eastAsia="宋体" w:hint="default"/>
                <w:sz w:val="18"/>
                <w:szCs w:val="18"/>
              </w:rPr>
            </w:pPr>
            <w:r>
              <w:rPr>
                <w:rFonts w:ascii="宋体" w:hAnsi="宋体" w:cs="宋体" w:eastAsia="宋体" w:hint="default"/>
                <w:sz w:val="18"/>
                <w:szCs w:val="18"/>
              </w:rPr>
              <w:t>支付的往来款项</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51"/>
              <w:jc w:val="right"/>
              <w:rPr>
                <w:rFonts w:ascii="Times New Roman" w:hAnsi="Times New Roman" w:cs="Times New Roman" w:eastAsia="Times New Roman" w:hint="default"/>
                <w:sz w:val="18"/>
                <w:szCs w:val="18"/>
              </w:rPr>
            </w:pPr>
            <w:r>
              <w:rPr>
                <w:rFonts w:ascii="Times New Roman"/>
                <w:sz w:val="18"/>
              </w:rPr>
              <w:t>5,018.40</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5"/>
              <w:jc w:val="right"/>
              <w:rPr>
                <w:rFonts w:ascii="Times New Roman" w:hAnsi="Times New Roman" w:cs="Times New Roman" w:eastAsia="Times New Roman" w:hint="default"/>
                <w:sz w:val="18"/>
                <w:szCs w:val="18"/>
              </w:rPr>
            </w:pPr>
            <w:r>
              <w:rPr>
                <w:rFonts w:ascii="Times New Roman"/>
                <w:spacing w:val="-1"/>
                <w:sz w:val="18"/>
              </w:rPr>
              <w:t>8,272,763.11</w:t>
            </w:r>
          </w:p>
        </w:tc>
      </w:tr>
      <w:tr>
        <w:trPr>
          <w:trHeight w:val="440"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52"/>
              <w:jc w:val="right"/>
              <w:rPr>
                <w:rFonts w:ascii="Times New Roman" w:hAnsi="Times New Roman" w:cs="Times New Roman" w:eastAsia="Times New Roman" w:hint="default"/>
                <w:sz w:val="18"/>
                <w:szCs w:val="18"/>
              </w:rPr>
            </w:pPr>
            <w:r>
              <w:rPr>
                <w:rFonts w:ascii="Times New Roman"/>
                <w:spacing w:val="-1"/>
                <w:sz w:val="18"/>
              </w:rPr>
              <w:t>43,538,535.58</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85"/>
              <w:jc w:val="right"/>
              <w:rPr>
                <w:rFonts w:ascii="Times New Roman" w:hAnsi="Times New Roman" w:cs="Times New Roman" w:eastAsia="Times New Roman" w:hint="default"/>
                <w:sz w:val="18"/>
                <w:szCs w:val="18"/>
              </w:rPr>
            </w:pPr>
            <w:r>
              <w:rPr>
                <w:rFonts w:ascii="Times New Roman"/>
                <w:spacing w:val="-1"/>
                <w:sz w:val="18"/>
              </w:rPr>
              <w:t>42,515,037.05</w:t>
            </w:r>
          </w:p>
        </w:tc>
      </w:tr>
      <w:tr>
        <w:trPr>
          <w:trHeight w:val="440"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52"/>
              <w:jc w:val="right"/>
              <w:rPr>
                <w:rFonts w:ascii="Times New Roman" w:hAnsi="Times New Roman" w:cs="Times New Roman" w:eastAsia="Times New Roman" w:hint="default"/>
                <w:sz w:val="18"/>
                <w:szCs w:val="18"/>
              </w:rPr>
            </w:pPr>
            <w:r>
              <w:rPr>
                <w:rFonts w:ascii="Times New Roman"/>
                <w:spacing w:val="-1"/>
                <w:sz w:val="18"/>
              </w:rPr>
              <w:t>42,342,239.78</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5"/>
              <w:jc w:val="right"/>
              <w:rPr>
                <w:rFonts w:ascii="Times New Roman" w:hAnsi="Times New Roman" w:cs="Times New Roman" w:eastAsia="Times New Roman" w:hint="default"/>
                <w:sz w:val="18"/>
                <w:szCs w:val="18"/>
              </w:rPr>
            </w:pPr>
            <w:r>
              <w:rPr>
                <w:rFonts w:ascii="Times New Roman"/>
                <w:spacing w:val="-1"/>
                <w:sz w:val="18"/>
              </w:rPr>
              <w:t>34,495,421.86</w:t>
            </w:r>
          </w:p>
        </w:tc>
      </w:tr>
      <w:tr>
        <w:trPr>
          <w:trHeight w:val="440"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52"/>
              <w:jc w:val="right"/>
              <w:rPr>
                <w:rFonts w:ascii="Times New Roman" w:hAnsi="Times New Roman" w:cs="Times New Roman" w:eastAsia="Times New Roman" w:hint="default"/>
                <w:sz w:val="18"/>
                <w:szCs w:val="18"/>
              </w:rPr>
            </w:pPr>
            <w:r>
              <w:rPr>
                <w:rFonts w:ascii="Times New Roman"/>
                <w:spacing w:val="-1"/>
                <w:sz w:val="18"/>
              </w:rPr>
              <w:t>1,196,531.68</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5"/>
              <w:jc w:val="right"/>
              <w:rPr>
                <w:rFonts w:ascii="Times New Roman" w:hAnsi="Times New Roman" w:cs="Times New Roman" w:eastAsia="Times New Roman" w:hint="default"/>
                <w:sz w:val="18"/>
                <w:szCs w:val="18"/>
              </w:rPr>
            </w:pPr>
            <w:r>
              <w:rPr>
                <w:rFonts w:ascii="Times New Roman"/>
                <w:sz w:val="18"/>
              </w:rPr>
              <w:t>323,921.86</w:t>
            </w:r>
          </w:p>
        </w:tc>
      </w:tr>
      <w:tr>
        <w:trPr>
          <w:trHeight w:val="440"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52"/>
              <w:jc w:val="right"/>
              <w:rPr>
                <w:rFonts w:ascii="Times New Roman" w:hAnsi="Times New Roman" w:cs="Times New Roman" w:eastAsia="Times New Roman" w:hint="default"/>
                <w:sz w:val="18"/>
                <w:szCs w:val="18"/>
              </w:rPr>
            </w:pPr>
            <w:r>
              <w:rPr>
                <w:rFonts w:ascii="Times New Roman"/>
                <w:sz w:val="18"/>
              </w:rPr>
              <w:t>236,765.26</w:t>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85"/>
              <w:jc w:val="right"/>
              <w:rPr>
                <w:rFonts w:ascii="Times New Roman" w:hAnsi="Times New Roman" w:cs="Times New Roman" w:eastAsia="Times New Roman" w:hint="default"/>
                <w:sz w:val="18"/>
                <w:szCs w:val="18"/>
              </w:rPr>
            </w:pPr>
            <w:r>
              <w:rPr>
                <w:rFonts w:ascii="Times New Roman"/>
                <w:sz w:val="18"/>
              </w:rPr>
              <w:t>39,096.48</w:t>
            </w:r>
          </w:p>
        </w:tc>
      </w:tr>
      <w:tr>
        <w:trPr>
          <w:trHeight w:val="315"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7"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5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87,513,766.51</w:t>
            </w:r>
            <w:r>
              <w:rPr>
                <w:rFonts w:ascii="Times New Roman"/>
                <w:spacing w:val="-1"/>
                <w:sz w:val="18"/>
              </w:rPr>
            </w: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86,036,153.44</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left="2138" w:right="1117"/>
        <w:jc w:val="left"/>
      </w:pPr>
      <w:r>
        <w:rPr/>
        <w:t>（</w:t>
      </w:r>
      <w:r>
        <w:rPr>
          <w:rFonts w:ascii="Times New Roman" w:hAnsi="Times New Roman" w:cs="Times New Roman" w:eastAsia="Times New Roman" w:hint="default"/>
        </w:rPr>
        <w:t>3</w:t>
      </w:r>
      <w:r>
        <w:rPr/>
        <w:t>）支付的其他与投资活动有关的现金</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024"/>
        <w:gridCol w:w="2834"/>
        <w:gridCol w:w="2573"/>
      </w:tblGrid>
      <w:tr>
        <w:trPr>
          <w:trHeight w:val="272" w:hRule="exact"/>
        </w:trPr>
        <w:tc>
          <w:tcPr>
            <w:tcW w:w="4024" w:type="dxa"/>
            <w:tcBorders>
              <w:top w:val="nil" w:sz="6" w:space="0" w:color="auto"/>
              <w:left w:val="nil" w:sz="6" w:space="0" w:color="auto"/>
              <w:bottom w:val="single" w:sz="4" w:space="0" w:color="000000"/>
              <w:right w:val="nil" w:sz="6" w:space="0" w:color="auto"/>
            </w:tcBorders>
          </w:tcPr>
          <w:p>
            <w:pPr>
              <w:pStyle w:val="TableParagraph"/>
              <w:spacing w:line="180" w:lineRule="exact"/>
              <w:ind w:right="152"/>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34" w:type="dxa"/>
            <w:tcBorders>
              <w:top w:val="nil" w:sz="6" w:space="0" w:color="auto"/>
              <w:left w:val="nil" w:sz="6" w:space="0" w:color="auto"/>
              <w:bottom w:val="single" w:sz="4" w:space="0" w:color="000000"/>
              <w:right w:val="nil" w:sz="6" w:space="0" w:color="auto"/>
            </w:tcBorders>
          </w:tcPr>
          <w:p>
            <w:pPr>
              <w:pStyle w:val="TableParagraph"/>
              <w:spacing w:line="180" w:lineRule="exact"/>
              <w:ind w:left="85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73" w:type="dxa"/>
            <w:tcBorders>
              <w:top w:val="nil" w:sz="6" w:space="0" w:color="auto"/>
              <w:left w:val="nil" w:sz="6" w:space="0" w:color="auto"/>
              <w:bottom w:val="single" w:sz="4" w:space="0" w:color="000000"/>
              <w:right w:val="nil" w:sz="6" w:space="0" w:color="auto"/>
            </w:tcBorders>
          </w:tcPr>
          <w:p>
            <w:pPr>
              <w:pStyle w:val="TableParagraph"/>
              <w:spacing w:line="180" w:lineRule="exact"/>
              <w:ind w:left="80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402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注销浙江天舟图书有限公司支付的现金</w:t>
            </w:r>
          </w:p>
        </w:tc>
        <w:tc>
          <w:tcPr>
            <w:tcW w:w="2834" w:type="dxa"/>
            <w:tcBorders>
              <w:top w:val="single" w:sz="4" w:space="0" w:color="000000"/>
              <w:left w:val="nil" w:sz="6" w:space="0" w:color="auto"/>
              <w:bottom w:val="nil" w:sz="6" w:space="0" w:color="auto"/>
              <w:right w:val="nil" w:sz="6" w:space="0" w:color="auto"/>
            </w:tcBorders>
          </w:tcPr>
          <w:p>
            <w:pPr/>
          </w:p>
        </w:tc>
        <w:tc>
          <w:tcPr>
            <w:tcW w:w="257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730"/>
              <w:jc w:val="right"/>
              <w:rPr>
                <w:rFonts w:ascii="Times New Roman" w:hAnsi="Times New Roman" w:cs="Times New Roman" w:eastAsia="Times New Roman" w:hint="default"/>
                <w:sz w:val="18"/>
                <w:szCs w:val="18"/>
              </w:rPr>
            </w:pPr>
            <w:r>
              <w:rPr>
                <w:rFonts w:ascii="Times New Roman"/>
                <w:sz w:val="18"/>
              </w:rPr>
              <w:t>614,850.00</w:t>
            </w:r>
          </w:p>
        </w:tc>
      </w:tr>
      <w:tr>
        <w:trPr>
          <w:trHeight w:val="440"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98"/>
              <w:jc w:val="right"/>
              <w:rPr>
                <w:rFonts w:ascii="Times New Roman" w:hAnsi="Times New Roman" w:cs="Times New Roman" w:eastAsia="Times New Roman" w:hint="default"/>
                <w:sz w:val="18"/>
                <w:szCs w:val="18"/>
              </w:rPr>
            </w:pPr>
            <w:r>
              <w:rPr>
                <w:rFonts w:ascii="Times New Roman"/>
                <w:spacing w:val="-1"/>
                <w:sz w:val="18"/>
              </w:rPr>
              <w:t>50,000,000.00</w:t>
            </w:r>
          </w:p>
        </w:tc>
        <w:tc>
          <w:tcPr>
            <w:tcW w:w="2573" w:type="dxa"/>
            <w:tcBorders>
              <w:top w:val="nil" w:sz="6" w:space="0" w:color="auto"/>
              <w:left w:val="nil" w:sz="6" w:space="0" w:color="auto"/>
              <w:bottom w:val="nil" w:sz="6" w:space="0" w:color="auto"/>
              <w:right w:val="nil" w:sz="6" w:space="0" w:color="auto"/>
            </w:tcBorders>
          </w:tcPr>
          <w:p>
            <w:pPr/>
          </w:p>
        </w:tc>
      </w:tr>
      <w:tr>
        <w:trPr>
          <w:trHeight w:val="315" w:hRule="exact"/>
        </w:trPr>
        <w:tc>
          <w:tcPr>
            <w:tcW w:w="40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2"/>
              <w:jc w:val="center"/>
              <w:rPr>
                <w:rFonts w:ascii="宋体" w:hAnsi="宋体" w:cs="宋体" w:eastAsia="宋体" w:hint="default"/>
                <w:sz w:val="18"/>
                <w:szCs w:val="18"/>
              </w:rPr>
            </w:pPr>
            <w:r>
              <w:rPr>
                <w:rFonts w:ascii="宋体" w:hAnsi="宋体" w:cs="宋体" w:eastAsia="宋体" w:hint="default"/>
                <w:sz w:val="18"/>
                <w:szCs w:val="18"/>
              </w:rPr>
              <w:t>合  计</w:t>
            </w:r>
          </w:p>
        </w:tc>
        <w:tc>
          <w:tcPr>
            <w:tcW w:w="28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50,000,000.00</w:t>
            </w:r>
            <w:r>
              <w:rPr>
                <w:rFonts w:ascii="Times New Roman"/>
                <w:spacing w:val="-1"/>
                <w:sz w:val="18"/>
              </w:rPr>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3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614,850.00</w:t>
            </w:r>
            <w:r>
              <w:rPr>
                <w:rFonts w:ascii="Times New Roman"/>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4</w:t>
      </w:r>
      <w:r>
        <w:rPr/>
        <w:t>）支付的其他与筹资活动有关的现金</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052"/>
        <w:gridCol w:w="3387"/>
        <w:gridCol w:w="2992"/>
      </w:tblGrid>
      <w:tr>
        <w:trPr>
          <w:trHeight w:val="272" w:hRule="exact"/>
        </w:trPr>
        <w:tc>
          <w:tcPr>
            <w:tcW w:w="3052" w:type="dxa"/>
            <w:tcBorders>
              <w:top w:val="nil" w:sz="6" w:space="0" w:color="auto"/>
              <w:left w:val="nil" w:sz="6" w:space="0" w:color="auto"/>
              <w:bottom w:val="single" w:sz="4" w:space="0" w:color="000000"/>
              <w:right w:val="nil" w:sz="6" w:space="0" w:color="auto"/>
            </w:tcBorders>
          </w:tcPr>
          <w:p>
            <w:pPr>
              <w:pStyle w:val="TableParagraph"/>
              <w:spacing w:line="180" w:lineRule="exact"/>
              <w:ind w:right="1207"/>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387" w:type="dxa"/>
            <w:tcBorders>
              <w:top w:val="nil" w:sz="6" w:space="0" w:color="auto"/>
              <w:left w:val="nil" w:sz="6" w:space="0" w:color="auto"/>
              <w:bottom w:val="single" w:sz="4" w:space="0" w:color="000000"/>
              <w:right w:val="nil" w:sz="6" w:space="0" w:color="auto"/>
            </w:tcBorders>
          </w:tcPr>
          <w:p>
            <w:pPr>
              <w:pStyle w:val="TableParagraph"/>
              <w:spacing w:line="180" w:lineRule="exact"/>
              <w:ind w:right="62"/>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92" w:type="dxa"/>
            <w:tcBorders>
              <w:top w:val="nil" w:sz="6" w:space="0" w:color="auto"/>
              <w:left w:val="nil" w:sz="6" w:space="0" w:color="auto"/>
              <w:bottom w:val="single" w:sz="4" w:space="0" w:color="000000"/>
              <w:right w:val="nil" w:sz="6" w:space="0" w:color="auto"/>
            </w:tcBorders>
          </w:tcPr>
          <w:p>
            <w:pPr>
              <w:pStyle w:val="TableParagraph"/>
              <w:spacing w:line="180" w:lineRule="exact"/>
              <w:ind w:left="96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305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募集资金中介费用</w:t>
            </w:r>
          </w:p>
        </w:tc>
        <w:tc>
          <w:tcPr>
            <w:tcW w:w="3387" w:type="dxa"/>
            <w:tcBorders>
              <w:top w:val="single" w:sz="4" w:space="0" w:color="000000"/>
              <w:left w:val="nil" w:sz="6" w:space="0" w:color="auto"/>
              <w:bottom w:val="nil" w:sz="6" w:space="0" w:color="auto"/>
              <w:right w:val="nil" w:sz="6" w:space="0" w:color="auto"/>
            </w:tcBorders>
          </w:tcPr>
          <w:p>
            <w:pPr/>
          </w:p>
        </w:tc>
        <w:tc>
          <w:tcPr>
            <w:tcW w:w="2992"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812"/>
              <w:jc w:val="right"/>
              <w:rPr>
                <w:rFonts w:ascii="Times New Roman" w:hAnsi="Times New Roman" w:cs="Times New Roman" w:eastAsia="Times New Roman" w:hint="default"/>
                <w:sz w:val="18"/>
                <w:szCs w:val="18"/>
              </w:rPr>
            </w:pPr>
            <w:r>
              <w:rPr>
                <w:rFonts w:ascii="Times New Roman"/>
                <w:spacing w:val="-1"/>
                <w:sz w:val="18"/>
              </w:rPr>
              <w:t>4,625,000.00</w:t>
            </w:r>
          </w:p>
        </w:tc>
      </w:tr>
      <w:tr>
        <w:trPr>
          <w:trHeight w:val="440"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33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65"/>
              <w:jc w:val="right"/>
              <w:rPr>
                <w:rFonts w:ascii="Times New Roman" w:hAnsi="Times New Roman" w:cs="Times New Roman" w:eastAsia="Times New Roman" w:hint="default"/>
                <w:sz w:val="18"/>
                <w:szCs w:val="18"/>
              </w:rPr>
            </w:pPr>
            <w:r>
              <w:rPr>
                <w:rFonts w:ascii="Times New Roman"/>
                <w:spacing w:val="-1"/>
                <w:sz w:val="18"/>
              </w:rPr>
              <w:t>270,581,816.38</w:t>
            </w:r>
          </w:p>
        </w:tc>
        <w:tc>
          <w:tcPr>
            <w:tcW w:w="2992" w:type="dxa"/>
            <w:tcBorders>
              <w:top w:val="nil" w:sz="6" w:space="0" w:color="auto"/>
              <w:left w:val="nil" w:sz="6" w:space="0" w:color="auto"/>
              <w:bottom w:val="nil" w:sz="6" w:space="0" w:color="auto"/>
              <w:right w:val="nil" w:sz="6" w:space="0" w:color="auto"/>
            </w:tcBorders>
          </w:tcPr>
          <w:p>
            <w:pPr/>
          </w:p>
        </w:tc>
      </w:tr>
      <w:tr>
        <w:trPr>
          <w:trHeight w:val="315"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10"/>
              <w:jc w:val="right"/>
              <w:rPr>
                <w:rFonts w:ascii="宋体" w:hAnsi="宋体" w:cs="宋体" w:eastAsia="宋体" w:hint="default"/>
                <w:sz w:val="18"/>
                <w:szCs w:val="18"/>
              </w:rPr>
            </w:pPr>
            <w:r>
              <w:rPr>
                <w:rFonts w:ascii="宋体" w:hAnsi="宋体" w:cs="宋体" w:eastAsia="宋体" w:hint="default"/>
                <w:sz w:val="18"/>
                <w:szCs w:val="18"/>
              </w:rPr>
              <w:t>合  计</w:t>
            </w:r>
          </w:p>
        </w:tc>
        <w:tc>
          <w:tcPr>
            <w:tcW w:w="33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270,581,816.38</w:t>
            </w:r>
            <w:r>
              <w:rPr>
                <w:rFonts w:ascii="Times New Roman"/>
                <w:spacing w:val="-1"/>
                <w:sz w:val="18"/>
              </w:rPr>
            </w:r>
          </w:p>
        </w:tc>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4,625,000.00</w:t>
            </w:r>
            <w:r>
              <w:rPr>
                <w:rFonts w:ascii="Times New Roman"/>
                <w:spacing w:val="-1"/>
                <w:sz w:val="18"/>
              </w:rPr>
            </w: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44.现金流量表补充资料" w:id="236"/>
      <w:bookmarkEnd w:id="236"/>
      <w:r>
        <w:rPr/>
      </w:r>
      <w:r>
        <w:rPr>
          <w:rFonts w:ascii="Times New Roman" w:hAnsi="Times New Roman" w:cs="Times New Roman" w:eastAsia="Times New Roman" w:hint="default"/>
        </w:rPr>
        <w:t>44.</w:t>
      </w:r>
      <w:r>
        <w:rPr/>
        <w:t>现金流量表补充资料</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）净利润调节为经营活动现金流量</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5226"/>
        <w:gridCol w:w="2259"/>
        <w:gridCol w:w="1946"/>
      </w:tblGrid>
      <w:tr>
        <w:trPr>
          <w:trHeight w:val="271" w:hRule="exact"/>
        </w:trPr>
        <w:tc>
          <w:tcPr>
            <w:tcW w:w="5226"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59" w:type="dxa"/>
            <w:tcBorders>
              <w:top w:val="nil" w:sz="6" w:space="0" w:color="auto"/>
              <w:left w:val="nil" w:sz="6" w:space="0" w:color="auto"/>
              <w:bottom w:val="single" w:sz="4" w:space="0" w:color="000000"/>
              <w:right w:val="nil" w:sz="6" w:space="0" w:color="auto"/>
            </w:tcBorders>
          </w:tcPr>
          <w:p>
            <w:pPr>
              <w:pStyle w:val="TableParagraph"/>
              <w:spacing w:line="180" w:lineRule="exact"/>
              <w:ind w:left="61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46" w:type="dxa"/>
            <w:tcBorders>
              <w:top w:val="nil" w:sz="6" w:space="0" w:color="auto"/>
              <w:left w:val="nil" w:sz="6" w:space="0" w:color="auto"/>
              <w:bottom w:val="single" w:sz="4" w:space="0" w:color="000000"/>
              <w:right w:val="nil" w:sz="6" w:space="0" w:color="auto"/>
            </w:tcBorders>
          </w:tcPr>
          <w:p>
            <w:pPr>
              <w:pStyle w:val="TableParagraph"/>
              <w:spacing w:line="180" w:lineRule="exact"/>
              <w:ind w:left="46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89" w:hRule="exact"/>
        </w:trPr>
        <w:tc>
          <w:tcPr>
            <w:tcW w:w="522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sz w:val="18"/>
                <w:szCs w:val="18"/>
              </w:rPr>
            </w:r>
          </w:p>
        </w:tc>
        <w:tc>
          <w:tcPr>
            <w:tcW w:w="2259" w:type="dxa"/>
            <w:tcBorders>
              <w:top w:val="single" w:sz="4" w:space="0" w:color="000000"/>
              <w:left w:val="nil" w:sz="6" w:space="0" w:color="auto"/>
              <w:bottom w:val="nil" w:sz="6" w:space="0" w:color="auto"/>
              <w:right w:val="nil" w:sz="6" w:space="0" w:color="auto"/>
            </w:tcBorders>
          </w:tcPr>
          <w:p>
            <w:pPr/>
          </w:p>
        </w:tc>
        <w:tc>
          <w:tcPr>
            <w:tcW w:w="1946" w:type="dxa"/>
            <w:tcBorders>
              <w:top w:val="single" w:sz="4" w:space="0" w:color="000000"/>
              <w:left w:val="nil" w:sz="6" w:space="0" w:color="auto"/>
              <w:bottom w:val="nil" w:sz="6" w:space="0" w:color="auto"/>
              <w:right w:val="nil" w:sz="6" w:space="0" w:color="auto"/>
            </w:tcBorders>
          </w:tcPr>
          <w:p>
            <w:pPr/>
          </w:p>
        </w:tc>
      </w:tr>
      <w:tr>
        <w:trPr>
          <w:trHeight w:val="445"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58"/>
              <w:jc w:val="right"/>
              <w:rPr>
                <w:rFonts w:ascii="Times New Roman" w:hAnsi="Times New Roman" w:cs="Times New Roman" w:eastAsia="Times New Roman" w:hint="default"/>
                <w:sz w:val="18"/>
                <w:szCs w:val="18"/>
              </w:rPr>
            </w:pPr>
            <w:r>
              <w:rPr>
                <w:rFonts w:ascii="Times New Roman"/>
                <w:spacing w:val="-1"/>
                <w:sz w:val="18"/>
              </w:rPr>
              <w:t>137,541,305.21</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8"/>
              <w:jc w:val="right"/>
              <w:rPr>
                <w:rFonts w:ascii="Times New Roman" w:hAnsi="Times New Roman" w:cs="Times New Roman" w:eastAsia="Times New Roman" w:hint="default"/>
                <w:sz w:val="18"/>
                <w:szCs w:val="18"/>
              </w:rPr>
            </w:pPr>
            <w:r>
              <w:rPr>
                <w:rFonts w:ascii="Times New Roman"/>
                <w:spacing w:val="-1"/>
                <w:sz w:val="18"/>
              </w:rPr>
              <w:t>256,469,582.81</w:t>
            </w:r>
          </w:p>
        </w:tc>
      </w:tr>
      <w:tr>
        <w:trPr>
          <w:trHeight w:val="440"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58"/>
              <w:jc w:val="right"/>
              <w:rPr>
                <w:rFonts w:ascii="Times New Roman" w:hAnsi="Times New Roman" w:cs="Times New Roman" w:eastAsia="Times New Roman" w:hint="default"/>
                <w:sz w:val="18"/>
                <w:szCs w:val="18"/>
              </w:rPr>
            </w:pPr>
            <w:r>
              <w:rPr>
                <w:rFonts w:ascii="Times New Roman"/>
                <w:spacing w:val="-1"/>
                <w:sz w:val="18"/>
              </w:rPr>
              <w:t>105,966,859.25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pacing w:val="-1"/>
                <w:sz w:val="18"/>
              </w:rPr>
              <w:t>17,576,225.19</w:t>
            </w:r>
          </w:p>
        </w:tc>
      </w:tr>
      <w:tr>
        <w:trPr>
          <w:trHeight w:val="440"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58"/>
              <w:jc w:val="right"/>
              <w:rPr>
                <w:rFonts w:ascii="Times New Roman" w:hAnsi="Times New Roman" w:cs="Times New Roman" w:eastAsia="Times New Roman" w:hint="default"/>
                <w:sz w:val="18"/>
                <w:szCs w:val="18"/>
              </w:rPr>
            </w:pPr>
            <w:r>
              <w:rPr>
                <w:rFonts w:ascii="Times New Roman"/>
                <w:spacing w:val="-1"/>
                <w:sz w:val="18"/>
              </w:rPr>
              <w:t>5,339,103.46</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pacing w:val="-1"/>
                <w:sz w:val="18"/>
              </w:rPr>
              <w:t>5,913,152.05</w:t>
            </w:r>
          </w:p>
        </w:tc>
      </w:tr>
      <w:tr>
        <w:trPr>
          <w:trHeight w:val="440"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58"/>
              <w:jc w:val="right"/>
              <w:rPr>
                <w:rFonts w:ascii="Times New Roman" w:hAnsi="Times New Roman" w:cs="Times New Roman" w:eastAsia="Times New Roman" w:hint="default"/>
                <w:sz w:val="18"/>
                <w:szCs w:val="18"/>
              </w:rPr>
            </w:pPr>
            <w:r>
              <w:rPr>
                <w:rFonts w:ascii="Times New Roman"/>
                <w:spacing w:val="-1"/>
                <w:sz w:val="18"/>
              </w:rPr>
              <w:t>17,276,469.05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8,283,573.04</w:t>
            </w:r>
          </w:p>
        </w:tc>
      </w:tr>
      <w:tr>
        <w:trPr>
          <w:trHeight w:val="441"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58"/>
              <w:jc w:val="right"/>
              <w:rPr>
                <w:rFonts w:ascii="Times New Roman" w:hAnsi="Times New Roman" w:cs="Times New Roman" w:eastAsia="Times New Roman" w:hint="default"/>
                <w:sz w:val="18"/>
                <w:szCs w:val="18"/>
              </w:rPr>
            </w:pPr>
            <w:r>
              <w:rPr>
                <w:rFonts w:ascii="Times New Roman"/>
                <w:sz w:val="18"/>
              </w:rPr>
              <w:t>414,107.55</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pacing w:val="-1"/>
                <w:sz w:val="18"/>
              </w:rPr>
              <w:t>411,234.09</w:t>
            </w:r>
          </w:p>
        </w:tc>
      </w:tr>
      <w:tr>
        <w:trPr>
          <w:trHeight w:val="715" w:hRule="exact"/>
        </w:trPr>
        <w:tc>
          <w:tcPr>
            <w:tcW w:w="522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9"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w w:val="95"/>
                <w:sz w:val="18"/>
              </w:rPr>
              <w:t>-136,774.82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4906"/>
        <w:gridCol w:w="2521"/>
        <w:gridCol w:w="2004"/>
      </w:tblGrid>
      <w:tr>
        <w:trPr>
          <w:trHeight w:val="272" w:hRule="exact"/>
        </w:trPr>
        <w:tc>
          <w:tcPr>
            <w:tcW w:w="4906" w:type="dxa"/>
            <w:tcBorders>
              <w:top w:val="nil" w:sz="6" w:space="0" w:color="auto"/>
              <w:left w:val="nil" w:sz="6" w:space="0" w:color="auto"/>
              <w:bottom w:val="single" w:sz="4" w:space="0" w:color="000000"/>
              <w:right w:val="nil" w:sz="6" w:space="0" w:color="auto"/>
            </w:tcBorders>
          </w:tcPr>
          <w:p>
            <w:pPr>
              <w:pStyle w:val="TableParagraph"/>
              <w:spacing w:line="180" w:lineRule="exact"/>
              <w:ind w:left="32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21" w:type="dxa"/>
            <w:tcBorders>
              <w:top w:val="nil" w:sz="6" w:space="0" w:color="auto"/>
              <w:left w:val="nil" w:sz="6" w:space="0" w:color="auto"/>
              <w:bottom w:val="single" w:sz="4" w:space="0" w:color="000000"/>
              <w:right w:val="nil" w:sz="6" w:space="0" w:color="auto"/>
            </w:tcBorders>
          </w:tcPr>
          <w:p>
            <w:pPr>
              <w:pStyle w:val="TableParagraph"/>
              <w:spacing w:line="180" w:lineRule="exact"/>
              <w:ind w:left="93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04" w:type="dxa"/>
            <w:tcBorders>
              <w:top w:val="nil" w:sz="6" w:space="0" w:color="auto"/>
              <w:left w:val="nil" w:sz="6" w:space="0" w:color="auto"/>
              <w:bottom w:val="single" w:sz="4" w:space="0" w:color="000000"/>
              <w:right w:val="nil" w:sz="6" w:space="0" w:color="auto"/>
            </w:tcBorders>
          </w:tcPr>
          <w:p>
            <w:pPr>
              <w:pStyle w:val="TableParagraph"/>
              <w:spacing w:line="180"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490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401"/>
              <w:jc w:val="right"/>
              <w:rPr>
                <w:rFonts w:ascii="Times New Roman" w:hAnsi="Times New Roman" w:cs="Times New Roman" w:eastAsia="Times New Roman" w:hint="default"/>
                <w:sz w:val="18"/>
                <w:szCs w:val="18"/>
              </w:rPr>
            </w:pPr>
            <w:r>
              <w:rPr>
                <w:rFonts w:ascii="Times New Roman"/>
                <w:sz w:val="18"/>
              </w:rPr>
              <w:t>40,932.88</w:t>
            </w:r>
          </w:p>
        </w:tc>
        <w:tc>
          <w:tcPr>
            <w:tcW w:w="2004" w:type="dxa"/>
            <w:tcBorders>
              <w:top w:val="single" w:sz="4" w:space="0" w:color="000000"/>
              <w:left w:val="nil" w:sz="6" w:space="0" w:color="auto"/>
              <w:bottom w:val="nil" w:sz="6" w:space="0" w:color="auto"/>
              <w:right w:val="nil" w:sz="6" w:space="0" w:color="auto"/>
            </w:tcBorders>
          </w:tcPr>
          <w:p>
            <w:pP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1"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sz w:val="18"/>
              </w:rPr>
              <w:t>173,150.62</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w w:val="95"/>
                <w:sz w:val="18"/>
              </w:rPr>
              <w:t>-60,510.84</w:t>
            </w:r>
            <w:r>
              <w:rPr>
                <w:rFonts w:ascii="Times New Roman"/>
                <w:sz w:val="18"/>
              </w:rPr>
            </w: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1"/>
              <w:jc w:val="right"/>
              <w:rPr>
                <w:rFonts w:ascii="Times New Roman" w:hAnsi="Times New Roman" w:cs="Times New Roman" w:eastAsia="Times New Roman" w:hint="default"/>
                <w:sz w:val="18"/>
                <w:szCs w:val="18"/>
              </w:rPr>
            </w:pPr>
            <w:r>
              <w:rPr>
                <w:rFonts w:ascii="Times New Roman"/>
                <w:sz w:val="18"/>
              </w:rPr>
              <w:t>-</w:t>
            </w:r>
            <w:r>
              <w:rPr>
                <w:rFonts w:ascii="Times New Roman"/>
                <w:spacing w:val="-10"/>
                <w:sz w:val="18"/>
              </w:rPr>
              <w:t> </w:t>
            </w:r>
            <w:r>
              <w:rPr>
                <w:rFonts w:ascii="Times New Roman"/>
                <w:sz w:val="18"/>
              </w:rPr>
              <w:t>45,031,611.44</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z w:val="18"/>
              </w:rPr>
              <w:t>399,435.45</w:t>
            </w: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1"/>
              <w:jc w:val="right"/>
              <w:rPr>
                <w:rFonts w:ascii="Times New Roman" w:hAnsi="Times New Roman" w:cs="Times New Roman" w:eastAsia="Times New Roman" w:hint="default"/>
                <w:sz w:val="18"/>
                <w:szCs w:val="18"/>
              </w:rPr>
            </w:pPr>
            <w:r>
              <w:rPr>
                <w:rFonts w:ascii="Times New Roman"/>
                <w:sz w:val="18"/>
              </w:rPr>
              <w:t>789,887.14</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pacing w:val="-1"/>
                <w:sz w:val="18"/>
              </w:rPr>
              <w:t>-1,150,305.53</w:t>
            </w: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w w:val="95"/>
                <w:sz w:val="18"/>
              </w:rPr>
              <w:t>-945,160.00</w:t>
            </w:r>
            <w:r>
              <w:rPr>
                <w:rFonts w:ascii="Times New Roman"/>
                <w:sz w:val="18"/>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w w:val="95"/>
                <w:sz w:val="18"/>
              </w:rPr>
              <w:t>-315,053.33</w:t>
            </w:r>
            <w:r>
              <w:rPr>
                <w:rFonts w:ascii="Times New Roman"/>
                <w:sz w:val="18"/>
              </w:rPr>
            </w: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1"/>
              <w:jc w:val="right"/>
              <w:rPr>
                <w:rFonts w:ascii="Times New Roman" w:hAnsi="Times New Roman" w:cs="Times New Roman" w:eastAsia="Times New Roman" w:hint="default"/>
                <w:sz w:val="18"/>
                <w:szCs w:val="18"/>
              </w:rPr>
            </w:pPr>
            <w:r>
              <w:rPr>
                <w:rFonts w:ascii="Times New Roman"/>
                <w:spacing w:val="-1"/>
                <w:sz w:val="18"/>
              </w:rPr>
              <w:t>-14,553,799.23</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pacing w:val="-1"/>
                <w:sz w:val="18"/>
              </w:rPr>
              <w:t>-4,858,618.57</w:t>
            </w: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55"/>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1"/>
              <w:jc w:val="right"/>
              <w:rPr>
                <w:rFonts w:ascii="Times New Roman" w:hAnsi="Times New Roman" w:cs="Times New Roman" w:eastAsia="Times New Roman" w:hint="default"/>
                <w:sz w:val="18"/>
                <w:szCs w:val="18"/>
              </w:rPr>
            </w:pPr>
            <w:r>
              <w:rPr>
                <w:rFonts w:ascii="Times New Roman"/>
                <w:spacing w:val="-1"/>
                <w:sz w:val="18"/>
              </w:rPr>
              <w:t>-73,148,221.41</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pacing w:val="-1"/>
                <w:sz w:val="18"/>
              </w:rPr>
              <w:t>-89,043,185.70</w:t>
            </w: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55"/>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1"/>
              <w:jc w:val="right"/>
              <w:rPr>
                <w:rFonts w:ascii="Times New Roman" w:hAnsi="Times New Roman" w:cs="Times New Roman" w:eastAsia="Times New Roman" w:hint="default"/>
                <w:sz w:val="18"/>
                <w:szCs w:val="18"/>
              </w:rPr>
            </w:pPr>
            <w:r>
              <w:rPr>
                <w:rFonts w:ascii="Times New Roman"/>
                <w:spacing w:val="-1"/>
                <w:sz w:val="18"/>
              </w:rPr>
              <w:t>74,856,667.94</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110,368,633.13</w:t>
            </w: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1"/>
              <w:jc w:val="right"/>
              <w:rPr>
                <w:rFonts w:ascii="Times New Roman" w:hAnsi="Times New Roman" w:cs="Times New Roman" w:eastAsia="Times New Roman" w:hint="default"/>
                <w:sz w:val="18"/>
                <w:szCs w:val="18"/>
              </w:rPr>
            </w:pPr>
            <w:r>
              <w:rPr>
                <w:rFonts w:ascii="Times New Roman"/>
                <w:spacing w:val="-1"/>
                <w:sz w:val="18"/>
              </w:rPr>
              <w:t>2,623,950.00</w:t>
            </w:r>
          </w:p>
        </w:tc>
        <w:tc>
          <w:tcPr>
            <w:tcW w:w="2004" w:type="dxa"/>
            <w:tcBorders>
              <w:top w:val="nil" w:sz="6" w:space="0" w:color="auto"/>
              <w:left w:val="nil" w:sz="6" w:space="0" w:color="auto"/>
              <w:bottom w:val="nil" w:sz="6" w:space="0" w:color="auto"/>
              <w:right w:val="nil" w:sz="6" w:space="0" w:color="auto"/>
            </w:tcBorders>
          </w:tcPr>
          <w:p>
            <w:pP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40"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211,343,641.02</w:t>
            </w:r>
            <w:r>
              <w:rPr>
                <w:rFonts w:ascii="Times New Roman"/>
                <w:spacing w:val="-1"/>
                <w:sz w:val="18"/>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303,857,386.97</w:t>
            </w:r>
            <w:r>
              <w:rPr>
                <w:rFonts w:ascii="Times New Roman"/>
                <w:spacing w:val="-1"/>
                <w:sz w:val="18"/>
              </w:rPr>
            </w:r>
          </w:p>
        </w:tc>
      </w:tr>
      <w:tr>
        <w:trPr>
          <w:trHeight w:val="435"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b/>
                <w:bCs/>
                <w:sz w:val="18"/>
                <w:szCs w:val="18"/>
              </w:rPr>
              <w:t>二、不涉及现金收支的投资和筹资活动：</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21"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21"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21"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441"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三、现金及现金等价物净增加情况：</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445"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01"/>
              <w:jc w:val="right"/>
              <w:rPr>
                <w:rFonts w:ascii="Times New Roman" w:hAnsi="Times New Roman" w:cs="Times New Roman" w:eastAsia="Times New Roman" w:hint="default"/>
                <w:sz w:val="18"/>
                <w:szCs w:val="18"/>
              </w:rPr>
            </w:pPr>
            <w:r>
              <w:rPr>
                <w:rFonts w:ascii="Times New Roman"/>
                <w:spacing w:val="-1"/>
                <w:sz w:val="18"/>
              </w:rPr>
              <w:t>938,041,341.15</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9"/>
              <w:jc w:val="right"/>
              <w:rPr>
                <w:rFonts w:ascii="Times New Roman" w:hAnsi="Times New Roman" w:cs="Times New Roman" w:eastAsia="Times New Roman" w:hint="default"/>
                <w:sz w:val="18"/>
                <w:szCs w:val="18"/>
              </w:rPr>
            </w:pPr>
            <w:r>
              <w:rPr>
                <w:rFonts w:ascii="Times New Roman"/>
                <w:spacing w:val="-1"/>
                <w:sz w:val="18"/>
              </w:rPr>
              <w:t>1,212,437,417.85</w:t>
            </w: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2"/>
              <w:jc w:val="right"/>
              <w:rPr>
                <w:rFonts w:ascii="Times New Roman" w:hAnsi="Times New Roman" w:cs="Times New Roman" w:eastAsia="Times New Roman" w:hint="default"/>
                <w:sz w:val="18"/>
                <w:szCs w:val="18"/>
              </w:rPr>
            </w:pPr>
            <w:r>
              <w:rPr>
                <w:rFonts w:ascii="Times New Roman"/>
                <w:spacing w:val="-1"/>
                <w:sz w:val="18"/>
              </w:rPr>
              <w:t>1,212,437,417.85</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466,692,570.51</w:t>
            </w:r>
          </w:p>
        </w:tc>
      </w:tr>
      <w:tr>
        <w:trPr>
          <w:trHeight w:val="435"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21"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440"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21"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319" w:hRule="exact"/>
        </w:trPr>
        <w:tc>
          <w:tcPr>
            <w:tcW w:w="490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01"/>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-274,396,076.70</w:t>
            </w:r>
            <w:r>
              <w:rPr>
                <w:rFonts w:ascii="Times New Roman"/>
                <w:spacing w:val="-1"/>
                <w:sz w:val="18"/>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745,744,847.34</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）本期支付的取得子公司的现金净额</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5186"/>
        <w:gridCol w:w="2350"/>
        <w:gridCol w:w="1895"/>
      </w:tblGrid>
      <w:tr>
        <w:trPr>
          <w:trHeight w:val="272" w:hRule="exact"/>
        </w:trPr>
        <w:tc>
          <w:tcPr>
            <w:tcW w:w="5186" w:type="dxa"/>
            <w:tcBorders>
              <w:top w:val="nil" w:sz="6" w:space="0" w:color="auto"/>
              <w:left w:val="nil" w:sz="6" w:space="0" w:color="auto"/>
              <w:bottom w:val="single" w:sz="4" w:space="0" w:color="000000"/>
              <w:right w:val="nil" w:sz="6" w:space="0" w:color="auto"/>
            </w:tcBorders>
          </w:tcPr>
          <w:p>
            <w:pPr>
              <w:pStyle w:val="TableParagraph"/>
              <w:spacing w:line="180" w:lineRule="exact"/>
              <w:ind w:left="40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350" w:type="dxa"/>
            <w:tcBorders>
              <w:top w:val="nil" w:sz="6" w:space="0" w:color="auto"/>
              <w:left w:val="nil" w:sz="6" w:space="0" w:color="auto"/>
              <w:bottom w:val="single" w:sz="4" w:space="0" w:color="000000"/>
              <w:right w:val="nil" w:sz="6" w:space="0" w:color="auto"/>
            </w:tcBorders>
          </w:tcPr>
          <w:p>
            <w:pPr>
              <w:pStyle w:val="TableParagraph"/>
              <w:spacing w:line="180" w:lineRule="exact"/>
              <w:ind w:left="93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95" w:type="dxa"/>
            <w:tcBorders>
              <w:top w:val="nil" w:sz="6" w:space="0" w:color="auto"/>
              <w:left w:val="nil" w:sz="6" w:space="0" w:color="auto"/>
              <w:bottom w:val="single" w:sz="4" w:space="0" w:color="000000"/>
              <w:right w:val="nil" w:sz="6" w:space="0" w:color="auto"/>
            </w:tcBorders>
          </w:tcPr>
          <w:p>
            <w:pPr>
              <w:pStyle w:val="TableParagraph"/>
              <w:spacing w:line="180" w:lineRule="exact"/>
              <w:ind w:left="50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518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2350" w:type="dxa"/>
            <w:tcBorders>
              <w:top w:val="single" w:sz="4" w:space="0" w:color="000000"/>
              <w:left w:val="nil" w:sz="6" w:space="0" w:color="auto"/>
              <w:bottom w:val="nil" w:sz="6" w:space="0" w:color="auto"/>
              <w:right w:val="nil" w:sz="6" w:space="0" w:color="auto"/>
            </w:tcBorders>
          </w:tcPr>
          <w:p>
            <w:pPr/>
          </w:p>
        </w:tc>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5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554,486,010.38</w:t>
            </w:r>
            <w:r>
              <w:rPr>
                <w:rFonts w:ascii="Times New Roman"/>
                <w:spacing w:val="-1"/>
                <w:sz w:val="18"/>
              </w:rPr>
            </w:r>
          </w:p>
        </w:tc>
      </w:tr>
      <w:tr>
        <w:trPr>
          <w:trHeight w:val="440" w:hRule="exact"/>
        </w:trPr>
        <w:tc>
          <w:tcPr>
            <w:tcW w:w="51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78" w:right="0"/>
              <w:jc w:val="left"/>
              <w:rPr>
                <w:rFonts w:ascii="宋体" w:hAnsi="宋体" w:cs="宋体" w:eastAsia="宋体" w:hint="default"/>
                <w:sz w:val="18"/>
                <w:szCs w:val="18"/>
              </w:rPr>
            </w:pPr>
            <w:r>
              <w:rPr>
                <w:rFonts w:ascii="宋体" w:hAnsi="宋体" w:cs="宋体" w:eastAsia="宋体" w:hint="default"/>
                <w:sz w:val="18"/>
                <w:szCs w:val="18"/>
              </w:rPr>
              <w:t>其中：广州游爱网络技术有限公司</w:t>
            </w:r>
          </w:p>
        </w:tc>
        <w:tc>
          <w:tcPr>
            <w:tcW w:w="235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4"/>
              <w:jc w:val="right"/>
              <w:rPr>
                <w:rFonts w:ascii="Times New Roman" w:hAnsi="Times New Roman" w:cs="Times New Roman" w:eastAsia="Times New Roman" w:hint="default"/>
                <w:sz w:val="18"/>
                <w:szCs w:val="18"/>
              </w:rPr>
            </w:pPr>
            <w:r>
              <w:rPr>
                <w:rFonts w:ascii="Times New Roman"/>
                <w:spacing w:val="-1"/>
                <w:sz w:val="18"/>
              </w:rPr>
              <w:t>349,721,010.38</w:t>
            </w:r>
          </w:p>
        </w:tc>
      </w:tr>
      <w:tr>
        <w:trPr>
          <w:trHeight w:val="440" w:hRule="exact"/>
        </w:trPr>
        <w:tc>
          <w:tcPr>
            <w:tcW w:w="51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18" w:right="0"/>
              <w:jc w:val="left"/>
              <w:rPr>
                <w:rFonts w:ascii="宋体" w:hAnsi="宋体" w:cs="宋体" w:eastAsia="宋体" w:hint="default"/>
                <w:sz w:val="18"/>
                <w:szCs w:val="18"/>
              </w:rPr>
            </w:pPr>
            <w:r>
              <w:rPr>
                <w:rFonts w:ascii="宋体" w:hAnsi="宋体" w:cs="宋体" w:eastAsia="宋体" w:hint="default"/>
                <w:sz w:val="18"/>
                <w:szCs w:val="18"/>
              </w:rPr>
              <w:t>人民今典科教传媒有限公司</w:t>
            </w:r>
          </w:p>
        </w:tc>
        <w:tc>
          <w:tcPr>
            <w:tcW w:w="235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4"/>
              <w:jc w:val="right"/>
              <w:rPr>
                <w:rFonts w:ascii="Times New Roman" w:hAnsi="Times New Roman" w:cs="Times New Roman" w:eastAsia="Times New Roman" w:hint="default"/>
                <w:sz w:val="18"/>
                <w:szCs w:val="18"/>
              </w:rPr>
            </w:pPr>
            <w:r>
              <w:rPr>
                <w:rFonts w:ascii="Times New Roman"/>
                <w:spacing w:val="-1"/>
                <w:sz w:val="18"/>
              </w:rPr>
              <w:t>204,765,000.00</w:t>
            </w:r>
          </w:p>
        </w:tc>
      </w:tr>
      <w:tr>
        <w:trPr>
          <w:trHeight w:val="440" w:hRule="exact"/>
        </w:trPr>
        <w:tc>
          <w:tcPr>
            <w:tcW w:w="51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35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40,385,061.73</w:t>
            </w:r>
            <w:r>
              <w:rPr>
                <w:rFonts w:ascii="Times New Roman"/>
                <w:spacing w:val="-1"/>
                <w:sz w:val="18"/>
              </w:rPr>
            </w:r>
          </w:p>
        </w:tc>
      </w:tr>
      <w:tr>
        <w:trPr>
          <w:trHeight w:val="440" w:hRule="exact"/>
        </w:trPr>
        <w:tc>
          <w:tcPr>
            <w:tcW w:w="51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78" w:right="0"/>
              <w:jc w:val="left"/>
              <w:rPr>
                <w:rFonts w:ascii="宋体" w:hAnsi="宋体" w:cs="宋体" w:eastAsia="宋体" w:hint="default"/>
                <w:sz w:val="18"/>
                <w:szCs w:val="18"/>
              </w:rPr>
            </w:pPr>
            <w:r>
              <w:rPr>
                <w:rFonts w:ascii="宋体" w:hAnsi="宋体" w:cs="宋体" w:eastAsia="宋体" w:hint="default"/>
                <w:sz w:val="18"/>
                <w:szCs w:val="18"/>
              </w:rPr>
              <w:t>其中：广州游爱网络技术有限公司</w:t>
            </w:r>
          </w:p>
        </w:tc>
        <w:tc>
          <w:tcPr>
            <w:tcW w:w="235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4"/>
              <w:jc w:val="right"/>
              <w:rPr>
                <w:rFonts w:ascii="Times New Roman" w:hAnsi="Times New Roman" w:cs="Times New Roman" w:eastAsia="Times New Roman" w:hint="default"/>
                <w:sz w:val="18"/>
                <w:szCs w:val="18"/>
              </w:rPr>
            </w:pPr>
            <w:r>
              <w:rPr>
                <w:rFonts w:ascii="Times New Roman"/>
                <w:spacing w:val="-1"/>
                <w:sz w:val="18"/>
              </w:rPr>
              <w:t>12,772,952.95</w:t>
            </w:r>
          </w:p>
        </w:tc>
      </w:tr>
      <w:tr>
        <w:trPr>
          <w:trHeight w:val="315" w:hRule="exact"/>
        </w:trPr>
        <w:tc>
          <w:tcPr>
            <w:tcW w:w="518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18" w:right="0"/>
              <w:jc w:val="left"/>
              <w:rPr>
                <w:rFonts w:ascii="宋体" w:hAnsi="宋体" w:cs="宋体" w:eastAsia="宋体" w:hint="default"/>
                <w:sz w:val="18"/>
                <w:szCs w:val="18"/>
              </w:rPr>
            </w:pPr>
            <w:r>
              <w:rPr>
                <w:rFonts w:ascii="宋体" w:hAnsi="宋体" w:cs="宋体" w:eastAsia="宋体" w:hint="default"/>
                <w:sz w:val="18"/>
                <w:szCs w:val="18"/>
              </w:rPr>
              <w:t>人民今典科教传媒有限公司</w:t>
            </w:r>
          </w:p>
        </w:tc>
        <w:tc>
          <w:tcPr>
            <w:tcW w:w="235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4"/>
              <w:jc w:val="right"/>
              <w:rPr>
                <w:rFonts w:ascii="Times New Roman" w:hAnsi="Times New Roman" w:cs="Times New Roman" w:eastAsia="Times New Roman" w:hint="default"/>
                <w:sz w:val="18"/>
                <w:szCs w:val="18"/>
              </w:rPr>
            </w:pPr>
            <w:r>
              <w:rPr>
                <w:rFonts w:ascii="Times New Roman"/>
                <w:spacing w:val="-1"/>
                <w:sz w:val="18"/>
              </w:rPr>
              <w:t>27,612,108.78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5546"/>
        <w:gridCol w:w="2130"/>
        <w:gridCol w:w="1755"/>
      </w:tblGrid>
      <w:tr>
        <w:trPr>
          <w:trHeight w:val="272" w:hRule="exact"/>
        </w:trPr>
        <w:tc>
          <w:tcPr>
            <w:tcW w:w="5546" w:type="dxa"/>
            <w:tcBorders>
              <w:top w:val="nil" w:sz="6" w:space="0" w:color="auto"/>
              <w:left w:val="nil" w:sz="6" w:space="0" w:color="auto"/>
              <w:bottom w:val="single" w:sz="4" w:space="0" w:color="000000"/>
              <w:right w:val="nil" w:sz="6" w:space="0" w:color="auto"/>
            </w:tcBorders>
          </w:tcPr>
          <w:p>
            <w:pPr>
              <w:pStyle w:val="TableParagraph"/>
              <w:spacing w:line="180" w:lineRule="exact"/>
              <w:ind w:left="4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130" w:type="dxa"/>
            <w:tcBorders>
              <w:top w:val="nil" w:sz="6" w:space="0" w:color="auto"/>
              <w:left w:val="nil" w:sz="6" w:space="0" w:color="auto"/>
              <w:bottom w:val="single" w:sz="4" w:space="0" w:color="000000"/>
              <w:right w:val="nil" w:sz="6" w:space="0" w:color="auto"/>
            </w:tcBorders>
          </w:tcPr>
          <w:p>
            <w:pPr>
              <w:pStyle w:val="TableParagraph"/>
              <w:spacing w:line="180" w:lineRule="exact"/>
              <w:ind w:left="57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55" w:type="dxa"/>
            <w:tcBorders>
              <w:top w:val="nil" w:sz="6" w:space="0" w:color="auto"/>
              <w:left w:val="nil" w:sz="6" w:space="0" w:color="auto"/>
              <w:bottom w:val="single" w:sz="4" w:space="0" w:color="000000"/>
              <w:right w:val="nil" w:sz="6" w:space="0" w:color="auto"/>
            </w:tcBorders>
          </w:tcPr>
          <w:p>
            <w:pPr>
              <w:pStyle w:val="TableParagraph"/>
              <w:spacing w:line="180"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554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2130"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68"/>
              <w:jc w:val="right"/>
              <w:rPr>
                <w:rFonts w:ascii="Times New Roman" w:hAnsi="Times New Roman" w:cs="Times New Roman" w:eastAsia="Times New Roman" w:hint="default"/>
                <w:sz w:val="18"/>
                <w:szCs w:val="18"/>
              </w:rPr>
            </w:pPr>
            <w:r>
              <w:rPr>
                <w:rFonts w:ascii="Times New Roman"/>
                <w:spacing w:val="-1"/>
                <w:sz w:val="18"/>
              </w:rPr>
              <w:t>94,590,918.13</w:t>
            </w:r>
          </w:p>
        </w:tc>
        <w:tc>
          <w:tcPr>
            <w:tcW w:w="1755" w:type="dxa"/>
            <w:tcBorders>
              <w:top w:val="single" w:sz="4" w:space="0" w:color="000000"/>
              <w:left w:val="nil" w:sz="6" w:space="0" w:color="auto"/>
              <w:bottom w:val="nil" w:sz="6" w:space="0" w:color="auto"/>
              <w:right w:val="nil" w:sz="6" w:space="0" w:color="auto"/>
            </w:tcBorders>
          </w:tcPr>
          <w:p>
            <w:pPr/>
          </w:p>
        </w:tc>
      </w:tr>
      <w:tr>
        <w:trPr>
          <w:trHeight w:val="315" w:hRule="exact"/>
        </w:trPr>
        <w:tc>
          <w:tcPr>
            <w:tcW w:w="55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94,590,918.13</w:t>
            </w:r>
            <w:r>
              <w:rPr>
                <w:rFonts w:ascii="Times New Roman"/>
                <w:spacing w:val="-1"/>
                <w:sz w:val="18"/>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7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514,100,948.65</w:t>
            </w:r>
            <w:r>
              <w:rPr>
                <w:rFonts w:ascii="Times New Roman"/>
                <w:sz w:val="18"/>
              </w:rPr>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3</w:t>
      </w:r>
      <w:r>
        <w:rPr/>
        <w:t>）本期收到的处置子公司的现金净额</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5096"/>
        <w:gridCol w:w="2440"/>
        <w:gridCol w:w="1895"/>
      </w:tblGrid>
      <w:tr>
        <w:trPr>
          <w:trHeight w:val="271" w:hRule="exact"/>
        </w:trPr>
        <w:tc>
          <w:tcPr>
            <w:tcW w:w="5096" w:type="dxa"/>
            <w:tcBorders>
              <w:top w:val="nil" w:sz="6" w:space="0" w:color="auto"/>
              <w:left w:val="nil" w:sz="6" w:space="0" w:color="auto"/>
              <w:bottom w:val="single" w:sz="4" w:space="0" w:color="000000"/>
              <w:right w:val="nil" w:sz="6" w:space="0" w:color="auto"/>
            </w:tcBorders>
          </w:tcPr>
          <w:p>
            <w:pPr>
              <w:pStyle w:val="TableParagraph"/>
              <w:spacing w:line="180" w:lineRule="exact"/>
              <w:ind w:left="49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440" w:type="dxa"/>
            <w:tcBorders>
              <w:top w:val="nil" w:sz="6" w:space="0" w:color="auto"/>
              <w:left w:val="nil" w:sz="6" w:space="0" w:color="auto"/>
              <w:bottom w:val="single" w:sz="4" w:space="0" w:color="000000"/>
              <w:right w:val="nil" w:sz="6" w:space="0" w:color="auto"/>
            </w:tcBorders>
          </w:tcPr>
          <w:p>
            <w:pPr>
              <w:pStyle w:val="TableParagraph"/>
              <w:spacing w:line="180" w:lineRule="exact"/>
              <w:ind w:left="102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95" w:type="dxa"/>
            <w:tcBorders>
              <w:top w:val="nil" w:sz="6" w:space="0" w:color="auto"/>
              <w:left w:val="nil" w:sz="6" w:space="0" w:color="auto"/>
              <w:bottom w:val="single" w:sz="4" w:space="0" w:color="000000"/>
              <w:right w:val="nil" w:sz="6" w:space="0" w:color="auto"/>
            </w:tcBorders>
          </w:tcPr>
          <w:p>
            <w:pPr>
              <w:pStyle w:val="TableParagraph"/>
              <w:spacing w:line="180" w:lineRule="exact"/>
              <w:ind w:left="50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509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2440" w:type="dxa"/>
            <w:tcBorders>
              <w:top w:val="single" w:sz="4" w:space="0" w:color="000000"/>
              <w:left w:val="nil" w:sz="6" w:space="0" w:color="auto"/>
              <w:bottom w:val="nil" w:sz="6" w:space="0" w:color="auto"/>
              <w:right w:val="nil" w:sz="6" w:space="0" w:color="auto"/>
            </w:tcBorders>
          </w:tcPr>
          <w:p>
            <w:pPr/>
          </w:p>
        </w:tc>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20,750,000.00</w:t>
            </w:r>
            <w:r>
              <w:rPr>
                <w:rFonts w:ascii="Times New Roman"/>
                <w:spacing w:val="-1"/>
                <w:sz w:val="18"/>
              </w:rPr>
            </w:r>
          </w:p>
        </w:tc>
      </w:tr>
      <w:tr>
        <w:trPr>
          <w:trHeight w:val="440"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其中：湖南天舟华文俪制传媒有限公司</w:t>
            </w:r>
          </w:p>
        </w:tc>
        <w:tc>
          <w:tcPr>
            <w:tcW w:w="244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20,050,000.00</w:t>
            </w:r>
          </w:p>
        </w:tc>
      </w:tr>
      <w:tr>
        <w:trPr>
          <w:trHeight w:val="440"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人民今典印务有限公司</w:t>
            </w:r>
          </w:p>
        </w:tc>
        <w:tc>
          <w:tcPr>
            <w:tcW w:w="244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z w:val="18"/>
              </w:rPr>
              <w:t>700,000.00</w:t>
            </w:r>
          </w:p>
        </w:tc>
      </w:tr>
      <w:tr>
        <w:trPr>
          <w:trHeight w:val="440"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244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2,018,223.70</w:t>
            </w:r>
            <w:r>
              <w:rPr>
                <w:rFonts w:ascii="Times New Roman"/>
                <w:spacing w:val="-1"/>
                <w:sz w:val="18"/>
              </w:rPr>
            </w:r>
          </w:p>
        </w:tc>
      </w:tr>
      <w:tr>
        <w:trPr>
          <w:trHeight w:val="440"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其中：湖南天舟华文俪制传媒有限公司</w:t>
            </w:r>
          </w:p>
        </w:tc>
        <w:tc>
          <w:tcPr>
            <w:tcW w:w="244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8"/>
              <w:jc w:val="right"/>
              <w:rPr>
                <w:rFonts w:ascii="Times New Roman" w:hAnsi="Times New Roman" w:cs="Times New Roman" w:eastAsia="Times New Roman" w:hint="default"/>
                <w:sz w:val="18"/>
                <w:szCs w:val="18"/>
              </w:rPr>
            </w:pPr>
            <w:r>
              <w:rPr>
                <w:rFonts w:ascii="Times New Roman"/>
                <w:spacing w:val="-1"/>
                <w:sz w:val="18"/>
              </w:rPr>
              <w:t>1,609,500.40</w:t>
            </w:r>
          </w:p>
        </w:tc>
      </w:tr>
      <w:tr>
        <w:trPr>
          <w:trHeight w:val="440"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人民今典印务有限公司</w:t>
            </w:r>
          </w:p>
        </w:tc>
        <w:tc>
          <w:tcPr>
            <w:tcW w:w="244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8"/>
              <w:jc w:val="right"/>
              <w:rPr>
                <w:rFonts w:ascii="Times New Roman" w:hAnsi="Times New Roman" w:cs="Times New Roman" w:eastAsia="Times New Roman" w:hint="default"/>
                <w:sz w:val="18"/>
                <w:szCs w:val="18"/>
              </w:rPr>
            </w:pPr>
            <w:r>
              <w:rPr>
                <w:rFonts w:ascii="Times New Roman"/>
                <w:sz w:val="18"/>
              </w:rPr>
              <w:t>408,723.30</w:t>
            </w:r>
          </w:p>
        </w:tc>
      </w:tr>
      <w:tr>
        <w:trPr>
          <w:trHeight w:val="435"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加：以前期间处置子公司并于本期收到的现金或现金等价物</w:t>
            </w:r>
          </w:p>
        </w:tc>
        <w:tc>
          <w:tcPr>
            <w:tcW w:w="244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r>
      <w:tr>
        <w:trPr>
          <w:trHeight w:val="319" w:hRule="exact"/>
        </w:trPr>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244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18,731,776.30</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4</w:t>
      </w:r>
      <w:r>
        <w:rPr/>
        <w:t>）现金和现金等价物的构成</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705"/>
        <w:gridCol w:w="2841"/>
        <w:gridCol w:w="1885"/>
      </w:tblGrid>
      <w:tr>
        <w:trPr>
          <w:trHeight w:val="272" w:hRule="exact"/>
        </w:trPr>
        <w:tc>
          <w:tcPr>
            <w:tcW w:w="4705" w:type="dxa"/>
            <w:tcBorders>
              <w:top w:val="nil" w:sz="6" w:space="0" w:color="auto"/>
              <w:left w:val="nil" w:sz="6" w:space="0" w:color="auto"/>
              <w:bottom w:val="single" w:sz="4" w:space="0" w:color="000000"/>
              <w:right w:val="nil" w:sz="6" w:space="0" w:color="auto"/>
            </w:tcBorders>
          </w:tcPr>
          <w:p>
            <w:pPr>
              <w:pStyle w:val="TableParagraph"/>
              <w:spacing w:line="180" w:lineRule="exact"/>
              <w:ind w:left="950"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41" w:type="dxa"/>
            <w:tcBorders>
              <w:top w:val="nil" w:sz="6" w:space="0" w:color="auto"/>
              <w:left w:val="nil" w:sz="6" w:space="0" w:color="auto"/>
              <w:bottom w:val="single" w:sz="4" w:space="0" w:color="000000"/>
              <w:right w:val="nil" w:sz="6" w:space="0" w:color="auto"/>
            </w:tcBorders>
          </w:tcPr>
          <w:p>
            <w:pPr>
              <w:pStyle w:val="TableParagraph"/>
              <w:spacing w:line="180" w:lineRule="exact"/>
              <w:ind w:left="15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85" w:type="dxa"/>
            <w:tcBorders>
              <w:top w:val="nil" w:sz="6" w:space="0" w:color="auto"/>
              <w:left w:val="nil" w:sz="6" w:space="0" w:color="auto"/>
              <w:bottom w:val="single" w:sz="4" w:space="0" w:color="000000"/>
              <w:right w:val="nil" w:sz="6" w:space="0" w:color="auto"/>
            </w:tcBorders>
          </w:tcPr>
          <w:p>
            <w:pPr>
              <w:pStyle w:val="TableParagraph"/>
              <w:spacing w:line="180" w:lineRule="exact"/>
              <w:ind w:left="57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470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841"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938,041,341.15</w:t>
            </w:r>
            <w:r>
              <w:rPr>
                <w:rFonts w:ascii="Times New Roman"/>
                <w:spacing w:val="-1"/>
                <w:sz w:val="18"/>
              </w:rPr>
            </w:r>
          </w:p>
        </w:tc>
        <w:tc>
          <w:tcPr>
            <w:tcW w:w="188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0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1,212,437,417.85</w:t>
            </w:r>
            <w:r>
              <w:rPr>
                <w:rFonts w:ascii="Times New Roman"/>
                <w:spacing w:val="-1"/>
                <w:sz w:val="18"/>
              </w:rPr>
            </w:r>
          </w:p>
        </w:tc>
      </w:tr>
      <w:tr>
        <w:trPr>
          <w:trHeight w:val="440"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库存现金</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2"/>
              <w:jc w:val="right"/>
              <w:rPr>
                <w:rFonts w:ascii="Times New Roman" w:hAnsi="Times New Roman" w:cs="Times New Roman" w:eastAsia="Times New Roman" w:hint="default"/>
                <w:sz w:val="18"/>
                <w:szCs w:val="18"/>
              </w:rPr>
            </w:pPr>
            <w:r>
              <w:rPr>
                <w:rFonts w:ascii="Times New Roman"/>
                <w:sz w:val="18"/>
              </w:rPr>
              <w:t>181,221.52</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8"/>
              <w:jc w:val="right"/>
              <w:rPr>
                <w:rFonts w:ascii="Times New Roman" w:hAnsi="Times New Roman" w:cs="Times New Roman" w:eastAsia="Times New Roman" w:hint="default"/>
                <w:sz w:val="18"/>
                <w:szCs w:val="18"/>
              </w:rPr>
            </w:pPr>
            <w:r>
              <w:rPr>
                <w:rFonts w:ascii="Times New Roman"/>
                <w:sz w:val="18"/>
              </w:rPr>
              <w:t>169,937.86</w:t>
            </w:r>
          </w:p>
        </w:tc>
      </w:tr>
      <w:tr>
        <w:trPr>
          <w:trHeight w:val="440"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可随时用于支付的银行存款</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2"/>
              <w:jc w:val="right"/>
              <w:rPr>
                <w:rFonts w:ascii="Times New Roman" w:hAnsi="Times New Roman" w:cs="Times New Roman" w:eastAsia="Times New Roman" w:hint="default"/>
                <w:sz w:val="18"/>
                <w:szCs w:val="18"/>
              </w:rPr>
            </w:pPr>
            <w:r>
              <w:rPr>
                <w:rFonts w:ascii="Times New Roman"/>
                <w:spacing w:val="-1"/>
                <w:sz w:val="18"/>
              </w:rPr>
              <w:t>908,391,324.63</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09"/>
              <w:jc w:val="right"/>
              <w:rPr>
                <w:rFonts w:ascii="Times New Roman" w:hAnsi="Times New Roman" w:cs="Times New Roman" w:eastAsia="Times New Roman" w:hint="default"/>
                <w:sz w:val="18"/>
                <w:szCs w:val="18"/>
              </w:rPr>
            </w:pPr>
            <w:r>
              <w:rPr>
                <w:rFonts w:ascii="Times New Roman"/>
                <w:spacing w:val="-1"/>
                <w:sz w:val="18"/>
              </w:rPr>
              <w:t>1,212,267,479.99</w:t>
            </w:r>
          </w:p>
        </w:tc>
      </w:tr>
      <w:tr>
        <w:trPr>
          <w:trHeight w:val="440"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可随时用于支付的其他货币资金</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12"/>
              <w:jc w:val="right"/>
              <w:rPr>
                <w:rFonts w:ascii="Times New Roman" w:hAnsi="Times New Roman" w:cs="Times New Roman" w:eastAsia="Times New Roman" w:hint="default"/>
                <w:sz w:val="18"/>
                <w:szCs w:val="18"/>
              </w:rPr>
            </w:pPr>
            <w:r>
              <w:rPr>
                <w:rFonts w:ascii="Times New Roman"/>
                <w:spacing w:val="-1"/>
                <w:sz w:val="18"/>
              </w:rPr>
              <w:t>29,468,795.00</w:t>
            </w:r>
          </w:p>
        </w:tc>
        <w:tc>
          <w:tcPr>
            <w:tcW w:w="1885" w:type="dxa"/>
            <w:tcBorders>
              <w:top w:val="nil" w:sz="6" w:space="0" w:color="auto"/>
              <w:left w:val="nil" w:sz="6" w:space="0" w:color="auto"/>
              <w:bottom w:val="nil" w:sz="6" w:space="0" w:color="auto"/>
              <w:right w:val="nil" w:sz="6" w:space="0" w:color="auto"/>
            </w:tcBorders>
          </w:tcPr>
          <w:p>
            <w:pPr/>
          </w:p>
        </w:tc>
      </w:tr>
      <w:tr>
        <w:trPr>
          <w:trHeight w:val="435"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841"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r>
      <w:tr>
        <w:trPr>
          <w:trHeight w:val="440"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841"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r>
      <w:tr>
        <w:trPr>
          <w:trHeight w:val="445" w:hRule="exact"/>
        </w:trPr>
        <w:tc>
          <w:tcPr>
            <w:tcW w:w="47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1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938,041,341.15</w:t>
            </w:r>
            <w:r>
              <w:rPr>
                <w:rFonts w:ascii="Times New Roman"/>
                <w:spacing w:val="-1"/>
                <w:sz w:val="18"/>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0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1,212,437,417.85</w:t>
            </w:r>
            <w:r>
              <w:rPr>
                <w:rFonts w:ascii="Times New Roman"/>
                <w:spacing w:val="-1"/>
                <w:sz w:val="18"/>
              </w:rPr>
            </w:r>
          </w:p>
        </w:tc>
      </w:tr>
      <w:tr>
        <w:trPr>
          <w:trHeight w:val="305" w:hRule="exact"/>
        </w:trPr>
        <w:tc>
          <w:tcPr>
            <w:tcW w:w="75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885"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2"/>
          <w:szCs w:val="12"/>
        </w:rPr>
      </w:pPr>
    </w:p>
    <w:p>
      <w:pPr>
        <w:pStyle w:val="BodyText"/>
        <w:spacing w:line="240" w:lineRule="auto" w:before="44"/>
        <w:ind w:right="1117"/>
        <w:jc w:val="left"/>
      </w:pPr>
      <w:bookmarkStart w:name="45.所有权或使用权受到限制的资产" w:id="237"/>
      <w:bookmarkEnd w:id="237"/>
      <w:r>
        <w:rPr/>
      </w:r>
      <w:r>
        <w:rPr>
          <w:rFonts w:ascii="Times New Roman" w:hAnsi="Times New Roman" w:cs="Times New Roman" w:eastAsia="Times New Roman" w:hint="default"/>
        </w:rPr>
        <w:t>45.</w:t>
      </w:r>
      <w:r>
        <w:rPr/>
        <w:t>所有权或使用权受到限制的资产</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052"/>
        <w:gridCol w:w="3325"/>
        <w:gridCol w:w="3054"/>
      </w:tblGrid>
      <w:tr>
        <w:trPr>
          <w:trHeight w:val="272" w:hRule="exact"/>
        </w:trPr>
        <w:tc>
          <w:tcPr>
            <w:tcW w:w="3052" w:type="dxa"/>
            <w:tcBorders>
              <w:top w:val="nil" w:sz="6" w:space="0" w:color="auto"/>
              <w:left w:val="nil" w:sz="6" w:space="0" w:color="auto"/>
              <w:bottom w:val="single" w:sz="4" w:space="0" w:color="000000"/>
              <w:right w:val="nil" w:sz="6" w:space="0" w:color="auto"/>
            </w:tcBorders>
          </w:tcPr>
          <w:p>
            <w:pPr>
              <w:pStyle w:val="TableParagraph"/>
              <w:spacing w:line="180"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32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3054" w:type="dxa"/>
            <w:tcBorders>
              <w:top w:val="nil" w:sz="6" w:space="0" w:color="auto"/>
              <w:left w:val="nil" w:sz="6" w:space="0" w:color="auto"/>
              <w:bottom w:val="single" w:sz="4" w:space="0" w:color="000000"/>
              <w:right w:val="nil" w:sz="6" w:space="0" w:color="auto"/>
            </w:tcBorders>
          </w:tcPr>
          <w:p>
            <w:pPr>
              <w:pStyle w:val="TableParagraph"/>
              <w:spacing w:line="180" w:lineRule="exact"/>
              <w:ind w:left="1121" w:right="0"/>
              <w:jc w:val="left"/>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493" w:hRule="exact"/>
        </w:trPr>
        <w:tc>
          <w:tcPr>
            <w:tcW w:w="305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90"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32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 w:right="0"/>
              <w:jc w:val="center"/>
              <w:rPr>
                <w:rFonts w:ascii="Times New Roman" w:hAnsi="Times New Roman" w:cs="Times New Roman" w:eastAsia="Times New Roman" w:hint="default"/>
                <w:sz w:val="18"/>
                <w:szCs w:val="18"/>
              </w:rPr>
            </w:pPr>
            <w:r>
              <w:rPr>
                <w:rFonts w:ascii="Times New Roman"/>
                <w:sz w:val="18"/>
              </w:rPr>
              <w:t>47,000,000.00</w:t>
            </w:r>
          </w:p>
        </w:tc>
        <w:tc>
          <w:tcPr>
            <w:tcW w:w="305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122"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315" w:hRule="exact"/>
        </w:trPr>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47,000,000.00</w:t>
            </w:r>
            <w:r>
              <w:rPr>
                <w:rFonts w:ascii="Times New Roman"/>
                <w:sz w:val="18"/>
              </w:rPr>
            </w:r>
          </w:p>
        </w:tc>
        <w:tc>
          <w:tcPr>
            <w:tcW w:w="3054"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46.外币货币性项目" w:id="238"/>
      <w:bookmarkEnd w:id="238"/>
      <w:r>
        <w:rPr/>
      </w:r>
      <w:r>
        <w:rPr>
          <w:rFonts w:ascii="Times New Roman" w:hAnsi="Times New Roman" w:cs="Times New Roman" w:eastAsia="Times New Roman" w:hint="default"/>
        </w:rPr>
        <w:t>46.</w:t>
      </w:r>
      <w:r>
        <w:rPr/>
        <w:t>外币货币性项目</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2222"/>
        <w:gridCol w:w="2641"/>
        <w:gridCol w:w="1984"/>
        <w:gridCol w:w="2585"/>
      </w:tblGrid>
      <w:tr>
        <w:trPr>
          <w:trHeight w:val="272" w:hRule="exact"/>
        </w:trPr>
        <w:tc>
          <w:tcPr>
            <w:tcW w:w="2222" w:type="dxa"/>
            <w:tcBorders>
              <w:top w:val="nil" w:sz="6" w:space="0" w:color="auto"/>
              <w:left w:val="nil" w:sz="6" w:space="0" w:color="auto"/>
              <w:bottom w:val="single" w:sz="4" w:space="0" w:color="000000"/>
              <w:right w:val="nil" w:sz="6" w:space="0" w:color="auto"/>
            </w:tcBorders>
          </w:tcPr>
          <w:p>
            <w:pPr>
              <w:pStyle w:val="TableParagraph"/>
              <w:spacing w:line="180" w:lineRule="exact"/>
              <w:ind w:left="136"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41" w:type="dxa"/>
            <w:tcBorders>
              <w:top w:val="nil" w:sz="6" w:space="0" w:color="auto"/>
              <w:left w:val="nil" w:sz="6" w:space="0" w:color="auto"/>
              <w:bottom w:val="single" w:sz="4" w:space="0" w:color="000000"/>
              <w:right w:val="nil" w:sz="6" w:space="0" w:color="auto"/>
            </w:tcBorders>
          </w:tcPr>
          <w:p>
            <w:pPr>
              <w:pStyle w:val="TableParagraph"/>
              <w:spacing w:line="180" w:lineRule="exact"/>
              <w:ind w:left="771"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1984" w:type="dxa"/>
            <w:tcBorders>
              <w:top w:val="nil" w:sz="6" w:space="0" w:color="auto"/>
              <w:left w:val="nil" w:sz="6" w:space="0" w:color="auto"/>
              <w:bottom w:val="single" w:sz="4" w:space="0" w:color="000000"/>
              <w:right w:val="nil" w:sz="6" w:space="0" w:color="auto"/>
            </w:tcBorders>
          </w:tcPr>
          <w:p>
            <w:pPr>
              <w:pStyle w:val="TableParagraph"/>
              <w:spacing w:line="180" w:lineRule="exact"/>
              <w:ind w:left="669"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585" w:type="dxa"/>
            <w:tcBorders>
              <w:top w:val="nil" w:sz="6" w:space="0" w:color="auto"/>
              <w:left w:val="nil" w:sz="6" w:space="0" w:color="auto"/>
              <w:bottom w:val="single" w:sz="4" w:space="0" w:color="000000"/>
              <w:right w:val="nil" w:sz="6" w:space="0" w:color="auto"/>
            </w:tcBorders>
          </w:tcPr>
          <w:p>
            <w:pPr>
              <w:pStyle w:val="TableParagraph"/>
              <w:spacing w:line="180" w:lineRule="exact"/>
              <w:ind w:left="592"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493" w:hRule="exact"/>
        </w:trPr>
        <w:tc>
          <w:tcPr>
            <w:tcW w:w="222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41" w:type="dxa"/>
            <w:tcBorders>
              <w:top w:val="single" w:sz="4" w:space="0" w:color="000000"/>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nil" w:sz="6" w:space="0" w:color="auto"/>
              <w:right w:val="nil" w:sz="6" w:space="0" w:color="auto"/>
            </w:tcBorders>
          </w:tcPr>
          <w:p>
            <w:pPr/>
          </w:p>
        </w:tc>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88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21,423,183.95</w:t>
            </w:r>
            <w:r>
              <w:rPr>
                <w:rFonts w:ascii="Times New Roman"/>
                <w:sz w:val="18"/>
              </w:rPr>
            </w:r>
          </w:p>
        </w:tc>
      </w:tr>
      <w:tr>
        <w:trPr>
          <w:trHeight w:val="440"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67"/>
              <w:jc w:val="right"/>
              <w:rPr>
                <w:rFonts w:ascii="Times New Roman" w:hAnsi="Times New Roman" w:cs="Times New Roman" w:eastAsia="Times New Roman" w:hint="default"/>
                <w:sz w:val="18"/>
                <w:szCs w:val="18"/>
              </w:rPr>
            </w:pPr>
            <w:r>
              <w:rPr>
                <w:rFonts w:ascii="Times New Roman"/>
                <w:spacing w:val="-1"/>
                <w:sz w:val="18"/>
              </w:rPr>
              <w:t>3,258,709.84</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3" w:right="0"/>
              <w:jc w:val="left"/>
              <w:rPr>
                <w:rFonts w:ascii="Times New Roman" w:hAnsi="Times New Roman" w:cs="Times New Roman" w:eastAsia="Times New Roman" w:hint="default"/>
                <w:sz w:val="18"/>
                <w:szCs w:val="18"/>
              </w:rPr>
            </w:pPr>
            <w:r>
              <w:rPr>
                <w:rFonts w:ascii="Times New Roman"/>
                <w:sz w:val="18"/>
              </w:rPr>
              <w:t>6.5342</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87" w:right="0"/>
              <w:jc w:val="left"/>
              <w:rPr>
                <w:rFonts w:ascii="Times New Roman" w:hAnsi="Times New Roman" w:cs="Times New Roman" w:eastAsia="Times New Roman" w:hint="default"/>
                <w:sz w:val="18"/>
                <w:szCs w:val="18"/>
              </w:rPr>
            </w:pPr>
            <w:r>
              <w:rPr>
                <w:rFonts w:ascii="Times New Roman"/>
                <w:sz w:val="18"/>
              </w:rPr>
              <w:t>21,293,061.84</w:t>
            </w:r>
          </w:p>
        </w:tc>
      </w:tr>
      <w:tr>
        <w:trPr>
          <w:trHeight w:val="440"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67"/>
              <w:jc w:val="right"/>
              <w:rPr>
                <w:rFonts w:ascii="Times New Roman" w:hAnsi="Times New Roman" w:cs="Times New Roman" w:eastAsia="Times New Roman" w:hint="default"/>
                <w:sz w:val="18"/>
                <w:szCs w:val="18"/>
              </w:rPr>
            </w:pPr>
            <w:r>
              <w:rPr>
                <w:rFonts w:ascii="Times New Roman"/>
                <w:sz w:val="18"/>
              </w:rPr>
              <w:t>155,665.22</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39" w:right="0"/>
              <w:jc w:val="left"/>
              <w:rPr>
                <w:rFonts w:ascii="Times New Roman" w:hAnsi="Times New Roman" w:cs="Times New Roman" w:eastAsia="Times New Roman" w:hint="default"/>
                <w:sz w:val="18"/>
                <w:szCs w:val="18"/>
              </w:rPr>
            </w:pPr>
            <w:r>
              <w:rPr>
                <w:rFonts w:ascii="Times New Roman"/>
                <w:sz w:val="18"/>
              </w:rPr>
              <w:t>0.83591</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38" w:right="0"/>
              <w:jc w:val="left"/>
              <w:rPr>
                <w:rFonts w:ascii="Times New Roman" w:hAnsi="Times New Roman" w:cs="Times New Roman" w:eastAsia="Times New Roman" w:hint="default"/>
                <w:sz w:val="18"/>
                <w:szCs w:val="18"/>
              </w:rPr>
            </w:pPr>
            <w:r>
              <w:rPr>
                <w:rFonts w:ascii="Times New Roman"/>
                <w:sz w:val="18"/>
              </w:rPr>
              <w:t>130,122.11</w:t>
            </w:r>
          </w:p>
        </w:tc>
      </w:tr>
      <w:tr>
        <w:trPr>
          <w:trHeight w:val="440"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41"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2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7,278,242.95</w:t>
            </w:r>
            <w:r>
              <w:rPr>
                <w:rFonts w:ascii="Times New Roman"/>
                <w:sz w:val="18"/>
              </w:rPr>
            </w:r>
          </w:p>
        </w:tc>
      </w:tr>
      <w:tr>
        <w:trPr>
          <w:trHeight w:val="315"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67"/>
              <w:jc w:val="right"/>
              <w:rPr>
                <w:rFonts w:ascii="Times New Roman" w:hAnsi="Times New Roman" w:cs="Times New Roman" w:eastAsia="Times New Roman" w:hint="default"/>
                <w:sz w:val="18"/>
                <w:szCs w:val="18"/>
              </w:rPr>
            </w:pPr>
            <w:r>
              <w:rPr>
                <w:rFonts w:ascii="Times New Roman"/>
                <w:spacing w:val="-1"/>
                <w:sz w:val="18"/>
              </w:rPr>
              <w:t>1,113,869.02</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29" w:right="0"/>
              <w:jc w:val="left"/>
              <w:rPr>
                <w:rFonts w:ascii="Times New Roman" w:hAnsi="Times New Roman" w:cs="Times New Roman" w:eastAsia="Times New Roman" w:hint="default"/>
                <w:sz w:val="18"/>
                <w:szCs w:val="18"/>
              </w:rPr>
            </w:pPr>
            <w:r>
              <w:rPr>
                <w:rFonts w:ascii="Times New Roman"/>
                <w:sz w:val="18"/>
              </w:rPr>
              <w:t>6.5342</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23" w:right="0"/>
              <w:jc w:val="left"/>
              <w:rPr>
                <w:rFonts w:ascii="Times New Roman" w:hAnsi="Times New Roman" w:cs="Times New Roman" w:eastAsia="Times New Roman" w:hint="default"/>
                <w:sz w:val="18"/>
                <w:szCs w:val="18"/>
              </w:rPr>
            </w:pPr>
            <w:r>
              <w:rPr>
                <w:rFonts w:ascii="Times New Roman"/>
                <w:sz w:val="18"/>
              </w:rPr>
              <w:t>7,278,242.95</w:t>
            </w:r>
          </w:p>
        </w:tc>
      </w:tr>
    </w:tbl>
    <w:p>
      <w:pPr>
        <w:spacing w:line="240" w:lineRule="auto" w:before="5"/>
        <w:rPr>
          <w:rFonts w:ascii="宋体" w:hAnsi="宋体" w:cs="宋体" w:eastAsia="宋体" w:hint="default"/>
          <w:sz w:val="11"/>
          <w:szCs w:val="11"/>
        </w:rPr>
      </w:pPr>
    </w:p>
    <w:p>
      <w:pPr>
        <w:pStyle w:val="BodyText"/>
        <w:spacing w:line="240" w:lineRule="auto" w:before="44"/>
        <w:ind w:right="1117"/>
        <w:jc w:val="left"/>
      </w:pPr>
      <w:bookmarkStart w:name="47.政府补助" w:id="239"/>
      <w:bookmarkEnd w:id="239"/>
      <w:r>
        <w:rPr/>
      </w:r>
      <w:r>
        <w:rPr>
          <w:rFonts w:ascii="Times New Roman" w:hAnsi="Times New Roman" w:cs="Times New Roman" w:eastAsia="Times New Roman" w:hint="default"/>
        </w:rPr>
        <w:t>47.</w:t>
      </w:r>
      <w:r>
        <w:rPr/>
        <w:t>政府补助</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）政府补助基本情况</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3733"/>
        <w:gridCol w:w="1683"/>
        <w:gridCol w:w="1568"/>
        <w:gridCol w:w="2231"/>
      </w:tblGrid>
      <w:tr>
        <w:trPr>
          <w:trHeight w:val="271" w:hRule="exact"/>
        </w:trPr>
        <w:tc>
          <w:tcPr>
            <w:tcW w:w="3733" w:type="dxa"/>
            <w:tcBorders>
              <w:top w:val="nil" w:sz="6" w:space="0" w:color="auto"/>
              <w:left w:val="nil" w:sz="6" w:space="0" w:color="auto"/>
              <w:bottom w:val="single" w:sz="4" w:space="0" w:color="000000"/>
              <w:right w:val="nil" w:sz="6" w:space="0" w:color="auto"/>
            </w:tcBorders>
          </w:tcPr>
          <w:p>
            <w:pPr>
              <w:pStyle w:val="TableParagraph"/>
              <w:spacing w:line="180" w:lineRule="exact"/>
              <w:ind w:right="391"/>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683" w:type="dxa"/>
            <w:tcBorders>
              <w:top w:val="nil" w:sz="6" w:space="0" w:color="auto"/>
              <w:left w:val="nil" w:sz="6" w:space="0" w:color="auto"/>
              <w:bottom w:val="single" w:sz="4" w:space="0" w:color="000000"/>
              <w:right w:val="nil" w:sz="6" w:space="0" w:color="auto"/>
            </w:tcBorders>
          </w:tcPr>
          <w:p>
            <w:pPr>
              <w:pStyle w:val="TableParagraph"/>
              <w:spacing w:line="180"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68" w:type="dxa"/>
            <w:tcBorders>
              <w:top w:val="nil" w:sz="6" w:space="0" w:color="auto"/>
              <w:left w:val="nil" w:sz="6" w:space="0" w:color="auto"/>
              <w:bottom w:val="single" w:sz="4" w:space="0" w:color="000000"/>
              <w:right w:val="nil" w:sz="6" w:space="0" w:color="auto"/>
            </w:tcBorders>
          </w:tcPr>
          <w:p>
            <w:pPr>
              <w:pStyle w:val="TableParagraph"/>
              <w:spacing w:line="180" w:lineRule="exact"/>
              <w:ind w:right="21"/>
              <w:jc w:val="center"/>
              <w:rPr>
                <w:rFonts w:ascii="宋体" w:hAnsi="宋体" w:cs="宋体" w:eastAsia="宋体" w:hint="default"/>
                <w:sz w:val="18"/>
                <w:szCs w:val="18"/>
              </w:rPr>
            </w:pPr>
            <w:r>
              <w:rPr>
                <w:rFonts w:ascii="宋体" w:hAnsi="宋体" w:cs="宋体" w:eastAsia="宋体" w:hint="default"/>
                <w:b/>
                <w:bCs/>
                <w:sz w:val="18"/>
                <w:szCs w:val="18"/>
              </w:rPr>
              <w:t>列报项目</w:t>
            </w:r>
            <w:r>
              <w:rPr>
                <w:rFonts w:ascii="宋体" w:hAnsi="宋体" w:cs="宋体" w:eastAsia="宋体" w:hint="default"/>
                <w:sz w:val="18"/>
                <w:szCs w:val="18"/>
              </w:rPr>
            </w:r>
          </w:p>
        </w:tc>
        <w:tc>
          <w:tcPr>
            <w:tcW w:w="2231" w:type="dxa"/>
            <w:tcBorders>
              <w:top w:val="nil" w:sz="6" w:space="0" w:color="auto"/>
              <w:left w:val="nil" w:sz="6" w:space="0" w:color="auto"/>
              <w:bottom w:val="single" w:sz="4" w:space="0" w:color="000000"/>
              <w:right w:val="nil" w:sz="6" w:space="0" w:color="auto"/>
            </w:tcBorders>
          </w:tcPr>
          <w:p>
            <w:pPr>
              <w:pStyle w:val="TableParagraph"/>
              <w:spacing w:line="190"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计入当期损益的金额</w:t>
            </w:r>
            <w:r>
              <w:rPr>
                <w:rFonts w:ascii="宋体" w:hAnsi="宋体" w:cs="宋体" w:eastAsia="宋体" w:hint="default"/>
                <w:sz w:val="18"/>
                <w:szCs w:val="18"/>
              </w:rPr>
            </w:r>
          </w:p>
        </w:tc>
      </w:tr>
      <w:tr>
        <w:trPr>
          <w:trHeight w:val="493" w:hRule="exact"/>
        </w:trPr>
        <w:tc>
          <w:tcPr>
            <w:tcW w:w="373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增值税退税</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20"/>
              <w:jc w:val="right"/>
              <w:rPr>
                <w:rFonts w:ascii="Times New Roman" w:hAnsi="Times New Roman" w:cs="Times New Roman" w:eastAsia="Times New Roman" w:hint="default"/>
                <w:sz w:val="18"/>
                <w:szCs w:val="18"/>
              </w:rPr>
            </w:pPr>
            <w:r>
              <w:rPr>
                <w:rFonts w:ascii="Times New Roman"/>
                <w:spacing w:val="-1"/>
                <w:sz w:val="18"/>
              </w:rPr>
              <w:t>2,018,800.00</w:t>
            </w: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3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928" w:right="0"/>
              <w:jc w:val="left"/>
              <w:rPr>
                <w:rFonts w:ascii="Times New Roman" w:hAnsi="Times New Roman" w:cs="Times New Roman" w:eastAsia="Times New Roman" w:hint="default"/>
                <w:sz w:val="18"/>
                <w:szCs w:val="18"/>
              </w:rPr>
            </w:pPr>
            <w:r>
              <w:rPr>
                <w:rFonts w:ascii="Times New Roman"/>
                <w:sz w:val="18"/>
              </w:rPr>
              <w:t>2,018,800.00</w:t>
            </w:r>
          </w:p>
        </w:tc>
      </w:tr>
      <w:tr>
        <w:trPr>
          <w:trHeight w:val="440"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科技与创新专项补助</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0"/>
              <w:jc w:val="right"/>
              <w:rPr>
                <w:rFonts w:ascii="Times New Roman" w:hAnsi="Times New Roman" w:cs="Times New Roman" w:eastAsia="Times New Roman" w:hint="default"/>
                <w:sz w:val="18"/>
                <w:szCs w:val="18"/>
              </w:rPr>
            </w:pPr>
            <w:r>
              <w:rPr>
                <w:rFonts w:ascii="Times New Roman"/>
                <w:spacing w:val="-1"/>
                <w:sz w:val="18"/>
              </w:rPr>
              <w:t>1,000,000.00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928" w:right="0"/>
              <w:jc w:val="left"/>
              <w:rPr>
                <w:rFonts w:ascii="Times New Roman" w:hAnsi="Times New Roman" w:cs="Times New Roman" w:eastAsia="Times New Roman" w:hint="default"/>
                <w:sz w:val="18"/>
                <w:szCs w:val="18"/>
              </w:rPr>
            </w:pPr>
            <w:r>
              <w:rPr>
                <w:rFonts w:ascii="Times New Roman"/>
                <w:sz w:val="18"/>
              </w:rPr>
              <w:t>1,000,000.00</w:t>
            </w:r>
          </w:p>
        </w:tc>
      </w:tr>
      <w:tr>
        <w:trPr>
          <w:trHeight w:val="440"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高新技术企业补助</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0"/>
              <w:jc w:val="right"/>
              <w:rPr>
                <w:rFonts w:ascii="Times New Roman" w:hAnsi="Times New Roman" w:cs="Times New Roman" w:eastAsia="Times New Roman" w:hint="default"/>
                <w:sz w:val="18"/>
                <w:szCs w:val="18"/>
              </w:rPr>
            </w:pPr>
            <w:r>
              <w:rPr>
                <w:rFonts w:ascii="Times New Roman"/>
                <w:sz w:val="18"/>
              </w:rPr>
              <w:t>400,000.00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63" w:right="0"/>
              <w:jc w:val="left"/>
              <w:rPr>
                <w:rFonts w:ascii="Times New Roman" w:hAnsi="Times New Roman" w:cs="Times New Roman" w:eastAsia="Times New Roman" w:hint="default"/>
                <w:sz w:val="18"/>
                <w:szCs w:val="18"/>
              </w:rPr>
            </w:pPr>
            <w:r>
              <w:rPr>
                <w:rFonts w:ascii="Times New Roman"/>
                <w:sz w:val="18"/>
              </w:rPr>
              <w:t>400,000.00</w:t>
            </w:r>
          </w:p>
        </w:tc>
      </w:tr>
      <w:tr>
        <w:trPr>
          <w:trHeight w:val="440"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政府研发费补助</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0"/>
              <w:jc w:val="right"/>
              <w:rPr>
                <w:rFonts w:ascii="Times New Roman" w:hAnsi="Times New Roman" w:cs="Times New Roman" w:eastAsia="Times New Roman" w:hint="default"/>
                <w:sz w:val="18"/>
                <w:szCs w:val="18"/>
              </w:rPr>
            </w:pPr>
            <w:r>
              <w:rPr>
                <w:rFonts w:ascii="Times New Roman"/>
                <w:spacing w:val="-1"/>
                <w:sz w:val="18"/>
              </w:rPr>
              <w:t>3,861,200.00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28" w:right="0"/>
              <w:jc w:val="left"/>
              <w:rPr>
                <w:rFonts w:ascii="Times New Roman" w:hAnsi="Times New Roman" w:cs="Times New Roman" w:eastAsia="Times New Roman" w:hint="default"/>
                <w:sz w:val="18"/>
                <w:szCs w:val="18"/>
              </w:rPr>
            </w:pPr>
            <w:r>
              <w:rPr>
                <w:rFonts w:ascii="Times New Roman"/>
                <w:sz w:val="18"/>
              </w:rPr>
              <w:t>3,861,200.00</w:t>
            </w:r>
          </w:p>
        </w:tc>
      </w:tr>
      <w:tr>
        <w:trPr>
          <w:trHeight w:val="440"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在线心育服务平台</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0"/>
              <w:jc w:val="right"/>
              <w:rPr>
                <w:rFonts w:ascii="Times New Roman" w:hAnsi="Times New Roman" w:cs="Times New Roman" w:eastAsia="Times New Roman" w:hint="default"/>
                <w:sz w:val="18"/>
                <w:szCs w:val="18"/>
              </w:rPr>
            </w:pPr>
            <w:r>
              <w:rPr>
                <w:rFonts w:ascii="Times New Roman"/>
                <w:sz w:val="18"/>
              </w:rPr>
              <w:t>400,000.00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63" w:right="0"/>
              <w:jc w:val="left"/>
              <w:rPr>
                <w:rFonts w:ascii="Times New Roman" w:hAnsi="Times New Roman" w:cs="Times New Roman" w:eastAsia="Times New Roman" w:hint="default"/>
                <w:sz w:val="18"/>
                <w:szCs w:val="18"/>
              </w:rPr>
            </w:pPr>
            <w:r>
              <w:rPr>
                <w:rFonts w:ascii="Times New Roman"/>
                <w:sz w:val="18"/>
              </w:rPr>
              <w:t>400,000.00</w:t>
            </w:r>
          </w:p>
        </w:tc>
      </w:tr>
      <w:tr>
        <w:trPr>
          <w:trHeight w:val="796"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348" w:lineRule="auto" w:before="69"/>
              <w:ind w:right="405"/>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大型自研发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引擎传统娱乐文化传播平 台（卧虎藏龙项目）</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20"/>
              <w:jc w:val="right"/>
              <w:rPr>
                <w:rFonts w:ascii="Times New Roman" w:hAnsi="Times New Roman" w:cs="Times New Roman" w:eastAsia="Times New Roman" w:hint="default"/>
                <w:sz w:val="18"/>
                <w:szCs w:val="18"/>
              </w:rPr>
            </w:pPr>
            <w:r>
              <w:rPr>
                <w:rFonts w:ascii="Times New Roman"/>
                <w:sz w:val="18"/>
              </w:rPr>
              <w:t>333,333.33</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63" w:right="0"/>
              <w:jc w:val="left"/>
              <w:rPr>
                <w:rFonts w:ascii="Times New Roman" w:hAnsi="Times New Roman" w:cs="Times New Roman" w:eastAsia="Times New Roman" w:hint="default"/>
                <w:sz w:val="18"/>
                <w:szCs w:val="18"/>
              </w:rPr>
            </w:pPr>
            <w:r>
              <w:rPr>
                <w:rFonts w:ascii="Times New Roman"/>
                <w:sz w:val="18"/>
              </w:rPr>
              <w:t>333,333.33</w:t>
            </w:r>
          </w:p>
        </w:tc>
      </w:tr>
      <w:tr>
        <w:trPr>
          <w:trHeight w:val="445"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技术市场促进专项资金</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20"/>
              <w:jc w:val="right"/>
              <w:rPr>
                <w:rFonts w:ascii="Times New Roman" w:hAnsi="Times New Roman" w:cs="Times New Roman" w:eastAsia="Times New Roman" w:hint="default"/>
                <w:sz w:val="18"/>
                <w:szCs w:val="18"/>
              </w:rPr>
            </w:pPr>
            <w:r>
              <w:rPr>
                <w:rFonts w:ascii="Times New Roman"/>
                <w:sz w:val="18"/>
              </w:rPr>
              <w:t>150,000.00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063" w:right="0"/>
              <w:jc w:val="left"/>
              <w:rPr>
                <w:rFonts w:ascii="Times New Roman" w:hAnsi="Times New Roman" w:cs="Times New Roman" w:eastAsia="Times New Roman" w:hint="default"/>
                <w:sz w:val="18"/>
                <w:szCs w:val="18"/>
              </w:rPr>
            </w:pPr>
            <w:r>
              <w:rPr>
                <w:rFonts w:ascii="Times New Roman"/>
                <w:sz w:val="18"/>
              </w:rPr>
              <w:t>150,000.00</w:t>
            </w:r>
          </w:p>
        </w:tc>
      </w:tr>
      <w:tr>
        <w:trPr>
          <w:trHeight w:val="440"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移动互联网产业发展资金</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0"/>
              <w:jc w:val="right"/>
              <w:rPr>
                <w:rFonts w:ascii="Times New Roman" w:hAnsi="Times New Roman" w:cs="Times New Roman" w:eastAsia="Times New Roman" w:hint="default"/>
                <w:sz w:val="18"/>
                <w:szCs w:val="18"/>
              </w:rPr>
            </w:pPr>
            <w:r>
              <w:rPr>
                <w:rFonts w:ascii="Times New Roman"/>
                <w:sz w:val="18"/>
              </w:rPr>
              <w:t>150,000.00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63" w:right="0"/>
              <w:jc w:val="left"/>
              <w:rPr>
                <w:rFonts w:ascii="Times New Roman" w:hAnsi="Times New Roman" w:cs="Times New Roman" w:eastAsia="Times New Roman" w:hint="default"/>
                <w:sz w:val="18"/>
                <w:szCs w:val="18"/>
              </w:rPr>
            </w:pPr>
            <w:r>
              <w:rPr>
                <w:rFonts w:ascii="Times New Roman"/>
                <w:sz w:val="18"/>
              </w:rPr>
              <w:t>150,000.00</w:t>
            </w:r>
          </w:p>
        </w:tc>
      </w:tr>
      <w:tr>
        <w:trPr>
          <w:trHeight w:val="440"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信息化管理系统升级改造工程</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0"/>
              <w:jc w:val="right"/>
              <w:rPr>
                <w:rFonts w:ascii="Times New Roman" w:hAnsi="Times New Roman" w:cs="Times New Roman" w:eastAsia="Times New Roman" w:hint="default"/>
                <w:sz w:val="18"/>
                <w:szCs w:val="18"/>
              </w:rPr>
            </w:pPr>
            <w:r>
              <w:rPr>
                <w:rFonts w:ascii="Times New Roman"/>
                <w:sz w:val="18"/>
              </w:rPr>
              <w:t>120,000.00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63" w:right="0"/>
              <w:jc w:val="left"/>
              <w:rPr>
                <w:rFonts w:ascii="Times New Roman" w:hAnsi="Times New Roman" w:cs="Times New Roman" w:eastAsia="Times New Roman" w:hint="default"/>
                <w:sz w:val="18"/>
                <w:szCs w:val="18"/>
              </w:rPr>
            </w:pPr>
            <w:r>
              <w:rPr>
                <w:rFonts w:ascii="Times New Roman"/>
                <w:sz w:val="18"/>
              </w:rPr>
              <w:t>120,000.00</w:t>
            </w:r>
          </w:p>
        </w:tc>
      </w:tr>
      <w:tr>
        <w:trPr>
          <w:trHeight w:val="440"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稳岗补贴</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0"/>
              <w:jc w:val="right"/>
              <w:rPr>
                <w:rFonts w:ascii="Times New Roman" w:hAnsi="Times New Roman" w:cs="Times New Roman" w:eastAsia="Times New Roman" w:hint="default"/>
                <w:sz w:val="18"/>
                <w:szCs w:val="18"/>
              </w:rPr>
            </w:pPr>
            <w:r>
              <w:rPr>
                <w:rFonts w:ascii="Times New Roman"/>
                <w:sz w:val="18"/>
              </w:rPr>
              <w:t>82,504.75</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53" w:right="0"/>
              <w:jc w:val="left"/>
              <w:rPr>
                <w:rFonts w:ascii="Times New Roman" w:hAnsi="Times New Roman" w:cs="Times New Roman" w:eastAsia="Times New Roman" w:hint="default"/>
                <w:sz w:val="18"/>
                <w:szCs w:val="18"/>
              </w:rPr>
            </w:pPr>
            <w:r>
              <w:rPr>
                <w:rFonts w:ascii="Times New Roman"/>
                <w:sz w:val="18"/>
              </w:rPr>
              <w:t>82,504.75</w:t>
            </w:r>
          </w:p>
        </w:tc>
      </w:tr>
      <w:tr>
        <w:trPr>
          <w:trHeight w:val="440"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商贸流通企业奖励</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0"/>
              <w:jc w:val="right"/>
              <w:rPr>
                <w:rFonts w:ascii="Times New Roman" w:hAnsi="Times New Roman" w:cs="Times New Roman" w:eastAsia="Times New Roman" w:hint="default"/>
                <w:sz w:val="18"/>
                <w:szCs w:val="18"/>
              </w:rPr>
            </w:pPr>
            <w:r>
              <w:rPr>
                <w:rFonts w:ascii="Times New Roman"/>
                <w:sz w:val="18"/>
              </w:rPr>
              <w:t>12,000.00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53" w:right="0"/>
              <w:jc w:val="left"/>
              <w:rPr>
                <w:rFonts w:ascii="Times New Roman" w:hAnsi="Times New Roman" w:cs="Times New Roman" w:eastAsia="Times New Roman" w:hint="default"/>
                <w:sz w:val="18"/>
                <w:szCs w:val="18"/>
              </w:rPr>
            </w:pPr>
            <w:r>
              <w:rPr>
                <w:rFonts w:ascii="Times New Roman"/>
                <w:sz w:val="18"/>
              </w:rPr>
              <w:t>12,000.00</w:t>
            </w:r>
          </w:p>
        </w:tc>
      </w:tr>
      <w:tr>
        <w:trPr>
          <w:trHeight w:val="440"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知识产权证书奖励</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0"/>
              <w:jc w:val="right"/>
              <w:rPr>
                <w:rFonts w:ascii="Times New Roman" w:hAnsi="Times New Roman" w:cs="Times New Roman" w:eastAsia="Times New Roman" w:hint="default"/>
                <w:sz w:val="18"/>
                <w:szCs w:val="18"/>
              </w:rPr>
            </w:pPr>
            <w:r>
              <w:rPr>
                <w:rFonts w:ascii="Times New Roman"/>
                <w:sz w:val="18"/>
              </w:rPr>
              <w:t>3,000.00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43" w:right="0"/>
              <w:jc w:val="left"/>
              <w:rPr>
                <w:rFonts w:ascii="Times New Roman" w:hAnsi="Times New Roman" w:cs="Times New Roman" w:eastAsia="Times New Roman" w:hint="default"/>
                <w:sz w:val="18"/>
                <w:szCs w:val="18"/>
              </w:rPr>
            </w:pPr>
            <w:r>
              <w:rPr>
                <w:rFonts w:ascii="Times New Roman"/>
                <w:sz w:val="18"/>
              </w:rPr>
              <w:t>3,000.00</w:t>
            </w:r>
          </w:p>
        </w:tc>
      </w:tr>
      <w:tr>
        <w:trPr>
          <w:trHeight w:val="315" w:hRule="exact"/>
        </w:trPr>
        <w:tc>
          <w:tcPr>
            <w:tcW w:w="373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91"/>
              <w:jc w:val="center"/>
              <w:rPr>
                <w:rFonts w:ascii="宋体" w:hAnsi="宋体" w:cs="宋体" w:eastAsia="宋体" w:hint="default"/>
                <w:sz w:val="18"/>
                <w:szCs w:val="18"/>
              </w:rPr>
            </w:pPr>
            <w:r>
              <w:rPr>
                <w:rFonts w:ascii="宋体" w:hAnsi="宋体" w:cs="宋体" w:eastAsia="宋体" w:hint="default"/>
                <w:sz w:val="18"/>
                <w:szCs w:val="18"/>
              </w:rPr>
              <w:t>合  计</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8,530,838.08</w:t>
            </w:r>
            <w:r>
              <w:rPr>
                <w:rFonts w:ascii="Times New Roman"/>
                <w:spacing w:val="-1"/>
                <w:sz w:val="18"/>
              </w:rPr>
            </w:r>
          </w:p>
        </w:tc>
        <w:tc>
          <w:tcPr>
            <w:tcW w:w="1568"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2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8,530,838.08</w:t>
            </w:r>
            <w:r>
              <w:rPr>
                <w:rFonts w:ascii="Times New Roman"/>
                <w:sz w:val="18"/>
              </w:rPr>
            </w:r>
          </w:p>
        </w:tc>
      </w:tr>
    </w:tbl>
    <w:p>
      <w:pPr>
        <w:spacing w:line="240" w:lineRule="auto" w:before="4"/>
        <w:rPr>
          <w:rFonts w:ascii="宋体" w:hAnsi="宋体" w:cs="宋体" w:eastAsia="宋体" w:hint="default"/>
          <w:sz w:val="28"/>
          <w:szCs w:val="28"/>
        </w:rPr>
      </w:pPr>
    </w:p>
    <w:p>
      <w:pPr>
        <w:pStyle w:val="Heading2"/>
        <w:spacing w:line="240" w:lineRule="auto" w:before="26"/>
        <w:ind w:left="1901" w:right="1117"/>
        <w:jc w:val="left"/>
        <w:rPr>
          <w:rFonts w:ascii="黑体" w:hAnsi="黑体" w:cs="黑体" w:eastAsia="黑体" w:hint="default"/>
          <w:b w:val="0"/>
          <w:bCs w:val="0"/>
        </w:rPr>
      </w:pPr>
      <w:bookmarkStart w:name="七、合并范围的变动" w:id="240"/>
      <w:bookmarkEnd w:id="240"/>
      <w:r>
        <w:rPr>
          <w:b w:val="0"/>
          <w:bCs w:val="0"/>
        </w:rPr>
      </w:r>
      <w:r>
        <w:rPr>
          <w:rFonts w:ascii="黑体" w:hAnsi="黑体" w:cs="黑体" w:eastAsia="黑体" w:hint="default"/>
        </w:rPr>
        <w:t>七、合并范围的变动</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511" w:lineRule="auto"/>
        <w:ind w:right="6868"/>
        <w:jc w:val="left"/>
      </w:pPr>
      <w:bookmarkStart w:name="1.非同一控制下企业合并" w:id="241"/>
      <w:bookmarkEnd w:id="241"/>
      <w:r>
        <w:rPr/>
      </w:r>
      <w:r>
        <w:rPr>
          <w:rFonts w:ascii="Times New Roman" w:hAnsi="Times New Roman" w:cs="Times New Roman" w:eastAsia="Times New Roman" w:hint="default"/>
        </w:rPr>
        <w:t>1.</w:t>
      </w:r>
      <w:r>
        <w:rPr/>
        <w:t>非同一控制下企业合并 本期公司未发生非同一控制下企业合并。 </w:t>
      </w:r>
      <w:bookmarkStart w:name="2.同一控制下企业合并" w:id="242"/>
      <w:bookmarkEnd w:id="242"/>
      <w:r>
        <w:rPr/>
      </w:r>
      <w:r>
        <w:rPr>
          <w:rFonts w:ascii="Times New Roman" w:hAnsi="Times New Roman" w:cs="Times New Roman" w:eastAsia="Times New Roman" w:hint="default"/>
        </w:rPr>
        <w:t>2.</w:t>
      </w:r>
      <w:r>
        <w:rPr/>
        <w:t>同一控制下企业合并 本期公司未发生同一控制下企业合并。 </w:t>
      </w:r>
      <w:bookmarkStart w:name="3.反向购买" w:id="243"/>
      <w:bookmarkEnd w:id="243"/>
      <w:r>
        <w:rPr/>
      </w:r>
      <w:r>
        <w:rPr>
          <w:rFonts w:ascii="Times New Roman" w:hAnsi="Times New Roman" w:cs="Times New Roman" w:eastAsia="Times New Roman" w:hint="default"/>
        </w:rPr>
        <w:t>3.</w:t>
      </w:r>
      <w:r>
        <w:rPr/>
        <w:t>反向购买</w:t>
      </w:r>
    </w:p>
    <w:p>
      <w:pPr>
        <w:spacing w:after="0" w:line="511"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516" w:lineRule="auto"/>
        <w:ind w:right="7588"/>
        <w:jc w:val="left"/>
      </w:pPr>
      <w:r>
        <w:rPr/>
        <w:t>本期公司无反向购买的情况。 </w:t>
      </w:r>
      <w:bookmarkStart w:name="4.处置子公司" w:id="244"/>
      <w:bookmarkEnd w:id="244"/>
      <w:r>
        <w:rPr/>
      </w:r>
      <w:r>
        <w:rPr>
          <w:rFonts w:ascii="Times New Roman" w:hAnsi="Times New Roman" w:cs="Times New Roman" w:eastAsia="Times New Roman" w:hint="default"/>
        </w:rPr>
        <w:t>4.</w:t>
      </w:r>
      <w:r>
        <w:rPr/>
        <w:t>处置子公司 本期公司无处置子公司的情况。 </w:t>
      </w:r>
      <w:bookmarkStart w:name="5.其他原因的合并范围变动" w:id="245"/>
      <w:bookmarkEnd w:id="245"/>
      <w:r>
        <w:rPr/>
      </w:r>
      <w:r>
        <w:rPr>
          <w:rFonts w:ascii="Times New Roman" w:hAnsi="Times New Roman" w:cs="Times New Roman" w:eastAsia="Times New Roman" w:hint="default"/>
        </w:rPr>
        <w:t>5.</w:t>
      </w:r>
      <w:r>
        <w:rPr/>
        <w:t>其他原因的合并范围变动</w:t>
      </w:r>
    </w:p>
    <w:p>
      <w:pPr>
        <w:pStyle w:val="BodyText"/>
        <w:spacing w:line="333" w:lineRule="auto" w:before="2"/>
        <w:ind w:left="1418" w:right="1260" w:firstLine="420"/>
        <w:jc w:val="left"/>
      </w:pPr>
      <w:r>
        <w:rPr>
          <w:sz w:val="21"/>
          <w:szCs w:val="21"/>
        </w:rPr>
        <w:t>（</w:t>
      </w:r>
      <w:r>
        <w:rPr>
          <w:rFonts w:ascii="Times New Roman" w:hAnsi="Times New Roman" w:cs="Times New Roman" w:eastAsia="Times New Roman" w:hint="default"/>
        </w:rPr>
        <w:t>1</w:t>
      </w:r>
      <w:r>
        <w:rPr/>
        <w:t>）湖南天舟游戏科技有限公司于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日成立，注册资本</w:t>
      </w:r>
      <w:r>
        <w:rPr>
          <w:spacing w:val="-44"/>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2"/>
        </w:rPr>
        <w:t> </w:t>
      </w:r>
      <w:r>
        <w:rPr/>
        <w:t>万元。公司持股</w:t>
      </w:r>
      <w:r>
        <w:rPr>
          <w:spacing w:val="-44"/>
        </w:rPr>
        <w:t> </w:t>
      </w:r>
      <w:r>
        <w:rPr>
          <w:rFonts w:ascii="Times New Roman" w:hAnsi="Times New Roman" w:cs="Times New Roman" w:eastAsia="Times New Roman" w:hint="default"/>
        </w:rPr>
        <w:t>100%</w:t>
      </w:r>
      <w:r>
        <w:rPr/>
        <w:t>，自成立 之日起纳入合并范围。</w:t>
      </w:r>
    </w:p>
    <w:p>
      <w:pPr>
        <w:spacing w:line="240" w:lineRule="auto" w:before="1"/>
        <w:rPr>
          <w:rFonts w:ascii="宋体" w:hAnsi="宋体" w:cs="宋体" w:eastAsia="宋体" w:hint="default"/>
          <w:sz w:val="16"/>
          <w:szCs w:val="16"/>
        </w:rPr>
      </w:pPr>
    </w:p>
    <w:p>
      <w:pPr>
        <w:pStyle w:val="BodyText"/>
        <w:spacing w:line="345" w:lineRule="auto"/>
        <w:ind w:left="1418" w:right="1272" w:firstLine="360"/>
        <w:jc w:val="both"/>
      </w:pPr>
      <w:r>
        <w:rPr/>
        <w:t>（</w:t>
      </w:r>
      <w:r>
        <w:rPr>
          <w:rFonts w:ascii="Times New Roman" w:hAnsi="Times New Roman" w:cs="Times New Roman" w:eastAsia="Times New Roman" w:hint="default"/>
        </w:rPr>
        <w:t>2</w:t>
      </w:r>
      <w:r>
        <w:rPr/>
        <w:t>）广州游爱数据汇互联网有限公司于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日成立，注册资本</w:t>
      </w:r>
      <w:r>
        <w:rPr>
          <w:spacing w:val="-51"/>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5"/>
        </w:rPr>
        <w:t> </w:t>
      </w:r>
      <w:r>
        <w:rPr/>
        <w:t>万元。本公司之子公司湖南天 舟游戏科技有限公司持股</w:t>
      </w:r>
      <w:r>
        <w:rPr>
          <w:spacing w:val="-46"/>
        </w:rPr>
        <w:t> </w:t>
      </w:r>
      <w:r>
        <w:rPr>
          <w:rFonts w:ascii="Times New Roman" w:hAnsi="Times New Roman" w:cs="Times New Roman" w:eastAsia="Times New Roman" w:hint="default"/>
        </w:rPr>
        <w:t>100%</w:t>
      </w:r>
      <w:r>
        <w:rPr/>
        <w:t>，自成立之日起纳入合并范围。</w:t>
      </w:r>
    </w:p>
    <w:p>
      <w:pPr>
        <w:spacing w:line="240" w:lineRule="auto" w:before="9"/>
        <w:rPr>
          <w:rFonts w:ascii="宋体" w:hAnsi="宋体" w:cs="宋体" w:eastAsia="宋体" w:hint="default"/>
          <w:sz w:val="13"/>
          <w:szCs w:val="13"/>
        </w:rPr>
      </w:pPr>
    </w:p>
    <w:p>
      <w:pPr>
        <w:pStyle w:val="BodyText"/>
        <w:spacing w:line="345" w:lineRule="auto"/>
        <w:ind w:left="1418" w:right="1270" w:firstLine="360"/>
        <w:jc w:val="both"/>
      </w:pPr>
      <w:r>
        <w:rPr/>
        <w:t>（</w:t>
      </w:r>
      <w:r>
        <w:rPr>
          <w:rFonts w:ascii="Times New Roman" w:hAnsi="Times New Roman" w:cs="Times New Roman" w:eastAsia="Times New Roman" w:hint="default"/>
        </w:rPr>
        <w:t>3</w:t>
      </w:r>
      <w:r>
        <w:rPr/>
        <w:t>）天畅互娱（天津）科技有限公司于</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日成立，注册资本</w:t>
      </w:r>
      <w:r>
        <w:rPr>
          <w:spacing w:val="-36"/>
        </w:rPr>
        <w:t> </w:t>
      </w:r>
      <w:r>
        <w:rPr>
          <w:rFonts w:ascii="Times New Roman" w:hAnsi="Times New Roman" w:cs="Times New Roman" w:eastAsia="Times New Roman" w:hint="default"/>
        </w:rPr>
        <w:t>650.00</w:t>
      </w:r>
      <w:r>
        <w:rPr>
          <w:rFonts w:ascii="Times New Roman" w:hAnsi="Times New Roman" w:cs="Times New Roman" w:eastAsia="Times New Roman" w:hint="default"/>
          <w:spacing w:val="9"/>
        </w:rPr>
        <w:t> </w:t>
      </w:r>
      <w:r>
        <w:rPr/>
        <w:t>万元。本公司之子公司湖南天 舟游戏科技有限公司持股</w:t>
      </w:r>
      <w:r>
        <w:rPr>
          <w:spacing w:val="-46"/>
        </w:rPr>
        <w:t> </w:t>
      </w:r>
      <w:r>
        <w:rPr>
          <w:rFonts w:ascii="Times New Roman" w:hAnsi="Times New Roman" w:cs="Times New Roman" w:eastAsia="Times New Roman" w:hint="default"/>
        </w:rPr>
        <w:t>51.00%</w:t>
      </w:r>
      <w:r>
        <w:rPr/>
        <w:t>，自成立之日起纳入合并范围。</w:t>
      </w:r>
    </w:p>
    <w:p>
      <w:pPr>
        <w:spacing w:line="240" w:lineRule="auto" w:before="9"/>
        <w:rPr>
          <w:rFonts w:ascii="宋体" w:hAnsi="宋体" w:cs="宋体" w:eastAsia="宋体" w:hint="default"/>
          <w:sz w:val="13"/>
          <w:szCs w:val="13"/>
        </w:rPr>
      </w:pPr>
    </w:p>
    <w:p>
      <w:pPr>
        <w:pStyle w:val="BodyText"/>
        <w:spacing w:line="345" w:lineRule="auto"/>
        <w:ind w:left="1418" w:right="1271" w:firstLine="360"/>
        <w:jc w:val="both"/>
      </w:pPr>
      <w:r>
        <w:rPr/>
        <w:t>（</w:t>
      </w:r>
      <w:r>
        <w:rPr>
          <w:rFonts w:ascii="Times New Roman" w:hAnsi="Times New Roman" w:cs="Times New Roman" w:eastAsia="Times New Roman" w:hint="default"/>
        </w:rPr>
        <w:t>4</w:t>
      </w:r>
      <w:r>
        <w:rPr/>
        <w:t>）广州游爱兄弟信息技术有限公司于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日成立</w:t>
      </w:r>
      <w:r>
        <w:rPr>
          <w:spacing w:val="-58"/>
        </w:rPr>
        <w:t> </w:t>
      </w:r>
      <w:r>
        <w:rPr/>
        <w:t>，注册资本</w:t>
      </w:r>
      <w:r>
        <w:rPr>
          <w:rFonts w:ascii="Times New Roman" w:hAnsi="Times New Roman" w:cs="Times New Roman" w:eastAsia="Times New Roman" w:hint="default"/>
        </w:rPr>
        <w:t>10,000.00</w:t>
      </w:r>
      <w:r>
        <w:rPr/>
        <w:t>万元。本公司之子公司广州游爱 网络技术有限公司持股</w:t>
      </w:r>
      <w:r>
        <w:rPr>
          <w:rFonts w:ascii="Times New Roman" w:hAnsi="Times New Roman" w:cs="Times New Roman" w:eastAsia="Times New Roman" w:hint="default"/>
        </w:rPr>
        <w:t>100%</w:t>
      </w:r>
      <w:r>
        <w:rPr/>
        <w:t>，自成立之日起纳入合并范围。</w:t>
      </w:r>
    </w:p>
    <w:p>
      <w:pPr>
        <w:spacing w:line="240" w:lineRule="auto" w:before="9"/>
        <w:rPr>
          <w:rFonts w:ascii="宋体" w:hAnsi="宋体" w:cs="宋体" w:eastAsia="宋体" w:hint="default"/>
          <w:sz w:val="13"/>
          <w:szCs w:val="13"/>
        </w:rPr>
      </w:pPr>
    </w:p>
    <w:p>
      <w:pPr>
        <w:pStyle w:val="BodyText"/>
        <w:spacing w:line="345" w:lineRule="auto"/>
        <w:ind w:left="1418" w:right="1271" w:firstLine="360"/>
        <w:jc w:val="both"/>
      </w:pPr>
      <w:r>
        <w:rPr>
          <w:spacing w:val="-2"/>
        </w:rPr>
        <w:t>（</w:t>
      </w:r>
      <w:r>
        <w:rPr>
          <w:rFonts w:ascii="Times New Roman" w:hAnsi="Times New Roman" w:cs="Times New Roman" w:eastAsia="Times New Roman" w:hint="default"/>
          <w:spacing w:val="-2"/>
        </w:rPr>
        <w:t>5</w:t>
      </w:r>
      <w:r>
        <w:rPr>
          <w:spacing w:val="-2"/>
        </w:rPr>
        <w:t>）广州游爱互娱网络技术有限公司于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日成立，注册资本</w:t>
      </w:r>
      <w:r>
        <w:rPr>
          <w:rFonts w:ascii="Times New Roman" w:hAnsi="Times New Roman" w:cs="Times New Roman" w:eastAsia="Times New Roman" w:hint="default"/>
          <w:spacing w:val="-2"/>
        </w:rPr>
        <w:t>10,000.00</w:t>
      </w:r>
      <w:r>
        <w:rPr>
          <w:spacing w:val="-2"/>
        </w:rPr>
        <w:t>万元。广州游爱网络技术有限公司</w:t>
      </w:r>
      <w:r>
        <w:rPr/>
        <w:t> 之子公司广州游爱兄弟信息技术有限公司持股</w:t>
      </w:r>
      <w:r>
        <w:rPr>
          <w:rFonts w:ascii="Times New Roman" w:hAnsi="Times New Roman" w:cs="Times New Roman" w:eastAsia="Times New Roman" w:hint="default"/>
        </w:rPr>
        <w:t>100%</w:t>
      </w:r>
      <w:r>
        <w:rPr/>
        <w:t>，自成立之日起纳入合并范围。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日，广州游爱网络技</w:t>
      </w:r>
      <w:r>
        <w:rPr>
          <w:spacing w:val="-34"/>
        </w:rPr>
        <w:t> </w:t>
      </w:r>
      <w:r>
        <w:rPr>
          <w:spacing w:val="-34"/>
        </w:rPr>
      </w:r>
      <w:r>
        <w:rPr>
          <w:spacing w:val="-1"/>
        </w:rPr>
        <w:t>术有限公司与广州游爱兄弟信息技术有限公司签订股权转让协议，受让其对广州游爱互娱网络技术有限公司</w:t>
      </w:r>
      <w:r>
        <w:rPr>
          <w:rFonts w:ascii="Times New Roman" w:hAnsi="Times New Roman" w:cs="Times New Roman" w:eastAsia="Times New Roman" w:hint="default"/>
          <w:spacing w:val="-1"/>
        </w:rPr>
        <w:t>100%</w:t>
      </w:r>
      <w:r>
        <w:rPr>
          <w:spacing w:val="-1"/>
        </w:rPr>
        <w:t>的股</w:t>
      </w:r>
      <w:r>
        <w:rPr>
          <w:spacing w:val="-63"/>
        </w:rPr>
        <w:t> </w:t>
      </w:r>
      <w:r>
        <w:rPr/>
        <w:t>权。</w:t>
      </w:r>
    </w:p>
    <w:p>
      <w:pPr>
        <w:spacing w:line="240" w:lineRule="auto" w:before="5"/>
        <w:rPr>
          <w:rFonts w:ascii="宋体" w:hAnsi="宋体" w:cs="宋体" w:eastAsia="宋体" w:hint="default"/>
          <w:sz w:val="15"/>
          <w:szCs w:val="15"/>
        </w:rPr>
      </w:pPr>
    </w:p>
    <w:p>
      <w:pPr>
        <w:pStyle w:val="BodyText"/>
        <w:spacing w:line="345" w:lineRule="auto"/>
        <w:ind w:left="1418" w:right="1271" w:firstLine="360"/>
        <w:jc w:val="both"/>
      </w:pPr>
      <w:r>
        <w:rPr>
          <w:spacing w:val="-1"/>
        </w:rPr>
        <w:t>（</w:t>
      </w:r>
      <w:r>
        <w:rPr>
          <w:rFonts w:ascii="Times New Roman" w:hAnsi="Times New Roman" w:cs="Times New Roman" w:eastAsia="Times New Roman" w:hint="default"/>
          <w:spacing w:val="-1"/>
        </w:rPr>
        <w:t>6</w:t>
      </w:r>
      <w:r>
        <w:rPr>
          <w:spacing w:val="-1"/>
        </w:rPr>
        <w:t>）湖南天舟创新智能科技有限公司于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日成立，注册资本</w:t>
      </w:r>
      <w:r>
        <w:rPr>
          <w:rFonts w:ascii="Times New Roman" w:hAnsi="Times New Roman" w:cs="Times New Roman" w:eastAsia="Times New Roman" w:hint="default"/>
          <w:spacing w:val="-1"/>
        </w:rPr>
        <w:t>200.00</w:t>
      </w:r>
      <w:r>
        <w:rPr>
          <w:spacing w:val="-1"/>
        </w:rPr>
        <w:t>万元，本公司之子公司湖南天舟大</w:t>
      </w:r>
      <w:r>
        <w:rPr/>
        <w:t> 课堂教育科技有限公司持股</w:t>
      </w:r>
      <w:r>
        <w:rPr>
          <w:rFonts w:ascii="Times New Roman" w:hAnsi="Times New Roman" w:cs="Times New Roman" w:eastAsia="Times New Roman" w:hint="default"/>
        </w:rPr>
        <w:t>52.50%</w:t>
      </w:r>
      <w:r>
        <w:rPr/>
        <w:t>，自成立之日起纳入合并范围。</w:t>
      </w:r>
    </w:p>
    <w:p>
      <w:pPr>
        <w:spacing w:line="240" w:lineRule="auto" w:before="9"/>
        <w:rPr>
          <w:rFonts w:ascii="宋体" w:hAnsi="宋体" w:cs="宋体" w:eastAsia="宋体" w:hint="default"/>
          <w:sz w:val="13"/>
          <w:szCs w:val="13"/>
        </w:rPr>
      </w:pPr>
    </w:p>
    <w:p>
      <w:pPr>
        <w:pStyle w:val="BodyText"/>
        <w:spacing w:line="240" w:lineRule="auto"/>
        <w:ind w:right="1117"/>
        <w:jc w:val="left"/>
      </w:pPr>
      <w:r>
        <w:rPr/>
        <w:t>除以上事项外，本期公司未发生其他原因的合并范围变动。</w:t>
      </w:r>
    </w:p>
    <w:p>
      <w:pPr>
        <w:spacing w:line="240" w:lineRule="auto" w:before="0"/>
        <w:rPr>
          <w:rFonts w:ascii="宋体" w:hAnsi="宋体" w:cs="宋体" w:eastAsia="宋体" w:hint="default"/>
          <w:sz w:val="18"/>
          <w:szCs w:val="18"/>
        </w:rPr>
      </w:pPr>
    </w:p>
    <w:p>
      <w:pPr>
        <w:pStyle w:val="Heading2"/>
        <w:spacing w:line="240" w:lineRule="auto" w:before="131"/>
        <w:ind w:left="1901" w:right="1117"/>
        <w:jc w:val="left"/>
        <w:rPr>
          <w:rFonts w:ascii="黑体" w:hAnsi="黑体" w:cs="黑体" w:eastAsia="黑体" w:hint="default"/>
          <w:b w:val="0"/>
          <w:bCs w:val="0"/>
        </w:rPr>
      </w:pPr>
      <w:bookmarkStart w:name="八、在其他主体中的权益" w:id="246"/>
      <w:bookmarkEnd w:id="246"/>
      <w:r>
        <w:rPr>
          <w:b w:val="0"/>
          <w:bCs w:val="0"/>
        </w:rPr>
      </w:r>
      <w:r>
        <w:rPr>
          <w:rFonts w:ascii="黑体" w:hAnsi="黑体" w:cs="黑体" w:eastAsia="黑体" w:hint="default"/>
        </w:rPr>
        <w:t>八、在其他主体中的权益</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right="1117"/>
        <w:jc w:val="left"/>
      </w:pPr>
      <w:bookmarkStart w:name="1.在子公司中的权益" w:id="247"/>
      <w:bookmarkEnd w:id="247"/>
      <w:r>
        <w:rPr/>
      </w:r>
      <w:r>
        <w:rPr>
          <w:rFonts w:ascii="Times New Roman" w:hAnsi="Times New Roman" w:cs="Times New Roman" w:eastAsia="Times New Roman" w:hint="default"/>
        </w:rPr>
        <w:t>1.</w:t>
      </w:r>
      <w:r>
        <w:rPr/>
        <w:t>在子公司中的权益</w:t>
      </w:r>
    </w:p>
    <w:p>
      <w:pPr>
        <w:spacing w:line="240" w:lineRule="auto" w:before="5"/>
        <w:rPr>
          <w:rFonts w:ascii="宋体" w:hAnsi="宋体" w:cs="宋体" w:eastAsia="宋体" w:hint="default"/>
          <w:sz w:val="20"/>
          <w:szCs w:val="20"/>
        </w:rPr>
      </w:pPr>
    </w:p>
    <w:p>
      <w:pPr>
        <w:pStyle w:val="BodyText"/>
        <w:spacing w:line="240" w:lineRule="auto"/>
        <w:ind w:right="1117"/>
        <w:jc w:val="left"/>
      </w:pPr>
      <w:bookmarkStart w:name="（1）本公司的构成" w:id="248"/>
      <w:bookmarkEnd w:id="248"/>
      <w:r>
        <w:rPr/>
      </w:r>
      <w:r>
        <w:rPr/>
        <w:t>（</w:t>
      </w:r>
      <w:r>
        <w:rPr>
          <w:rFonts w:ascii="Times New Roman" w:hAnsi="Times New Roman" w:cs="Times New Roman" w:eastAsia="Times New Roman" w:hint="default"/>
        </w:rPr>
        <w:t>1</w:t>
      </w:r>
      <w:r>
        <w:rPr/>
        <w:t>）本公司的构成</w:t>
      </w:r>
    </w:p>
    <w:p>
      <w:pPr>
        <w:spacing w:line="240" w:lineRule="auto" w:before="8"/>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2977"/>
        <w:gridCol w:w="1315"/>
        <w:gridCol w:w="922"/>
        <w:gridCol w:w="4217"/>
      </w:tblGrid>
      <w:tr>
        <w:trPr>
          <w:trHeight w:val="579" w:hRule="exact"/>
        </w:trPr>
        <w:tc>
          <w:tcPr>
            <w:tcW w:w="297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05" w:right="0"/>
              <w:jc w:val="left"/>
              <w:rPr>
                <w:rFonts w:ascii="宋体" w:hAnsi="宋体" w:cs="宋体" w:eastAsia="宋体" w:hint="default"/>
                <w:sz w:val="13"/>
                <w:szCs w:val="13"/>
              </w:rPr>
            </w:pPr>
            <w:r>
              <w:rPr>
                <w:rFonts w:ascii="宋体" w:hAnsi="宋体" w:cs="宋体" w:eastAsia="宋体" w:hint="default"/>
                <w:b/>
                <w:bCs/>
                <w:sz w:val="13"/>
                <w:szCs w:val="13"/>
              </w:rPr>
              <w:t>子公司全称</w:t>
            </w:r>
            <w:r>
              <w:rPr>
                <w:rFonts w:ascii="宋体" w:hAnsi="宋体" w:cs="宋体" w:eastAsia="宋体" w:hint="default"/>
                <w:sz w:val="13"/>
                <w:szCs w:val="13"/>
              </w:rPr>
            </w:r>
          </w:p>
        </w:tc>
        <w:tc>
          <w:tcPr>
            <w:tcW w:w="1315" w:type="dxa"/>
            <w:tcBorders>
              <w:top w:val="nil" w:sz="6" w:space="0" w:color="auto"/>
              <w:left w:val="nil" w:sz="6" w:space="0" w:color="auto"/>
              <w:bottom w:val="single" w:sz="4" w:space="0" w:color="000000"/>
              <w:right w:val="nil" w:sz="6" w:space="0" w:color="auto"/>
            </w:tcBorders>
          </w:tcPr>
          <w:p>
            <w:pPr>
              <w:pStyle w:val="TableParagraph"/>
              <w:spacing w:line="130" w:lineRule="exact"/>
              <w:ind w:left="741" w:right="0" w:firstLine="64"/>
              <w:jc w:val="left"/>
              <w:rPr>
                <w:rFonts w:ascii="宋体" w:hAnsi="宋体" w:cs="宋体" w:eastAsia="宋体" w:hint="default"/>
                <w:sz w:val="13"/>
                <w:szCs w:val="13"/>
              </w:rPr>
            </w:pPr>
            <w:r>
              <w:rPr>
                <w:rFonts w:ascii="宋体" w:hAnsi="宋体" w:cs="宋体" w:eastAsia="宋体" w:hint="default"/>
                <w:b/>
                <w:bCs/>
                <w:sz w:val="13"/>
                <w:szCs w:val="13"/>
              </w:rPr>
              <w:t>主要</w:t>
            </w:r>
            <w:r>
              <w:rPr>
                <w:rFonts w:ascii="宋体" w:hAnsi="宋体" w:cs="宋体" w:eastAsia="宋体" w:hint="default"/>
                <w:sz w:val="13"/>
                <w:szCs w:val="13"/>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41" w:right="0"/>
              <w:jc w:val="left"/>
              <w:rPr>
                <w:rFonts w:ascii="宋体" w:hAnsi="宋体" w:cs="宋体" w:eastAsia="宋体" w:hint="default"/>
                <w:sz w:val="13"/>
                <w:szCs w:val="13"/>
              </w:rPr>
            </w:pPr>
            <w:r>
              <w:rPr>
                <w:rFonts w:ascii="宋体" w:hAnsi="宋体" w:cs="宋体" w:eastAsia="宋体" w:hint="default"/>
                <w:b/>
                <w:bCs/>
                <w:sz w:val="13"/>
                <w:szCs w:val="13"/>
              </w:rPr>
              <w:t>经营地</w:t>
            </w:r>
            <w:r>
              <w:rPr>
                <w:rFonts w:ascii="宋体" w:hAnsi="宋体" w:cs="宋体" w:eastAsia="宋体" w:hint="default"/>
                <w:sz w:val="13"/>
                <w:szCs w:val="13"/>
              </w:rPr>
            </w:r>
          </w:p>
        </w:tc>
        <w:tc>
          <w:tcPr>
            <w:tcW w:w="92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41" w:right="0"/>
              <w:jc w:val="left"/>
              <w:rPr>
                <w:rFonts w:ascii="宋体" w:hAnsi="宋体" w:cs="宋体" w:eastAsia="宋体" w:hint="default"/>
                <w:sz w:val="13"/>
                <w:szCs w:val="13"/>
              </w:rPr>
            </w:pPr>
            <w:r>
              <w:rPr>
                <w:rFonts w:ascii="宋体" w:hAnsi="宋体" w:cs="宋体" w:eastAsia="宋体" w:hint="default"/>
                <w:b/>
                <w:bCs/>
                <w:sz w:val="13"/>
                <w:szCs w:val="13"/>
              </w:rPr>
              <w:t>注册地</w:t>
            </w:r>
            <w:r>
              <w:rPr>
                <w:rFonts w:ascii="宋体" w:hAnsi="宋体" w:cs="宋体" w:eastAsia="宋体" w:hint="default"/>
                <w:sz w:val="13"/>
                <w:szCs w:val="13"/>
              </w:rPr>
            </w:r>
          </w:p>
        </w:tc>
        <w:tc>
          <w:tcPr>
            <w:tcW w:w="421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82" w:right="0"/>
              <w:jc w:val="center"/>
              <w:rPr>
                <w:rFonts w:ascii="宋体" w:hAnsi="宋体" w:cs="宋体" w:eastAsia="宋体" w:hint="default"/>
                <w:sz w:val="13"/>
                <w:szCs w:val="13"/>
              </w:rPr>
            </w:pPr>
            <w:r>
              <w:rPr>
                <w:rFonts w:ascii="宋体" w:hAnsi="宋体" w:cs="宋体" w:eastAsia="宋体" w:hint="default"/>
                <w:b/>
                <w:bCs/>
                <w:sz w:val="13"/>
                <w:szCs w:val="13"/>
              </w:rPr>
              <w:t>业务性质</w:t>
            </w:r>
            <w:r>
              <w:rPr>
                <w:rFonts w:ascii="宋体" w:hAnsi="宋体" w:cs="宋体" w:eastAsia="宋体" w:hint="default"/>
                <w:sz w:val="13"/>
                <w:szCs w:val="13"/>
              </w:rPr>
            </w:r>
          </w:p>
        </w:tc>
      </w:tr>
      <w:tr>
        <w:trPr>
          <w:trHeight w:val="459" w:hRule="exact"/>
        </w:trPr>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怀化天舟教育有限责任公司</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28"/>
              <w:jc w:val="right"/>
              <w:rPr>
                <w:rFonts w:ascii="宋体" w:hAnsi="宋体" w:cs="宋体" w:eastAsia="宋体" w:hint="default"/>
                <w:sz w:val="13"/>
                <w:szCs w:val="13"/>
              </w:rPr>
            </w:pPr>
            <w:r>
              <w:rPr>
                <w:rFonts w:ascii="宋体" w:hAnsi="宋体" w:cs="宋体" w:eastAsia="宋体" w:hint="default"/>
                <w:w w:val="95"/>
                <w:sz w:val="13"/>
                <w:szCs w:val="13"/>
              </w:rPr>
              <w:t>怀化市</w:t>
            </w:r>
            <w:r>
              <w:rPr>
                <w:rFonts w:ascii="宋体" w:hAnsi="宋体" w:cs="宋体" w:eastAsia="宋体" w:hint="default"/>
                <w:sz w:val="13"/>
                <w:szCs w:val="13"/>
              </w:rPr>
            </w:r>
          </w:p>
        </w:tc>
        <w:tc>
          <w:tcPr>
            <w:tcW w:w="92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0" w:right="0"/>
              <w:jc w:val="left"/>
              <w:rPr>
                <w:rFonts w:ascii="宋体" w:hAnsi="宋体" w:cs="宋体" w:eastAsia="宋体" w:hint="default"/>
                <w:sz w:val="13"/>
                <w:szCs w:val="13"/>
              </w:rPr>
            </w:pPr>
            <w:r>
              <w:rPr>
                <w:rFonts w:ascii="宋体" w:hAnsi="宋体" w:cs="宋体" w:eastAsia="宋体" w:hint="default"/>
                <w:sz w:val="13"/>
                <w:szCs w:val="13"/>
              </w:rPr>
              <w:t>怀化市</w:t>
            </w:r>
          </w:p>
        </w:tc>
        <w:tc>
          <w:tcPr>
            <w:tcW w:w="421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8" w:right="0"/>
              <w:jc w:val="left"/>
              <w:rPr>
                <w:rFonts w:ascii="宋体" w:hAnsi="宋体" w:cs="宋体" w:eastAsia="宋体" w:hint="default"/>
                <w:sz w:val="13"/>
                <w:szCs w:val="13"/>
              </w:rPr>
            </w:pPr>
            <w:r>
              <w:rPr>
                <w:rFonts w:ascii="宋体" w:hAnsi="宋体" w:cs="宋体" w:eastAsia="宋体" w:hint="default"/>
                <w:sz w:val="13"/>
                <w:szCs w:val="13"/>
              </w:rPr>
              <w:t>书报刊批发</w:t>
            </w:r>
          </w:p>
        </w:tc>
      </w:tr>
      <w:tr>
        <w:trPr>
          <w:trHeight w:val="400"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北京北方天舟文化有限公司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8"/>
              <w:jc w:val="right"/>
              <w:rPr>
                <w:rFonts w:ascii="宋体" w:hAnsi="宋体" w:cs="宋体" w:eastAsia="宋体" w:hint="default"/>
                <w:sz w:val="13"/>
                <w:szCs w:val="13"/>
              </w:rPr>
            </w:pPr>
            <w:r>
              <w:rPr>
                <w:rFonts w:ascii="宋体" w:hAnsi="宋体" w:cs="宋体" w:eastAsia="宋体" w:hint="default"/>
                <w:w w:val="95"/>
                <w:sz w:val="13"/>
                <w:szCs w:val="13"/>
              </w:rPr>
              <w:t>北京市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0"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21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8" w:right="0"/>
              <w:jc w:val="left"/>
              <w:rPr>
                <w:rFonts w:ascii="宋体" w:hAnsi="宋体" w:cs="宋体" w:eastAsia="宋体" w:hint="default"/>
                <w:sz w:val="13"/>
                <w:szCs w:val="13"/>
              </w:rPr>
            </w:pPr>
            <w:r>
              <w:rPr>
                <w:rFonts w:ascii="宋体" w:hAnsi="宋体" w:cs="宋体" w:eastAsia="宋体" w:hint="default"/>
                <w:sz w:val="13"/>
                <w:szCs w:val="13"/>
              </w:rPr>
              <w:t>销售图书、报纸、期刊、电子出版物</w:t>
            </w:r>
          </w:p>
        </w:tc>
      </w:tr>
      <w:tr>
        <w:trPr>
          <w:trHeight w:val="400"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广州天瑞文化传播有限公司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8"/>
              <w:jc w:val="right"/>
              <w:rPr>
                <w:rFonts w:ascii="宋体" w:hAnsi="宋体" w:cs="宋体" w:eastAsia="宋体" w:hint="default"/>
                <w:sz w:val="13"/>
                <w:szCs w:val="13"/>
              </w:rPr>
            </w:pPr>
            <w:r>
              <w:rPr>
                <w:rFonts w:ascii="宋体" w:hAnsi="宋体" w:cs="宋体" w:eastAsia="宋体" w:hint="default"/>
                <w:w w:val="95"/>
                <w:sz w:val="13"/>
                <w:szCs w:val="13"/>
              </w:rPr>
              <w:t>广州市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0"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21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8" w:right="0"/>
              <w:jc w:val="left"/>
              <w:rPr>
                <w:rFonts w:ascii="宋体" w:hAnsi="宋体" w:cs="宋体" w:eastAsia="宋体" w:hint="default"/>
                <w:sz w:val="13"/>
                <w:szCs w:val="13"/>
              </w:rPr>
            </w:pPr>
            <w:r>
              <w:rPr>
                <w:rFonts w:ascii="宋体" w:hAnsi="宋体" w:cs="宋体" w:eastAsia="宋体" w:hint="default"/>
                <w:sz w:val="13"/>
                <w:szCs w:val="13"/>
              </w:rPr>
              <w:t>图书批发；报刊批发；图书、报刊零售</w:t>
            </w:r>
          </w:p>
        </w:tc>
      </w:tr>
      <w:tr>
        <w:trPr>
          <w:trHeight w:val="400"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北京永载文化有限公司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8"/>
              <w:jc w:val="right"/>
              <w:rPr>
                <w:rFonts w:ascii="宋体" w:hAnsi="宋体" w:cs="宋体" w:eastAsia="宋体" w:hint="default"/>
                <w:sz w:val="13"/>
                <w:szCs w:val="13"/>
              </w:rPr>
            </w:pPr>
            <w:r>
              <w:rPr>
                <w:rFonts w:ascii="宋体" w:hAnsi="宋体" w:cs="宋体" w:eastAsia="宋体" w:hint="default"/>
                <w:w w:val="95"/>
                <w:sz w:val="13"/>
                <w:szCs w:val="13"/>
              </w:rPr>
              <w:t>北京市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0"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21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8" w:right="0"/>
              <w:jc w:val="left"/>
              <w:rPr>
                <w:rFonts w:ascii="宋体" w:hAnsi="宋体" w:cs="宋体" w:eastAsia="宋体" w:hint="default"/>
                <w:sz w:val="13"/>
                <w:szCs w:val="13"/>
              </w:rPr>
            </w:pPr>
            <w:r>
              <w:rPr>
                <w:rFonts w:ascii="宋体" w:hAnsi="宋体" w:cs="宋体" w:eastAsia="宋体" w:hint="default"/>
                <w:sz w:val="13"/>
                <w:szCs w:val="13"/>
              </w:rPr>
              <w:t>批发、零售：图书、报纸、期刊、电子出版物</w:t>
            </w:r>
          </w:p>
        </w:tc>
      </w:tr>
      <w:tr>
        <w:trPr>
          <w:trHeight w:val="716"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北京神奇时代网络有限公司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right="328"/>
              <w:jc w:val="right"/>
              <w:rPr>
                <w:rFonts w:ascii="宋体" w:hAnsi="宋体" w:cs="宋体" w:eastAsia="宋体" w:hint="default"/>
                <w:sz w:val="13"/>
                <w:szCs w:val="13"/>
              </w:rPr>
            </w:pPr>
            <w:r>
              <w:rPr>
                <w:rFonts w:ascii="宋体" w:hAnsi="宋体" w:cs="宋体" w:eastAsia="宋体" w:hint="default"/>
                <w:w w:val="95"/>
                <w:sz w:val="13"/>
                <w:szCs w:val="13"/>
              </w:rPr>
              <w:t>北京市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3"/>
              <w:ind w:left="180"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217" w:type="dxa"/>
            <w:tcBorders>
              <w:top w:val="nil" w:sz="6" w:space="0" w:color="auto"/>
              <w:left w:val="nil" w:sz="6" w:space="0" w:color="auto"/>
              <w:bottom w:val="nil" w:sz="6" w:space="0" w:color="auto"/>
              <w:right w:val="nil" w:sz="6" w:space="0" w:color="auto"/>
            </w:tcBorders>
          </w:tcPr>
          <w:p>
            <w:pPr>
              <w:pStyle w:val="TableParagraph"/>
              <w:spacing w:line="451" w:lineRule="auto" w:before="91"/>
              <w:ind w:left="188" w:right="106"/>
              <w:jc w:val="left"/>
              <w:rPr>
                <w:rFonts w:ascii="宋体" w:hAnsi="宋体" w:cs="宋体" w:eastAsia="宋体" w:hint="default"/>
                <w:sz w:val="13"/>
                <w:szCs w:val="13"/>
              </w:rPr>
            </w:pPr>
            <w:r>
              <w:rPr>
                <w:rFonts w:ascii="宋体" w:hAnsi="宋体" w:cs="宋体" w:eastAsia="宋体" w:hint="default"/>
                <w:sz w:val="13"/>
                <w:szCs w:val="13"/>
              </w:rPr>
              <w:t>互联网信息服务；利用信息网经营游戏产品；互联网游戏、手机游戏</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出版</w:t>
            </w:r>
          </w:p>
        </w:tc>
      </w:tr>
      <w:tr>
        <w:trPr>
          <w:trHeight w:val="272"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5.1.</w:t>
            </w:r>
            <w:r>
              <w:rPr>
                <w:rFonts w:ascii="宋体" w:hAnsi="宋体" w:cs="宋体" w:eastAsia="宋体" w:hint="default"/>
                <w:sz w:val="13"/>
                <w:szCs w:val="13"/>
              </w:rPr>
              <w:t>神奇时代信息技术（天津）有限公司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28"/>
              <w:jc w:val="right"/>
              <w:rPr>
                <w:rFonts w:ascii="宋体" w:hAnsi="宋体" w:cs="宋体" w:eastAsia="宋体" w:hint="default"/>
                <w:sz w:val="13"/>
                <w:szCs w:val="13"/>
              </w:rPr>
            </w:pPr>
            <w:r>
              <w:rPr>
                <w:rFonts w:ascii="宋体" w:hAnsi="宋体" w:cs="宋体" w:eastAsia="宋体" w:hint="default"/>
                <w:w w:val="95"/>
                <w:sz w:val="13"/>
                <w:szCs w:val="13"/>
              </w:rPr>
              <w:t>天津市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0" w:right="0"/>
              <w:jc w:val="left"/>
              <w:rPr>
                <w:rFonts w:ascii="宋体" w:hAnsi="宋体" w:cs="宋体" w:eastAsia="宋体" w:hint="default"/>
                <w:sz w:val="13"/>
                <w:szCs w:val="13"/>
              </w:rPr>
            </w:pPr>
            <w:r>
              <w:rPr>
                <w:rFonts w:ascii="宋体" w:hAnsi="宋体" w:cs="宋体" w:eastAsia="宋体" w:hint="default"/>
                <w:sz w:val="13"/>
                <w:szCs w:val="13"/>
              </w:rPr>
              <w:t>天津市</w:t>
            </w:r>
          </w:p>
        </w:tc>
        <w:tc>
          <w:tcPr>
            <w:tcW w:w="42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8" w:right="0"/>
              <w:jc w:val="left"/>
              <w:rPr>
                <w:rFonts w:ascii="宋体" w:hAnsi="宋体" w:cs="宋体" w:eastAsia="宋体" w:hint="default"/>
                <w:sz w:val="13"/>
                <w:szCs w:val="13"/>
              </w:rPr>
            </w:pPr>
            <w:r>
              <w:rPr>
                <w:rFonts w:ascii="宋体" w:hAnsi="宋体" w:cs="宋体" w:eastAsia="宋体" w:hint="default"/>
                <w:sz w:val="13"/>
                <w:szCs w:val="13"/>
              </w:rPr>
              <w:t>信息技术开发、技术转让、技术咨询、技术服务、技术推广；计算机</w:t>
            </w:r>
          </w:p>
        </w:tc>
      </w:tr>
    </w:tbl>
    <w:p>
      <w:pPr>
        <w:spacing w:after="0" w:line="240" w:lineRule="auto"/>
        <w:jc w:val="left"/>
        <w:rPr>
          <w:rFonts w:ascii="宋体" w:hAnsi="宋体" w:cs="宋体" w:eastAsia="宋体" w:hint="default"/>
          <w:sz w:val="13"/>
          <w:szCs w:val="13"/>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3365"/>
        <w:gridCol w:w="998"/>
        <w:gridCol w:w="930"/>
        <w:gridCol w:w="4138"/>
      </w:tblGrid>
      <w:tr>
        <w:trPr>
          <w:trHeight w:val="579" w:hRule="exact"/>
        </w:trPr>
        <w:tc>
          <w:tcPr>
            <w:tcW w:w="336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00" w:right="0"/>
              <w:jc w:val="center"/>
              <w:rPr>
                <w:rFonts w:ascii="宋体" w:hAnsi="宋体" w:cs="宋体" w:eastAsia="宋体" w:hint="default"/>
                <w:sz w:val="13"/>
                <w:szCs w:val="13"/>
              </w:rPr>
            </w:pPr>
            <w:r>
              <w:rPr>
                <w:rFonts w:ascii="宋体" w:hAnsi="宋体" w:cs="宋体" w:eastAsia="宋体" w:hint="default"/>
                <w:b/>
                <w:bCs/>
                <w:sz w:val="13"/>
                <w:szCs w:val="13"/>
              </w:rPr>
              <w:t>子公司全称</w:t>
            </w:r>
            <w:r>
              <w:rPr>
                <w:rFonts w:ascii="宋体" w:hAnsi="宋体" w:cs="宋体" w:eastAsia="宋体" w:hint="default"/>
                <w:sz w:val="13"/>
                <w:szCs w:val="13"/>
              </w:rPr>
            </w:r>
          </w:p>
        </w:tc>
        <w:tc>
          <w:tcPr>
            <w:tcW w:w="998" w:type="dxa"/>
            <w:tcBorders>
              <w:top w:val="nil" w:sz="6" w:space="0" w:color="auto"/>
              <w:left w:val="nil" w:sz="6" w:space="0" w:color="auto"/>
              <w:bottom w:val="single" w:sz="4" w:space="0" w:color="000000"/>
              <w:right w:val="nil" w:sz="6" w:space="0" w:color="auto"/>
            </w:tcBorders>
          </w:tcPr>
          <w:p>
            <w:pPr>
              <w:pStyle w:val="TableParagraph"/>
              <w:spacing w:line="130" w:lineRule="exact"/>
              <w:ind w:left="353" w:right="0" w:firstLine="64"/>
              <w:jc w:val="left"/>
              <w:rPr>
                <w:rFonts w:ascii="宋体" w:hAnsi="宋体" w:cs="宋体" w:eastAsia="宋体" w:hint="default"/>
                <w:sz w:val="13"/>
                <w:szCs w:val="13"/>
              </w:rPr>
            </w:pPr>
            <w:r>
              <w:rPr>
                <w:rFonts w:ascii="宋体" w:hAnsi="宋体" w:cs="宋体" w:eastAsia="宋体" w:hint="default"/>
                <w:b/>
                <w:bCs/>
                <w:sz w:val="13"/>
                <w:szCs w:val="13"/>
              </w:rPr>
              <w:t>主要</w:t>
            </w:r>
            <w:r>
              <w:rPr>
                <w:rFonts w:ascii="宋体" w:hAnsi="宋体" w:cs="宋体" w:eastAsia="宋体" w:hint="default"/>
                <w:sz w:val="13"/>
                <w:szCs w:val="13"/>
              </w:rPr>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3" w:right="0"/>
              <w:jc w:val="left"/>
              <w:rPr>
                <w:rFonts w:ascii="宋体" w:hAnsi="宋体" w:cs="宋体" w:eastAsia="宋体" w:hint="default"/>
                <w:sz w:val="13"/>
                <w:szCs w:val="13"/>
              </w:rPr>
            </w:pPr>
            <w:r>
              <w:rPr>
                <w:rFonts w:ascii="宋体" w:hAnsi="宋体" w:cs="宋体" w:eastAsia="宋体" w:hint="default"/>
                <w:b/>
                <w:bCs/>
                <w:sz w:val="13"/>
                <w:szCs w:val="13"/>
              </w:rPr>
              <w:t>经营地</w:t>
            </w:r>
            <w:r>
              <w:rPr>
                <w:rFonts w:ascii="宋体" w:hAnsi="宋体" w:cs="宋体" w:eastAsia="宋体" w:hint="default"/>
                <w:sz w:val="13"/>
                <w:szCs w:val="13"/>
              </w:rPr>
            </w:r>
          </w:p>
        </w:tc>
        <w:tc>
          <w:tcPr>
            <w:tcW w:w="93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269" w:right="0"/>
              <w:jc w:val="left"/>
              <w:rPr>
                <w:rFonts w:ascii="宋体" w:hAnsi="宋体" w:cs="宋体" w:eastAsia="宋体" w:hint="default"/>
                <w:sz w:val="13"/>
                <w:szCs w:val="13"/>
              </w:rPr>
            </w:pPr>
            <w:r>
              <w:rPr>
                <w:rFonts w:ascii="宋体" w:hAnsi="宋体" w:cs="宋体" w:eastAsia="宋体" w:hint="default"/>
                <w:b/>
                <w:bCs/>
                <w:sz w:val="13"/>
                <w:szCs w:val="13"/>
              </w:rPr>
              <w:t>注册地</w:t>
            </w:r>
            <w:r>
              <w:rPr>
                <w:rFonts w:ascii="宋体" w:hAnsi="宋体" w:cs="宋体" w:eastAsia="宋体" w:hint="default"/>
                <w:sz w:val="13"/>
                <w:szCs w:val="13"/>
              </w:rPr>
            </w:r>
          </w:p>
        </w:tc>
        <w:tc>
          <w:tcPr>
            <w:tcW w:w="413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2" w:right="0"/>
              <w:jc w:val="center"/>
              <w:rPr>
                <w:rFonts w:ascii="宋体" w:hAnsi="宋体" w:cs="宋体" w:eastAsia="宋体" w:hint="default"/>
                <w:sz w:val="13"/>
                <w:szCs w:val="13"/>
              </w:rPr>
            </w:pPr>
            <w:r>
              <w:rPr>
                <w:rFonts w:ascii="宋体" w:hAnsi="宋体" w:cs="宋体" w:eastAsia="宋体" w:hint="default"/>
                <w:b/>
                <w:bCs/>
                <w:sz w:val="13"/>
                <w:szCs w:val="13"/>
              </w:rPr>
              <w:t>业务性质</w:t>
            </w:r>
            <w:r>
              <w:rPr>
                <w:rFonts w:ascii="宋体" w:hAnsi="宋体" w:cs="宋体" w:eastAsia="宋体" w:hint="default"/>
                <w:sz w:val="13"/>
                <w:szCs w:val="13"/>
              </w:rPr>
            </w:r>
          </w:p>
        </w:tc>
      </w:tr>
      <w:tr>
        <w:trPr>
          <w:trHeight w:val="416" w:hRule="exact"/>
        </w:trPr>
        <w:tc>
          <w:tcPr>
            <w:tcW w:w="3365" w:type="dxa"/>
            <w:tcBorders>
              <w:top w:val="single" w:sz="4" w:space="0" w:color="000000"/>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nil" w:sz="6" w:space="0" w:color="auto"/>
              <w:right w:val="nil" w:sz="6" w:space="0" w:color="auto"/>
            </w:tcBorders>
          </w:tcPr>
          <w:p>
            <w:pPr/>
          </w:p>
        </w:tc>
        <w:tc>
          <w:tcPr>
            <w:tcW w:w="930" w:type="dxa"/>
            <w:tcBorders>
              <w:top w:val="single" w:sz="4" w:space="0" w:color="000000"/>
              <w:left w:val="nil" w:sz="6" w:space="0" w:color="auto"/>
              <w:bottom w:val="nil" w:sz="6" w:space="0" w:color="auto"/>
              <w:right w:val="nil" w:sz="6" w:space="0" w:color="auto"/>
            </w:tcBorders>
          </w:tcPr>
          <w:p>
            <w:pPr/>
          </w:p>
        </w:tc>
        <w:tc>
          <w:tcPr>
            <w:tcW w:w="413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108" w:right="0"/>
              <w:jc w:val="left"/>
              <w:rPr>
                <w:rFonts w:ascii="宋体" w:hAnsi="宋体" w:cs="宋体" w:eastAsia="宋体" w:hint="default"/>
                <w:sz w:val="13"/>
                <w:szCs w:val="13"/>
              </w:rPr>
            </w:pPr>
            <w:r>
              <w:rPr>
                <w:rFonts w:ascii="宋体" w:hAnsi="宋体" w:cs="宋体" w:eastAsia="宋体" w:hint="default"/>
                <w:sz w:val="13"/>
                <w:szCs w:val="13"/>
              </w:rPr>
              <w:t>系统服务；软件开发；电脑动画设计</w:t>
            </w:r>
          </w:p>
        </w:tc>
      </w:tr>
      <w:tr>
        <w:trPr>
          <w:trHeight w:val="403"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Times New Roman" w:hAnsi="Times New Roman" w:cs="Times New Roman" w:eastAsia="Times New Roman" w:hint="default"/>
                <w:spacing w:val="-14"/>
                <w:sz w:val="13"/>
                <w:szCs w:val="13"/>
              </w:rPr>
              <w:t> </w:t>
            </w:r>
            <w:r>
              <w:rPr>
                <w:rFonts w:ascii="Times New Roman" w:hAnsi="Times New Roman" w:cs="Times New Roman" w:eastAsia="Times New Roman" w:hint="default"/>
                <w:sz w:val="13"/>
                <w:szCs w:val="13"/>
              </w:rPr>
              <w:t>APPNODE</w:t>
            </w:r>
            <w:r>
              <w:rPr>
                <w:rFonts w:ascii="Times New Roman" w:hAnsi="Times New Roman" w:cs="Times New Roman" w:eastAsia="Times New Roman" w:hint="default"/>
                <w:spacing w:val="-10"/>
                <w:sz w:val="13"/>
                <w:szCs w:val="13"/>
              </w:rPr>
              <w:t> </w:t>
            </w:r>
            <w:r>
              <w:rPr>
                <w:rFonts w:ascii="Times New Roman" w:hAnsi="Times New Roman" w:cs="Times New Roman" w:eastAsia="Times New Roman" w:hint="default"/>
                <w:sz w:val="13"/>
                <w:szCs w:val="13"/>
              </w:rPr>
              <w:t>TANGLE</w:t>
            </w:r>
            <w:r>
              <w:rPr>
                <w:rFonts w:ascii="Times New Roman" w:hAnsi="Times New Roman" w:cs="Times New Roman" w:eastAsia="Times New Roman" w:hint="default"/>
                <w:spacing w:val="-9"/>
                <w:sz w:val="13"/>
                <w:szCs w:val="13"/>
              </w:rPr>
              <w:t> </w:t>
            </w:r>
            <w:r>
              <w:rPr>
                <w:rFonts w:ascii="Times New Roman" w:hAnsi="Times New Roman" w:cs="Times New Roman" w:eastAsia="Times New Roman" w:hint="default"/>
                <w:sz w:val="13"/>
                <w:szCs w:val="13"/>
              </w:rPr>
              <w:t>COMPANY</w:t>
            </w:r>
            <w:r>
              <w:rPr>
                <w:rFonts w:ascii="Times New Roman" w:hAnsi="Times New Roman" w:cs="Times New Roman" w:eastAsia="Times New Roman" w:hint="default"/>
                <w:spacing w:val="-12"/>
                <w:sz w:val="13"/>
                <w:szCs w:val="13"/>
              </w:rPr>
              <w:t> </w:t>
            </w:r>
            <w:r>
              <w:rPr>
                <w:rFonts w:ascii="Times New Roman" w:hAnsi="Times New Roman" w:cs="Times New Roman" w:eastAsia="Times New Roman" w:hint="default"/>
                <w:sz w:val="13"/>
                <w:szCs w:val="13"/>
              </w:rPr>
              <w:t>LIMITED</w:t>
            </w:r>
            <w:r>
              <w:rPr>
                <w:rFonts w:ascii="宋体" w:hAnsi="宋体" w:cs="宋体" w:eastAsia="宋体" w:hint="default"/>
                <w:sz w:val="13"/>
                <w:szCs w:val="13"/>
              </w:rPr>
              <w:t>（</w:t>
            </w:r>
            <w:r>
              <w:rPr>
                <w:rFonts w:ascii="Times New Roman" w:hAnsi="Times New Roman" w:cs="Times New Roman" w:eastAsia="Times New Roman" w:hint="default"/>
                <w:sz w:val="13"/>
                <w:szCs w:val="13"/>
              </w:rPr>
              <w:t>HK</w:t>
            </w:r>
            <w:r>
              <w:rPr>
                <w:rFonts w:ascii="宋体" w:hAnsi="宋体" w:cs="宋体" w:eastAsia="宋体" w:hint="default"/>
                <w:sz w:val="13"/>
                <w:szCs w:val="13"/>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7" w:right="0"/>
              <w:jc w:val="left"/>
              <w:rPr>
                <w:rFonts w:ascii="宋体" w:hAnsi="宋体" w:cs="宋体" w:eastAsia="宋体" w:hint="default"/>
                <w:sz w:val="13"/>
                <w:szCs w:val="13"/>
              </w:rPr>
            </w:pPr>
            <w:r>
              <w:rPr>
                <w:rFonts w:ascii="宋体" w:hAnsi="宋体" w:cs="宋体" w:eastAsia="宋体" w:hint="default"/>
                <w:sz w:val="13"/>
                <w:szCs w:val="13"/>
              </w:rPr>
              <w:t>中国香港</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宋体" w:hAnsi="宋体" w:cs="宋体" w:eastAsia="宋体" w:hint="default"/>
                <w:sz w:val="13"/>
                <w:szCs w:val="13"/>
              </w:rPr>
              <w:t>中国香港</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宋体" w:hAnsi="宋体" w:cs="宋体" w:eastAsia="宋体" w:hint="default"/>
                <w:sz w:val="13"/>
                <w:szCs w:val="13"/>
              </w:rPr>
              <w:t>投资管理和国际贸易</w:t>
            </w:r>
          </w:p>
        </w:tc>
      </w:tr>
      <w:tr>
        <w:trPr>
          <w:trHeight w:val="276" w:hRule="exact"/>
        </w:trPr>
        <w:tc>
          <w:tcPr>
            <w:tcW w:w="3365" w:type="dxa"/>
            <w:tcBorders>
              <w:top w:val="nil" w:sz="6" w:space="0" w:color="auto"/>
              <w:left w:val="nil" w:sz="6" w:space="0" w:color="auto"/>
              <w:bottom w:val="nil" w:sz="6" w:space="0" w:color="auto"/>
              <w:right w:val="nil" w:sz="6" w:space="0" w:color="auto"/>
            </w:tcBorders>
          </w:tcPr>
          <w:p>
            <w:pPr/>
          </w:p>
        </w:tc>
        <w:tc>
          <w:tcPr>
            <w:tcW w:w="998" w:type="dxa"/>
            <w:vMerge w:val="restart"/>
            <w:tcBorders>
              <w:top w:val="nil" w:sz="6" w:space="0" w:color="auto"/>
              <w:left w:val="nil" w:sz="6" w:space="0" w:color="auto"/>
              <w:right w:val="nil" w:sz="6" w:space="0" w:color="auto"/>
            </w:tcBorders>
          </w:tcPr>
          <w:p>
            <w:pPr>
              <w:pStyle w:val="TableParagraph"/>
              <w:spacing w:line="451" w:lineRule="auto" w:before="91"/>
              <w:ind w:left="207" w:right="106"/>
              <w:jc w:val="left"/>
              <w:rPr>
                <w:rFonts w:ascii="宋体" w:hAnsi="宋体" w:cs="宋体" w:eastAsia="宋体" w:hint="default"/>
                <w:sz w:val="13"/>
                <w:szCs w:val="13"/>
              </w:rPr>
            </w:pPr>
            <w:r>
              <w:rPr>
                <w:rFonts w:ascii="宋体" w:hAnsi="宋体" w:cs="宋体" w:eastAsia="宋体" w:hint="default"/>
                <w:spacing w:val="6"/>
                <w:sz w:val="13"/>
                <w:szCs w:val="13"/>
              </w:rPr>
              <w:t>英属维尔京</w:t>
            </w:r>
            <w:r>
              <w:rPr>
                <w:rFonts w:ascii="宋体" w:hAnsi="宋体" w:cs="宋体" w:eastAsia="宋体" w:hint="default"/>
                <w:w w:val="99"/>
                <w:sz w:val="13"/>
                <w:szCs w:val="13"/>
              </w:rPr>
              <w:t> </w:t>
            </w:r>
            <w:r>
              <w:rPr>
                <w:rFonts w:ascii="宋体" w:hAnsi="宋体" w:cs="宋体" w:eastAsia="宋体" w:hint="default"/>
                <w:sz w:val="13"/>
                <w:szCs w:val="13"/>
              </w:rPr>
              <w:t>群岛</w:t>
            </w:r>
          </w:p>
        </w:tc>
        <w:tc>
          <w:tcPr>
            <w:tcW w:w="930" w:type="dxa"/>
            <w:vMerge w:val="restart"/>
            <w:tcBorders>
              <w:top w:val="nil" w:sz="6" w:space="0" w:color="auto"/>
              <w:left w:val="nil" w:sz="6" w:space="0" w:color="auto"/>
              <w:right w:val="nil" w:sz="6" w:space="0" w:color="auto"/>
            </w:tcBorders>
          </w:tcPr>
          <w:p>
            <w:pPr>
              <w:pStyle w:val="TableParagraph"/>
              <w:spacing w:line="451" w:lineRule="auto" w:before="91"/>
              <w:ind w:left="108" w:right="106"/>
              <w:jc w:val="left"/>
              <w:rPr>
                <w:rFonts w:ascii="宋体" w:hAnsi="宋体" w:cs="宋体" w:eastAsia="宋体" w:hint="default"/>
                <w:sz w:val="13"/>
                <w:szCs w:val="13"/>
              </w:rPr>
            </w:pPr>
            <w:r>
              <w:rPr>
                <w:rFonts w:ascii="宋体" w:hAnsi="宋体" w:cs="宋体" w:eastAsia="宋体" w:hint="default"/>
                <w:spacing w:val="7"/>
                <w:sz w:val="13"/>
                <w:szCs w:val="13"/>
              </w:rPr>
              <w:t>英属</w:t>
            </w:r>
            <w:r>
              <w:rPr>
                <w:rFonts w:ascii="宋体" w:hAnsi="宋体" w:cs="宋体" w:eastAsia="宋体" w:hint="default"/>
                <w:spacing w:val="-49"/>
                <w:sz w:val="13"/>
                <w:szCs w:val="13"/>
              </w:rPr>
              <w:t> </w:t>
            </w:r>
            <w:r>
              <w:rPr>
                <w:rFonts w:ascii="宋体" w:hAnsi="宋体" w:cs="宋体" w:eastAsia="宋体" w:hint="default"/>
                <w:sz w:val="13"/>
                <w:szCs w:val="13"/>
              </w:rPr>
              <w:t>维</w:t>
            </w:r>
            <w:r>
              <w:rPr>
                <w:rFonts w:ascii="宋体" w:hAnsi="宋体" w:cs="宋体" w:eastAsia="宋体" w:hint="default"/>
                <w:spacing w:val="-49"/>
                <w:sz w:val="13"/>
                <w:szCs w:val="13"/>
              </w:rPr>
              <w:t> </w:t>
            </w:r>
            <w:r>
              <w:rPr>
                <w:rFonts w:ascii="宋体" w:hAnsi="宋体" w:cs="宋体" w:eastAsia="宋体" w:hint="default"/>
                <w:spacing w:val="7"/>
                <w:sz w:val="13"/>
                <w:szCs w:val="13"/>
              </w:rPr>
              <w:t>尔京</w:t>
            </w:r>
            <w:r>
              <w:rPr>
                <w:rFonts w:ascii="宋体" w:hAnsi="宋体" w:cs="宋体" w:eastAsia="宋体" w:hint="default"/>
                <w:w w:val="99"/>
                <w:sz w:val="13"/>
                <w:szCs w:val="13"/>
              </w:rPr>
              <w:t> </w:t>
            </w:r>
            <w:r>
              <w:rPr>
                <w:rFonts w:ascii="宋体" w:hAnsi="宋体" w:cs="宋体" w:eastAsia="宋体" w:hint="default"/>
                <w:sz w:val="13"/>
                <w:szCs w:val="13"/>
              </w:rPr>
              <w:t>群岛</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投资管理和国际贸易</w:t>
            </w:r>
          </w:p>
        </w:tc>
      </w:tr>
      <w:tr>
        <w:trPr>
          <w:trHeight w:val="440"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154" w:lineRule="exact"/>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6.1.APPNODE</w:t>
            </w:r>
            <w:r>
              <w:rPr>
                <w:rFonts w:ascii="Times New Roman" w:hAnsi="Times New Roman" w:cs="Times New Roman" w:eastAsia="Times New Roman" w:hint="default"/>
                <w:spacing w:val="-12"/>
                <w:sz w:val="13"/>
                <w:szCs w:val="13"/>
              </w:rPr>
              <w:t> </w:t>
            </w:r>
            <w:r>
              <w:rPr>
                <w:rFonts w:ascii="Times New Roman" w:hAnsi="Times New Roman" w:cs="Times New Roman" w:eastAsia="Times New Roman" w:hint="default"/>
                <w:sz w:val="13"/>
                <w:szCs w:val="13"/>
              </w:rPr>
              <w:t>TANGLE</w:t>
            </w:r>
            <w:r>
              <w:rPr>
                <w:rFonts w:ascii="Times New Roman" w:hAnsi="Times New Roman" w:cs="Times New Roman" w:eastAsia="Times New Roman" w:hint="default"/>
                <w:spacing w:val="-12"/>
                <w:sz w:val="13"/>
                <w:szCs w:val="13"/>
              </w:rPr>
              <w:t> </w:t>
            </w:r>
            <w:r>
              <w:rPr>
                <w:rFonts w:ascii="Times New Roman" w:hAnsi="Times New Roman" w:cs="Times New Roman" w:eastAsia="Times New Roman" w:hint="default"/>
                <w:sz w:val="13"/>
                <w:szCs w:val="13"/>
              </w:rPr>
              <w:t>COMPANY</w:t>
            </w:r>
            <w:r>
              <w:rPr>
                <w:rFonts w:ascii="Times New Roman" w:hAnsi="Times New Roman" w:cs="Times New Roman" w:eastAsia="Times New Roman" w:hint="default"/>
                <w:spacing w:val="-14"/>
                <w:sz w:val="13"/>
                <w:szCs w:val="13"/>
              </w:rPr>
              <w:t> </w:t>
            </w:r>
            <w:r>
              <w:rPr>
                <w:rFonts w:ascii="Times New Roman" w:hAnsi="Times New Roman" w:cs="Times New Roman" w:eastAsia="Times New Roman" w:hint="default"/>
                <w:sz w:val="13"/>
                <w:szCs w:val="13"/>
              </w:rPr>
              <w:t>LIMITED</w:t>
            </w:r>
            <w:r>
              <w:rPr>
                <w:rFonts w:ascii="宋体" w:hAnsi="宋体" w:cs="宋体" w:eastAsia="宋体" w:hint="default"/>
                <w:sz w:val="13"/>
                <w:szCs w:val="13"/>
              </w:rPr>
              <w:t>（</w:t>
            </w:r>
            <w:r>
              <w:rPr>
                <w:rFonts w:ascii="Times New Roman" w:hAnsi="Times New Roman" w:cs="Times New Roman" w:eastAsia="Times New Roman" w:hint="default"/>
                <w:sz w:val="13"/>
                <w:szCs w:val="13"/>
              </w:rPr>
              <w:t>BVI</w:t>
            </w:r>
            <w:r>
              <w:rPr>
                <w:rFonts w:ascii="宋体" w:hAnsi="宋体" w:cs="宋体" w:eastAsia="宋体" w:hint="default"/>
                <w:sz w:val="13"/>
                <w:szCs w:val="13"/>
              </w:rPr>
              <w:t>）</w:t>
            </w:r>
          </w:p>
        </w:tc>
        <w:tc>
          <w:tcPr>
            <w:tcW w:w="998" w:type="dxa"/>
            <w:vMerge/>
            <w:tcBorders>
              <w:left w:val="nil" w:sz="6" w:space="0" w:color="auto"/>
              <w:bottom w:val="nil" w:sz="6" w:space="0" w:color="auto"/>
              <w:right w:val="nil" w:sz="6" w:space="0" w:color="auto"/>
            </w:tcBorders>
          </w:tcPr>
          <w:p>
            <w:pPr/>
          </w:p>
        </w:tc>
        <w:tc>
          <w:tcPr>
            <w:tcW w:w="930" w:type="dxa"/>
            <w:vMerge/>
            <w:tcBorders>
              <w:left w:val="nil" w:sz="6" w:space="0" w:color="auto"/>
              <w:bottom w:val="nil" w:sz="6" w:space="0" w:color="auto"/>
              <w:right w:val="nil" w:sz="6" w:space="0" w:color="auto"/>
            </w:tcBorders>
          </w:tcPr>
          <w:p>
            <w:pPr/>
          </w:p>
        </w:tc>
        <w:tc>
          <w:tcPr>
            <w:tcW w:w="4138" w:type="dxa"/>
            <w:tcBorders>
              <w:top w:val="nil" w:sz="6" w:space="0" w:color="auto"/>
              <w:left w:val="nil" w:sz="6" w:space="0" w:color="auto"/>
              <w:bottom w:val="nil" w:sz="6" w:space="0" w:color="auto"/>
              <w:right w:val="nil" w:sz="6" w:space="0" w:color="auto"/>
            </w:tcBorders>
          </w:tcPr>
          <w:p>
            <w:pPr/>
          </w:p>
        </w:tc>
      </w:tr>
      <w:tr>
        <w:trPr>
          <w:trHeight w:val="1680"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0"/>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w:t>
            </w:r>
            <w:r>
              <w:rPr>
                <w:rFonts w:ascii="宋体" w:hAnsi="宋体" w:cs="宋体" w:eastAsia="宋体" w:hint="default"/>
                <w:sz w:val="13"/>
                <w:szCs w:val="13"/>
              </w:rPr>
              <w:t>广州游爱网络技术有限公司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138" w:type="dxa"/>
            <w:tcBorders>
              <w:top w:val="nil" w:sz="6" w:space="0" w:color="auto"/>
              <w:left w:val="nil" w:sz="6" w:space="0" w:color="auto"/>
              <w:bottom w:val="nil" w:sz="6" w:space="0" w:color="auto"/>
              <w:right w:val="nil" w:sz="6" w:space="0" w:color="auto"/>
            </w:tcBorders>
          </w:tcPr>
          <w:p>
            <w:pPr>
              <w:pStyle w:val="TableParagraph"/>
              <w:spacing w:line="451" w:lineRule="auto" w:before="94"/>
              <w:ind w:left="108" w:right="106"/>
              <w:jc w:val="both"/>
              <w:rPr>
                <w:rFonts w:ascii="宋体" w:hAnsi="宋体" w:cs="宋体" w:eastAsia="宋体" w:hint="default"/>
                <w:sz w:val="13"/>
                <w:szCs w:val="13"/>
              </w:rPr>
            </w:pPr>
            <w:r>
              <w:rPr>
                <w:rFonts w:ascii="宋体" w:hAnsi="宋体" w:cs="宋体" w:eastAsia="宋体" w:hint="default"/>
                <w:sz w:val="13"/>
                <w:szCs w:val="13"/>
              </w:rPr>
              <w:t>数字处理和存储服务；游戏软件设计制作；信息系统集成服务；软件</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开发；信息技术咨询服务；数字动漫制作；网络技术的研究、开发；</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技术进出口；计算机技术开发、技术服务；软件零售；软件批发；广</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告业；增值电信服务（业务种类以《增值电信业务经营许可证》载明</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pacing w:val="-5"/>
                <w:w w:val="99"/>
                <w:sz w:val="13"/>
                <w:szCs w:val="13"/>
              </w:rPr>
              <w:t>内容为准）；网络游戏服务。</w:t>
            </w:r>
            <w:r>
              <w:rPr>
                <w:rFonts w:ascii="宋体" w:hAnsi="宋体" w:cs="宋体" w:eastAsia="宋体" w:hint="default"/>
                <w:spacing w:val="-5"/>
                <w:sz w:val="13"/>
                <w:szCs w:val="13"/>
              </w:rPr>
            </w:r>
          </w:p>
        </w:tc>
      </w:tr>
      <w:tr>
        <w:trPr>
          <w:trHeight w:val="403"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7.1.</w:t>
            </w:r>
            <w:r>
              <w:rPr>
                <w:rFonts w:ascii="宋体" w:hAnsi="宋体" w:cs="宋体" w:eastAsia="宋体" w:hint="default"/>
                <w:sz w:val="13"/>
                <w:szCs w:val="13"/>
              </w:rPr>
              <w:t>乐游网络有限公司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7" w:right="0"/>
              <w:jc w:val="left"/>
              <w:rPr>
                <w:rFonts w:ascii="宋体" w:hAnsi="宋体" w:cs="宋体" w:eastAsia="宋体" w:hint="default"/>
                <w:sz w:val="13"/>
                <w:szCs w:val="13"/>
              </w:rPr>
            </w:pPr>
            <w:r>
              <w:rPr>
                <w:rFonts w:ascii="宋体" w:hAnsi="宋体" w:cs="宋体" w:eastAsia="宋体" w:hint="default"/>
                <w:sz w:val="13"/>
                <w:szCs w:val="13"/>
              </w:rPr>
              <w:t>香港</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宋体" w:hAnsi="宋体" w:cs="宋体" w:eastAsia="宋体" w:hint="default"/>
                <w:sz w:val="13"/>
                <w:szCs w:val="13"/>
              </w:rPr>
              <w:t>香港</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3"/>
                <w:szCs w:val="13"/>
              </w:rPr>
            </w:pPr>
            <w:r>
              <w:rPr>
                <w:rFonts w:ascii="宋体" w:hAnsi="宋体" w:cs="宋体" w:eastAsia="宋体" w:hint="default"/>
                <w:sz w:val="13"/>
                <w:szCs w:val="13"/>
              </w:rPr>
              <w:t>用于未来港澳台地区的市场运作以及海外游戏平台推广、运营之用。</w:t>
            </w:r>
          </w:p>
        </w:tc>
      </w:tr>
      <w:tr>
        <w:trPr>
          <w:trHeight w:val="400"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7.2.</w:t>
            </w:r>
            <w:r>
              <w:rPr>
                <w:rFonts w:ascii="宋体" w:hAnsi="宋体" w:cs="宋体" w:eastAsia="宋体" w:hint="default"/>
                <w:sz w:val="13"/>
                <w:szCs w:val="13"/>
              </w:rPr>
              <w:t>上海游爱之星信息科技有限公司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7"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主要从事网络游戏的研发以及运营活动</w:t>
            </w:r>
          </w:p>
        </w:tc>
      </w:tr>
      <w:tr>
        <w:trPr>
          <w:trHeight w:val="400"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7.2.1.</w:t>
            </w:r>
            <w:r>
              <w:rPr>
                <w:rFonts w:ascii="宋体" w:hAnsi="宋体" w:cs="宋体" w:eastAsia="宋体" w:hint="default"/>
                <w:sz w:val="13"/>
                <w:szCs w:val="13"/>
              </w:rPr>
              <w:t>上海昊玩网络科技有限公司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7"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主要从事网络游戏的研发以及运营业务</w:t>
            </w:r>
          </w:p>
        </w:tc>
      </w:tr>
      <w:tr>
        <w:trPr>
          <w:trHeight w:val="400"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7.3.</w:t>
            </w:r>
            <w:r>
              <w:rPr>
                <w:rFonts w:ascii="宋体" w:hAnsi="宋体" w:cs="宋体" w:eastAsia="宋体" w:hint="default"/>
                <w:sz w:val="13"/>
                <w:szCs w:val="13"/>
              </w:rPr>
              <w:t>广州暴游信息技术有限公司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主要从事针对特定</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IP</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的移动网络游戏的研发以及运营业务</w:t>
            </w:r>
          </w:p>
        </w:tc>
      </w:tr>
      <w:tr>
        <w:trPr>
          <w:trHeight w:val="400"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7.4.</w:t>
            </w:r>
            <w:r>
              <w:rPr>
                <w:rFonts w:ascii="宋体" w:hAnsi="宋体" w:cs="宋体" w:eastAsia="宋体" w:hint="default"/>
                <w:sz w:val="13"/>
                <w:szCs w:val="13"/>
              </w:rPr>
              <w:t>天津游爱网络技术有限公司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7" w:right="0"/>
              <w:jc w:val="left"/>
              <w:rPr>
                <w:rFonts w:ascii="宋体" w:hAnsi="宋体" w:cs="宋体" w:eastAsia="宋体" w:hint="default"/>
                <w:sz w:val="13"/>
                <w:szCs w:val="13"/>
              </w:rPr>
            </w:pPr>
            <w:r>
              <w:rPr>
                <w:rFonts w:ascii="宋体" w:hAnsi="宋体" w:cs="宋体" w:eastAsia="宋体" w:hint="default"/>
                <w:sz w:val="13"/>
                <w:szCs w:val="13"/>
              </w:rPr>
              <w:t>天津市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天津市</w:t>
            </w:r>
          </w:p>
        </w:tc>
        <w:tc>
          <w:tcPr>
            <w:tcW w:w="41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13"/>
                <w:szCs w:val="13"/>
              </w:rPr>
            </w:pPr>
            <w:r>
              <w:rPr>
                <w:rFonts w:ascii="宋体" w:hAnsi="宋体" w:cs="宋体" w:eastAsia="宋体" w:hint="default"/>
                <w:sz w:val="13"/>
                <w:szCs w:val="13"/>
              </w:rPr>
              <w:t>主要从事移动网络游戏的研发业务</w:t>
            </w:r>
          </w:p>
        </w:tc>
      </w:tr>
      <w:tr>
        <w:trPr>
          <w:trHeight w:val="717"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0"/>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7.5.</w:t>
            </w:r>
            <w:r>
              <w:rPr>
                <w:rFonts w:ascii="宋体" w:hAnsi="宋体" w:cs="宋体" w:eastAsia="宋体" w:hint="default"/>
                <w:sz w:val="13"/>
                <w:szCs w:val="13"/>
              </w:rPr>
              <w:t>游爱之光（上海）信息科技有限公司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9"/>
                <w:szCs w:val="9"/>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0"/>
              <w:ind w:right="0"/>
              <w:jc w:val="left"/>
              <w:rPr>
                <w:rFonts w:ascii="Times New Roman" w:hAnsi="Times New Roman" w:cs="Times New Roman" w:eastAsia="Times New Roman" w:hint="default"/>
                <w:sz w:val="9"/>
                <w:szCs w:val="9"/>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4138" w:type="dxa"/>
            <w:tcBorders>
              <w:top w:val="nil" w:sz="6" w:space="0" w:color="auto"/>
              <w:left w:val="nil" w:sz="6" w:space="0" w:color="auto"/>
              <w:bottom w:val="nil" w:sz="6" w:space="0" w:color="auto"/>
              <w:right w:val="nil" w:sz="6" w:space="0" w:color="auto"/>
            </w:tcBorders>
          </w:tcPr>
          <w:p>
            <w:pPr>
              <w:pStyle w:val="TableParagraph"/>
              <w:spacing w:line="451" w:lineRule="auto" w:before="91"/>
              <w:ind w:left="108" w:right="106"/>
              <w:jc w:val="left"/>
              <w:rPr>
                <w:rFonts w:ascii="宋体" w:hAnsi="宋体" w:cs="宋体" w:eastAsia="宋体" w:hint="default"/>
                <w:sz w:val="13"/>
                <w:szCs w:val="13"/>
              </w:rPr>
            </w:pPr>
            <w:r>
              <w:rPr>
                <w:rFonts w:ascii="宋体" w:hAnsi="宋体" w:cs="宋体" w:eastAsia="宋体" w:hint="default"/>
                <w:sz w:val="13"/>
                <w:szCs w:val="13"/>
              </w:rPr>
              <w:t>主要从事网络技术、计算机技术领域内的技术开发、技术咨询、技术</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转让、技术服务。</w:t>
            </w:r>
          </w:p>
        </w:tc>
      </w:tr>
      <w:tr>
        <w:trPr>
          <w:trHeight w:val="1680"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0"/>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7.6.</w:t>
            </w:r>
            <w:r>
              <w:rPr>
                <w:rFonts w:ascii="宋体" w:hAnsi="宋体" w:cs="宋体" w:eastAsia="宋体" w:hint="default"/>
                <w:sz w:val="13"/>
                <w:szCs w:val="13"/>
              </w:rPr>
              <w:t>霍尔果斯游爱网络技术有限公司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451" w:lineRule="auto"/>
              <w:ind w:left="207" w:right="106"/>
              <w:jc w:val="left"/>
              <w:rPr>
                <w:rFonts w:ascii="宋体" w:hAnsi="宋体" w:cs="宋体" w:eastAsia="宋体" w:hint="default"/>
                <w:sz w:val="13"/>
                <w:szCs w:val="13"/>
              </w:rPr>
            </w:pPr>
            <w:r>
              <w:rPr>
                <w:rFonts w:ascii="宋体" w:hAnsi="宋体" w:cs="宋体" w:eastAsia="宋体" w:hint="default"/>
                <w:spacing w:val="6"/>
                <w:sz w:val="13"/>
                <w:szCs w:val="13"/>
              </w:rPr>
              <w:t>伊犁哈萨克</w:t>
            </w:r>
            <w:r>
              <w:rPr>
                <w:rFonts w:ascii="宋体" w:hAnsi="宋体" w:cs="宋体" w:eastAsia="宋体" w:hint="default"/>
                <w:w w:val="99"/>
                <w:sz w:val="13"/>
                <w:szCs w:val="13"/>
              </w:rPr>
              <w:t> </w:t>
            </w:r>
            <w:r>
              <w:rPr>
                <w:rFonts w:ascii="宋体" w:hAnsi="宋体" w:cs="宋体" w:eastAsia="宋体" w:hint="default"/>
                <w:sz w:val="13"/>
                <w:szCs w:val="13"/>
              </w:rPr>
              <w:t>自治州</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451" w:lineRule="auto"/>
              <w:ind w:left="108" w:right="106"/>
              <w:jc w:val="left"/>
              <w:rPr>
                <w:rFonts w:ascii="宋体" w:hAnsi="宋体" w:cs="宋体" w:eastAsia="宋体" w:hint="default"/>
                <w:sz w:val="13"/>
                <w:szCs w:val="13"/>
              </w:rPr>
            </w:pPr>
            <w:r>
              <w:rPr>
                <w:rFonts w:ascii="宋体" w:hAnsi="宋体" w:cs="宋体" w:eastAsia="宋体" w:hint="default"/>
                <w:spacing w:val="7"/>
                <w:sz w:val="13"/>
                <w:szCs w:val="13"/>
              </w:rPr>
              <w:t>伊犁</w:t>
            </w:r>
            <w:r>
              <w:rPr>
                <w:rFonts w:ascii="宋体" w:hAnsi="宋体" w:cs="宋体" w:eastAsia="宋体" w:hint="default"/>
                <w:spacing w:val="-49"/>
                <w:sz w:val="13"/>
                <w:szCs w:val="13"/>
              </w:rPr>
              <w:t> </w:t>
            </w:r>
            <w:r>
              <w:rPr>
                <w:rFonts w:ascii="宋体" w:hAnsi="宋体" w:cs="宋体" w:eastAsia="宋体" w:hint="default"/>
                <w:sz w:val="13"/>
                <w:szCs w:val="13"/>
              </w:rPr>
              <w:t>哈</w:t>
            </w:r>
            <w:r>
              <w:rPr>
                <w:rFonts w:ascii="宋体" w:hAnsi="宋体" w:cs="宋体" w:eastAsia="宋体" w:hint="default"/>
                <w:spacing w:val="-49"/>
                <w:sz w:val="13"/>
                <w:szCs w:val="13"/>
              </w:rPr>
              <w:t> </w:t>
            </w:r>
            <w:r>
              <w:rPr>
                <w:rFonts w:ascii="宋体" w:hAnsi="宋体" w:cs="宋体" w:eastAsia="宋体" w:hint="default"/>
                <w:spacing w:val="7"/>
                <w:sz w:val="13"/>
                <w:szCs w:val="13"/>
              </w:rPr>
              <w:t>萨克</w:t>
            </w:r>
            <w:r>
              <w:rPr>
                <w:rFonts w:ascii="宋体" w:hAnsi="宋体" w:cs="宋体" w:eastAsia="宋体" w:hint="default"/>
                <w:w w:val="99"/>
                <w:sz w:val="13"/>
                <w:szCs w:val="13"/>
              </w:rPr>
              <w:t> </w:t>
            </w:r>
            <w:r>
              <w:rPr>
                <w:rFonts w:ascii="宋体" w:hAnsi="宋体" w:cs="宋体" w:eastAsia="宋体" w:hint="default"/>
                <w:sz w:val="13"/>
                <w:szCs w:val="13"/>
              </w:rPr>
              <w:t>自治州</w:t>
            </w:r>
          </w:p>
        </w:tc>
        <w:tc>
          <w:tcPr>
            <w:tcW w:w="4138" w:type="dxa"/>
            <w:tcBorders>
              <w:top w:val="nil" w:sz="6" w:space="0" w:color="auto"/>
              <w:left w:val="nil" w:sz="6" w:space="0" w:color="auto"/>
              <w:bottom w:val="nil" w:sz="6" w:space="0" w:color="auto"/>
              <w:right w:val="nil" w:sz="6" w:space="0" w:color="auto"/>
            </w:tcBorders>
          </w:tcPr>
          <w:p>
            <w:pPr>
              <w:pStyle w:val="TableParagraph"/>
              <w:spacing w:line="451" w:lineRule="auto" w:before="94"/>
              <w:ind w:left="108" w:right="106"/>
              <w:jc w:val="both"/>
              <w:rPr>
                <w:rFonts w:ascii="宋体" w:hAnsi="宋体" w:cs="宋体" w:eastAsia="宋体" w:hint="default"/>
                <w:sz w:val="13"/>
                <w:szCs w:val="13"/>
              </w:rPr>
            </w:pPr>
            <w:r>
              <w:rPr>
                <w:rFonts w:ascii="宋体" w:hAnsi="宋体" w:cs="宋体" w:eastAsia="宋体" w:hint="default"/>
                <w:sz w:val="13"/>
                <w:szCs w:val="13"/>
              </w:rPr>
              <w:t>数据处理和存储服务；游戏软件设计制作；信息系统集成服务；软件</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开发；信息技术咨询服务；数字动漫制作；网络技术的研究、开发；</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技术进出口；计算机技术开发、技术服务；软件批发；广告制作；网</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pacing w:val="-4"/>
                <w:w w:val="99"/>
                <w:sz w:val="13"/>
                <w:szCs w:val="13"/>
              </w:rPr>
              <w:t>络游戏服务。（依法须经批准的项目，经相关部门批准后方可开展经营</w:t>
            </w:r>
            <w:r>
              <w:rPr>
                <w:rFonts w:ascii="宋体" w:hAnsi="宋体" w:cs="宋体" w:eastAsia="宋体" w:hint="default"/>
                <w:spacing w:val="-43"/>
                <w:w w:val="99"/>
                <w:sz w:val="13"/>
                <w:szCs w:val="13"/>
              </w:rPr>
              <w:t> </w:t>
            </w:r>
            <w:r>
              <w:rPr>
                <w:rFonts w:ascii="宋体" w:hAnsi="宋体" w:cs="宋体" w:eastAsia="宋体" w:hint="default"/>
                <w:spacing w:val="-43"/>
                <w:w w:val="99"/>
                <w:sz w:val="13"/>
                <w:szCs w:val="13"/>
              </w:rPr>
            </w:r>
            <w:r>
              <w:rPr>
                <w:rFonts w:ascii="宋体" w:hAnsi="宋体" w:cs="宋体" w:eastAsia="宋体" w:hint="default"/>
                <w:sz w:val="13"/>
                <w:szCs w:val="13"/>
              </w:rPr>
              <w:t>活动）</w:t>
            </w:r>
          </w:p>
        </w:tc>
      </w:tr>
      <w:tr>
        <w:trPr>
          <w:trHeight w:val="720"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7.7.</w:t>
            </w:r>
            <w:r>
              <w:rPr>
                <w:rFonts w:ascii="宋体" w:hAnsi="宋体" w:cs="宋体" w:eastAsia="宋体" w:hint="default"/>
                <w:sz w:val="13"/>
                <w:szCs w:val="13"/>
              </w:rPr>
              <w:t>上海跨合企业管理中心（有限合伙）</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上海市</w:t>
            </w:r>
          </w:p>
        </w:tc>
        <w:tc>
          <w:tcPr>
            <w:tcW w:w="4138" w:type="dxa"/>
            <w:tcBorders>
              <w:top w:val="nil" w:sz="6" w:space="0" w:color="auto"/>
              <w:left w:val="nil" w:sz="6" w:space="0" w:color="auto"/>
              <w:bottom w:val="nil" w:sz="6" w:space="0" w:color="auto"/>
              <w:right w:val="nil" w:sz="6" w:space="0" w:color="auto"/>
            </w:tcBorders>
          </w:tcPr>
          <w:p>
            <w:pPr>
              <w:pStyle w:val="TableParagraph"/>
              <w:spacing w:line="451" w:lineRule="auto" w:before="94"/>
              <w:ind w:left="108" w:right="110"/>
              <w:jc w:val="left"/>
              <w:rPr>
                <w:rFonts w:ascii="宋体" w:hAnsi="宋体" w:cs="宋体" w:eastAsia="宋体" w:hint="default"/>
                <w:sz w:val="13"/>
                <w:szCs w:val="13"/>
              </w:rPr>
            </w:pPr>
            <w:r>
              <w:rPr>
                <w:rFonts w:ascii="宋体" w:hAnsi="宋体" w:cs="宋体" w:eastAsia="宋体" w:hint="default"/>
                <w:spacing w:val="-4"/>
                <w:w w:val="99"/>
                <w:sz w:val="13"/>
                <w:szCs w:val="13"/>
              </w:rPr>
              <w:t>企业管理，企业管理咨询，创意服务，企业营销策划，商务咨询。（依</w:t>
            </w:r>
            <w:r>
              <w:rPr>
                <w:rFonts w:ascii="宋体" w:hAnsi="宋体" w:cs="宋体" w:eastAsia="宋体" w:hint="default"/>
                <w:spacing w:val="-45"/>
                <w:w w:val="99"/>
                <w:sz w:val="13"/>
                <w:szCs w:val="13"/>
              </w:rPr>
              <w:t> </w:t>
            </w:r>
            <w:r>
              <w:rPr>
                <w:rFonts w:ascii="宋体" w:hAnsi="宋体" w:cs="宋体" w:eastAsia="宋体" w:hint="default"/>
                <w:spacing w:val="-45"/>
                <w:w w:val="99"/>
                <w:sz w:val="13"/>
                <w:szCs w:val="13"/>
              </w:rPr>
            </w:r>
            <w:r>
              <w:rPr>
                <w:rFonts w:ascii="宋体" w:hAnsi="宋体" w:cs="宋体" w:eastAsia="宋体" w:hint="default"/>
                <w:sz w:val="13"/>
                <w:szCs w:val="13"/>
              </w:rPr>
              <w:t>法须经批准的项目，经相关部门批准后方可开展经营活动）</w:t>
            </w:r>
          </w:p>
        </w:tc>
      </w:tr>
      <w:tr>
        <w:trPr>
          <w:trHeight w:val="724"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7.8.</w:t>
            </w:r>
            <w:r>
              <w:rPr>
                <w:rFonts w:ascii="宋体" w:hAnsi="宋体" w:cs="宋体" w:eastAsia="宋体" w:hint="default"/>
                <w:sz w:val="13"/>
                <w:szCs w:val="13"/>
              </w:rPr>
              <w:t>广州游爱兄弟信息技术有限公司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138" w:type="dxa"/>
            <w:tcBorders>
              <w:top w:val="nil" w:sz="6" w:space="0" w:color="auto"/>
              <w:left w:val="nil" w:sz="6" w:space="0" w:color="auto"/>
              <w:bottom w:val="nil" w:sz="6" w:space="0" w:color="auto"/>
              <w:right w:val="nil" w:sz="6" w:space="0" w:color="auto"/>
            </w:tcBorders>
          </w:tcPr>
          <w:p>
            <w:pPr>
              <w:pStyle w:val="TableParagraph"/>
              <w:spacing w:line="427" w:lineRule="auto" w:before="94"/>
              <w:ind w:left="108" w:right="108"/>
              <w:jc w:val="left"/>
              <w:rPr>
                <w:rFonts w:ascii="宋体" w:hAnsi="宋体" w:cs="宋体" w:eastAsia="宋体" w:hint="default"/>
                <w:sz w:val="13"/>
                <w:szCs w:val="13"/>
              </w:rPr>
            </w:pPr>
            <w:r>
              <w:rPr>
                <w:rFonts w:ascii="宋体" w:hAnsi="宋体" w:cs="宋体" w:eastAsia="宋体" w:hint="default"/>
                <w:sz w:val="13"/>
                <w:szCs w:val="13"/>
              </w:rPr>
              <w:t>软件开发</w:t>
            </w:r>
            <w:r>
              <w:rPr>
                <w:rFonts w:ascii="Times New Roman" w:hAnsi="Times New Roman" w:cs="Times New Roman" w:eastAsia="Times New Roman" w:hint="default"/>
                <w:sz w:val="13"/>
                <w:szCs w:val="13"/>
              </w:rPr>
              <w:t>;</w:t>
            </w:r>
            <w:r>
              <w:rPr>
                <w:rFonts w:ascii="宋体" w:hAnsi="宋体" w:cs="宋体" w:eastAsia="宋体" w:hint="default"/>
                <w:sz w:val="13"/>
                <w:szCs w:val="13"/>
              </w:rPr>
              <w:t>信息系统集成服务</w:t>
            </w:r>
            <w:r>
              <w:rPr>
                <w:rFonts w:ascii="Times New Roman" w:hAnsi="Times New Roman" w:cs="Times New Roman" w:eastAsia="Times New Roman" w:hint="default"/>
                <w:sz w:val="13"/>
                <w:szCs w:val="13"/>
              </w:rPr>
              <w:t>;</w:t>
            </w:r>
            <w:r>
              <w:rPr>
                <w:rFonts w:ascii="宋体" w:hAnsi="宋体" w:cs="宋体" w:eastAsia="宋体" w:hint="default"/>
                <w:sz w:val="13"/>
                <w:szCs w:val="13"/>
              </w:rPr>
              <w:t>数据处理和存储服务</w:t>
            </w:r>
            <w:r>
              <w:rPr>
                <w:rFonts w:ascii="Times New Roman" w:hAnsi="Times New Roman" w:cs="Times New Roman" w:eastAsia="Times New Roman" w:hint="default"/>
                <w:sz w:val="13"/>
                <w:szCs w:val="13"/>
              </w:rPr>
              <w:t>;</w:t>
            </w:r>
            <w:r>
              <w:rPr>
                <w:rFonts w:ascii="宋体" w:hAnsi="宋体" w:cs="宋体" w:eastAsia="宋体" w:hint="default"/>
                <w:sz w:val="13"/>
                <w:szCs w:val="13"/>
              </w:rPr>
              <w:t>游戏软件设计制作</w:t>
            </w:r>
            <w:r>
              <w:rPr>
                <w:rFonts w:ascii="Times New Roman" w:hAnsi="Times New Roman" w:cs="Times New Roman" w:eastAsia="Times New Roman" w:hint="default"/>
                <w:sz w:val="13"/>
                <w:szCs w:val="13"/>
              </w:rPr>
              <w:t>;</w:t>
            </w:r>
            <w:r>
              <w:rPr>
                <w:rFonts w:ascii="Times New Roman" w:hAnsi="Times New Roman" w:cs="Times New Roman" w:eastAsia="Times New Roman" w:hint="default"/>
                <w:w w:val="99"/>
                <w:sz w:val="13"/>
                <w:szCs w:val="13"/>
              </w:rPr>
              <w:t> </w:t>
            </w:r>
            <w:r>
              <w:rPr>
                <w:rFonts w:ascii="宋体" w:hAnsi="宋体" w:cs="宋体" w:eastAsia="宋体" w:hint="default"/>
                <w:sz w:val="13"/>
                <w:szCs w:val="13"/>
              </w:rPr>
              <w:t>数字动漫制作</w:t>
            </w:r>
            <w:r>
              <w:rPr>
                <w:rFonts w:ascii="Times New Roman" w:hAnsi="Times New Roman" w:cs="Times New Roman" w:eastAsia="Times New Roman" w:hint="default"/>
                <w:sz w:val="13"/>
                <w:szCs w:val="13"/>
              </w:rPr>
              <w:t>;</w:t>
            </w:r>
            <w:r>
              <w:rPr>
                <w:rFonts w:ascii="宋体" w:hAnsi="宋体" w:cs="宋体" w:eastAsia="宋体" w:hint="default"/>
                <w:sz w:val="13"/>
                <w:szCs w:val="13"/>
              </w:rPr>
              <w:t>信息技术咨询服务。</w:t>
            </w:r>
          </w:p>
        </w:tc>
      </w:tr>
      <w:tr>
        <w:trPr>
          <w:trHeight w:val="1036"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7.9.</w:t>
            </w:r>
            <w:r>
              <w:rPr>
                <w:rFonts w:ascii="宋体" w:hAnsi="宋体" w:cs="宋体" w:eastAsia="宋体" w:hint="default"/>
                <w:sz w:val="13"/>
                <w:szCs w:val="13"/>
              </w:rPr>
              <w:t>广州游爱互娱网络技术有限公司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138" w:type="dxa"/>
            <w:tcBorders>
              <w:top w:val="nil" w:sz="6" w:space="0" w:color="auto"/>
              <w:left w:val="nil" w:sz="6" w:space="0" w:color="auto"/>
              <w:bottom w:val="nil" w:sz="6" w:space="0" w:color="auto"/>
              <w:right w:val="nil" w:sz="6" w:space="0" w:color="auto"/>
            </w:tcBorders>
          </w:tcPr>
          <w:p>
            <w:pPr>
              <w:pStyle w:val="TableParagraph"/>
              <w:spacing w:line="427" w:lineRule="auto" w:before="91"/>
              <w:ind w:left="108" w:right="108"/>
              <w:jc w:val="both"/>
              <w:rPr>
                <w:rFonts w:ascii="宋体" w:hAnsi="宋体" w:cs="宋体" w:eastAsia="宋体" w:hint="default"/>
                <w:sz w:val="13"/>
                <w:szCs w:val="13"/>
              </w:rPr>
            </w:pPr>
            <w:r>
              <w:rPr>
                <w:rFonts w:ascii="宋体" w:hAnsi="宋体" w:cs="宋体" w:eastAsia="宋体" w:hint="default"/>
                <w:sz w:val="13"/>
                <w:szCs w:val="13"/>
              </w:rPr>
              <w:t>网络技术的研究、开发</w:t>
            </w:r>
            <w:r>
              <w:rPr>
                <w:rFonts w:ascii="Times New Roman" w:hAnsi="Times New Roman" w:cs="Times New Roman" w:eastAsia="Times New Roman" w:hint="default"/>
                <w:sz w:val="13"/>
                <w:szCs w:val="13"/>
              </w:rPr>
              <w:t>;</w:t>
            </w:r>
            <w:r>
              <w:rPr>
                <w:rFonts w:ascii="宋体" w:hAnsi="宋体" w:cs="宋体" w:eastAsia="宋体" w:hint="default"/>
                <w:sz w:val="13"/>
                <w:szCs w:val="13"/>
              </w:rPr>
              <w:t>计算机技术开发、技术服务</w:t>
            </w:r>
            <w:r>
              <w:rPr>
                <w:rFonts w:ascii="Times New Roman" w:hAnsi="Times New Roman" w:cs="Times New Roman" w:eastAsia="Times New Roman" w:hint="default"/>
                <w:sz w:val="13"/>
                <w:szCs w:val="13"/>
              </w:rPr>
              <w:t>;</w:t>
            </w:r>
            <w:r>
              <w:rPr>
                <w:rFonts w:ascii="宋体" w:hAnsi="宋体" w:cs="宋体" w:eastAsia="宋体" w:hint="default"/>
                <w:sz w:val="13"/>
                <w:szCs w:val="13"/>
              </w:rPr>
              <w:t>软件测试服务</w:t>
            </w:r>
            <w:r>
              <w:rPr>
                <w:rFonts w:ascii="Times New Roman" w:hAnsi="Times New Roman" w:cs="Times New Roman" w:eastAsia="Times New Roman" w:hint="default"/>
                <w:sz w:val="13"/>
                <w:szCs w:val="13"/>
              </w:rPr>
              <w:t>;</w:t>
            </w:r>
            <w:r>
              <w:rPr>
                <w:rFonts w:ascii="宋体" w:hAnsi="宋体" w:cs="宋体" w:eastAsia="宋体" w:hint="default"/>
                <w:sz w:val="13"/>
                <w:szCs w:val="13"/>
              </w:rPr>
              <w:t>多</w:t>
            </w:r>
            <w:r>
              <w:rPr>
                <w:rFonts w:ascii="宋体" w:hAnsi="宋体" w:cs="宋体" w:eastAsia="宋体" w:hint="default"/>
                <w:spacing w:val="-33"/>
                <w:sz w:val="13"/>
                <w:szCs w:val="13"/>
              </w:rPr>
              <w:t> </w:t>
            </w:r>
            <w:r>
              <w:rPr>
                <w:rFonts w:ascii="宋体" w:hAnsi="宋体" w:cs="宋体" w:eastAsia="宋体" w:hint="default"/>
                <w:sz w:val="13"/>
                <w:szCs w:val="13"/>
              </w:rPr>
              <w:t>媒体设计服务</w:t>
            </w:r>
            <w:r>
              <w:rPr>
                <w:rFonts w:ascii="Times New Roman" w:hAnsi="Times New Roman" w:cs="Times New Roman" w:eastAsia="Times New Roman" w:hint="default"/>
                <w:sz w:val="13"/>
                <w:szCs w:val="13"/>
              </w:rPr>
              <w:t>;</w:t>
            </w:r>
            <w:r>
              <w:rPr>
                <w:rFonts w:ascii="宋体" w:hAnsi="宋体" w:cs="宋体" w:eastAsia="宋体" w:hint="default"/>
                <w:sz w:val="13"/>
                <w:szCs w:val="13"/>
              </w:rPr>
              <w:t>动漫及衍生产品设计服务</w:t>
            </w:r>
            <w:r>
              <w:rPr>
                <w:rFonts w:ascii="Times New Roman" w:hAnsi="Times New Roman" w:cs="Times New Roman" w:eastAsia="Times New Roman" w:hint="default"/>
                <w:sz w:val="13"/>
                <w:szCs w:val="13"/>
              </w:rPr>
              <w:t>;</w:t>
            </w:r>
            <w:r>
              <w:rPr>
                <w:rFonts w:ascii="宋体" w:hAnsi="宋体" w:cs="宋体" w:eastAsia="宋体" w:hint="default"/>
                <w:sz w:val="13"/>
                <w:szCs w:val="13"/>
              </w:rPr>
              <w:t>数据处理和存储产品设计</w:t>
            </w:r>
            <w:r>
              <w:rPr>
                <w:rFonts w:ascii="Times New Roman" w:hAnsi="Times New Roman" w:cs="Times New Roman" w:eastAsia="Times New Roman" w:hint="default"/>
                <w:sz w:val="13"/>
                <w:szCs w:val="13"/>
              </w:rPr>
              <w:t>;</w:t>
            </w:r>
            <w:r>
              <w:rPr>
                <w:rFonts w:ascii="宋体" w:hAnsi="宋体" w:cs="宋体" w:eastAsia="宋体" w:hint="default"/>
                <w:sz w:val="13"/>
                <w:szCs w:val="13"/>
              </w:rPr>
              <w:t>信</w:t>
            </w:r>
            <w:r>
              <w:rPr>
                <w:rFonts w:ascii="宋体" w:hAnsi="宋体" w:cs="宋体" w:eastAsia="宋体" w:hint="default"/>
                <w:spacing w:val="-33"/>
                <w:sz w:val="13"/>
                <w:szCs w:val="13"/>
              </w:rPr>
              <w:t> </w:t>
            </w:r>
            <w:r>
              <w:rPr>
                <w:rFonts w:ascii="宋体" w:hAnsi="宋体" w:cs="宋体" w:eastAsia="宋体" w:hint="default"/>
                <w:sz w:val="13"/>
                <w:szCs w:val="13"/>
              </w:rPr>
              <w:t>息电子技术服务。</w:t>
            </w:r>
          </w:p>
        </w:tc>
      </w:tr>
      <w:tr>
        <w:trPr>
          <w:trHeight w:val="1361"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8.</w:t>
            </w:r>
            <w:r>
              <w:rPr>
                <w:rFonts w:ascii="宋体" w:hAnsi="宋体" w:cs="宋体" w:eastAsia="宋体" w:hint="default"/>
                <w:sz w:val="13"/>
                <w:szCs w:val="13"/>
              </w:rPr>
              <w:t>北京神奇领域信息技术有限公司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138" w:type="dxa"/>
            <w:tcBorders>
              <w:top w:val="nil" w:sz="6" w:space="0" w:color="auto"/>
              <w:left w:val="nil" w:sz="6" w:space="0" w:color="auto"/>
              <w:bottom w:val="nil" w:sz="6" w:space="0" w:color="auto"/>
              <w:right w:val="nil" w:sz="6" w:space="0" w:color="auto"/>
            </w:tcBorders>
          </w:tcPr>
          <w:p>
            <w:pPr>
              <w:pStyle w:val="TableParagraph"/>
              <w:spacing w:line="451" w:lineRule="auto" w:before="94"/>
              <w:ind w:left="108" w:right="45"/>
              <w:jc w:val="left"/>
              <w:rPr>
                <w:rFonts w:ascii="宋体" w:hAnsi="宋体" w:cs="宋体" w:eastAsia="宋体" w:hint="default"/>
                <w:sz w:val="13"/>
                <w:szCs w:val="13"/>
              </w:rPr>
            </w:pPr>
            <w:r>
              <w:rPr>
                <w:rFonts w:ascii="宋体" w:hAnsi="宋体" w:cs="宋体" w:eastAsia="宋体" w:hint="default"/>
                <w:sz w:val="13"/>
                <w:szCs w:val="13"/>
              </w:rPr>
              <w:t>技术开发、技术推广、技术转让、技术咨询、技术服务；软件开发；</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pacing w:val="-2"/>
                <w:sz w:val="13"/>
                <w:szCs w:val="13"/>
              </w:rPr>
              <w:t>销售自行开发后的产品；计算机系统服务；数据处理；基础软件服务；</w:t>
            </w:r>
            <w:r>
              <w:rPr>
                <w:rFonts w:ascii="宋体" w:hAnsi="宋体" w:cs="宋体" w:eastAsia="宋体" w:hint="default"/>
                <w:spacing w:val="-54"/>
                <w:sz w:val="13"/>
                <w:szCs w:val="13"/>
              </w:rPr>
              <w:t> </w:t>
            </w:r>
            <w:r>
              <w:rPr>
                <w:rFonts w:ascii="宋体" w:hAnsi="宋体" w:cs="宋体" w:eastAsia="宋体" w:hint="default"/>
                <w:spacing w:val="-54"/>
                <w:sz w:val="13"/>
                <w:szCs w:val="13"/>
              </w:rPr>
            </w:r>
            <w:r>
              <w:rPr>
                <w:rFonts w:ascii="宋体" w:hAnsi="宋体" w:cs="宋体" w:eastAsia="宋体" w:hint="default"/>
                <w:sz w:val="13"/>
                <w:szCs w:val="13"/>
              </w:rPr>
              <w:t>应用软件服务；软件咨询；产品设计；模型设计；电脑动画设计；设</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计、制作、代理、发布广告。</w:t>
            </w:r>
          </w:p>
        </w:tc>
      </w:tr>
      <w:tr>
        <w:trPr>
          <w:trHeight w:val="720"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9.</w:t>
            </w:r>
            <w:r>
              <w:rPr>
                <w:rFonts w:ascii="宋体" w:hAnsi="宋体" w:cs="宋体" w:eastAsia="宋体" w:hint="default"/>
                <w:sz w:val="13"/>
                <w:szCs w:val="13"/>
              </w:rPr>
              <w:t>人民今典科教传媒有限公司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0"/>
                <w:szCs w:val="10"/>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北京市</w:t>
            </w:r>
          </w:p>
        </w:tc>
        <w:tc>
          <w:tcPr>
            <w:tcW w:w="4138" w:type="dxa"/>
            <w:tcBorders>
              <w:top w:val="nil" w:sz="6" w:space="0" w:color="auto"/>
              <w:left w:val="nil" w:sz="6" w:space="0" w:color="auto"/>
              <w:bottom w:val="nil" w:sz="6" w:space="0" w:color="auto"/>
              <w:right w:val="nil" w:sz="6" w:space="0" w:color="auto"/>
            </w:tcBorders>
          </w:tcPr>
          <w:p>
            <w:pPr>
              <w:pStyle w:val="TableParagraph"/>
              <w:spacing w:line="453" w:lineRule="auto" w:before="94"/>
              <w:ind w:left="108" w:right="45"/>
              <w:jc w:val="left"/>
              <w:rPr>
                <w:rFonts w:ascii="宋体" w:hAnsi="宋体" w:cs="宋体" w:eastAsia="宋体" w:hint="default"/>
                <w:sz w:val="13"/>
                <w:szCs w:val="13"/>
              </w:rPr>
            </w:pPr>
            <w:r>
              <w:rPr>
                <w:rFonts w:ascii="宋体" w:hAnsi="宋体" w:cs="宋体" w:eastAsia="宋体" w:hint="default"/>
                <w:spacing w:val="-2"/>
                <w:sz w:val="13"/>
                <w:szCs w:val="13"/>
              </w:rPr>
              <w:t>电影摄制；广播电视节目制作；销售图书、期刊、报纸、电子出版物；</w:t>
            </w:r>
            <w:r>
              <w:rPr>
                <w:rFonts w:ascii="宋体" w:hAnsi="宋体" w:cs="宋体" w:eastAsia="宋体" w:hint="default"/>
                <w:spacing w:val="-55"/>
                <w:sz w:val="13"/>
                <w:szCs w:val="13"/>
              </w:rPr>
              <w:t> </w:t>
            </w:r>
            <w:r>
              <w:rPr>
                <w:rFonts w:ascii="宋体" w:hAnsi="宋体" w:cs="宋体" w:eastAsia="宋体" w:hint="default"/>
                <w:spacing w:val="-55"/>
                <w:sz w:val="13"/>
                <w:szCs w:val="13"/>
              </w:rPr>
            </w:r>
            <w:r>
              <w:rPr>
                <w:rFonts w:ascii="宋体" w:hAnsi="宋体" w:cs="宋体" w:eastAsia="宋体" w:hint="default"/>
                <w:sz w:val="13"/>
                <w:szCs w:val="13"/>
              </w:rPr>
              <w:t>图书策划；技术推广服务；销售计算机、软件及辅助设备、纸张。</w:t>
            </w:r>
          </w:p>
        </w:tc>
      </w:tr>
      <w:tr>
        <w:trPr>
          <w:trHeight w:val="903"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10.</w:t>
            </w:r>
            <w:r>
              <w:rPr>
                <w:rFonts w:ascii="宋体" w:hAnsi="宋体" w:cs="宋体" w:eastAsia="宋体" w:hint="default"/>
                <w:sz w:val="13"/>
                <w:szCs w:val="13"/>
              </w:rPr>
              <w:t>湖南天舟大课堂教育科技有限公司</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207" w:right="0"/>
              <w:jc w:val="left"/>
              <w:rPr>
                <w:rFonts w:ascii="宋体" w:hAnsi="宋体" w:cs="宋体" w:eastAsia="宋体" w:hint="default"/>
                <w:sz w:val="13"/>
                <w:szCs w:val="13"/>
              </w:rPr>
            </w:pPr>
            <w:r>
              <w:rPr>
                <w:rFonts w:ascii="宋体" w:hAnsi="宋体" w:cs="宋体" w:eastAsia="宋体" w:hint="default"/>
                <w:sz w:val="13"/>
                <w:szCs w:val="13"/>
              </w:rPr>
              <w:t>长沙市</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108" w:right="0"/>
              <w:jc w:val="left"/>
              <w:rPr>
                <w:rFonts w:ascii="宋体" w:hAnsi="宋体" w:cs="宋体" w:eastAsia="宋体" w:hint="default"/>
                <w:sz w:val="13"/>
                <w:szCs w:val="13"/>
              </w:rPr>
            </w:pPr>
            <w:r>
              <w:rPr>
                <w:rFonts w:ascii="宋体" w:hAnsi="宋体" w:cs="宋体" w:eastAsia="宋体" w:hint="default"/>
                <w:sz w:val="13"/>
                <w:szCs w:val="13"/>
              </w:rPr>
              <w:t>长沙市</w:t>
            </w:r>
          </w:p>
        </w:tc>
        <w:tc>
          <w:tcPr>
            <w:tcW w:w="4138" w:type="dxa"/>
            <w:tcBorders>
              <w:top w:val="nil" w:sz="6" w:space="0" w:color="auto"/>
              <w:left w:val="nil" w:sz="6" w:space="0" w:color="auto"/>
              <w:bottom w:val="nil" w:sz="6" w:space="0" w:color="auto"/>
              <w:right w:val="nil" w:sz="6" w:space="0" w:color="auto"/>
            </w:tcBorders>
          </w:tcPr>
          <w:p>
            <w:pPr>
              <w:pStyle w:val="TableParagraph"/>
              <w:spacing w:line="451" w:lineRule="auto" w:before="94"/>
              <w:ind w:left="108" w:right="106"/>
              <w:jc w:val="left"/>
              <w:rPr>
                <w:rFonts w:ascii="宋体" w:hAnsi="宋体" w:cs="宋体" w:eastAsia="宋体" w:hint="default"/>
                <w:sz w:val="13"/>
                <w:szCs w:val="13"/>
              </w:rPr>
            </w:pPr>
            <w:r>
              <w:rPr>
                <w:rFonts w:ascii="宋体" w:hAnsi="宋体" w:cs="宋体" w:eastAsia="宋体" w:hint="default"/>
                <w:sz w:val="13"/>
                <w:szCs w:val="13"/>
              </w:rPr>
              <w:t>教学设备的研究开发；纸制品销售；信息技术咨询服务；互联网域名</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注册服务；利用信息网络经营动漫产品；自然科学研究和试验发展；</w:t>
            </w:r>
          </w:p>
          <w:p>
            <w:pPr>
              <w:pStyle w:val="TableParagraph"/>
              <w:spacing w:line="240" w:lineRule="auto" w:before="34"/>
              <w:ind w:left="108" w:right="0"/>
              <w:jc w:val="left"/>
              <w:rPr>
                <w:rFonts w:ascii="宋体" w:hAnsi="宋体" w:cs="宋体" w:eastAsia="宋体" w:hint="default"/>
                <w:sz w:val="13"/>
                <w:szCs w:val="13"/>
              </w:rPr>
            </w:pPr>
            <w:r>
              <w:rPr>
                <w:rFonts w:ascii="宋体" w:hAnsi="宋体" w:cs="宋体" w:eastAsia="宋体" w:hint="default"/>
                <w:sz w:val="13"/>
                <w:szCs w:val="13"/>
              </w:rPr>
              <w:t>计算机技术开发、技术服务；文具用品、图书、报刊、音像制品及电</w:t>
            </w:r>
          </w:p>
        </w:tc>
      </w:tr>
    </w:tbl>
    <w:p>
      <w:pPr>
        <w:spacing w:after="0" w:line="240" w:lineRule="auto"/>
        <w:jc w:val="left"/>
        <w:rPr>
          <w:rFonts w:ascii="宋体" w:hAnsi="宋体" w:cs="宋体" w:eastAsia="宋体" w:hint="default"/>
          <w:sz w:val="13"/>
          <w:szCs w:val="13"/>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2879"/>
        <w:gridCol w:w="1412"/>
        <w:gridCol w:w="922"/>
        <w:gridCol w:w="4217"/>
      </w:tblGrid>
      <w:tr>
        <w:trPr>
          <w:trHeight w:val="579" w:hRule="exact"/>
        </w:trPr>
        <w:tc>
          <w:tcPr>
            <w:tcW w:w="287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405" w:right="0"/>
              <w:jc w:val="left"/>
              <w:rPr>
                <w:rFonts w:ascii="宋体" w:hAnsi="宋体" w:cs="宋体" w:eastAsia="宋体" w:hint="default"/>
                <w:sz w:val="13"/>
                <w:szCs w:val="13"/>
              </w:rPr>
            </w:pPr>
            <w:r>
              <w:rPr>
                <w:rFonts w:ascii="宋体" w:hAnsi="宋体" w:cs="宋体" w:eastAsia="宋体" w:hint="default"/>
                <w:b/>
                <w:bCs/>
                <w:sz w:val="13"/>
                <w:szCs w:val="13"/>
              </w:rPr>
              <w:t>子公司全称</w:t>
            </w:r>
            <w:r>
              <w:rPr>
                <w:rFonts w:ascii="宋体" w:hAnsi="宋体" w:cs="宋体" w:eastAsia="宋体" w:hint="default"/>
                <w:sz w:val="13"/>
                <w:szCs w:val="13"/>
              </w:rPr>
            </w:r>
          </w:p>
        </w:tc>
        <w:tc>
          <w:tcPr>
            <w:tcW w:w="1412" w:type="dxa"/>
            <w:tcBorders>
              <w:top w:val="nil" w:sz="6" w:space="0" w:color="auto"/>
              <w:left w:val="nil" w:sz="6" w:space="0" w:color="auto"/>
              <w:bottom w:val="single" w:sz="4" w:space="0" w:color="000000"/>
              <w:right w:val="nil" w:sz="6" w:space="0" w:color="auto"/>
            </w:tcBorders>
          </w:tcPr>
          <w:p>
            <w:pPr>
              <w:pStyle w:val="TableParagraph"/>
              <w:spacing w:line="130" w:lineRule="exact"/>
              <w:ind w:left="839" w:right="0" w:firstLine="64"/>
              <w:jc w:val="left"/>
              <w:rPr>
                <w:rFonts w:ascii="宋体" w:hAnsi="宋体" w:cs="宋体" w:eastAsia="宋体" w:hint="default"/>
                <w:sz w:val="13"/>
                <w:szCs w:val="13"/>
              </w:rPr>
            </w:pPr>
            <w:r>
              <w:rPr>
                <w:rFonts w:ascii="宋体" w:hAnsi="宋体" w:cs="宋体" w:eastAsia="宋体" w:hint="default"/>
                <w:b/>
                <w:bCs/>
                <w:sz w:val="13"/>
                <w:szCs w:val="13"/>
              </w:rPr>
              <w:t>主要</w:t>
            </w:r>
            <w:r>
              <w:rPr>
                <w:rFonts w:ascii="宋体" w:hAnsi="宋体" w:cs="宋体" w:eastAsia="宋体" w:hint="default"/>
                <w:sz w:val="13"/>
                <w:szCs w:val="13"/>
              </w:rPr>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839" w:right="0"/>
              <w:jc w:val="left"/>
              <w:rPr>
                <w:rFonts w:ascii="宋体" w:hAnsi="宋体" w:cs="宋体" w:eastAsia="宋体" w:hint="default"/>
                <w:sz w:val="13"/>
                <w:szCs w:val="13"/>
              </w:rPr>
            </w:pPr>
            <w:r>
              <w:rPr>
                <w:rFonts w:ascii="宋体" w:hAnsi="宋体" w:cs="宋体" w:eastAsia="宋体" w:hint="default"/>
                <w:b/>
                <w:bCs/>
                <w:sz w:val="13"/>
                <w:szCs w:val="13"/>
              </w:rPr>
              <w:t>经营地</w:t>
            </w:r>
            <w:r>
              <w:rPr>
                <w:rFonts w:ascii="宋体" w:hAnsi="宋体" w:cs="宋体" w:eastAsia="宋体" w:hint="default"/>
                <w:sz w:val="13"/>
                <w:szCs w:val="13"/>
              </w:rPr>
            </w:r>
          </w:p>
        </w:tc>
        <w:tc>
          <w:tcPr>
            <w:tcW w:w="92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341" w:right="0"/>
              <w:jc w:val="left"/>
              <w:rPr>
                <w:rFonts w:ascii="宋体" w:hAnsi="宋体" w:cs="宋体" w:eastAsia="宋体" w:hint="default"/>
                <w:sz w:val="13"/>
                <w:szCs w:val="13"/>
              </w:rPr>
            </w:pPr>
            <w:r>
              <w:rPr>
                <w:rFonts w:ascii="宋体" w:hAnsi="宋体" w:cs="宋体" w:eastAsia="宋体" w:hint="default"/>
                <w:b/>
                <w:bCs/>
                <w:sz w:val="13"/>
                <w:szCs w:val="13"/>
              </w:rPr>
              <w:t>注册地</w:t>
            </w:r>
            <w:r>
              <w:rPr>
                <w:rFonts w:ascii="宋体" w:hAnsi="宋体" w:cs="宋体" w:eastAsia="宋体" w:hint="default"/>
                <w:sz w:val="13"/>
                <w:szCs w:val="13"/>
              </w:rPr>
            </w:r>
          </w:p>
        </w:tc>
        <w:tc>
          <w:tcPr>
            <w:tcW w:w="421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82" w:right="0"/>
              <w:jc w:val="center"/>
              <w:rPr>
                <w:rFonts w:ascii="宋体" w:hAnsi="宋体" w:cs="宋体" w:eastAsia="宋体" w:hint="default"/>
                <w:sz w:val="13"/>
                <w:szCs w:val="13"/>
              </w:rPr>
            </w:pPr>
            <w:r>
              <w:rPr>
                <w:rFonts w:ascii="宋体" w:hAnsi="宋体" w:cs="宋体" w:eastAsia="宋体" w:hint="default"/>
                <w:b/>
                <w:bCs/>
                <w:sz w:val="13"/>
                <w:szCs w:val="13"/>
              </w:rPr>
              <w:t>业务性质</w:t>
            </w:r>
            <w:r>
              <w:rPr>
                <w:rFonts w:ascii="宋体" w:hAnsi="宋体" w:cs="宋体" w:eastAsia="宋体" w:hint="default"/>
                <w:sz w:val="13"/>
                <w:szCs w:val="13"/>
              </w:rPr>
            </w:r>
          </w:p>
        </w:tc>
      </w:tr>
      <w:tr>
        <w:trPr>
          <w:trHeight w:val="416" w:hRule="exact"/>
        </w:trPr>
        <w:tc>
          <w:tcPr>
            <w:tcW w:w="2879" w:type="dxa"/>
            <w:tcBorders>
              <w:top w:val="single" w:sz="4" w:space="0" w:color="000000"/>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
        </w:tc>
        <w:tc>
          <w:tcPr>
            <w:tcW w:w="922" w:type="dxa"/>
            <w:tcBorders>
              <w:top w:val="single" w:sz="4" w:space="0" w:color="000000"/>
              <w:left w:val="nil" w:sz="6" w:space="0" w:color="auto"/>
              <w:bottom w:val="nil" w:sz="6" w:space="0" w:color="auto"/>
              <w:right w:val="nil" w:sz="6" w:space="0" w:color="auto"/>
            </w:tcBorders>
          </w:tcPr>
          <w:p>
            <w:pPr/>
          </w:p>
        </w:tc>
        <w:tc>
          <w:tcPr>
            <w:tcW w:w="421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188" w:right="0"/>
              <w:jc w:val="left"/>
              <w:rPr>
                <w:rFonts w:ascii="宋体" w:hAnsi="宋体" w:cs="宋体" w:eastAsia="宋体" w:hint="default"/>
                <w:sz w:val="13"/>
                <w:szCs w:val="13"/>
              </w:rPr>
            </w:pPr>
            <w:r>
              <w:rPr>
                <w:rFonts w:ascii="宋体" w:hAnsi="宋体" w:cs="宋体" w:eastAsia="宋体" w:hint="default"/>
                <w:sz w:val="13"/>
                <w:szCs w:val="13"/>
              </w:rPr>
              <w:t>子出版物、其他文化用品、办公用品、出版物、书报刊的批发。</w:t>
            </w:r>
          </w:p>
        </w:tc>
      </w:tr>
      <w:tr>
        <w:trPr>
          <w:trHeight w:val="2640"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10.1.</w:t>
            </w:r>
            <w:r>
              <w:rPr>
                <w:rFonts w:ascii="宋体" w:hAnsi="宋体" w:cs="宋体" w:eastAsia="宋体" w:hint="default"/>
                <w:sz w:val="13"/>
                <w:szCs w:val="13"/>
              </w:rPr>
              <w:t>湖南天舟创新智能科技有限公司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right="328"/>
              <w:jc w:val="right"/>
              <w:rPr>
                <w:rFonts w:ascii="宋体" w:hAnsi="宋体" w:cs="宋体" w:eastAsia="宋体" w:hint="default"/>
                <w:sz w:val="13"/>
                <w:szCs w:val="13"/>
              </w:rPr>
            </w:pPr>
            <w:r>
              <w:rPr>
                <w:rFonts w:ascii="宋体" w:hAnsi="宋体" w:cs="宋体" w:eastAsia="宋体" w:hint="default"/>
                <w:w w:val="95"/>
                <w:sz w:val="13"/>
                <w:szCs w:val="13"/>
              </w:rPr>
              <w:t>长沙市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40" w:lineRule="auto"/>
              <w:ind w:left="180" w:right="0"/>
              <w:jc w:val="left"/>
              <w:rPr>
                <w:rFonts w:ascii="宋体" w:hAnsi="宋体" w:cs="宋体" w:eastAsia="宋体" w:hint="default"/>
                <w:sz w:val="13"/>
                <w:szCs w:val="13"/>
              </w:rPr>
            </w:pPr>
            <w:r>
              <w:rPr>
                <w:rFonts w:ascii="宋体" w:hAnsi="宋体" w:cs="宋体" w:eastAsia="宋体" w:hint="default"/>
                <w:sz w:val="13"/>
                <w:szCs w:val="13"/>
              </w:rPr>
              <w:t>长沙市</w:t>
            </w:r>
          </w:p>
        </w:tc>
        <w:tc>
          <w:tcPr>
            <w:tcW w:w="4217" w:type="dxa"/>
            <w:tcBorders>
              <w:top w:val="nil" w:sz="6" w:space="0" w:color="auto"/>
              <w:left w:val="nil" w:sz="6" w:space="0" w:color="auto"/>
              <w:bottom w:val="nil" w:sz="6" w:space="0" w:color="auto"/>
              <w:right w:val="nil" w:sz="6" w:space="0" w:color="auto"/>
            </w:tcBorders>
          </w:tcPr>
          <w:p>
            <w:pPr>
              <w:pStyle w:val="TableParagraph"/>
              <w:spacing w:line="448" w:lineRule="auto" w:before="94"/>
              <w:ind w:left="188" w:right="45"/>
              <w:jc w:val="left"/>
              <w:rPr>
                <w:rFonts w:ascii="宋体" w:hAnsi="宋体" w:cs="宋体" w:eastAsia="宋体" w:hint="default"/>
                <w:sz w:val="13"/>
                <w:szCs w:val="13"/>
              </w:rPr>
            </w:pPr>
            <w:r>
              <w:rPr>
                <w:rFonts w:ascii="宋体" w:hAnsi="宋体" w:cs="宋体" w:eastAsia="宋体" w:hint="default"/>
                <w:spacing w:val="-2"/>
                <w:sz w:val="13"/>
                <w:szCs w:val="13"/>
              </w:rPr>
              <w:t>智能化技术、网络技术的研发；计算机应用电子设备、机器人零配件、</w:t>
            </w:r>
            <w:r>
              <w:rPr>
                <w:rFonts w:ascii="宋体" w:hAnsi="宋体" w:cs="宋体" w:eastAsia="宋体" w:hint="default"/>
                <w:spacing w:val="-54"/>
                <w:sz w:val="13"/>
                <w:szCs w:val="13"/>
              </w:rPr>
              <w:t> </w:t>
            </w:r>
            <w:r>
              <w:rPr>
                <w:rFonts w:ascii="宋体" w:hAnsi="宋体" w:cs="宋体" w:eastAsia="宋体" w:hint="default"/>
                <w:spacing w:val="-54"/>
                <w:sz w:val="13"/>
                <w:szCs w:val="13"/>
              </w:rPr>
            </w:r>
            <w:r>
              <w:rPr>
                <w:rFonts w:ascii="宋体" w:hAnsi="宋体" w:cs="宋体" w:eastAsia="宋体" w:hint="default"/>
                <w:sz w:val="13"/>
                <w:szCs w:val="13"/>
              </w:rPr>
              <w:t>电子元件及组件、教学仪器、多媒体系统的销售；</w:t>
            </w:r>
            <w:r>
              <w:rPr>
                <w:rFonts w:ascii="Times New Roman" w:hAnsi="Times New Roman" w:cs="Times New Roman" w:eastAsia="Times New Roman" w:hint="default"/>
                <w:sz w:val="13"/>
                <w:szCs w:val="13"/>
              </w:rPr>
              <w:t>3D</w:t>
            </w:r>
            <w:r>
              <w:rPr>
                <w:rFonts w:ascii="Times New Roman" w:hAnsi="Times New Roman" w:cs="Times New Roman" w:eastAsia="Times New Roman" w:hint="default"/>
                <w:spacing w:val="-15"/>
                <w:sz w:val="13"/>
                <w:szCs w:val="13"/>
              </w:rPr>
              <w:t> </w:t>
            </w:r>
            <w:r>
              <w:rPr>
                <w:rFonts w:ascii="宋体" w:hAnsi="宋体" w:cs="宋体" w:eastAsia="宋体" w:hint="default"/>
                <w:sz w:val="13"/>
                <w:szCs w:val="13"/>
              </w:rPr>
              <w:t>打印技术的研发</w:t>
            </w:r>
            <w:r>
              <w:rPr>
                <w:rFonts w:ascii="宋体" w:hAnsi="宋体" w:cs="宋体" w:eastAsia="宋体" w:hint="default"/>
                <w:w w:val="99"/>
                <w:sz w:val="13"/>
                <w:szCs w:val="13"/>
              </w:rPr>
              <w:t> </w:t>
            </w:r>
            <w:r>
              <w:rPr>
                <w:rFonts w:ascii="宋体" w:hAnsi="宋体" w:cs="宋体" w:eastAsia="宋体" w:hint="default"/>
                <w:sz w:val="13"/>
                <w:szCs w:val="13"/>
              </w:rPr>
              <w:t>与应用服务；计算机网络平台的建设与开发；信息技术咨询服务；计</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pacing w:val="-2"/>
                <w:sz w:val="13"/>
                <w:szCs w:val="13"/>
              </w:rPr>
              <w:t>算机及通讯设备租赁；品牌推广营销；电子技术服务；电子产品服务；</w:t>
            </w:r>
            <w:r>
              <w:rPr>
                <w:rFonts w:ascii="宋体" w:hAnsi="宋体" w:cs="宋体" w:eastAsia="宋体" w:hint="default"/>
                <w:spacing w:val="-54"/>
                <w:sz w:val="13"/>
                <w:szCs w:val="13"/>
              </w:rPr>
              <w:t> </w:t>
            </w:r>
            <w:r>
              <w:rPr>
                <w:rFonts w:ascii="宋体" w:hAnsi="宋体" w:cs="宋体" w:eastAsia="宋体" w:hint="default"/>
                <w:spacing w:val="-54"/>
                <w:sz w:val="13"/>
                <w:szCs w:val="13"/>
              </w:rPr>
            </w:r>
            <w:r>
              <w:rPr>
                <w:rFonts w:ascii="宋体" w:hAnsi="宋体" w:cs="宋体" w:eastAsia="宋体" w:hint="default"/>
                <w:sz w:val="13"/>
                <w:szCs w:val="13"/>
              </w:rPr>
              <w:t>文化活动的组织与策划；办公设备租赁服务；电子商务平台的开发建</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设；场地租赁；无人（飞）机技术的开发；计算机技术开发、技术服</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务；信息传输技术的研发及技术推广；计算机科学技术研究服务；软</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pacing w:val="-6"/>
                <w:w w:val="99"/>
                <w:sz w:val="13"/>
                <w:szCs w:val="13"/>
              </w:rPr>
              <w:t>件开发。（依法须经批准的项目，经相关部门批准后方可开展经营活动）</w:t>
            </w:r>
            <w:r>
              <w:rPr>
                <w:rFonts w:ascii="宋体" w:hAnsi="宋体" w:cs="宋体" w:eastAsia="宋体" w:hint="default"/>
                <w:spacing w:val="-6"/>
                <w:sz w:val="13"/>
                <w:szCs w:val="13"/>
              </w:rPr>
            </w:r>
          </w:p>
        </w:tc>
      </w:tr>
      <w:tr>
        <w:trPr>
          <w:trHeight w:val="2320"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11.</w:t>
            </w:r>
            <w:r>
              <w:rPr>
                <w:rFonts w:ascii="宋体" w:hAnsi="宋体" w:cs="宋体" w:eastAsia="宋体" w:hint="default"/>
                <w:sz w:val="13"/>
                <w:szCs w:val="13"/>
              </w:rPr>
              <w:t>湖南天舟游戏科技有限公司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8"/>
              <w:ind w:right="328"/>
              <w:jc w:val="right"/>
              <w:rPr>
                <w:rFonts w:ascii="宋体" w:hAnsi="宋体" w:cs="宋体" w:eastAsia="宋体" w:hint="default"/>
                <w:sz w:val="13"/>
                <w:szCs w:val="13"/>
              </w:rPr>
            </w:pPr>
            <w:r>
              <w:rPr>
                <w:rFonts w:ascii="宋体" w:hAnsi="宋体" w:cs="宋体" w:eastAsia="宋体" w:hint="default"/>
                <w:w w:val="95"/>
                <w:sz w:val="13"/>
                <w:szCs w:val="13"/>
              </w:rPr>
              <w:t>长沙市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88"/>
              <w:ind w:left="180" w:right="0"/>
              <w:jc w:val="left"/>
              <w:rPr>
                <w:rFonts w:ascii="宋体" w:hAnsi="宋体" w:cs="宋体" w:eastAsia="宋体" w:hint="default"/>
                <w:sz w:val="13"/>
                <w:szCs w:val="13"/>
              </w:rPr>
            </w:pPr>
            <w:r>
              <w:rPr>
                <w:rFonts w:ascii="宋体" w:hAnsi="宋体" w:cs="宋体" w:eastAsia="宋体" w:hint="default"/>
                <w:sz w:val="13"/>
                <w:szCs w:val="13"/>
              </w:rPr>
              <w:t>长沙市</w:t>
            </w:r>
          </w:p>
        </w:tc>
        <w:tc>
          <w:tcPr>
            <w:tcW w:w="4217" w:type="dxa"/>
            <w:tcBorders>
              <w:top w:val="nil" w:sz="6" w:space="0" w:color="auto"/>
              <w:left w:val="nil" w:sz="6" w:space="0" w:color="auto"/>
              <w:bottom w:val="nil" w:sz="6" w:space="0" w:color="auto"/>
              <w:right w:val="nil" w:sz="6" w:space="0" w:color="auto"/>
            </w:tcBorders>
          </w:tcPr>
          <w:p>
            <w:pPr>
              <w:pStyle w:val="TableParagraph"/>
              <w:spacing w:line="451" w:lineRule="auto" w:before="94"/>
              <w:ind w:left="188" w:right="64"/>
              <w:jc w:val="both"/>
              <w:rPr>
                <w:rFonts w:ascii="宋体" w:hAnsi="宋体" w:cs="宋体" w:eastAsia="宋体" w:hint="default"/>
                <w:sz w:val="13"/>
                <w:szCs w:val="13"/>
              </w:rPr>
            </w:pPr>
            <w:r>
              <w:rPr>
                <w:rFonts w:ascii="宋体" w:hAnsi="宋体" w:cs="宋体" w:eastAsia="宋体" w:hint="default"/>
                <w:sz w:val="13"/>
                <w:szCs w:val="13"/>
              </w:rPr>
              <w:t>网络竞技球类、各类竞技棋牌游戏的研发；利用信息网络经营游戏产</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品；贸易代理；自营或代理各类商品及技术的进出口，但国家限定公</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司经营或禁止进出口的商品和技术除外；软件开发；信息传输技术的</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研发及技术推广；游戏软件设计制作；游戏外包服务；互联网信息技</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术咨询；广告设计；广告制作服务、发布服务、国内外代理服务；计</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pacing w:val="-2"/>
                <w:w w:val="99"/>
                <w:sz w:val="13"/>
                <w:szCs w:val="13"/>
              </w:rPr>
              <w:t>算机、计算机软件、计算机辅助项目的销售。（依法须经批准的项目，</w:t>
            </w:r>
            <w:r>
              <w:rPr>
                <w:rFonts w:ascii="宋体" w:hAnsi="宋体" w:cs="宋体" w:eastAsia="宋体" w:hint="default"/>
                <w:spacing w:val="-59"/>
                <w:w w:val="99"/>
                <w:sz w:val="13"/>
                <w:szCs w:val="13"/>
              </w:rPr>
              <w:t> </w:t>
            </w:r>
            <w:r>
              <w:rPr>
                <w:rFonts w:ascii="宋体" w:hAnsi="宋体" w:cs="宋体" w:eastAsia="宋体" w:hint="default"/>
                <w:spacing w:val="-59"/>
                <w:w w:val="99"/>
                <w:sz w:val="13"/>
                <w:szCs w:val="13"/>
              </w:rPr>
            </w:r>
            <w:r>
              <w:rPr>
                <w:rFonts w:ascii="宋体" w:hAnsi="宋体" w:cs="宋体" w:eastAsia="宋体" w:hint="default"/>
                <w:sz w:val="13"/>
                <w:szCs w:val="13"/>
              </w:rPr>
              <w:t>经相关部门批准后方可开展经营活动）</w:t>
            </w:r>
          </w:p>
        </w:tc>
      </w:tr>
      <w:tr>
        <w:trPr>
          <w:trHeight w:val="1364"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1"/>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11.1.</w:t>
            </w:r>
            <w:r>
              <w:rPr>
                <w:rFonts w:ascii="宋体" w:hAnsi="宋体" w:cs="宋体" w:eastAsia="宋体" w:hint="default"/>
                <w:sz w:val="13"/>
                <w:szCs w:val="13"/>
              </w:rPr>
              <w:t>广州游爱数据汇互联网有限公司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328"/>
              <w:jc w:val="right"/>
              <w:rPr>
                <w:rFonts w:ascii="宋体" w:hAnsi="宋体" w:cs="宋体" w:eastAsia="宋体" w:hint="default"/>
                <w:sz w:val="13"/>
                <w:szCs w:val="13"/>
              </w:rPr>
            </w:pPr>
            <w:r>
              <w:rPr>
                <w:rFonts w:ascii="宋体" w:hAnsi="宋体" w:cs="宋体" w:eastAsia="宋体" w:hint="default"/>
                <w:w w:val="95"/>
                <w:sz w:val="13"/>
                <w:szCs w:val="13"/>
              </w:rPr>
              <w:t>广州市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80" w:right="0"/>
              <w:jc w:val="left"/>
              <w:rPr>
                <w:rFonts w:ascii="宋体" w:hAnsi="宋体" w:cs="宋体" w:eastAsia="宋体" w:hint="default"/>
                <w:sz w:val="13"/>
                <w:szCs w:val="13"/>
              </w:rPr>
            </w:pPr>
            <w:r>
              <w:rPr>
                <w:rFonts w:ascii="宋体" w:hAnsi="宋体" w:cs="宋体" w:eastAsia="宋体" w:hint="default"/>
                <w:sz w:val="13"/>
                <w:szCs w:val="13"/>
              </w:rPr>
              <w:t>广州市</w:t>
            </w:r>
          </w:p>
        </w:tc>
        <w:tc>
          <w:tcPr>
            <w:tcW w:w="4217" w:type="dxa"/>
            <w:tcBorders>
              <w:top w:val="nil" w:sz="6" w:space="0" w:color="auto"/>
              <w:left w:val="nil" w:sz="6" w:space="0" w:color="auto"/>
              <w:bottom w:val="nil" w:sz="6" w:space="0" w:color="auto"/>
              <w:right w:val="nil" w:sz="6" w:space="0" w:color="auto"/>
            </w:tcBorders>
          </w:tcPr>
          <w:p>
            <w:pPr>
              <w:pStyle w:val="TableParagraph"/>
              <w:spacing w:line="427" w:lineRule="auto" w:before="94"/>
              <w:ind w:left="188" w:right="43"/>
              <w:jc w:val="left"/>
              <w:rPr>
                <w:rFonts w:ascii="Times New Roman" w:hAnsi="Times New Roman" w:cs="Times New Roman" w:eastAsia="Times New Roman" w:hint="default"/>
                <w:sz w:val="13"/>
                <w:szCs w:val="13"/>
              </w:rPr>
            </w:pPr>
            <w:r>
              <w:rPr>
                <w:rFonts w:ascii="宋体" w:hAnsi="宋体" w:cs="宋体" w:eastAsia="宋体" w:hint="default"/>
                <w:spacing w:val="-4"/>
                <w:w w:val="99"/>
                <w:sz w:val="13"/>
                <w:szCs w:val="13"/>
              </w:rPr>
              <w:t>网络游戏服务</w:t>
            </w:r>
            <w:r>
              <w:rPr>
                <w:rFonts w:ascii="Times New Roman" w:hAnsi="Times New Roman" w:cs="Times New Roman" w:eastAsia="Times New Roman" w:hint="default"/>
                <w:spacing w:val="-4"/>
                <w:w w:val="99"/>
                <w:sz w:val="13"/>
                <w:szCs w:val="13"/>
              </w:rPr>
              <w:t>;</w:t>
            </w:r>
            <w:r>
              <w:rPr>
                <w:rFonts w:ascii="宋体" w:hAnsi="宋体" w:cs="宋体" w:eastAsia="宋体" w:hint="default"/>
                <w:spacing w:val="-4"/>
                <w:w w:val="99"/>
                <w:sz w:val="13"/>
                <w:szCs w:val="13"/>
              </w:rPr>
              <w:t>电子、通信与自动控制技术研究、开发</w:t>
            </w:r>
            <w:r>
              <w:rPr>
                <w:rFonts w:ascii="Times New Roman" w:hAnsi="Times New Roman" w:cs="Times New Roman" w:eastAsia="Times New Roman" w:hint="default"/>
                <w:spacing w:val="-4"/>
                <w:w w:val="99"/>
                <w:sz w:val="13"/>
                <w:szCs w:val="13"/>
              </w:rPr>
              <w:t>;</w:t>
            </w:r>
            <w:r>
              <w:rPr>
                <w:rFonts w:ascii="宋体" w:hAnsi="宋体" w:cs="宋体" w:eastAsia="宋体" w:hint="default"/>
                <w:spacing w:val="-4"/>
                <w:w w:val="99"/>
                <w:sz w:val="13"/>
                <w:szCs w:val="13"/>
              </w:rPr>
              <w:t>网络技术的研究、</w:t>
            </w:r>
            <w:r>
              <w:rPr>
                <w:rFonts w:ascii="宋体" w:hAnsi="宋体" w:cs="宋体" w:eastAsia="宋体" w:hint="default"/>
                <w:spacing w:val="-41"/>
                <w:w w:val="99"/>
                <w:sz w:val="13"/>
                <w:szCs w:val="13"/>
              </w:rPr>
              <w:t> </w:t>
            </w:r>
            <w:r>
              <w:rPr>
                <w:rFonts w:ascii="宋体" w:hAnsi="宋体" w:cs="宋体" w:eastAsia="宋体" w:hint="default"/>
                <w:spacing w:val="-41"/>
                <w:w w:val="99"/>
                <w:sz w:val="13"/>
                <w:szCs w:val="13"/>
              </w:rPr>
            </w:r>
            <w:r>
              <w:rPr>
                <w:rFonts w:ascii="宋体" w:hAnsi="宋体" w:cs="宋体" w:eastAsia="宋体" w:hint="default"/>
                <w:sz w:val="13"/>
                <w:szCs w:val="13"/>
              </w:rPr>
              <w:t>开发</w:t>
            </w:r>
            <w:r>
              <w:rPr>
                <w:rFonts w:ascii="Times New Roman" w:hAnsi="Times New Roman" w:cs="Times New Roman" w:eastAsia="Times New Roman" w:hint="default"/>
                <w:sz w:val="13"/>
                <w:szCs w:val="13"/>
              </w:rPr>
              <w:t>;</w:t>
            </w:r>
            <w:r>
              <w:rPr>
                <w:rFonts w:ascii="宋体" w:hAnsi="宋体" w:cs="宋体" w:eastAsia="宋体" w:hint="default"/>
                <w:sz w:val="13"/>
                <w:szCs w:val="13"/>
              </w:rPr>
              <w:t>无人机软硬件的技术开发、应用</w:t>
            </w:r>
            <w:r>
              <w:rPr>
                <w:rFonts w:ascii="Times New Roman" w:hAnsi="Times New Roman" w:cs="Times New Roman" w:eastAsia="Times New Roman" w:hint="default"/>
                <w:sz w:val="13"/>
                <w:szCs w:val="13"/>
              </w:rPr>
              <w:t>;</w:t>
            </w:r>
            <w:r>
              <w:rPr>
                <w:rFonts w:ascii="宋体" w:hAnsi="宋体" w:cs="宋体" w:eastAsia="宋体" w:hint="default"/>
                <w:sz w:val="13"/>
                <w:szCs w:val="13"/>
              </w:rPr>
              <w:t>机器人系统技术服务</w:t>
            </w:r>
            <w:r>
              <w:rPr>
                <w:rFonts w:ascii="Times New Roman" w:hAnsi="Times New Roman" w:cs="Times New Roman" w:eastAsia="Times New Roman" w:hint="default"/>
                <w:sz w:val="13"/>
                <w:szCs w:val="13"/>
              </w:rPr>
              <w:t>;</w:t>
            </w:r>
            <w:r>
              <w:rPr>
                <w:rFonts w:ascii="宋体" w:hAnsi="宋体" w:cs="宋体" w:eastAsia="宋体" w:hint="default"/>
                <w:sz w:val="13"/>
                <w:szCs w:val="13"/>
              </w:rPr>
              <w:t>软件开发</w:t>
            </w:r>
            <w:r>
              <w:rPr>
                <w:rFonts w:ascii="Times New Roman" w:hAnsi="Times New Roman" w:cs="Times New Roman" w:eastAsia="Times New Roman" w:hint="default"/>
                <w:sz w:val="13"/>
                <w:szCs w:val="13"/>
              </w:rPr>
              <w:t>;</w:t>
            </w:r>
            <w:r>
              <w:rPr>
                <w:rFonts w:ascii="Times New Roman" w:hAnsi="Times New Roman" w:cs="Times New Roman" w:eastAsia="Times New Roman" w:hint="default"/>
                <w:w w:val="99"/>
                <w:sz w:val="13"/>
                <w:szCs w:val="13"/>
              </w:rPr>
              <w:t> </w:t>
            </w:r>
            <w:r>
              <w:rPr>
                <w:rFonts w:ascii="宋体" w:hAnsi="宋体" w:cs="宋体" w:eastAsia="宋体" w:hint="default"/>
                <w:sz w:val="13"/>
                <w:szCs w:val="13"/>
              </w:rPr>
              <w:t>信息系统集成服务</w:t>
            </w:r>
            <w:r>
              <w:rPr>
                <w:rFonts w:ascii="Times New Roman" w:hAnsi="Times New Roman" w:cs="Times New Roman" w:eastAsia="Times New Roman" w:hint="default"/>
                <w:sz w:val="13"/>
                <w:szCs w:val="13"/>
              </w:rPr>
              <w:t>;</w:t>
            </w:r>
            <w:r>
              <w:rPr>
                <w:rFonts w:ascii="宋体" w:hAnsi="宋体" w:cs="宋体" w:eastAsia="宋体" w:hint="default"/>
                <w:sz w:val="13"/>
                <w:szCs w:val="13"/>
              </w:rPr>
              <w:t>信息技术咨询服务</w:t>
            </w:r>
            <w:r>
              <w:rPr>
                <w:rFonts w:ascii="Times New Roman" w:hAnsi="Times New Roman" w:cs="Times New Roman" w:eastAsia="Times New Roman" w:hint="default"/>
                <w:sz w:val="13"/>
                <w:szCs w:val="13"/>
              </w:rPr>
              <w:t>;</w:t>
            </w:r>
            <w:r>
              <w:rPr>
                <w:rFonts w:ascii="宋体" w:hAnsi="宋体" w:cs="宋体" w:eastAsia="宋体" w:hint="default"/>
                <w:sz w:val="13"/>
                <w:szCs w:val="13"/>
              </w:rPr>
              <w:t>数据处理和存储服务</w:t>
            </w:r>
            <w:r>
              <w:rPr>
                <w:rFonts w:ascii="Times New Roman" w:hAnsi="Times New Roman" w:cs="Times New Roman" w:eastAsia="Times New Roman" w:hint="default"/>
                <w:sz w:val="13"/>
                <w:szCs w:val="13"/>
              </w:rPr>
              <w:t>;</w:t>
            </w:r>
            <w:r>
              <w:rPr>
                <w:rFonts w:ascii="宋体" w:hAnsi="宋体" w:cs="宋体" w:eastAsia="宋体" w:hint="default"/>
                <w:sz w:val="13"/>
                <w:szCs w:val="13"/>
              </w:rPr>
              <w:t>数字动漫</w:t>
            </w:r>
            <w:r>
              <w:rPr>
                <w:rFonts w:ascii="宋体" w:hAnsi="宋体" w:cs="宋体" w:eastAsia="宋体" w:hint="default"/>
                <w:spacing w:val="-33"/>
                <w:sz w:val="13"/>
                <w:szCs w:val="13"/>
              </w:rPr>
              <w:t> </w:t>
            </w:r>
            <w:r>
              <w:rPr>
                <w:rFonts w:ascii="宋体" w:hAnsi="宋体" w:cs="宋体" w:eastAsia="宋体" w:hint="default"/>
                <w:spacing w:val="-33"/>
                <w:sz w:val="13"/>
                <w:szCs w:val="13"/>
              </w:rPr>
            </w:r>
            <w:r>
              <w:rPr>
                <w:rFonts w:ascii="宋体" w:hAnsi="宋体" w:cs="宋体" w:eastAsia="宋体" w:hint="default"/>
                <w:sz w:val="13"/>
                <w:szCs w:val="13"/>
              </w:rPr>
              <w:t>制作</w:t>
            </w:r>
            <w:r>
              <w:rPr>
                <w:rFonts w:ascii="Times New Roman" w:hAnsi="Times New Roman" w:cs="Times New Roman" w:eastAsia="Times New Roman" w:hint="default"/>
                <w:sz w:val="13"/>
                <w:szCs w:val="13"/>
              </w:rPr>
              <w:t>;</w:t>
            </w:r>
            <w:r>
              <w:rPr>
                <w:rFonts w:ascii="宋体" w:hAnsi="宋体" w:cs="宋体" w:eastAsia="宋体" w:hint="default"/>
                <w:sz w:val="13"/>
                <w:szCs w:val="13"/>
              </w:rPr>
              <w:t>游戏软件设计制作</w:t>
            </w:r>
            <w:r>
              <w:rPr>
                <w:rFonts w:ascii="Times New Roman" w:hAnsi="Times New Roman" w:cs="Times New Roman" w:eastAsia="Times New Roman" w:hint="default"/>
                <w:sz w:val="13"/>
                <w:szCs w:val="13"/>
              </w:rPr>
              <w:t>;</w:t>
            </w:r>
          </w:p>
        </w:tc>
      </w:tr>
      <w:tr>
        <w:trPr>
          <w:trHeight w:val="1997"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6"/>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11.2.</w:t>
            </w:r>
            <w:r>
              <w:rPr>
                <w:rFonts w:ascii="宋体" w:hAnsi="宋体" w:cs="宋体" w:eastAsia="宋体" w:hint="default"/>
                <w:sz w:val="13"/>
                <w:szCs w:val="13"/>
              </w:rPr>
              <w:t>天畅互娱（天津）科技有限公司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328"/>
              <w:jc w:val="right"/>
              <w:rPr>
                <w:rFonts w:ascii="宋体" w:hAnsi="宋体" w:cs="宋体" w:eastAsia="宋体" w:hint="default"/>
                <w:sz w:val="13"/>
                <w:szCs w:val="13"/>
              </w:rPr>
            </w:pPr>
            <w:r>
              <w:rPr>
                <w:rFonts w:ascii="宋体" w:hAnsi="宋体" w:cs="宋体" w:eastAsia="宋体" w:hint="default"/>
                <w:w w:val="95"/>
                <w:sz w:val="13"/>
                <w:szCs w:val="13"/>
              </w:rPr>
              <w:t>天津市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80" w:right="0"/>
              <w:jc w:val="left"/>
              <w:rPr>
                <w:rFonts w:ascii="宋体" w:hAnsi="宋体" w:cs="宋体" w:eastAsia="宋体" w:hint="default"/>
                <w:sz w:val="13"/>
                <w:szCs w:val="13"/>
              </w:rPr>
            </w:pPr>
            <w:r>
              <w:rPr>
                <w:rFonts w:ascii="宋体" w:hAnsi="宋体" w:cs="宋体" w:eastAsia="宋体" w:hint="default"/>
                <w:sz w:val="13"/>
                <w:szCs w:val="13"/>
              </w:rPr>
              <w:t>天津市</w:t>
            </w:r>
          </w:p>
        </w:tc>
        <w:tc>
          <w:tcPr>
            <w:tcW w:w="4217" w:type="dxa"/>
            <w:tcBorders>
              <w:top w:val="nil" w:sz="6" w:space="0" w:color="auto"/>
              <w:left w:val="nil" w:sz="6" w:space="0" w:color="auto"/>
              <w:bottom w:val="nil" w:sz="6" w:space="0" w:color="auto"/>
              <w:right w:val="nil" w:sz="6" w:space="0" w:color="auto"/>
            </w:tcBorders>
          </w:tcPr>
          <w:p>
            <w:pPr>
              <w:pStyle w:val="TableParagraph"/>
              <w:spacing w:line="451" w:lineRule="auto" w:before="91"/>
              <w:ind w:left="188" w:right="45"/>
              <w:jc w:val="left"/>
              <w:rPr>
                <w:rFonts w:ascii="宋体" w:hAnsi="宋体" w:cs="宋体" w:eastAsia="宋体" w:hint="default"/>
                <w:sz w:val="13"/>
                <w:szCs w:val="13"/>
              </w:rPr>
            </w:pPr>
            <w:r>
              <w:rPr>
                <w:rFonts w:ascii="宋体" w:hAnsi="宋体" w:cs="宋体" w:eastAsia="宋体" w:hint="default"/>
                <w:spacing w:val="-2"/>
                <w:sz w:val="13"/>
                <w:szCs w:val="13"/>
              </w:rPr>
              <w:t>软件开发；销售自行开发后的产品；计算机网络技术开发、技术推广、</w:t>
            </w:r>
            <w:r>
              <w:rPr>
                <w:rFonts w:ascii="宋体" w:hAnsi="宋体" w:cs="宋体" w:eastAsia="宋体" w:hint="default"/>
                <w:spacing w:val="-54"/>
                <w:sz w:val="13"/>
                <w:szCs w:val="13"/>
              </w:rPr>
              <w:t> </w:t>
            </w:r>
            <w:r>
              <w:rPr>
                <w:rFonts w:ascii="宋体" w:hAnsi="宋体" w:cs="宋体" w:eastAsia="宋体" w:hint="default"/>
                <w:spacing w:val="-54"/>
                <w:sz w:val="13"/>
                <w:szCs w:val="13"/>
              </w:rPr>
            </w:r>
            <w:r>
              <w:rPr>
                <w:rFonts w:ascii="宋体" w:hAnsi="宋体" w:cs="宋体" w:eastAsia="宋体" w:hint="default"/>
                <w:sz w:val="13"/>
                <w:szCs w:val="13"/>
              </w:rPr>
              <w:t>技术转让、技术咨询、技术服务；利用信息网络经营游戏产品；信息</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传输技术的研发及技术推广；产品设计；模型设计；电脑动画设计；</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z w:val="13"/>
                <w:szCs w:val="13"/>
              </w:rPr>
              <w:t>游戏软件设计制作；互联网信息技术咨询；信息技术咨询服务；数据</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pacing w:val="-4"/>
                <w:w w:val="99"/>
                <w:sz w:val="13"/>
                <w:szCs w:val="13"/>
              </w:rPr>
              <w:t>处理和存储服务；从事广告业务。（依法须经批准的项目，经相关部门</w:t>
            </w:r>
            <w:r>
              <w:rPr>
                <w:rFonts w:ascii="宋体" w:hAnsi="宋体" w:cs="宋体" w:eastAsia="宋体" w:hint="default"/>
                <w:spacing w:val="-44"/>
                <w:w w:val="99"/>
                <w:sz w:val="13"/>
                <w:szCs w:val="13"/>
              </w:rPr>
              <w:t> </w:t>
            </w:r>
            <w:r>
              <w:rPr>
                <w:rFonts w:ascii="宋体" w:hAnsi="宋体" w:cs="宋体" w:eastAsia="宋体" w:hint="default"/>
                <w:spacing w:val="-44"/>
                <w:w w:val="99"/>
                <w:sz w:val="13"/>
                <w:szCs w:val="13"/>
              </w:rPr>
            </w:r>
            <w:r>
              <w:rPr>
                <w:rFonts w:ascii="宋体" w:hAnsi="宋体" w:cs="宋体" w:eastAsia="宋体" w:hint="default"/>
                <w:sz w:val="13"/>
                <w:szCs w:val="13"/>
              </w:rPr>
              <w:t>批准后方可开展经营活动）</w:t>
            </w:r>
          </w:p>
        </w:tc>
      </w:tr>
      <w:tr>
        <w:trPr>
          <w:trHeight w:val="905"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left="108"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12.</w:t>
            </w:r>
            <w:r>
              <w:rPr>
                <w:rFonts w:ascii="宋体" w:hAnsi="宋体" w:cs="宋体" w:eastAsia="宋体" w:hint="default"/>
                <w:sz w:val="13"/>
                <w:szCs w:val="13"/>
              </w:rPr>
              <w:t>武汉中南天舟文化传媒有限公司</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328"/>
              <w:jc w:val="right"/>
              <w:rPr>
                <w:rFonts w:ascii="宋体" w:hAnsi="宋体" w:cs="宋体" w:eastAsia="宋体" w:hint="default"/>
                <w:sz w:val="13"/>
                <w:szCs w:val="13"/>
              </w:rPr>
            </w:pPr>
            <w:r>
              <w:rPr>
                <w:rFonts w:ascii="宋体" w:hAnsi="宋体" w:cs="宋体" w:eastAsia="宋体" w:hint="default"/>
                <w:w w:val="95"/>
                <w:sz w:val="13"/>
                <w:szCs w:val="13"/>
              </w:rPr>
              <w:t>武汉市</w:t>
            </w:r>
            <w:r>
              <w:rPr>
                <w:rFonts w:ascii="宋体" w:hAnsi="宋体" w:cs="宋体" w:eastAsia="宋体" w:hint="default"/>
                <w:sz w:val="13"/>
                <w:szCs w:val="13"/>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180" w:right="0"/>
              <w:jc w:val="left"/>
              <w:rPr>
                <w:rFonts w:ascii="宋体" w:hAnsi="宋体" w:cs="宋体" w:eastAsia="宋体" w:hint="default"/>
                <w:sz w:val="13"/>
                <w:szCs w:val="13"/>
              </w:rPr>
            </w:pPr>
            <w:r>
              <w:rPr>
                <w:rFonts w:ascii="宋体" w:hAnsi="宋体" w:cs="宋体" w:eastAsia="宋体" w:hint="default"/>
                <w:sz w:val="13"/>
                <w:szCs w:val="13"/>
              </w:rPr>
              <w:t>武汉市</w:t>
            </w:r>
          </w:p>
        </w:tc>
        <w:tc>
          <w:tcPr>
            <w:tcW w:w="4217" w:type="dxa"/>
            <w:tcBorders>
              <w:top w:val="nil" w:sz="6" w:space="0" w:color="auto"/>
              <w:left w:val="nil" w:sz="6" w:space="0" w:color="auto"/>
              <w:bottom w:val="nil" w:sz="6" w:space="0" w:color="auto"/>
              <w:right w:val="nil" w:sz="6" w:space="0" w:color="auto"/>
            </w:tcBorders>
          </w:tcPr>
          <w:p>
            <w:pPr>
              <w:pStyle w:val="TableParagraph"/>
              <w:spacing w:line="451" w:lineRule="auto" w:before="94"/>
              <w:ind w:left="188" w:right="45"/>
              <w:jc w:val="left"/>
              <w:rPr>
                <w:rFonts w:ascii="宋体" w:hAnsi="宋体" w:cs="宋体" w:eastAsia="宋体" w:hint="default"/>
                <w:sz w:val="13"/>
                <w:szCs w:val="13"/>
              </w:rPr>
            </w:pPr>
            <w:r>
              <w:rPr>
                <w:rFonts w:ascii="宋体" w:hAnsi="宋体" w:cs="宋体" w:eastAsia="宋体" w:hint="default"/>
                <w:sz w:val="13"/>
                <w:szCs w:val="13"/>
              </w:rPr>
              <w:t>文化艺术活动交流策划；图书、期刊、报纸、电子出版物的批发兼零</w:t>
            </w:r>
            <w:r>
              <w:rPr>
                <w:rFonts w:ascii="宋体" w:hAnsi="宋体" w:cs="宋体" w:eastAsia="宋体" w:hint="default"/>
                <w:spacing w:val="-51"/>
                <w:sz w:val="13"/>
                <w:szCs w:val="13"/>
              </w:rPr>
              <w:t> </w:t>
            </w:r>
            <w:r>
              <w:rPr>
                <w:rFonts w:ascii="宋体" w:hAnsi="宋体" w:cs="宋体" w:eastAsia="宋体" w:hint="default"/>
                <w:spacing w:val="-51"/>
                <w:sz w:val="13"/>
                <w:szCs w:val="13"/>
              </w:rPr>
            </w:r>
            <w:r>
              <w:rPr>
                <w:rFonts w:ascii="宋体" w:hAnsi="宋体" w:cs="宋体" w:eastAsia="宋体" w:hint="default"/>
                <w:spacing w:val="-2"/>
                <w:sz w:val="13"/>
                <w:szCs w:val="13"/>
              </w:rPr>
              <w:t>售；书刊项目的设计、策划；广告制作、发布；健康咨询；办公用品、</w:t>
            </w:r>
          </w:p>
          <w:p>
            <w:pPr>
              <w:pStyle w:val="TableParagraph"/>
              <w:spacing w:line="240" w:lineRule="auto" w:before="37"/>
              <w:ind w:left="188" w:right="0"/>
              <w:jc w:val="left"/>
              <w:rPr>
                <w:rFonts w:ascii="宋体" w:hAnsi="宋体" w:cs="宋体" w:eastAsia="宋体" w:hint="default"/>
                <w:sz w:val="13"/>
                <w:szCs w:val="13"/>
              </w:rPr>
            </w:pPr>
            <w:r>
              <w:rPr>
                <w:rFonts w:ascii="宋体" w:hAnsi="宋体" w:cs="宋体" w:eastAsia="宋体" w:hint="default"/>
                <w:sz w:val="13"/>
                <w:szCs w:val="13"/>
              </w:rPr>
              <w:t>工艺礼品、教学专用仪器的批发兼零售；版权代理。</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BodyText"/>
        <w:spacing w:line="240" w:lineRule="auto"/>
        <w:ind w:right="1117"/>
        <w:jc w:val="left"/>
      </w:pPr>
      <w:r>
        <w:rPr/>
        <w:t>接上表：</w:t>
      </w:r>
    </w:p>
    <w:p>
      <w:pPr>
        <w:spacing w:line="240" w:lineRule="auto" w:before="9"/>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2514"/>
        <w:gridCol w:w="4262"/>
        <w:gridCol w:w="2655"/>
      </w:tblGrid>
      <w:tr>
        <w:trPr>
          <w:trHeight w:val="210" w:hRule="exact"/>
        </w:trPr>
        <w:tc>
          <w:tcPr>
            <w:tcW w:w="9431" w:type="dxa"/>
            <w:gridSpan w:val="3"/>
            <w:tcBorders>
              <w:top w:val="nil" w:sz="6" w:space="0" w:color="auto"/>
              <w:left w:val="nil" w:sz="6" w:space="0" w:color="auto"/>
              <w:bottom w:val="nil" w:sz="6" w:space="0" w:color="auto"/>
              <w:right w:val="nil" w:sz="6" w:space="0" w:color="auto"/>
            </w:tcBorders>
          </w:tcPr>
          <w:p>
            <w:pPr>
              <w:pStyle w:val="TableParagraph"/>
              <w:spacing w:line="194" w:lineRule="exact"/>
              <w:ind w:left="178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30" w:hRule="exact"/>
        </w:trPr>
        <w:tc>
          <w:tcPr>
            <w:tcW w:w="2514" w:type="dxa"/>
            <w:tcBorders>
              <w:top w:val="nil" w:sz="6" w:space="0" w:color="auto"/>
              <w:left w:val="nil" w:sz="6" w:space="0" w:color="auto"/>
              <w:bottom w:val="nil" w:sz="6" w:space="0" w:color="auto"/>
              <w:right w:val="nil" w:sz="6" w:space="0" w:color="auto"/>
            </w:tcBorders>
          </w:tcPr>
          <w:p>
            <w:pPr/>
          </w:p>
        </w:tc>
        <w:tc>
          <w:tcPr>
            <w:tcW w:w="4262" w:type="dxa"/>
            <w:tcBorders>
              <w:top w:val="nil" w:sz="6" w:space="0" w:color="auto"/>
              <w:left w:val="nil" w:sz="6" w:space="0" w:color="auto"/>
              <w:bottom w:val="nil" w:sz="6" w:space="0" w:color="auto"/>
              <w:right w:val="nil" w:sz="6" w:space="0" w:color="auto"/>
            </w:tcBorders>
          </w:tcPr>
          <w:p>
            <w:pPr>
              <w:pStyle w:val="TableParagraph"/>
              <w:spacing w:line="214" w:lineRule="exact"/>
              <w:ind w:left="262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655" w:type="dxa"/>
            <w:tcBorders>
              <w:top w:val="nil" w:sz="6" w:space="0" w:color="auto"/>
              <w:left w:val="nil" w:sz="6" w:space="0" w:color="auto"/>
              <w:bottom w:val="nil" w:sz="6" w:space="0" w:color="auto"/>
              <w:right w:val="nil" w:sz="6" w:space="0" w:color="auto"/>
            </w:tcBorders>
          </w:tcPr>
          <w:p>
            <w:pPr>
              <w:pStyle w:val="TableParagraph"/>
              <w:spacing w:line="200" w:lineRule="exact"/>
              <w:ind w:right="122"/>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297" w:hRule="exact"/>
        </w:trPr>
        <w:tc>
          <w:tcPr>
            <w:tcW w:w="2514" w:type="dxa"/>
            <w:tcBorders>
              <w:top w:val="nil" w:sz="6" w:space="0" w:color="auto"/>
              <w:left w:val="nil" w:sz="6" w:space="0" w:color="auto"/>
              <w:bottom w:val="single" w:sz="8" w:space="0" w:color="000000"/>
              <w:right w:val="nil" w:sz="6" w:space="0" w:color="auto"/>
            </w:tcBorders>
          </w:tcPr>
          <w:p>
            <w:pPr>
              <w:pStyle w:val="TableParagraph"/>
              <w:spacing w:line="200" w:lineRule="exact"/>
              <w:ind w:left="35"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4262" w:type="dxa"/>
            <w:tcBorders>
              <w:top w:val="nil" w:sz="6" w:space="0" w:color="auto"/>
              <w:left w:val="nil" w:sz="6" w:space="0" w:color="auto"/>
              <w:bottom w:val="single" w:sz="8" w:space="0" w:color="000000"/>
              <w:right w:val="nil" w:sz="6" w:space="0" w:color="auto"/>
            </w:tcBorders>
          </w:tcPr>
          <w:p>
            <w:pPr>
              <w:pStyle w:val="TableParagraph"/>
              <w:spacing w:line="200" w:lineRule="exact"/>
              <w:ind w:left="992"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2655" w:type="dxa"/>
            <w:tcBorders>
              <w:top w:val="nil" w:sz="6" w:space="0" w:color="auto"/>
              <w:left w:val="nil" w:sz="6" w:space="0" w:color="auto"/>
              <w:bottom w:val="single" w:sz="8" w:space="0" w:color="000000"/>
              <w:right w:val="nil" w:sz="6" w:space="0" w:color="auto"/>
            </w:tcBorders>
          </w:tcPr>
          <w:p>
            <w:pPr/>
          </w:p>
        </w:tc>
      </w:tr>
      <w:tr>
        <w:trPr>
          <w:trHeight w:val="498" w:hRule="exact"/>
        </w:trPr>
        <w:tc>
          <w:tcPr>
            <w:tcW w:w="2514"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33" w:right="0"/>
              <w:jc w:val="center"/>
              <w:rPr>
                <w:rFonts w:ascii="Times New Roman" w:hAnsi="Times New Roman" w:cs="Times New Roman" w:eastAsia="Times New Roman" w:hint="default"/>
                <w:sz w:val="18"/>
                <w:szCs w:val="18"/>
              </w:rPr>
            </w:pPr>
            <w:r>
              <w:rPr>
                <w:rFonts w:ascii="Times New Roman"/>
                <w:sz w:val="18"/>
              </w:rPr>
              <w:t>100.00</w:t>
            </w:r>
          </w:p>
        </w:tc>
        <w:tc>
          <w:tcPr>
            <w:tcW w:w="4262"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785"/>
              <w:jc w:val="right"/>
              <w:rPr>
                <w:rFonts w:ascii="Times New Roman" w:hAnsi="Times New Roman" w:cs="Times New Roman" w:eastAsia="Times New Roman" w:hint="default"/>
                <w:sz w:val="18"/>
                <w:szCs w:val="18"/>
              </w:rPr>
            </w:pPr>
            <w:r>
              <w:rPr>
                <w:rFonts w:ascii="Times New Roman"/>
                <w:sz w:val="18"/>
              </w:rPr>
              <w:t>100.00</w:t>
            </w:r>
          </w:p>
        </w:tc>
        <w:tc>
          <w:tcPr>
            <w:tcW w:w="2655"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3" w:right="0"/>
              <w:jc w:val="center"/>
              <w:rPr>
                <w:rFonts w:ascii="Times New Roman" w:hAnsi="Times New Roman" w:cs="Times New Roman" w:eastAsia="Times New Roman" w:hint="default"/>
                <w:sz w:val="18"/>
                <w:szCs w:val="18"/>
              </w:rPr>
            </w:pPr>
            <w:r>
              <w:rPr>
                <w:rFonts w:ascii="Times New Roman"/>
                <w:sz w:val="18"/>
              </w:rPr>
              <w:t>100.00</w:t>
            </w:r>
          </w:p>
        </w:tc>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85"/>
              <w:jc w:val="right"/>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5"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center"/>
              <w:rPr>
                <w:rFonts w:ascii="Times New Roman" w:hAnsi="Times New Roman" w:cs="Times New Roman" w:eastAsia="Times New Roman" w:hint="default"/>
                <w:sz w:val="18"/>
                <w:szCs w:val="18"/>
              </w:rPr>
            </w:pPr>
            <w:r>
              <w:rPr>
                <w:rFonts w:ascii="Times New Roman"/>
                <w:sz w:val="18"/>
              </w:rPr>
              <w:t>60.00</w:t>
            </w:r>
          </w:p>
        </w:tc>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31"/>
              <w:jc w:val="right"/>
              <w:rPr>
                <w:rFonts w:ascii="Times New Roman" w:hAnsi="Times New Roman" w:cs="Times New Roman" w:eastAsia="Times New Roman" w:hint="default"/>
                <w:sz w:val="18"/>
                <w:szCs w:val="18"/>
              </w:rPr>
            </w:pPr>
            <w:r>
              <w:rPr>
                <w:rFonts w:ascii="Times New Roman"/>
                <w:sz w:val="18"/>
              </w:rPr>
              <w:t>60.00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2514"/>
        <w:gridCol w:w="2200"/>
        <w:gridCol w:w="2062"/>
        <w:gridCol w:w="2655"/>
      </w:tblGrid>
      <w:tr>
        <w:trPr>
          <w:trHeight w:val="210" w:hRule="exact"/>
        </w:trPr>
        <w:tc>
          <w:tcPr>
            <w:tcW w:w="9431" w:type="dxa"/>
            <w:gridSpan w:val="4"/>
            <w:tcBorders>
              <w:top w:val="nil" w:sz="6" w:space="0" w:color="auto"/>
              <w:left w:val="nil" w:sz="6" w:space="0" w:color="auto"/>
              <w:bottom w:val="nil" w:sz="6" w:space="0" w:color="auto"/>
              <w:right w:val="nil" w:sz="6" w:space="0" w:color="auto"/>
            </w:tcBorders>
          </w:tcPr>
          <w:p>
            <w:pPr>
              <w:pStyle w:val="TableParagraph"/>
              <w:spacing w:line="194" w:lineRule="exact"/>
              <w:ind w:left="178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3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14" w:lineRule="exact"/>
              <w:ind w:right="9"/>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655" w:type="dxa"/>
            <w:tcBorders>
              <w:top w:val="nil" w:sz="6" w:space="0" w:color="auto"/>
              <w:left w:val="nil" w:sz="6" w:space="0" w:color="auto"/>
              <w:bottom w:val="nil" w:sz="6" w:space="0" w:color="auto"/>
              <w:right w:val="nil" w:sz="6" w:space="0" w:color="auto"/>
            </w:tcBorders>
          </w:tcPr>
          <w:p>
            <w:pPr>
              <w:pStyle w:val="TableParagraph"/>
              <w:spacing w:line="200" w:lineRule="exact"/>
              <w:ind w:right="122"/>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297" w:hRule="exact"/>
        </w:trPr>
        <w:tc>
          <w:tcPr>
            <w:tcW w:w="2514" w:type="dxa"/>
            <w:tcBorders>
              <w:top w:val="nil" w:sz="6" w:space="0" w:color="auto"/>
              <w:left w:val="nil" w:sz="6" w:space="0" w:color="auto"/>
              <w:bottom w:val="single" w:sz="8" w:space="0" w:color="000000"/>
              <w:right w:val="nil" w:sz="6" w:space="0" w:color="auto"/>
            </w:tcBorders>
          </w:tcPr>
          <w:p>
            <w:pPr>
              <w:pStyle w:val="TableParagraph"/>
              <w:spacing w:line="200" w:lineRule="exact"/>
              <w:ind w:left="35"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2200" w:type="dxa"/>
            <w:tcBorders>
              <w:top w:val="nil" w:sz="6" w:space="0" w:color="auto"/>
              <w:left w:val="nil" w:sz="6" w:space="0" w:color="auto"/>
              <w:bottom w:val="single" w:sz="8" w:space="0" w:color="000000"/>
              <w:right w:val="nil" w:sz="6" w:space="0" w:color="auto"/>
            </w:tcBorders>
          </w:tcPr>
          <w:p>
            <w:pPr>
              <w:pStyle w:val="TableParagraph"/>
              <w:spacing w:line="200" w:lineRule="exact"/>
              <w:ind w:right="843"/>
              <w:jc w:val="righ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2062" w:type="dxa"/>
            <w:tcBorders>
              <w:top w:val="nil" w:sz="6" w:space="0" w:color="auto"/>
              <w:left w:val="nil" w:sz="6" w:space="0" w:color="auto"/>
              <w:bottom w:val="single" w:sz="8" w:space="0" w:color="000000"/>
              <w:right w:val="nil" w:sz="6" w:space="0" w:color="auto"/>
            </w:tcBorders>
          </w:tcPr>
          <w:p>
            <w:pPr/>
          </w:p>
        </w:tc>
        <w:tc>
          <w:tcPr>
            <w:tcW w:w="2655" w:type="dxa"/>
            <w:tcBorders>
              <w:top w:val="nil" w:sz="6" w:space="0" w:color="auto"/>
              <w:left w:val="nil" w:sz="6" w:space="0" w:color="auto"/>
              <w:bottom w:val="single" w:sz="8" w:space="0" w:color="000000"/>
              <w:right w:val="nil" w:sz="6" w:space="0" w:color="auto"/>
            </w:tcBorders>
          </w:tcPr>
          <w:p>
            <w:pPr/>
          </w:p>
        </w:tc>
      </w:tr>
      <w:tr>
        <w:trPr>
          <w:trHeight w:val="498" w:hRule="exact"/>
        </w:trPr>
        <w:tc>
          <w:tcPr>
            <w:tcW w:w="2514"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35" w:right="0"/>
              <w:jc w:val="center"/>
              <w:rPr>
                <w:rFonts w:ascii="Times New Roman" w:hAnsi="Times New Roman" w:cs="Times New Roman" w:eastAsia="Times New Roman" w:hint="default"/>
                <w:sz w:val="18"/>
                <w:szCs w:val="18"/>
              </w:rPr>
            </w:pPr>
            <w:r>
              <w:rPr>
                <w:rFonts w:ascii="Times New Roman"/>
                <w:sz w:val="18"/>
              </w:rPr>
              <w:t>51.00</w:t>
            </w:r>
          </w:p>
        </w:tc>
        <w:tc>
          <w:tcPr>
            <w:tcW w:w="2200" w:type="dxa"/>
            <w:tcBorders>
              <w:top w:val="single" w:sz="8" w:space="0" w:color="000000"/>
              <w:left w:val="nil" w:sz="6" w:space="0" w:color="auto"/>
              <w:bottom w:val="nil" w:sz="6" w:space="0" w:color="auto"/>
              <w:right w:val="nil" w:sz="6" w:space="0" w:color="auto"/>
            </w:tcBorders>
          </w:tcPr>
          <w:p>
            <w:pPr/>
          </w:p>
        </w:tc>
        <w:tc>
          <w:tcPr>
            <w:tcW w:w="2062"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8"/>
              <w:jc w:val="center"/>
              <w:rPr>
                <w:rFonts w:ascii="Times New Roman" w:hAnsi="Times New Roman" w:cs="Times New Roman" w:eastAsia="Times New Roman" w:hint="default"/>
                <w:sz w:val="18"/>
                <w:szCs w:val="18"/>
              </w:rPr>
            </w:pPr>
            <w:r>
              <w:rPr>
                <w:rFonts w:ascii="Times New Roman"/>
                <w:sz w:val="18"/>
              </w:rPr>
              <w:t>51.00</w:t>
            </w:r>
          </w:p>
        </w:tc>
        <w:tc>
          <w:tcPr>
            <w:tcW w:w="2655"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3" w:right="0"/>
              <w:jc w:val="center"/>
              <w:rPr>
                <w:rFonts w:ascii="Times New Roman" w:hAnsi="Times New Roman" w:cs="Times New Roman" w:eastAsia="Times New Roman" w:hint="default"/>
                <w:sz w:val="18"/>
                <w:szCs w:val="18"/>
              </w:rPr>
            </w:pPr>
            <w:r>
              <w:rPr>
                <w:rFonts w:ascii="Times New Roman"/>
                <w:sz w:val="18"/>
              </w:rPr>
              <w:t>100.00</w:t>
            </w:r>
          </w:p>
        </w:tc>
        <w:tc>
          <w:tcPr>
            <w:tcW w:w="220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3" w:right="0"/>
              <w:jc w:val="center"/>
              <w:rPr>
                <w:rFonts w:ascii="Times New Roman" w:hAnsi="Times New Roman" w:cs="Times New Roman" w:eastAsia="Times New Roman" w:hint="default"/>
                <w:sz w:val="18"/>
                <w:szCs w:val="18"/>
              </w:rPr>
            </w:pPr>
            <w:r>
              <w:rPr>
                <w:rFonts w:ascii="Times New Roman"/>
                <w:sz w:val="18"/>
              </w:rPr>
              <w:t>100.00</w:t>
            </w:r>
          </w:p>
        </w:tc>
        <w:tc>
          <w:tcPr>
            <w:tcW w:w="220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3" w:right="0"/>
              <w:jc w:val="center"/>
              <w:rPr>
                <w:rFonts w:ascii="Times New Roman" w:hAnsi="Times New Roman" w:cs="Times New Roman" w:eastAsia="Times New Roman" w:hint="default"/>
                <w:sz w:val="18"/>
                <w:szCs w:val="18"/>
              </w:rPr>
            </w:pPr>
            <w:r>
              <w:rPr>
                <w:rFonts w:ascii="Times New Roman"/>
                <w:sz w:val="18"/>
              </w:rPr>
              <w:t>100.00</w:t>
            </w:r>
          </w:p>
        </w:tc>
        <w:tc>
          <w:tcPr>
            <w:tcW w:w="220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2"/>
              <w:jc w:val="right"/>
              <w:rPr>
                <w:rFonts w:ascii="Times New Roman" w:hAnsi="Times New Roman" w:cs="Times New Roman" w:eastAsia="Times New Roman" w:hint="default"/>
                <w:sz w:val="18"/>
                <w:szCs w:val="18"/>
              </w:rPr>
            </w:pPr>
            <w:r>
              <w:rPr>
                <w:rFonts w:ascii="Times New Roman"/>
                <w:sz w:val="18"/>
              </w:rPr>
              <w:t>68.43</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
              <w:jc w:val="center"/>
              <w:rPr>
                <w:rFonts w:ascii="Times New Roman" w:hAnsi="Times New Roman" w:cs="Times New Roman" w:eastAsia="Times New Roman" w:hint="default"/>
                <w:sz w:val="18"/>
                <w:szCs w:val="18"/>
              </w:rPr>
            </w:pPr>
            <w:r>
              <w:rPr>
                <w:rFonts w:ascii="Times New Roman"/>
                <w:sz w:val="18"/>
              </w:rPr>
              <w:t>68.43</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1"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center"/>
              <w:rPr>
                <w:rFonts w:ascii="Times New Roman" w:hAnsi="Times New Roman" w:cs="Times New Roman" w:eastAsia="Times New Roman" w:hint="default"/>
                <w:sz w:val="18"/>
                <w:szCs w:val="18"/>
              </w:rPr>
            </w:pPr>
            <w:r>
              <w:rPr>
                <w:rFonts w:ascii="Times New Roman"/>
                <w:sz w:val="18"/>
              </w:rPr>
              <w:t>66.67</w:t>
            </w:r>
          </w:p>
        </w:tc>
        <w:tc>
          <w:tcPr>
            <w:tcW w:w="220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
              <w:jc w:val="center"/>
              <w:rPr>
                <w:rFonts w:ascii="Times New Roman" w:hAnsi="Times New Roman" w:cs="Times New Roman" w:eastAsia="Times New Roman" w:hint="default"/>
                <w:sz w:val="18"/>
                <w:szCs w:val="18"/>
              </w:rPr>
            </w:pPr>
            <w:r>
              <w:rPr>
                <w:rFonts w:ascii="Times New Roman"/>
                <w:sz w:val="18"/>
              </w:rPr>
              <w:t>66.67</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center"/>
              <w:rPr>
                <w:rFonts w:ascii="Times New Roman" w:hAnsi="Times New Roman" w:cs="Times New Roman" w:eastAsia="Times New Roman" w:hint="default"/>
                <w:sz w:val="18"/>
                <w:szCs w:val="18"/>
              </w:rPr>
            </w:pPr>
            <w:r>
              <w:rPr>
                <w:rFonts w:ascii="Times New Roman"/>
                <w:sz w:val="18"/>
              </w:rPr>
              <w:t>51.00</w:t>
            </w:r>
          </w:p>
        </w:tc>
        <w:tc>
          <w:tcPr>
            <w:tcW w:w="220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
              <w:jc w:val="center"/>
              <w:rPr>
                <w:rFonts w:ascii="Times New Roman" w:hAnsi="Times New Roman" w:cs="Times New Roman" w:eastAsia="Times New Roman" w:hint="default"/>
                <w:sz w:val="18"/>
                <w:szCs w:val="18"/>
              </w:rPr>
            </w:pPr>
            <w:r>
              <w:rPr>
                <w:rFonts w:ascii="Times New Roman"/>
                <w:sz w:val="18"/>
              </w:rPr>
              <w:t>51.00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67"/>
              <w:jc w:val="righ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center"/>
              <w:rPr>
                <w:rFonts w:ascii="Times New Roman" w:hAnsi="Times New Roman" w:cs="Times New Roman" w:eastAsia="Times New Roman" w:hint="default"/>
                <w:sz w:val="18"/>
                <w:szCs w:val="18"/>
              </w:rPr>
            </w:pPr>
            <w:r>
              <w:rPr>
                <w:rFonts w:ascii="Times New Roman"/>
                <w:sz w:val="18"/>
              </w:rPr>
              <w:t>35.00</w:t>
            </w:r>
          </w:p>
        </w:tc>
        <w:tc>
          <w:tcPr>
            <w:tcW w:w="220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
              <w:jc w:val="center"/>
              <w:rPr>
                <w:rFonts w:ascii="Times New Roman" w:hAnsi="Times New Roman" w:cs="Times New Roman" w:eastAsia="Times New Roman" w:hint="default"/>
                <w:sz w:val="18"/>
                <w:szCs w:val="18"/>
              </w:rPr>
            </w:pPr>
            <w:r>
              <w:rPr>
                <w:rFonts w:ascii="Times New Roman"/>
                <w:sz w:val="18"/>
              </w:rPr>
              <w:t>56.00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2"/>
              <w:jc w:val="right"/>
              <w:rPr>
                <w:rFonts w:ascii="Times New Roman" w:hAnsi="Times New Roman" w:cs="Times New Roman" w:eastAsia="Times New Roman" w:hint="default"/>
                <w:sz w:val="18"/>
                <w:szCs w:val="18"/>
              </w:rPr>
            </w:pPr>
            <w:r>
              <w:rPr>
                <w:rFonts w:ascii="Times New Roman"/>
                <w:sz w:val="18"/>
              </w:rPr>
              <w:t>52.50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
              <w:jc w:val="center"/>
              <w:rPr>
                <w:rFonts w:ascii="Times New Roman" w:hAnsi="Times New Roman" w:cs="Times New Roman" w:eastAsia="Times New Roman" w:hint="default"/>
                <w:sz w:val="18"/>
                <w:szCs w:val="18"/>
              </w:rPr>
            </w:pPr>
            <w:r>
              <w:rPr>
                <w:rFonts w:ascii="Times New Roman"/>
                <w:sz w:val="18"/>
              </w:rPr>
              <w:t>52.50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3" w:right="0"/>
              <w:jc w:val="center"/>
              <w:rPr>
                <w:rFonts w:ascii="Times New Roman" w:hAnsi="Times New Roman" w:cs="Times New Roman" w:eastAsia="Times New Roman" w:hint="default"/>
                <w:sz w:val="18"/>
                <w:szCs w:val="18"/>
              </w:rPr>
            </w:pPr>
            <w:r>
              <w:rPr>
                <w:rFonts w:ascii="Times New Roman"/>
                <w:sz w:val="18"/>
              </w:rPr>
              <w:t>100.00</w:t>
            </w:r>
          </w:p>
        </w:tc>
        <w:tc>
          <w:tcPr>
            <w:tcW w:w="220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76"/>
              <w:jc w:val="right"/>
              <w:rPr>
                <w:rFonts w:ascii="Times New Roman" w:hAnsi="Times New Roman" w:cs="Times New Roman" w:eastAsia="Times New Roman" w:hint="default"/>
                <w:sz w:val="18"/>
                <w:szCs w:val="18"/>
              </w:rPr>
            </w:pPr>
            <w:r>
              <w:rPr>
                <w:rFonts w:ascii="Times New Roman"/>
                <w:sz w:val="18"/>
              </w:rPr>
              <w:t>100.00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
              <w:jc w:val="center"/>
              <w:rPr>
                <w:rFonts w:ascii="Times New Roman" w:hAnsi="Times New Roman" w:cs="Times New Roman" w:eastAsia="Times New Roman" w:hint="default"/>
                <w:sz w:val="18"/>
                <w:szCs w:val="18"/>
              </w:rPr>
            </w:pPr>
            <w:r>
              <w:rPr>
                <w:rFonts w:ascii="Times New Roman"/>
                <w:sz w:val="18"/>
              </w:rPr>
              <w:t>100.00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40" w:hRule="exact"/>
        </w:trPr>
        <w:tc>
          <w:tcPr>
            <w:tcW w:w="2514"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2"/>
              <w:jc w:val="right"/>
              <w:rPr>
                <w:rFonts w:ascii="Times New Roman" w:hAnsi="Times New Roman" w:cs="Times New Roman" w:eastAsia="Times New Roman" w:hint="default"/>
                <w:sz w:val="18"/>
                <w:szCs w:val="18"/>
              </w:rPr>
            </w:pPr>
            <w:r>
              <w:rPr>
                <w:rFonts w:ascii="Times New Roman"/>
                <w:sz w:val="18"/>
              </w:rPr>
              <w:t>51.00</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
              <w:jc w:val="center"/>
              <w:rPr>
                <w:rFonts w:ascii="Times New Roman" w:hAnsi="Times New Roman" w:cs="Times New Roman" w:eastAsia="Times New Roman" w:hint="default"/>
                <w:sz w:val="18"/>
                <w:szCs w:val="18"/>
              </w:rPr>
            </w:pPr>
            <w:r>
              <w:rPr>
                <w:rFonts w:ascii="Times New Roman"/>
                <w:sz w:val="18"/>
              </w:rPr>
              <w:t>51.00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5" w:hRule="exact"/>
        </w:trPr>
        <w:tc>
          <w:tcPr>
            <w:tcW w:w="251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center"/>
              <w:rPr>
                <w:rFonts w:ascii="Times New Roman" w:hAnsi="Times New Roman" w:cs="Times New Roman" w:eastAsia="Times New Roman" w:hint="default"/>
                <w:sz w:val="18"/>
                <w:szCs w:val="18"/>
              </w:rPr>
            </w:pPr>
            <w:r>
              <w:rPr>
                <w:rFonts w:ascii="Times New Roman"/>
                <w:sz w:val="18"/>
              </w:rPr>
              <w:t>40.00</w:t>
            </w:r>
          </w:p>
        </w:tc>
        <w:tc>
          <w:tcPr>
            <w:tcW w:w="2200" w:type="dxa"/>
            <w:tcBorders>
              <w:top w:val="nil" w:sz="6" w:space="0" w:color="auto"/>
              <w:left w:val="nil" w:sz="6" w:space="0" w:color="auto"/>
              <w:bottom w:val="nil" w:sz="6" w:space="0" w:color="auto"/>
              <w:right w:val="nil" w:sz="6" w:space="0" w:color="auto"/>
            </w:tcBorders>
          </w:tcPr>
          <w:p>
            <w:pP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
              <w:jc w:val="center"/>
              <w:rPr>
                <w:rFonts w:ascii="Times New Roman" w:hAnsi="Times New Roman" w:cs="Times New Roman" w:eastAsia="Times New Roman" w:hint="default"/>
                <w:sz w:val="18"/>
                <w:szCs w:val="18"/>
              </w:rPr>
            </w:pPr>
            <w:r>
              <w:rPr>
                <w:rFonts w:ascii="Times New Roman"/>
                <w:sz w:val="18"/>
              </w:rPr>
              <w:t>70.00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1"/>
        <w:rPr>
          <w:rFonts w:ascii="宋体" w:hAnsi="宋体" w:cs="宋体" w:eastAsia="宋体" w:hint="default"/>
          <w:sz w:val="29"/>
          <w:szCs w:val="29"/>
        </w:rPr>
      </w:pPr>
    </w:p>
    <w:p>
      <w:pPr>
        <w:pStyle w:val="BodyText"/>
        <w:spacing w:line="345" w:lineRule="auto" w:before="44"/>
        <w:ind w:left="1418" w:right="1117" w:firstLine="360"/>
        <w:jc w:val="left"/>
      </w:pPr>
      <w:r>
        <w:rPr>
          <w:spacing w:val="-2"/>
        </w:rPr>
        <w:t>注</w:t>
      </w:r>
      <w:r>
        <w:rPr>
          <w:rFonts w:ascii="Times New Roman" w:hAnsi="Times New Roman" w:cs="Times New Roman" w:eastAsia="Times New Roman" w:hint="default"/>
          <w:spacing w:val="-2"/>
        </w:rPr>
        <w:t>1</w:t>
      </w:r>
      <w:r>
        <w:rPr>
          <w:spacing w:val="-2"/>
        </w:rPr>
        <w:t>：根据湖南天舟大课堂教育科技有限公司的公司章程规定，本公司与其他股东签有一致行动人协议，因此本公</w:t>
      </w:r>
      <w:r>
        <w:rPr/>
        <w:t> 司实际表决权股份为</w:t>
      </w:r>
      <w:r>
        <w:rPr>
          <w:rFonts w:ascii="Times New Roman" w:hAnsi="Times New Roman" w:cs="Times New Roman" w:eastAsia="Times New Roman" w:hint="default"/>
        </w:rPr>
        <w:t>56%</w:t>
      </w:r>
      <w:r>
        <w:rPr/>
        <w:t>。</w:t>
      </w:r>
    </w:p>
    <w:p>
      <w:pPr>
        <w:spacing w:line="240" w:lineRule="auto" w:before="9"/>
        <w:rPr>
          <w:rFonts w:ascii="宋体" w:hAnsi="宋体" w:cs="宋体" w:eastAsia="宋体" w:hint="default"/>
          <w:sz w:val="13"/>
          <w:szCs w:val="13"/>
        </w:rPr>
      </w:pPr>
    </w:p>
    <w:p>
      <w:pPr>
        <w:pStyle w:val="BodyText"/>
        <w:spacing w:line="345" w:lineRule="auto"/>
        <w:ind w:left="1418" w:right="1117" w:firstLine="360"/>
        <w:jc w:val="left"/>
      </w:pPr>
      <w:r>
        <w:rPr>
          <w:spacing w:val="-2"/>
        </w:rPr>
        <w:t>注</w:t>
      </w:r>
      <w:r>
        <w:rPr>
          <w:rFonts w:ascii="Times New Roman" w:hAnsi="Times New Roman" w:cs="Times New Roman" w:eastAsia="Times New Roman" w:hint="default"/>
          <w:spacing w:val="-2"/>
        </w:rPr>
        <w:t>2</w:t>
      </w:r>
      <w:r>
        <w:rPr>
          <w:spacing w:val="-2"/>
        </w:rPr>
        <w:t>：根据武汉中南天舟文化传媒有限公司的公司章程规定，本公司与其他股东签有一致行动人协议，因此本公司</w:t>
      </w:r>
      <w:r>
        <w:rPr/>
        <w:t> 实际表决权股份为</w:t>
      </w:r>
      <w:r>
        <w:rPr>
          <w:rFonts w:ascii="Times New Roman" w:hAnsi="Times New Roman" w:cs="Times New Roman" w:eastAsia="Times New Roman" w:hint="default"/>
        </w:rPr>
        <w:t>70%</w:t>
      </w:r>
      <w:r>
        <w:rPr/>
        <w:t>。</w:t>
      </w:r>
    </w:p>
    <w:p>
      <w:pPr>
        <w:spacing w:line="240" w:lineRule="auto" w:before="9"/>
        <w:rPr>
          <w:rFonts w:ascii="宋体" w:hAnsi="宋体" w:cs="宋体" w:eastAsia="宋体" w:hint="default"/>
          <w:sz w:val="13"/>
          <w:szCs w:val="13"/>
        </w:rPr>
      </w:pPr>
    </w:p>
    <w:p>
      <w:pPr>
        <w:pStyle w:val="BodyText"/>
        <w:spacing w:line="240" w:lineRule="auto"/>
        <w:ind w:right="1117"/>
        <w:jc w:val="left"/>
      </w:pPr>
      <w:bookmarkStart w:name="（2）重要非全资子公司" w:id="249"/>
      <w:bookmarkEnd w:id="249"/>
      <w:r>
        <w:rPr/>
      </w:r>
      <w:r>
        <w:rPr/>
        <w:t>（</w:t>
      </w:r>
      <w:r>
        <w:rPr>
          <w:rFonts w:ascii="Times New Roman" w:hAnsi="Times New Roman" w:cs="Times New Roman" w:eastAsia="Times New Roman" w:hint="default"/>
        </w:rPr>
        <w:t>2</w:t>
      </w:r>
      <w:r>
        <w:rPr/>
        <w:t>）重要非全资子公司</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388" w:type="dxa"/>
        <w:tblLayout w:type="fixed"/>
        <w:tblCellMar>
          <w:top w:w="0" w:type="dxa"/>
          <w:left w:w="0" w:type="dxa"/>
          <w:bottom w:w="0" w:type="dxa"/>
          <w:right w:w="0" w:type="dxa"/>
        </w:tblCellMar>
        <w:tblLook w:val="01E0"/>
      </w:tblPr>
      <w:tblGrid>
        <w:gridCol w:w="2575"/>
        <w:gridCol w:w="1132"/>
        <w:gridCol w:w="1057"/>
        <w:gridCol w:w="1381"/>
        <w:gridCol w:w="1588"/>
        <w:gridCol w:w="1541"/>
      </w:tblGrid>
      <w:tr>
        <w:trPr>
          <w:trHeight w:val="646" w:hRule="exact"/>
        </w:trPr>
        <w:tc>
          <w:tcPr>
            <w:tcW w:w="257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7" w:right="0"/>
              <w:jc w:val="center"/>
              <w:rPr>
                <w:rFonts w:ascii="宋体" w:hAnsi="宋体" w:cs="宋体" w:eastAsia="宋体" w:hint="default"/>
                <w:sz w:val="15"/>
                <w:szCs w:val="15"/>
              </w:rPr>
            </w:pPr>
            <w:r>
              <w:rPr>
                <w:rFonts w:ascii="宋体" w:hAnsi="宋体" w:cs="宋体" w:eastAsia="宋体" w:hint="default"/>
                <w:b/>
                <w:bCs/>
                <w:sz w:val="15"/>
                <w:szCs w:val="15"/>
              </w:rPr>
              <w:t>子公司全称</w:t>
            </w:r>
            <w:r>
              <w:rPr>
                <w:rFonts w:ascii="宋体" w:hAnsi="宋体" w:cs="宋体" w:eastAsia="宋体" w:hint="default"/>
                <w:sz w:val="15"/>
                <w:szCs w:val="15"/>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150" w:lineRule="exact"/>
              <w:ind w:left="296" w:right="0" w:hanging="76"/>
              <w:jc w:val="left"/>
              <w:rPr>
                <w:rFonts w:ascii="宋体" w:hAnsi="宋体" w:cs="宋体" w:eastAsia="宋体" w:hint="default"/>
                <w:sz w:val="15"/>
                <w:szCs w:val="15"/>
              </w:rPr>
            </w:pPr>
            <w:r>
              <w:rPr>
                <w:rFonts w:ascii="宋体" w:hAnsi="宋体" w:cs="宋体" w:eastAsia="宋体" w:hint="default"/>
                <w:b/>
                <w:bCs/>
                <w:sz w:val="15"/>
                <w:szCs w:val="15"/>
              </w:rPr>
              <w:t>少数股东的</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5"/>
                <w:szCs w:val="15"/>
              </w:rPr>
            </w:pPr>
            <w:r>
              <w:rPr>
                <w:rFonts w:ascii="宋体" w:hAnsi="宋体" w:cs="宋体" w:eastAsia="宋体" w:hint="default"/>
                <w:b/>
                <w:bCs/>
                <w:sz w:val="15"/>
                <w:szCs w:val="15"/>
              </w:rPr>
              <w:t>持股比例</w:t>
            </w:r>
            <w:r>
              <w:rPr>
                <w:rFonts w:ascii="宋体" w:hAnsi="宋体" w:cs="宋体" w:eastAsia="宋体" w:hint="default"/>
                <w:sz w:val="15"/>
                <w:szCs w:val="15"/>
              </w:rPr>
            </w:r>
          </w:p>
        </w:tc>
        <w:tc>
          <w:tcPr>
            <w:tcW w:w="1057" w:type="dxa"/>
            <w:tcBorders>
              <w:top w:val="nil" w:sz="6" w:space="0" w:color="auto"/>
              <w:left w:val="nil" w:sz="6" w:space="0" w:color="auto"/>
              <w:bottom w:val="single" w:sz="4" w:space="0" w:color="000000"/>
              <w:right w:val="nil" w:sz="6" w:space="0" w:color="auto"/>
            </w:tcBorders>
          </w:tcPr>
          <w:p>
            <w:pPr>
              <w:pStyle w:val="TableParagraph"/>
              <w:spacing w:line="150" w:lineRule="exact"/>
              <w:ind w:left="158" w:right="0"/>
              <w:jc w:val="left"/>
              <w:rPr>
                <w:rFonts w:ascii="宋体" w:hAnsi="宋体" w:cs="宋体" w:eastAsia="宋体" w:hint="default"/>
                <w:sz w:val="15"/>
                <w:szCs w:val="15"/>
              </w:rPr>
            </w:pPr>
            <w:r>
              <w:rPr>
                <w:rFonts w:ascii="宋体" w:hAnsi="宋体" w:cs="宋体" w:eastAsia="宋体" w:hint="default"/>
                <w:b/>
                <w:bCs/>
                <w:sz w:val="15"/>
                <w:szCs w:val="15"/>
              </w:rPr>
              <w:t>少数股东的</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b/>
                <w:bCs/>
                <w:sz w:val="15"/>
                <w:szCs w:val="15"/>
              </w:rPr>
              <w:t>表决权比例</w:t>
            </w:r>
            <w:r>
              <w:rPr>
                <w:rFonts w:ascii="宋体" w:hAnsi="宋体" w:cs="宋体" w:eastAsia="宋体" w:hint="default"/>
                <w:sz w:val="15"/>
                <w:szCs w:val="15"/>
              </w:rPr>
            </w:r>
          </w:p>
        </w:tc>
        <w:tc>
          <w:tcPr>
            <w:tcW w:w="1381" w:type="dxa"/>
            <w:tcBorders>
              <w:top w:val="nil" w:sz="6" w:space="0" w:color="auto"/>
              <w:left w:val="nil" w:sz="6" w:space="0" w:color="auto"/>
              <w:bottom w:val="single" w:sz="4" w:space="0" w:color="000000"/>
              <w:right w:val="nil" w:sz="6" w:space="0" w:color="auto"/>
            </w:tcBorders>
          </w:tcPr>
          <w:p>
            <w:pPr>
              <w:pStyle w:val="TableParagraph"/>
              <w:spacing w:line="150" w:lineRule="exact"/>
              <w:ind w:right="32"/>
              <w:jc w:val="center"/>
              <w:rPr>
                <w:rFonts w:ascii="宋体" w:hAnsi="宋体" w:cs="宋体" w:eastAsia="宋体" w:hint="default"/>
                <w:sz w:val="15"/>
                <w:szCs w:val="15"/>
              </w:rPr>
            </w:pPr>
            <w:r>
              <w:rPr>
                <w:rFonts w:ascii="宋体" w:hAnsi="宋体" w:cs="宋体" w:eastAsia="宋体" w:hint="default"/>
                <w:b/>
                <w:bCs/>
                <w:sz w:val="15"/>
                <w:szCs w:val="15"/>
              </w:rPr>
              <w:t>本期归属于少数</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5"/>
                <w:szCs w:val="15"/>
              </w:rPr>
            </w:pPr>
            <w:r>
              <w:rPr>
                <w:rFonts w:ascii="宋体" w:hAnsi="宋体" w:cs="宋体" w:eastAsia="宋体" w:hint="default"/>
                <w:b/>
                <w:bCs/>
                <w:sz w:val="15"/>
                <w:szCs w:val="15"/>
              </w:rPr>
              <w:t>股东的损益</w:t>
            </w:r>
            <w:r>
              <w:rPr>
                <w:rFonts w:ascii="宋体" w:hAnsi="宋体" w:cs="宋体" w:eastAsia="宋体" w:hint="default"/>
                <w:sz w:val="15"/>
                <w:szCs w:val="15"/>
              </w:rPr>
            </w:r>
          </w:p>
        </w:tc>
        <w:tc>
          <w:tcPr>
            <w:tcW w:w="1588" w:type="dxa"/>
            <w:tcBorders>
              <w:top w:val="nil" w:sz="6" w:space="0" w:color="auto"/>
              <w:left w:val="nil" w:sz="6" w:space="0" w:color="auto"/>
              <w:bottom w:val="single" w:sz="4" w:space="0" w:color="000000"/>
              <w:right w:val="nil" w:sz="6" w:space="0" w:color="auto"/>
            </w:tcBorders>
          </w:tcPr>
          <w:p>
            <w:pPr>
              <w:pStyle w:val="TableParagraph"/>
              <w:spacing w:line="150" w:lineRule="exact"/>
              <w:ind w:left="181" w:right="0"/>
              <w:jc w:val="left"/>
              <w:rPr>
                <w:rFonts w:ascii="宋体" w:hAnsi="宋体" w:cs="宋体" w:eastAsia="宋体" w:hint="default"/>
                <w:sz w:val="15"/>
                <w:szCs w:val="15"/>
              </w:rPr>
            </w:pPr>
            <w:r>
              <w:rPr>
                <w:rFonts w:ascii="宋体" w:hAnsi="宋体" w:cs="宋体" w:eastAsia="宋体" w:hint="default"/>
                <w:b/>
                <w:bCs/>
                <w:sz w:val="15"/>
                <w:szCs w:val="15"/>
              </w:rPr>
              <w:t>本期向少数股东</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5"/>
                <w:szCs w:val="15"/>
              </w:rPr>
            </w:pPr>
            <w:r>
              <w:rPr>
                <w:rFonts w:ascii="宋体" w:hAnsi="宋体" w:cs="宋体" w:eastAsia="宋体" w:hint="default"/>
                <w:b/>
                <w:bCs/>
                <w:sz w:val="15"/>
                <w:szCs w:val="15"/>
              </w:rPr>
              <w:t>宣告分派的股利</w:t>
            </w:r>
            <w:r>
              <w:rPr>
                <w:rFonts w:ascii="宋体" w:hAnsi="宋体" w:cs="宋体" w:eastAsia="宋体" w:hint="default"/>
                <w:sz w:val="15"/>
                <w:szCs w:val="15"/>
              </w:rPr>
            </w:r>
          </w:p>
        </w:tc>
        <w:tc>
          <w:tcPr>
            <w:tcW w:w="1541" w:type="dxa"/>
            <w:tcBorders>
              <w:top w:val="nil" w:sz="6" w:space="0" w:color="auto"/>
              <w:left w:val="nil" w:sz="6" w:space="0" w:color="auto"/>
              <w:bottom w:val="single" w:sz="4" w:space="0" w:color="000000"/>
              <w:right w:val="nil" w:sz="6" w:space="0" w:color="auto"/>
            </w:tcBorders>
          </w:tcPr>
          <w:p>
            <w:pPr>
              <w:pStyle w:val="TableParagraph"/>
              <w:spacing w:line="150" w:lineRule="exact"/>
              <w:ind w:right="74"/>
              <w:jc w:val="center"/>
              <w:rPr>
                <w:rFonts w:ascii="宋体" w:hAnsi="宋体" w:cs="宋体" w:eastAsia="宋体" w:hint="default"/>
                <w:sz w:val="15"/>
                <w:szCs w:val="15"/>
              </w:rPr>
            </w:pPr>
            <w:r>
              <w:rPr>
                <w:rFonts w:ascii="宋体" w:hAnsi="宋体" w:cs="宋体" w:eastAsia="宋体" w:hint="default"/>
                <w:b/>
                <w:bCs/>
                <w:sz w:val="15"/>
                <w:szCs w:val="15"/>
              </w:rPr>
              <w:t>期末少数股东</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5"/>
                <w:szCs w:val="15"/>
              </w:rPr>
            </w:pPr>
            <w:r>
              <w:rPr>
                <w:rFonts w:ascii="宋体" w:hAnsi="宋体" w:cs="宋体" w:eastAsia="宋体" w:hint="default"/>
                <w:b/>
                <w:bCs/>
                <w:sz w:val="15"/>
                <w:szCs w:val="15"/>
              </w:rPr>
              <w:t>权益余额</w:t>
            </w:r>
            <w:r>
              <w:rPr>
                <w:rFonts w:ascii="宋体" w:hAnsi="宋体" w:cs="宋体" w:eastAsia="宋体" w:hint="default"/>
                <w:sz w:val="15"/>
                <w:szCs w:val="15"/>
              </w:rPr>
            </w:r>
          </w:p>
        </w:tc>
      </w:tr>
      <w:tr>
        <w:trPr>
          <w:trHeight w:val="503" w:hRule="exact"/>
        </w:trPr>
        <w:tc>
          <w:tcPr>
            <w:tcW w:w="257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、广州天瑞文化传播有限公司</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2" w:right="0"/>
              <w:jc w:val="center"/>
              <w:rPr>
                <w:rFonts w:ascii="Times New Roman" w:hAnsi="Times New Roman" w:cs="Times New Roman" w:eastAsia="Times New Roman" w:hint="default"/>
                <w:sz w:val="15"/>
                <w:szCs w:val="15"/>
              </w:rPr>
            </w:pPr>
            <w:r>
              <w:rPr>
                <w:rFonts w:ascii="Times New Roman"/>
                <w:sz w:val="15"/>
              </w:rPr>
              <w:t>40.00</w:t>
            </w:r>
          </w:p>
        </w:tc>
        <w:tc>
          <w:tcPr>
            <w:tcW w:w="105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6" w:right="0"/>
              <w:jc w:val="left"/>
              <w:rPr>
                <w:rFonts w:ascii="Times New Roman" w:hAnsi="Times New Roman" w:cs="Times New Roman" w:eastAsia="Times New Roman" w:hint="default"/>
                <w:sz w:val="15"/>
                <w:szCs w:val="15"/>
              </w:rPr>
            </w:pPr>
            <w:r>
              <w:rPr>
                <w:rFonts w:ascii="Times New Roman"/>
                <w:sz w:val="15"/>
              </w:rPr>
              <w:t>40.00</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7"/>
              <w:jc w:val="right"/>
              <w:rPr>
                <w:rFonts w:ascii="Times New Roman" w:hAnsi="Times New Roman" w:cs="Times New Roman" w:eastAsia="Times New Roman" w:hint="default"/>
                <w:sz w:val="15"/>
                <w:szCs w:val="15"/>
              </w:rPr>
            </w:pPr>
            <w:r>
              <w:rPr>
                <w:rFonts w:ascii="Times New Roman"/>
                <w:spacing w:val="-1"/>
                <w:sz w:val="15"/>
              </w:rPr>
              <w:t>27,620.30</w:t>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78"/>
              <w:jc w:val="right"/>
              <w:rPr>
                <w:rFonts w:ascii="Times New Roman" w:hAnsi="Times New Roman" w:cs="Times New Roman" w:eastAsia="Times New Roman" w:hint="default"/>
                <w:sz w:val="15"/>
                <w:szCs w:val="15"/>
              </w:rPr>
            </w:pPr>
            <w:r>
              <w:rPr>
                <w:rFonts w:ascii="Times New Roman"/>
                <w:spacing w:val="-1"/>
                <w:sz w:val="15"/>
              </w:rPr>
              <w:t>120,000.00</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7"/>
              <w:jc w:val="right"/>
              <w:rPr>
                <w:rFonts w:ascii="Times New Roman" w:hAnsi="Times New Roman" w:cs="Times New Roman" w:eastAsia="Times New Roman" w:hint="default"/>
                <w:sz w:val="15"/>
                <w:szCs w:val="15"/>
              </w:rPr>
            </w:pPr>
            <w:r>
              <w:rPr>
                <w:rFonts w:ascii="Times New Roman"/>
                <w:spacing w:val="-1"/>
                <w:sz w:val="15"/>
              </w:rPr>
              <w:t>1,423,386.01</w:t>
            </w:r>
          </w:p>
        </w:tc>
      </w:tr>
      <w:tr>
        <w:trPr>
          <w:trHeight w:val="441"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、北京神奇领域信息技术有限公司</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62" w:right="0"/>
              <w:jc w:val="center"/>
              <w:rPr>
                <w:rFonts w:ascii="Times New Roman" w:hAnsi="Times New Roman" w:cs="Times New Roman" w:eastAsia="Times New Roman" w:hint="default"/>
                <w:sz w:val="15"/>
                <w:szCs w:val="15"/>
              </w:rPr>
            </w:pPr>
            <w:r>
              <w:rPr>
                <w:rFonts w:ascii="Times New Roman"/>
                <w:sz w:val="15"/>
              </w:rPr>
              <w:t>33.33</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66" w:right="0"/>
              <w:jc w:val="left"/>
              <w:rPr>
                <w:rFonts w:ascii="Times New Roman" w:hAnsi="Times New Roman" w:cs="Times New Roman" w:eastAsia="Times New Roman" w:hint="default"/>
                <w:sz w:val="15"/>
                <w:szCs w:val="15"/>
              </w:rPr>
            </w:pPr>
            <w:r>
              <w:rPr>
                <w:rFonts w:ascii="Times New Roman"/>
                <w:sz w:val="15"/>
              </w:rPr>
              <w:t>33.33</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68"/>
              <w:jc w:val="right"/>
              <w:rPr>
                <w:rFonts w:ascii="Times New Roman" w:hAnsi="Times New Roman" w:cs="Times New Roman" w:eastAsia="Times New Roman" w:hint="default"/>
                <w:sz w:val="15"/>
                <w:szCs w:val="15"/>
              </w:rPr>
            </w:pPr>
            <w:r>
              <w:rPr>
                <w:rFonts w:ascii="Times New Roman"/>
                <w:spacing w:val="-1"/>
                <w:sz w:val="15"/>
              </w:rPr>
              <w:t>-4,963,731.66</w:t>
            </w:r>
          </w:p>
        </w:tc>
        <w:tc>
          <w:tcPr>
            <w:tcW w:w="158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7"/>
              <w:jc w:val="right"/>
              <w:rPr>
                <w:rFonts w:ascii="Times New Roman" w:hAnsi="Times New Roman" w:cs="Times New Roman" w:eastAsia="Times New Roman" w:hint="default"/>
                <w:sz w:val="15"/>
                <w:szCs w:val="15"/>
              </w:rPr>
            </w:pPr>
            <w:r>
              <w:rPr>
                <w:rFonts w:ascii="Times New Roman"/>
                <w:spacing w:val="-1"/>
                <w:sz w:val="15"/>
              </w:rPr>
              <w:t>-2,788,241.44</w:t>
            </w:r>
          </w:p>
        </w:tc>
      </w:tr>
      <w:tr>
        <w:trPr>
          <w:trHeight w:val="440"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、北京永载文化传播有限公司</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62" w:right="0"/>
              <w:jc w:val="center"/>
              <w:rPr>
                <w:rFonts w:ascii="Times New Roman" w:hAnsi="Times New Roman" w:cs="Times New Roman" w:eastAsia="Times New Roman" w:hint="default"/>
                <w:sz w:val="15"/>
                <w:szCs w:val="15"/>
              </w:rPr>
            </w:pPr>
            <w:r>
              <w:rPr>
                <w:rFonts w:ascii="Times New Roman"/>
                <w:sz w:val="15"/>
              </w:rPr>
              <w:t>49.00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66" w:right="0"/>
              <w:jc w:val="left"/>
              <w:rPr>
                <w:rFonts w:ascii="Times New Roman" w:hAnsi="Times New Roman" w:cs="Times New Roman" w:eastAsia="Times New Roman" w:hint="default"/>
                <w:sz w:val="15"/>
                <w:szCs w:val="15"/>
              </w:rPr>
            </w:pPr>
            <w:r>
              <w:rPr>
                <w:rFonts w:ascii="Times New Roman"/>
                <w:sz w:val="15"/>
              </w:rPr>
              <w:t>49.00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67"/>
              <w:jc w:val="right"/>
              <w:rPr>
                <w:rFonts w:ascii="Times New Roman" w:hAnsi="Times New Roman" w:cs="Times New Roman" w:eastAsia="Times New Roman" w:hint="default"/>
                <w:sz w:val="15"/>
                <w:szCs w:val="15"/>
              </w:rPr>
            </w:pPr>
            <w:r>
              <w:rPr>
                <w:rFonts w:ascii="Times New Roman"/>
                <w:spacing w:val="-1"/>
                <w:sz w:val="15"/>
              </w:rPr>
              <w:t>1,395,477.89</w:t>
            </w:r>
          </w:p>
        </w:tc>
        <w:tc>
          <w:tcPr>
            <w:tcW w:w="1588"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8"/>
              <w:jc w:val="right"/>
              <w:rPr>
                <w:rFonts w:ascii="Times New Roman" w:hAnsi="Times New Roman" w:cs="Times New Roman" w:eastAsia="Times New Roman" w:hint="default"/>
                <w:sz w:val="15"/>
                <w:szCs w:val="15"/>
              </w:rPr>
            </w:pPr>
            <w:r>
              <w:rPr>
                <w:rFonts w:ascii="Times New Roman"/>
                <w:spacing w:val="-1"/>
                <w:sz w:val="15"/>
              </w:rPr>
              <w:t>10,917,278.83</w:t>
            </w:r>
          </w:p>
        </w:tc>
      </w:tr>
      <w:tr>
        <w:trPr>
          <w:trHeight w:val="440"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、人民今典科教传媒有限公司</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62" w:right="0"/>
              <w:jc w:val="center"/>
              <w:rPr>
                <w:rFonts w:ascii="Times New Roman" w:hAnsi="Times New Roman" w:cs="Times New Roman" w:eastAsia="Times New Roman" w:hint="default"/>
                <w:sz w:val="15"/>
                <w:szCs w:val="15"/>
              </w:rPr>
            </w:pPr>
            <w:r>
              <w:rPr>
                <w:rFonts w:ascii="Times New Roman"/>
                <w:sz w:val="15"/>
              </w:rPr>
              <w:t>49.00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66" w:right="0"/>
              <w:jc w:val="left"/>
              <w:rPr>
                <w:rFonts w:ascii="Times New Roman" w:hAnsi="Times New Roman" w:cs="Times New Roman" w:eastAsia="Times New Roman" w:hint="default"/>
                <w:sz w:val="15"/>
                <w:szCs w:val="15"/>
              </w:rPr>
            </w:pPr>
            <w:r>
              <w:rPr>
                <w:rFonts w:ascii="Times New Roman"/>
                <w:sz w:val="15"/>
              </w:rPr>
              <w:t>49.00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67"/>
              <w:jc w:val="right"/>
              <w:rPr>
                <w:rFonts w:ascii="Times New Roman" w:hAnsi="Times New Roman" w:cs="Times New Roman" w:eastAsia="Times New Roman" w:hint="default"/>
                <w:sz w:val="15"/>
                <w:szCs w:val="15"/>
              </w:rPr>
            </w:pPr>
            <w:r>
              <w:rPr>
                <w:rFonts w:ascii="Times New Roman"/>
                <w:spacing w:val="-1"/>
                <w:sz w:val="15"/>
              </w:rPr>
              <w:t>8,347,465.96</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9"/>
              <w:jc w:val="right"/>
              <w:rPr>
                <w:rFonts w:ascii="Times New Roman" w:hAnsi="Times New Roman" w:cs="Times New Roman" w:eastAsia="Times New Roman" w:hint="default"/>
                <w:sz w:val="15"/>
                <w:szCs w:val="15"/>
              </w:rPr>
            </w:pPr>
            <w:r>
              <w:rPr>
                <w:rFonts w:ascii="Times New Roman"/>
                <w:spacing w:val="-1"/>
                <w:sz w:val="15"/>
              </w:rPr>
              <w:t>6,229,806.98</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8"/>
              <w:jc w:val="right"/>
              <w:rPr>
                <w:rFonts w:ascii="Times New Roman" w:hAnsi="Times New Roman" w:cs="Times New Roman" w:eastAsia="Times New Roman" w:hint="default"/>
                <w:sz w:val="15"/>
                <w:szCs w:val="15"/>
              </w:rPr>
            </w:pPr>
            <w:r>
              <w:rPr>
                <w:rFonts w:ascii="Times New Roman"/>
                <w:spacing w:val="-1"/>
                <w:sz w:val="15"/>
              </w:rPr>
              <w:t>79,383,251.29</w:t>
            </w:r>
          </w:p>
        </w:tc>
      </w:tr>
      <w:tr>
        <w:trPr>
          <w:trHeight w:val="299" w:hRule="exact"/>
        </w:trPr>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6"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13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4,806,832.49</w:t>
            </w:r>
            <w:r>
              <w:rPr>
                <w:rFonts w:ascii="Times New Roman"/>
                <w:spacing w:val="-1"/>
                <w:sz w:val="15"/>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6,349,806.98</w:t>
            </w:r>
            <w:r>
              <w:rPr>
                <w:rFonts w:ascii="Times New Roman"/>
                <w:spacing w:val="-1"/>
                <w:sz w:val="15"/>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88"/>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88,935,674.69</w:t>
            </w:r>
            <w:r>
              <w:rPr>
                <w:rFonts w:ascii="Times New Roman"/>
                <w:spacing w:val="-1"/>
                <w:sz w:val="15"/>
              </w:rPr>
            </w:r>
          </w:p>
        </w:tc>
      </w:tr>
    </w:tbl>
    <w:p>
      <w:pPr>
        <w:spacing w:line="240" w:lineRule="auto" w:before="12"/>
        <w:rPr>
          <w:rFonts w:ascii="宋体" w:hAnsi="宋体" w:cs="宋体" w:eastAsia="宋体" w:hint="default"/>
          <w:sz w:val="11"/>
          <w:szCs w:val="11"/>
        </w:rPr>
      </w:pPr>
    </w:p>
    <w:p>
      <w:pPr>
        <w:pStyle w:val="BodyText"/>
        <w:spacing w:line="240" w:lineRule="auto" w:before="44"/>
        <w:ind w:right="1117"/>
        <w:jc w:val="left"/>
      </w:pPr>
      <w:bookmarkStart w:name="（3）重要的非全资子公司的主要财务信息" w:id="250"/>
      <w:bookmarkEnd w:id="250"/>
      <w:r>
        <w:rPr/>
      </w:r>
      <w:r>
        <w:rPr/>
        <w:t>（</w:t>
      </w:r>
      <w:r>
        <w:rPr>
          <w:rFonts w:ascii="Times New Roman" w:hAnsi="Times New Roman" w:cs="Times New Roman" w:eastAsia="Times New Roman" w:hint="default"/>
        </w:rPr>
        <w:t>3</w:t>
      </w:r>
      <w:r>
        <w:rPr/>
        <w:t>）重要的非全资子公司的主要财务信息</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1846"/>
        <w:gridCol w:w="2048"/>
        <w:gridCol w:w="1899"/>
        <w:gridCol w:w="1740"/>
        <w:gridCol w:w="1898"/>
      </w:tblGrid>
      <w:tr>
        <w:trPr>
          <w:trHeight w:val="290" w:hRule="exact"/>
        </w:trPr>
        <w:tc>
          <w:tcPr>
            <w:tcW w:w="943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4824"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tc>
      </w:tr>
      <w:tr>
        <w:trPr>
          <w:trHeight w:val="782" w:hRule="exact"/>
        </w:trPr>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74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48" w:type="dxa"/>
            <w:tcBorders>
              <w:top w:val="nil" w:sz="6" w:space="0" w:color="auto"/>
              <w:left w:val="nil" w:sz="6" w:space="0" w:color="auto"/>
              <w:bottom w:val="single" w:sz="4" w:space="0" w:color="000000"/>
              <w:right w:val="nil" w:sz="6" w:space="0" w:color="auto"/>
            </w:tcBorders>
          </w:tcPr>
          <w:p>
            <w:pPr>
              <w:pStyle w:val="TableParagraph"/>
              <w:spacing w:line="367" w:lineRule="auto" w:before="95"/>
              <w:ind w:left="659" w:right="122" w:hanging="362"/>
              <w:jc w:val="left"/>
              <w:rPr>
                <w:rFonts w:ascii="宋体" w:hAnsi="宋体" w:cs="宋体" w:eastAsia="宋体" w:hint="default"/>
                <w:sz w:val="18"/>
                <w:szCs w:val="18"/>
              </w:rPr>
            </w:pPr>
            <w:r>
              <w:rPr>
                <w:rFonts w:ascii="宋体" w:hAnsi="宋体" w:cs="宋体" w:eastAsia="宋体" w:hint="default"/>
                <w:b/>
                <w:bCs/>
                <w:sz w:val="18"/>
                <w:szCs w:val="18"/>
              </w:rPr>
              <w:t>广州天瑞文化传播有</w:t>
            </w:r>
            <w:r>
              <w:rPr>
                <w:rFonts w:ascii="宋体" w:hAnsi="宋体" w:cs="宋体" w:eastAsia="宋体" w:hint="default"/>
                <w:b/>
                <w:bCs/>
                <w:w w:val="99"/>
                <w:sz w:val="18"/>
                <w:szCs w:val="18"/>
              </w:rPr>
              <w:t> </w:t>
            </w:r>
            <w:r>
              <w:rPr>
                <w:rFonts w:ascii="宋体" w:hAnsi="宋体" w:cs="宋体" w:eastAsia="宋体" w:hint="default"/>
                <w:b/>
                <w:bCs/>
                <w:sz w:val="18"/>
                <w:szCs w:val="18"/>
              </w:rPr>
              <w:t>限责任公司</w:t>
            </w:r>
            <w:r>
              <w:rPr>
                <w:rFonts w:ascii="宋体" w:hAnsi="宋体" w:cs="宋体" w:eastAsia="宋体" w:hint="default"/>
                <w:sz w:val="18"/>
                <w:szCs w:val="18"/>
              </w:rPr>
            </w:r>
          </w:p>
        </w:tc>
        <w:tc>
          <w:tcPr>
            <w:tcW w:w="1899" w:type="dxa"/>
            <w:tcBorders>
              <w:top w:val="nil" w:sz="6" w:space="0" w:color="auto"/>
              <w:left w:val="nil" w:sz="6" w:space="0" w:color="auto"/>
              <w:bottom w:val="single" w:sz="4" w:space="0" w:color="000000"/>
              <w:right w:val="nil" w:sz="6" w:space="0" w:color="auto"/>
            </w:tcBorders>
          </w:tcPr>
          <w:p>
            <w:pPr>
              <w:pStyle w:val="TableParagraph"/>
              <w:spacing w:line="367" w:lineRule="auto" w:before="95"/>
              <w:ind w:left="485" w:right="147" w:hanging="362"/>
              <w:jc w:val="left"/>
              <w:rPr>
                <w:rFonts w:ascii="宋体" w:hAnsi="宋体" w:cs="宋体" w:eastAsia="宋体" w:hint="default"/>
                <w:sz w:val="18"/>
                <w:szCs w:val="18"/>
              </w:rPr>
            </w:pPr>
            <w:r>
              <w:rPr>
                <w:rFonts w:ascii="宋体" w:hAnsi="宋体" w:cs="宋体" w:eastAsia="宋体" w:hint="default"/>
                <w:b/>
                <w:bCs/>
                <w:sz w:val="18"/>
                <w:szCs w:val="18"/>
              </w:rPr>
              <w:t>北京神奇领域信息技</w:t>
            </w:r>
            <w:r>
              <w:rPr>
                <w:rFonts w:ascii="宋体" w:hAnsi="宋体" w:cs="宋体" w:eastAsia="宋体" w:hint="default"/>
                <w:b/>
                <w:bCs/>
                <w:w w:val="99"/>
                <w:sz w:val="18"/>
                <w:szCs w:val="18"/>
              </w:rPr>
              <w:t> </w:t>
            </w:r>
            <w:r>
              <w:rPr>
                <w:rFonts w:ascii="宋体" w:hAnsi="宋体" w:cs="宋体" w:eastAsia="宋体" w:hint="default"/>
                <w:b/>
                <w:bCs/>
                <w:sz w:val="18"/>
                <w:szCs w:val="18"/>
              </w:rPr>
              <w:t>术有限公司</w:t>
            </w:r>
            <w:r>
              <w:rPr>
                <w:rFonts w:ascii="宋体" w:hAnsi="宋体" w:cs="宋体" w:eastAsia="宋体" w:hint="default"/>
                <w:sz w:val="18"/>
                <w:szCs w:val="18"/>
              </w:rPr>
            </w:r>
          </w:p>
        </w:tc>
        <w:tc>
          <w:tcPr>
            <w:tcW w:w="1740" w:type="dxa"/>
            <w:tcBorders>
              <w:top w:val="nil" w:sz="6" w:space="0" w:color="auto"/>
              <w:left w:val="nil" w:sz="6" w:space="0" w:color="auto"/>
              <w:bottom w:val="single" w:sz="4" w:space="0" w:color="000000"/>
              <w:right w:val="nil" w:sz="6" w:space="0" w:color="auto"/>
            </w:tcBorders>
          </w:tcPr>
          <w:p>
            <w:pPr>
              <w:pStyle w:val="TableParagraph"/>
              <w:spacing w:line="367" w:lineRule="auto" w:before="95"/>
              <w:ind w:left="330" w:right="144" w:hanging="182"/>
              <w:jc w:val="left"/>
              <w:rPr>
                <w:rFonts w:ascii="宋体" w:hAnsi="宋体" w:cs="宋体" w:eastAsia="宋体" w:hint="default"/>
                <w:sz w:val="18"/>
                <w:szCs w:val="18"/>
              </w:rPr>
            </w:pPr>
            <w:r>
              <w:rPr>
                <w:rFonts w:ascii="宋体" w:hAnsi="宋体" w:cs="宋体" w:eastAsia="宋体" w:hint="default"/>
                <w:b/>
                <w:bCs/>
                <w:sz w:val="18"/>
                <w:szCs w:val="18"/>
              </w:rPr>
              <w:t>北京永载文化传播</w:t>
            </w:r>
            <w:r>
              <w:rPr>
                <w:rFonts w:ascii="宋体" w:hAnsi="宋体" w:cs="宋体" w:eastAsia="宋体" w:hint="default"/>
                <w:b/>
                <w:bCs/>
                <w:w w:val="99"/>
                <w:sz w:val="18"/>
                <w:szCs w:val="18"/>
              </w:rPr>
              <w:t> </w:t>
            </w:r>
            <w:r>
              <w:rPr>
                <w:rFonts w:ascii="宋体" w:hAnsi="宋体" w:cs="宋体" w:eastAsia="宋体" w:hint="default"/>
                <w:b/>
                <w:bCs/>
                <w:sz w:val="18"/>
                <w:szCs w:val="18"/>
              </w:rPr>
              <w:t>有限责任公司</w:t>
            </w:r>
            <w:r>
              <w:rPr>
                <w:rFonts w:ascii="宋体" w:hAnsi="宋体" w:cs="宋体" w:eastAsia="宋体" w:hint="default"/>
                <w:sz w:val="18"/>
                <w:szCs w:val="18"/>
              </w:rPr>
            </w:r>
          </w:p>
        </w:tc>
        <w:tc>
          <w:tcPr>
            <w:tcW w:w="1898" w:type="dxa"/>
            <w:tcBorders>
              <w:top w:val="nil" w:sz="6" w:space="0" w:color="auto"/>
              <w:left w:val="nil" w:sz="6" w:space="0" w:color="auto"/>
              <w:bottom w:val="single" w:sz="4" w:space="0" w:color="000000"/>
              <w:right w:val="nil" w:sz="6" w:space="0" w:color="auto"/>
            </w:tcBorders>
          </w:tcPr>
          <w:p>
            <w:pPr>
              <w:pStyle w:val="TableParagraph"/>
              <w:spacing w:line="367" w:lineRule="auto" w:before="95"/>
              <w:ind w:left="688" w:right="124" w:hanging="543"/>
              <w:jc w:val="left"/>
              <w:rPr>
                <w:rFonts w:ascii="宋体" w:hAnsi="宋体" w:cs="宋体" w:eastAsia="宋体" w:hint="default"/>
                <w:sz w:val="18"/>
                <w:szCs w:val="18"/>
              </w:rPr>
            </w:pPr>
            <w:r>
              <w:rPr>
                <w:rFonts w:ascii="宋体" w:hAnsi="宋体" w:cs="宋体" w:eastAsia="宋体" w:hint="default"/>
                <w:b/>
                <w:bCs/>
                <w:sz w:val="18"/>
                <w:szCs w:val="18"/>
              </w:rPr>
              <w:t>人民今典科教传媒有</w:t>
            </w:r>
            <w:r>
              <w:rPr>
                <w:rFonts w:ascii="宋体" w:hAnsi="宋体" w:cs="宋体" w:eastAsia="宋体" w:hint="default"/>
                <w:b/>
                <w:bCs/>
                <w:w w:val="99"/>
                <w:sz w:val="18"/>
                <w:szCs w:val="18"/>
              </w:rPr>
              <w:t> </w:t>
            </w:r>
            <w:r>
              <w:rPr>
                <w:rFonts w:ascii="宋体" w:hAnsi="宋体" w:cs="宋体" w:eastAsia="宋体" w:hint="default"/>
                <w:b/>
                <w:bCs/>
                <w:sz w:val="18"/>
                <w:szCs w:val="18"/>
              </w:rPr>
              <w:t>限公司</w:t>
            </w:r>
            <w:r>
              <w:rPr>
                <w:rFonts w:ascii="宋体" w:hAnsi="宋体" w:cs="宋体" w:eastAsia="宋体" w:hint="default"/>
                <w:sz w:val="18"/>
                <w:szCs w:val="18"/>
              </w:rPr>
            </w:r>
          </w:p>
        </w:tc>
      </w:tr>
      <w:tr>
        <w:trPr>
          <w:trHeight w:val="493" w:hRule="exact"/>
        </w:trPr>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4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78"/>
              <w:jc w:val="right"/>
              <w:rPr>
                <w:rFonts w:ascii="Times New Roman" w:hAnsi="Times New Roman" w:cs="Times New Roman" w:eastAsia="Times New Roman" w:hint="default"/>
                <w:sz w:val="18"/>
                <w:szCs w:val="18"/>
              </w:rPr>
            </w:pPr>
            <w:r>
              <w:rPr>
                <w:rFonts w:ascii="Times New Roman"/>
                <w:spacing w:val="-1"/>
                <w:sz w:val="18"/>
              </w:rPr>
              <w:t>3,469,022.06</w:t>
            </w:r>
          </w:p>
        </w:tc>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91"/>
              <w:jc w:val="right"/>
              <w:rPr>
                <w:rFonts w:ascii="Times New Roman" w:hAnsi="Times New Roman" w:cs="Times New Roman" w:eastAsia="Times New Roman" w:hint="default"/>
                <w:sz w:val="18"/>
                <w:szCs w:val="18"/>
              </w:rPr>
            </w:pPr>
            <w:r>
              <w:rPr>
                <w:rFonts w:ascii="Times New Roman"/>
                <w:spacing w:val="-1"/>
                <w:sz w:val="18"/>
              </w:rPr>
              <w:t>16,510,862.48</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50"/>
              <w:jc w:val="right"/>
              <w:rPr>
                <w:rFonts w:ascii="Times New Roman" w:hAnsi="Times New Roman" w:cs="Times New Roman" w:eastAsia="Times New Roman" w:hint="default"/>
                <w:sz w:val="18"/>
                <w:szCs w:val="18"/>
              </w:rPr>
            </w:pPr>
            <w:r>
              <w:rPr>
                <w:rFonts w:ascii="Times New Roman"/>
                <w:spacing w:val="-1"/>
                <w:sz w:val="18"/>
              </w:rPr>
              <w:t>75,201,125.02</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73"/>
              <w:jc w:val="right"/>
              <w:rPr>
                <w:rFonts w:ascii="Times New Roman" w:hAnsi="Times New Roman" w:cs="Times New Roman" w:eastAsia="Times New Roman" w:hint="default"/>
                <w:sz w:val="18"/>
                <w:szCs w:val="18"/>
              </w:rPr>
            </w:pPr>
            <w:r>
              <w:rPr>
                <w:rFonts w:ascii="Times New Roman"/>
                <w:spacing w:val="-1"/>
                <w:sz w:val="18"/>
              </w:rPr>
              <w:t>108,879,872.46</w:t>
            </w:r>
          </w:p>
        </w:tc>
      </w:tr>
      <w:tr>
        <w:trPr>
          <w:trHeight w:val="440"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8"/>
              <w:jc w:val="right"/>
              <w:rPr>
                <w:rFonts w:ascii="Times New Roman" w:hAnsi="Times New Roman" w:cs="Times New Roman" w:eastAsia="Times New Roman" w:hint="default"/>
                <w:sz w:val="18"/>
                <w:szCs w:val="18"/>
              </w:rPr>
            </w:pPr>
            <w:r>
              <w:rPr>
                <w:rFonts w:ascii="Times New Roman"/>
                <w:spacing w:val="-1"/>
                <w:sz w:val="18"/>
              </w:rPr>
              <w:t>3,384,566.57</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1"/>
              <w:jc w:val="right"/>
              <w:rPr>
                <w:rFonts w:ascii="Times New Roman" w:hAnsi="Times New Roman" w:cs="Times New Roman" w:eastAsia="Times New Roman" w:hint="default"/>
                <w:sz w:val="18"/>
                <w:szCs w:val="18"/>
              </w:rPr>
            </w:pPr>
            <w:r>
              <w:rPr>
                <w:rFonts w:ascii="Times New Roman"/>
                <w:sz w:val="18"/>
              </w:rPr>
              <w:t>773,693.36</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0"/>
              <w:jc w:val="right"/>
              <w:rPr>
                <w:rFonts w:ascii="Times New Roman" w:hAnsi="Times New Roman" w:cs="Times New Roman" w:eastAsia="Times New Roman" w:hint="default"/>
                <w:sz w:val="18"/>
                <w:szCs w:val="18"/>
              </w:rPr>
            </w:pPr>
            <w:r>
              <w:rPr>
                <w:rFonts w:ascii="Times New Roman"/>
                <w:spacing w:val="-1"/>
                <w:sz w:val="18"/>
              </w:rPr>
              <w:t>2,517,795.94</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8"/>
                <w:szCs w:val="18"/>
              </w:rPr>
            </w:pPr>
            <w:r>
              <w:rPr>
                <w:rFonts w:ascii="Times New Roman"/>
                <w:spacing w:val="-1"/>
                <w:sz w:val="18"/>
              </w:rPr>
              <w:t>77,757,075.65</w:t>
            </w:r>
          </w:p>
        </w:tc>
      </w:tr>
      <w:tr>
        <w:trPr>
          <w:trHeight w:val="440"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6,853,588.63</w:t>
            </w:r>
            <w:r>
              <w:rPr>
                <w:rFonts w:ascii="Times New Roman"/>
                <w:spacing w:val="-1"/>
                <w:sz w:val="18"/>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17,284,555.84</w:t>
            </w:r>
            <w:r>
              <w:rPr>
                <w:rFonts w:ascii="Times New Roman"/>
                <w:spacing w:val="-1"/>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77,718,920.96</w:t>
            </w:r>
            <w:r>
              <w:rPr>
                <w:rFonts w:ascii="Times New Roman"/>
                <w:spacing w:val="-1"/>
                <w:sz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186,636,948.11</w:t>
            </w:r>
            <w:r>
              <w:rPr>
                <w:rFonts w:ascii="Times New Roman"/>
                <w:spacing w:val="-1"/>
                <w:sz w:val="18"/>
              </w:rPr>
            </w:r>
          </w:p>
        </w:tc>
      </w:tr>
      <w:tr>
        <w:trPr>
          <w:trHeight w:val="440"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8"/>
              <w:jc w:val="right"/>
              <w:rPr>
                <w:rFonts w:ascii="Times New Roman" w:hAnsi="Times New Roman" w:cs="Times New Roman" w:eastAsia="Times New Roman" w:hint="default"/>
                <w:sz w:val="18"/>
                <w:szCs w:val="18"/>
              </w:rPr>
            </w:pPr>
            <w:r>
              <w:rPr>
                <w:rFonts w:ascii="Times New Roman"/>
                <w:spacing w:val="-1"/>
                <w:sz w:val="18"/>
              </w:rPr>
              <w:t>3,295,123.61</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1"/>
              <w:jc w:val="right"/>
              <w:rPr>
                <w:rFonts w:ascii="Times New Roman" w:hAnsi="Times New Roman" w:cs="Times New Roman" w:eastAsia="Times New Roman" w:hint="default"/>
                <w:sz w:val="18"/>
                <w:szCs w:val="18"/>
              </w:rPr>
            </w:pPr>
            <w:r>
              <w:rPr>
                <w:rFonts w:ascii="Times New Roman"/>
                <w:spacing w:val="-1"/>
                <w:sz w:val="18"/>
              </w:rPr>
              <w:t>25,649,280.17</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
              <w:jc w:val="right"/>
              <w:rPr>
                <w:rFonts w:ascii="Times New Roman" w:hAnsi="Times New Roman" w:cs="Times New Roman" w:eastAsia="Times New Roman" w:hint="default"/>
                <w:sz w:val="18"/>
                <w:szCs w:val="18"/>
              </w:rPr>
            </w:pPr>
            <w:r>
              <w:rPr>
                <w:rFonts w:ascii="Times New Roman"/>
                <w:spacing w:val="-1"/>
                <w:sz w:val="18"/>
              </w:rPr>
              <w:t>55,438,760.10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3"/>
              <w:jc w:val="right"/>
              <w:rPr>
                <w:rFonts w:ascii="Times New Roman" w:hAnsi="Times New Roman" w:cs="Times New Roman" w:eastAsia="Times New Roman" w:hint="default"/>
                <w:sz w:val="18"/>
                <w:szCs w:val="18"/>
              </w:rPr>
            </w:pPr>
            <w:r>
              <w:rPr>
                <w:rFonts w:ascii="Times New Roman"/>
                <w:spacing w:val="-1"/>
                <w:sz w:val="18"/>
              </w:rPr>
              <w:t>24,630,312.83</w:t>
            </w:r>
          </w:p>
        </w:tc>
      </w:tr>
      <w:tr>
        <w:trPr>
          <w:trHeight w:val="435"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48"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46"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3,295,123.61</w:t>
            </w:r>
            <w:r>
              <w:rPr>
                <w:rFonts w:ascii="Times New Roman"/>
                <w:spacing w:val="-1"/>
                <w:sz w:val="18"/>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25,649,280.17</w:t>
            </w:r>
            <w:r>
              <w:rPr>
                <w:rFonts w:ascii="Times New Roman"/>
                <w:spacing w:val="-1"/>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55,438,760.10</w:t>
            </w:r>
            <w:r>
              <w:rPr>
                <w:rFonts w:ascii="Times New Roman"/>
                <w:spacing w:val="-1"/>
                <w:sz w:val="18"/>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24,630,312.83</w:t>
            </w:r>
            <w:r>
              <w:rPr>
                <w:rFonts w:ascii="Times New Roman"/>
                <w:spacing w:val="-1"/>
                <w:sz w:val="18"/>
              </w:rPr>
            </w:r>
          </w:p>
        </w:tc>
      </w:tr>
      <w:tr>
        <w:trPr>
          <w:trHeight w:val="440"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8"/>
              <w:jc w:val="right"/>
              <w:rPr>
                <w:rFonts w:ascii="Times New Roman" w:hAnsi="Times New Roman" w:cs="Times New Roman" w:eastAsia="Times New Roman" w:hint="default"/>
                <w:sz w:val="18"/>
                <w:szCs w:val="18"/>
              </w:rPr>
            </w:pPr>
            <w:r>
              <w:rPr>
                <w:rFonts w:ascii="Times New Roman"/>
                <w:spacing w:val="-1"/>
                <w:sz w:val="18"/>
              </w:rPr>
              <w:t>7,224,518.45</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1"/>
              <w:jc w:val="right"/>
              <w:rPr>
                <w:rFonts w:ascii="Times New Roman" w:hAnsi="Times New Roman" w:cs="Times New Roman" w:eastAsia="Times New Roman" w:hint="default"/>
                <w:sz w:val="18"/>
                <w:szCs w:val="18"/>
              </w:rPr>
            </w:pPr>
            <w:r>
              <w:rPr>
                <w:rFonts w:ascii="Times New Roman"/>
                <w:sz w:val="18"/>
              </w:rPr>
              <w:t>29,126.21</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
              <w:jc w:val="right"/>
              <w:rPr>
                <w:rFonts w:ascii="Times New Roman" w:hAnsi="Times New Roman" w:cs="Times New Roman" w:eastAsia="Times New Roman" w:hint="default"/>
                <w:sz w:val="18"/>
                <w:szCs w:val="18"/>
              </w:rPr>
            </w:pPr>
            <w:r>
              <w:rPr>
                <w:rFonts w:ascii="Times New Roman"/>
                <w:spacing w:val="-1"/>
                <w:sz w:val="18"/>
              </w:rPr>
              <w:t>90,697,320.48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3"/>
              <w:jc w:val="right"/>
              <w:rPr>
                <w:rFonts w:ascii="Times New Roman" w:hAnsi="Times New Roman" w:cs="Times New Roman" w:eastAsia="Times New Roman" w:hint="default"/>
                <w:sz w:val="18"/>
                <w:szCs w:val="18"/>
              </w:rPr>
            </w:pPr>
            <w:r>
              <w:rPr>
                <w:rFonts w:ascii="Times New Roman"/>
                <w:spacing w:val="-1"/>
                <w:sz w:val="18"/>
              </w:rPr>
              <w:t>102,189,012.72</w:t>
            </w:r>
          </w:p>
        </w:tc>
      </w:tr>
      <w:tr>
        <w:trPr>
          <w:trHeight w:val="440"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8"/>
              <w:jc w:val="right"/>
              <w:rPr>
                <w:rFonts w:ascii="Times New Roman" w:hAnsi="Times New Roman" w:cs="Times New Roman" w:eastAsia="Times New Roman" w:hint="default"/>
                <w:sz w:val="18"/>
                <w:szCs w:val="18"/>
              </w:rPr>
            </w:pPr>
            <w:r>
              <w:rPr>
                <w:rFonts w:ascii="Times New Roman"/>
                <w:sz w:val="18"/>
              </w:rPr>
              <w:t>69,050.75</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1"/>
              <w:jc w:val="right"/>
              <w:rPr>
                <w:rFonts w:ascii="Times New Roman" w:hAnsi="Times New Roman" w:cs="Times New Roman" w:eastAsia="Times New Roman" w:hint="default"/>
                <w:sz w:val="18"/>
                <w:szCs w:val="18"/>
              </w:rPr>
            </w:pPr>
            <w:r>
              <w:rPr>
                <w:rFonts w:ascii="Times New Roman"/>
                <w:spacing w:val="-1"/>
                <w:sz w:val="18"/>
              </w:rPr>
              <w:t>-14,891,194.99</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0"/>
              <w:jc w:val="right"/>
              <w:rPr>
                <w:rFonts w:ascii="Times New Roman" w:hAnsi="Times New Roman" w:cs="Times New Roman" w:eastAsia="Times New Roman" w:hint="default"/>
                <w:sz w:val="18"/>
                <w:szCs w:val="18"/>
              </w:rPr>
            </w:pPr>
            <w:r>
              <w:rPr>
                <w:rFonts w:ascii="Times New Roman"/>
                <w:spacing w:val="-1"/>
                <w:sz w:val="18"/>
              </w:rPr>
              <w:t>2,847,914.06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8"/>
                <w:szCs w:val="18"/>
              </w:rPr>
            </w:pPr>
            <w:r>
              <w:rPr>
                <w:rFonts w:ascii="Times New Roman"/>
                <w:spacing w:val="-1"/>
                <w:sz w:val="18"/>
              </w:rPr>
              <w:t>17,035,644.81</w:t>
            </w:r>
          </w:p>
        </w:tc>
      </w:tr>
      <w:tr>
        <w:trPr>
          <w:trHeight w:val="440"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8"/>
              <w:jc w:val="right"/>
              <w:rPr>
                <w:rFonts w:ascii="Times New Roman" w:hAnsi="Times New Roman" w:cs="Times New Roman" w:eastAsia="Times New Roman" w:hint="default"/>
                <w:sz w:val="18"/>
                <w:szCs w:val="18"/>
              </w:rPr>
            </w:pPr>
            <w:r>
              <w:rPr>
                <w:rFonts w:ascii="Times New Roman"/>
                <w:sz w:val="18"/>
              </w:rPr>
              <w:t>69,050.75</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1"/>
              <w:jc w:val="right"/>
              <w:rPr>
                <w:rFonts w:ascii="Times New Roman" w:hAnsi="Times New Roman" w:cs="Times New Roman" w:eastAsia="Times New Roman" w:hint="default"/>
                <w:sz w:val="18"/>
                <w:szCs w:val="18"/>
              </w:rPr>
            </w:pPr>
            <w:r>
              <w:rPr>
                <w:rFonts w:ascii="Times New Roman"/>
                <w:spacing w:val="-1"/>
                <w:sz w:val="18"/>
              </w:rPr>
              <w:t>-14,891,194.99</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
              <w:jc w:val="right"/>
              <w:rPr>
                <w:rFonts w:ascii="Times New Roman" w:hAnsi="Times New Roman" w:cs="Times New Roman" w:eastAsia="Times New Roman" w:hint="default"/>
                <w:sz w:val="18"/>
                <w:szCs w:val="18"/>
              </w:rPr>
            </w:pPr>
            <w:r>
              <w:rPr>
                <w:rFonts w:ascii="Times New Roman"/>
                <w:spacing w:val="-1"/>
                <w:sz w:val="18"/>
              </w:rPr>
              <w:t>2,847,914.06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3"/>
              <w:jc w:val="right"/>
              <w:rPr>
                <w:rFonts w:ascii="Times New Roman" w:hAnsi="Times New Roman" w:cs="Times New Roman" w:eastAsia="Times New Roman" w:hint="default"/>
                <w:sz w:val="18"/>
                <w:szCs w:val="18"/>
              </w:rPr>
            </w:pPr>
            <w:r>
              <w:rPr>
                <w:rFonts w:ascii="Times New Roman"/>
                <w:spacing w:val="-1"/>
                <w:sz w:val="18"/>
              </w:rPr>
              <w:t>17,035,644.81</w:t>
            </w:r>
          </w:p>
        </w:tc>
      </w:tr>
      <w:tr>
        <w:trPr>
          <w:trHeight w:val="315" w:hRule="exact"/>
        </w:trPr>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8"/>
              <w:jc w:val="right"/>
              <w:rPr>
                <w:rFonts w:ascii="Times New Roman" w:hAnsi="Times New Roman" w:cs="Times New Roman" w:eastAsia="Times New Roman" w:hint="default"/>
                <w:sz w:val="18"/>
                <w:szCs w:val="18"/>
              </w:rPr>
            </w:pPr>
            <w:r>
              <w:rPr>
                <w:rFonts w:ascii="Times New Roman"/>
                <w:spacing w:val="-1"/>
                <w:sz w:val="18"/>
              </w:rPr>
              <w:t>1,043,145.75</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pacing w:val="-1"/>
                <w:sz w:val="18"/>
              </w:rPr>
              <w:t>9,710,307.33</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
              <w:jc w:val="right"/>
              <w:rPr>
                <w:rFonts w:ascii="Times New Roman" w:hAnsi="Times New Roman" w:cs="Times New Roman" w:eastAsia="Times New Roman" w:hint="default"/>
                <w:sz w:val="18"/>
                <w:szCs w:val="18"/>
              </w:rPr>
            </w:pPr>
            <w:r>
              <w:rPr>
                <w:rFonts w:ascii="Times New Roman"/>
                <w:spacing w:val="-1"/>
                <w:sz w:val="18"/>
              </w:rPr>
              <w:t>-8,638,920.05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3"/>
              <w:jc w:val="right"/>
              <w:rPr>
                <w:rFonts w:ascii="Times New Roman" w:hAnsi="Times New Roman" w:cs="Times New Roman" w:eastAsia="Times New Roman" w:hint="default"/>
                <w:sz w:val="18"/>
                <w:szCs w:val="18"/>
              </w:rPr>
            </w:pPr>
            <w:r>
              <w:rPr>
                <w:rFonts w:ascii="Times New Roman"/>
                <w:spacing w:val="-1"/>
                <w:sz w:val="18"/>
              </w:rPr>
              <w:t>-19,410,570.91</w:t>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接上表：</w:t>
      </w:r>
    </w:p>
    <w:p>
      <w:pPr>
        <w:spacing w:line="240" w:lineRule="auto" w:before="10"/>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1775"/>
        <w:gridCol w:w="2089"/>
        <w:gridCol w:w="1935"/>
        <w:gridCol w:w="1753"/>
        <w:gridCol w:w="1879"/>
      </w:tblGrid>
      <w:tr>
        <w:trPr>
          <w:trHeight w:val="290" w:hRule="exact"/>
        </w:trPr>
        <w:tc>
          <w:tcPr>
            <w:tcW w:w="943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4841"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r>
      <w:tr>
        <w:trPr>
          <w:trHeight w:val="782" w:hRule="exact"/>
        </w:trPr>
        <w:tc>
          <w:tcPr>
            <w:tcW w:w="177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758"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89" w:type="dxa"/>
            <w:tcBorders>
              <w:top w:val="nil" w:sz="6" w:space="0" w:color="auto"/>
              <w:left w:val="nil" w:sz="6" w:space="0" w:color="auto"/>
              <w:bottom w:val="single" w:sz="4" w:space="0" w:color="000000"/>
              <w:right w:val="nil" w:sz="6" w:space="0" w:color="auto"/>
            </w:tcBorders>
          </w:tcPr>
          <w:p>
            <w:pPr>
              <w:pStyle w:val="TableParagraph"/>
              <w:spacing w:line="367" w:lineRule="auto" w:before="94"/>
              <w:ind w:left="655" w:right="168" w:hanging="182"/>
              <w:jc w:val="left"/>
              <w:rPr>
                <w:rFonts w:ascii="宋体" w:hAnsi="宋体" w:cs="宋体" w:eastAsia="宋体" w:hint="default"/>
                <w:sz w:val="18"/>
                <w:szCs w:val="18"/>
              </w:rPr>
            </w:pPr>
            <w:r>
              <w:rPr>
                <w:rFonts w:ascii="宋体" w:hAnsi="宋体" w:cs="宋体" w:eastAsia="宋体" w:hint="default"/>
                <w:b/>
                <w:bCs/>
                <w:sz w:val="18"/>
                <w:szCs w:val="18"/>
              </w:rPr>
              <w:t>广州天瑞文化传播</w:t>
            </w:r>
            <w:r>
              <w:rPr>
                <w:rFonts w:ascii="宋体" w:hAnsi="宋体" w:cs="宋体" w:eastAsia="宋体" w:hint="default"/>
                <w:b/>
                <w:bCs/>
                <w:w w:val="99"/>
                <w:sz w:val="18"/>
                <w:szCs w:val="18"/>
              </w:rPr>
              <w:t> </w:t>
            </w:r>
            <w:r>
              <w:rPr>
                <w:rFonts w:ascii="宋体" w:hAnsi="宋体" w:cs="宋体" w:eastAsia="宋体" w:hint="default"/>
                <w:b/>
                <w:bCs/>
                <w:sz w:val="18"/>
                <w:szCs w:val="18"/>
              </w:rPr>
              <w:t>有限责任公司</w:t>
            </w:r>
            <w:r>
              <w:rPr>
                <w:rFonts w:ascii="宋体" w:hAnsi="宋体" w:cs="宋体" w:eastAsia="宋体" w:hint="default"/>
                <w:sz w:val="18"/>
                <w:szCs w:val="18"/>
              </w:rPr>
            </w:r>
          </w:p>
        </w:tc>
        <w:tc>
          <w:tcPr>
            <w:tcW w:w="1935" w:type="dxa"/>
            <w:tcBorders>
              <w:top w:val="nil" w:sz="6" w:space="0" w:color="auto"/>
              <w:left w:val="nil" w:sz="6" w:space="0" w:color="auto"/>
              <w:bottom w:val="single" w:sz="4" w:space="0" w:color="000000"/>
              <w:right w:val="nil" w:sz="6" w:space="0" w:color="auto"/>
            </w:tcBorders>
          </w:tcPr>
          <w:p>
            <w:pPr>
              <w:pStyle w:val="TableParagraph"/>
              <w:spacing w:line="367" w:lineRule="auto" w:before="94"/>
              <w:ind w:left="514" w:right="154" w:hanging="362"/>
              <w:jc w:val="left"/>
              <w:rPr>
                <w:rFonts w:ascii="宋体" w:hAnsi="宋体" w:cs="宋体" w:eastAsia="宋体" w:hint="default"/>
                <w:sz w:val="18"/>
                <w:szCs w:val="18"/>
              </w:rPr>
            </w:pPr>
            <w:r>
              <w:rPr>
                <w:rFonts w:ascii="宋体" w:hAnsi="宋体" w:cs="宋体" w:eastAsia="宋体" w:hint="default"/>
                <w:b/>
                <w:bCs/>
                <w:sz w:val="18"/>
                <w:szCs w:val="18"/>
              </w:rPr>
              <w:t>北京神奇领域信息技</w:t>
            </w:r>
            <w:r>
              <w:rPr>
                <w:rFonts w:ascii="宋体" w:hAnsi="宋体" w:cs="宋体" w:eastAsia="宋体" w:hint="default"/>
                <w:b/>
                <w:bCs/>
                <w:w w:val="99"/>
                <w:sz w:val="18"/>
                <w:szCs w:val="18"/>
              </w:rPr>
              <w:t> </w:t>
            </w:r>
            <w:r>
              <w:rPr>
                <w:rFonts w:ascii="宋体" w:hAnsi="宋体" w:cs="宋体" w:eastAsia="宋体" w:hint="default"/>
                <w:b/>
                <w:bCs/>
                <w:sz w:val="18"/>
                <w:szCs w:val="18"/>
              </w:rPr>
              <w:t>术有限公司</w:t>
            </w:r>
            <w:r>
              <w:rPr>
                <w:rFonts w:ascii="宋体" w:hAnsi="宋体" w:cs="宋体" w:eastAsia="宋体" w:hint="default"/>
                <w:sz w:val="18"/>
                <w:szCs w:val="18"/>
              </w:rPr>
            </w:r>
          </w:p>
        </w:tc>
        <w:tc>
          <w:tcPr>
            <w:tcW w:w="1753" w:type="dxa"/>
            <w:tcBorders>
              <w:top w:val="nil" w:sz="6" w:space="0" w:color="auto"/>
              <w:left w:val="nil" w:sz="6" w:space="0" w:color="auto"/>
              <w:bottom w:val="single" w:sz="4" w:space="0" w:color="000000"/>
              <w:right w:val="nil" w:sz="6" w:space="0" w:color="auto"/>
            </w:tcBorders>
          </w:tcPr>
          <w:p>
            <w:pPr>
              <w:pStyle w:val="TableParagraph"/>
              <w:spacing w:line="367" w:lineRule="auto" w:before="94"/>
              <w:ind w:left="337" w:right="150" w:hanging="182"/>
              <w:jc w:val="left"/>
              <w:rPr>
                <w:rFonts w:ascii="宋体" w:hAnsi="宋体" w:cs="宋体" w:eastAsia="宋体" w:hint="default"/>
                <w:sz w:val="18"/>
                <w:szCs w:val="18"/>
              </w:rPr>
            </w:pPr>
            <w:r>
              <w:rPr>
                <w:rFonts w:ascii="宋体" w:hAnsi="宋体" w:cs="宋体" w:eastAsia="宋体" w:hint="default"/>
                <w:b/>
                <w:bCs/>
                <w:sz w:val="18"/>
                <w:szCs w:val="18"/>
              </w:rPr>
              <w:t>北京永载文化传播</w:t>
            </w:r>
            <w:r>
              <w:rPr>
                <w:rFonts w:ascii="宋体" w:hAnsi="宋体" w:cs="宋体" w:eastAsia="宋体" w:hint="default"/>
                <w:b/>
                <w:bCs/>
                <w:w w:val="99"/>
                <w:sz w:val="18"/>
                <w:szCs w:val="18"/>
              </w:rPr>
              <w:t> </w:t>
            </w:r>
            <w:r>
              <w:rPr>
                <w:rFonts w:ascii="宋体" w:hAnsi="宋体" w:cs="宋体" w:eastAsia="宋体" w:hint="default"/>
                <w:b/>
                <w:bCs/>
                <w:sz w:val="18"/>
                <w:szCs w:val="18"/>
              </w:rPr>
              <w:t>有限责任公司</w:t>
            </w:r>
            <w:r>
              <w:rPr>
                <w:rFonts w:ascii="宋体" w:hAnsi="宋体" w:cs="宋体" w:eastAsia="宋体" w:hint="default"/>
                <w:sz w:val="18"/>
                <w:szCs w:val="18"/>
              </w:rPr>
            </w:r>
          </w:p>
        </w:tc>
        <w:tc>
          <w:tcPr>
            <w:tcW w:w="1879" w:type="dxa"/>
            <w:tcBorders>
              <w:top w:val="nil" w:sz="6" w:space="0" w:color="auto"/>
              <w:left w:val="nil" w:sz="6" w:space="0" w:color="auto"/>
              <w:bottom w:val="single" w:sz="4" w:space="0" w:color="000000"/>
              <w:right w:val="nil" w:sz="6" w:space="0" w:color="auto"/>
            </w:tcBorders>
          </w:tcPr>
          <w:p>
            <w:pPr>
              <w:pStyle w:val="TableParagraph"/>
              <w:spacing w:line="367" w:lineRule="auto" w:before="94"/>
              <w:ind w:left="685" w:right="110" w:hanging="543"/>
              <w:jc w:val="left"/>
              <w:rPr>
                <w:rFonts w:ascii="宋体" w:hAnsi="宋体" w:cs="宋体" w:eastAsia="宋体" w:hint="default"/>
                <w:sz w:val="18"/>
                <w:szCs w:val="18"/>
              </w:rPr>
            </w:pPr>
            <w:r>
              <w:rPr>
                <w:rFonts w:ascii="宋体" w:hAnsi="宋体" w:cs="宋体" w:eastAsia="宋体" w:hint="default"/>
                <w:b/>
                <w:bCs/>
                <w:sz w:val="18"/>
                <w:szCs w:val="18"/>
              </w:rPr>
              <w:t>人民今典科教传媒有</w:t>
            </w:r>
            <w:r>
              <w:rPr>
                <w:rFonts w:ascii="宋体" w:hAnsi="宋体" w:cs="宋体" w:eastAsia="宋体" w:hint="default"/>
                <w:b/>
                <w:bCs/>
                <w:w w:val="99"/>
                <w:sz w:val="18"/>
                <w:szCs w:val="18"/>
              </w:rPr>
              <w:t> </w:t>
            </w:r>
            <w:r>
              <w:rPr>
                <w:rFonts w:ascii="宋体" w:hAnsi="宋体" w:cs="宋体" w:eastAsia="宋体" w:hint="default"/>
                <w:b/>
                <w:bCs/>
                <w:sz w:val="18"/>
                <w:szCs w:val="18"/>
              </w:rPr>
              <w:t>限公司</w:t>
            </w:r>
            <w:r>
              <w:rPr>
                <w:rFonts w:ascii="宋体" w:hAnsi="宋体" w:cs="宋体" w:eastAsia="宋体" w:hint="default"/>
                <w:sz w:val="18"/>
                <w:szCs w:val="18"/>
              </w:rPr>
            </w:r>
          </w:p>
        </w:tc>
      </w:tr>
      <w:tr>
        <w:trPr>
          <w:trHeight w:val="493" w:hRule="exact"/>
        </w:trPr>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52"/>
              <w:jc w:val="right"/>
              <w:rPr>
                <w:rFonts w:ascii="Times New Roman" w:hAnsi="Times New Roman" w:cs="Times New Roman" w:eastAsia="Times New Roman" w:hint="default"/>
                <w:sz w:val="18"/>
                <w:szCs w:val="18"/>
              </w:rPr>
            </w:pPr>
            <w:r>
              <w:rPr>
                <w:rFonts w:ascii="Times New Roman"/>
                <w:spacing w:val="-1"/>
                <w:sz w:val="18"/>
              </w:rPr>
              <w:t>4,034,189.29</w:t>
            </w:r>
          </w:p>
        </w:tc>
        <w:tc>
          <w:tcPr>
            <w:tcW w:w="193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98"/>
              <w:jc w:val="right"/>
              <w:rPr>
                <w:rFonts w:ascii="Times New Roman" w:hAnsi="Times New Roman" w:cs="Times New Roman" w:eastAsia="Times New Roman" w:hint="default"/>
                <w:sz w:val="18"/>
                <w:szCs w:val="18"/>
              </w:rPr>
            </w:pPr>
            <w:r>
              <w:rPr>
                <w:rFonts w:ascii="Times New Roman"/>
                <w:spacing w:val="-1"/>
                <w:sz w:val="18"/>
              </w:rPr>
              <w:t>7,605,411.38</w:t>
            </w: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40"/>
              <w:jc w:val="right"/>
              <w:rPr>
                <w:rFonts w:ascii="Times New Roman" w:hAnsi="Times New Roman" w:cs="Times New Roman" w:eastAsia="Times New Roman" w:hint="default"/>
                <w:sz w:val="18"/>
                <w:szCs w:val="18"/>
              </w:rPr>
            </w:pPr>
            <w:r>
              <w:rPr>
                <w:rFonts w:ascii="Times New Roman"/>
                <w:spacing w:val="-1"/>
                <w:sz w:val="18"/>
              </w:rPr>
              <w:t>55,929,826.98</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72"/>
              <w:jc w:val="right"/>
              <w:rPr>
                <w:rFonts w:ascii="Times New Roman" w:hAnsi="Times New Roman" w:cs="Times New Roman" w:eastAsia="Times New Roman" w:hint="default"/>
                <w:sz w:val="18"/>
                <w:szCs w:val="18"/>
              </w:rPr>
            </w:pPr>
            <w:r>
              <w:rPr>
                <w:rFonts w:ascii="Times New Roman"/>
                <w:spacing w:val="-2"/>
                <w:sz w:val="18"/>
              </w:rPr>
              <w:t>111,725,063.50</w:t>
            </w:r>
          </w:p>
        </w:tc>
      </w:tr>
      <w:tr>
        <w:trPr>
          <w:trHeight w:val="440"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2"/>
              <w:jc w:val="right"/>
              <w:rPr>
                <w:rFonts w:ascii="Times New Roman" w:hAnsi="Times New Roman" w:cs="Times New Roman" w:eastAsia="Times New Roman" w:hint="default"/>
                <w:sz w:val="18"/>
                <w:szCs w:val="18"/>
              </w:rPr>
            </w:pPr>
            <w:r>
              <w:rPr>
                <w:rFonts w:ascii="Times New Roman"/>
                <w:spacing w:val="-1"/>
                <w:sz w:val="18"/>
              </w:rPr>
              <w:t>3,587,004.58</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z w:val="18"/>
              </w:rPr>
              <w:t>45,620.95</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8"/>
                <w:szCs w:val="18"/>
              </w:rPr>
            </w:pPr>
            <w:r>
              <w:rPr>
                <w:rFonts w:ascii="Times New Roman"/>
                <w:spacing w:val="-1"/>
                <w:sz w:val="18"/>
              </w:rPr>
              <w:t>1,277,513.35</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2"/>
              <w:jc w:val="right"/>
              <w:rPr>
                <w:rFonts w:ascii="Times New Roman" w:hAnsi="Times New Roman" w:cs="Times New Roman" w:eastAsia="Times New Roman" w:hint="default"/>
                <w:sz w:val="18"/>
                <w:szCs w:val="18"/>
              </w:rPr>
            </w:pPr>
            <w:r>
              <w:rPr>
                <w:rFonts w:ascii="Times New Roman"/>
                <w:spacing w:val="-1"/>
                <w:sz w:val="18"/>
              </w:rPr>
              <w:t>87,004,886.24</w:t>
            </w:r>
          </w:p>
        </w:tc>
      </w:tr>
      <w:tr>
        <w:trPr>
          <w:trHeight w:val="440"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7,621,193.87</w:t>
            </w:r>
            <w:r>
              <w:rPr>
                <w:rFonts w:ascii="Times New Roman"/>
                <w:spacing w:val="-1"/>
                <w:sz w:val="18"/>
              </w:rPr>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7,651,032.33</w:t>
            </w:r>
            <w:r>
              <w:rPr>
                <w:rFonts w:ascii="Times New Roman"/>
                <w:spacing w:val="-1"/>
                <w:sz w:val="18"/>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57,207,340.33</w:t>
            </w:r>
            <w:r>
              <w:rPr>
                <w:rFonts w:ascii="Times New Roman"/>
                <w:spacing w:val="-1"/>
                <w:sz w:val="18"/>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198,729,949.74</w:t>
            </w:r>
            <w:r>
              <w:rPr>
                <w:rFonts w:ascii="Times New Roman"/>
                <w:spacing w:val="-1"/>
                <w:sz w:val="18"/>
              </w:rPr>
            </w:r>
          </w:p>
        </w:tc>
      </w:tr>
      <w:tr>
        <w:trPr>
          <w:trHeight w:val="440"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2"/>
              <w:jc w:val="right"/>
              <w:rPr>
                <w:rFonts w:ascii="Times New Roman" w:hAnsi="Times New Roman" w:cs="Times New Roman" w:eastAsia="Times New Roman" w:hint="default"/>
                <w:sz w:val="18"/>
                <w:szCs w:val="18"/>
              </w:rPr>
            </w:pPr>
            <w:r>
              <w:rPr>
                <w:rFonts w:ascii="Times New Roman"/>
                <w:spacing w:val="-1"/>
                <w:sz w:val="18"/>
              </w:rPr>
              <w:t>3,831,779.60</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8"/>
              <w:jc w:val="right"/>
              <w:rPr>
                <w:rFonts w:ascii="Times New Roman" w:hAnsi="Times New Roman" w:cs="Times New Roman" w:eastAsia="Times New Roman" w:hint="default"/>
                <w:sz w:val="18"/>
                <w:szCs w:val="18"/>
              </w:rPr>
            </w:pPr>
            <w:r>
              <w:rPr>
                <w:rFonts w:ascii="Times New Roman"/>
                <w:spacing w:val="-1"/>
                <w:sz w:val="18"/>
              </w:rPr>
              <w:t>1,124,561.67</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0"/>
              <w:jc w:val="right"/>
              <w:rPr>
                <w:rFonts w:ascii="Times New Roman" w:hAnsi="Times New Roman" w:cs="Times New Roman" w:eastAsia="Times New Roman" w:hint="default"/>
                <w:sz w:val="18"/>
                <w:szCs w:val="18"/>
              </w:rPr>
            </w:pPr>
            <w:r>
              <w:rPr>
                <w:rFonts w:ascii="Times New Roman"/>
                <w:spacing w:val="-1"/>
                <w:sz w:val="18"/>
              </w:rPr>
              <w:t>37,775,093.53</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2"/>
              <w:jc w:val="right"/>
              <w:rPr>
                <w:rFonts w:ascii="Times New Roman" w:hAnsi="Times New Roman" w:cs="Times New Roman" w:eastAsia="Times New Roman" w:hint="default"/>
                <w:sz w:val="18"/>
                <w:szCs w:val="18"/>
              </w:rPr>
            </w:pPr>
            <w:r>
              <w:rPr>
                <w:rFonts w:ascii="Times New Roman"/>
                <w:spacing w:val="-1"/>
                <w:sz w:val="18"/>
              </w:rPr>
              <w:t>41,045,067.48</w:t>
            </w:r>
          </w:p>
        </w:tc>
      </w:tr>
      <w:tr>
        <w:trPr>
          <w:trHeight w:val="435"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89"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nil" w:sz="6" w:space="0" w:color="auto"/>
              <w:right w:val="nil" w:sz="6" w:space="0" w:color="auto"/>
            </w:tcBorders>
          </w:tcPr>
          <w:p>
            <w:pPr/>
          </w:p>
        </w:tc>
        <w:tc>
          <w:tcPr>
            <w:tcW w:w="1753"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r>
      <w:tr>
        <w:trPr>
          <w:trHeight w:val="320"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3,831,779.60</w:t>
            </w:r>
            <w:r>
              <w:rPr>
                <w:rFonts w:ascii="Times New Roman"/>
                <w:spacing w:val="-1"/>
                <w:sz w:val="18"/>
              </w:rPr>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1,124,561.67</w:t>
            </w:r>
            <w:r>
              <w:rPr>
                <w:rFonts w:ascii="Times New Roman"/>
                <w:spacing w:val="-1"/>
                <w:sz w:val="18"/>
              </w:rPr>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4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37,775,093.53</w:t>
            </w:r>
            <w:r>
              <w:rPr>
                <w:rFonts w:ascii="Times New Roman"/>
                <w:spacing w:val="-1"/>
                <w:sz w:val="18"/>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41,045,067.48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1899"/>
        <w:gridCol w:w="1966"/>
        <w:gridCol w:w="1935"/>
        <w:gridCol w:w="1753"/>
        <w:gridCol w:w="1879"/>
      </w:tblGrid>
      <w:tr>
        <w:trPr>
          <w:trHeight w:val="290" w:hRule="exact"/>
        </w:trPr>
        <w:tc>
          <w:tcPr>
            <w:tcW w:w="943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4841"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r>
      <w:tr>
        <w:trPr>
          <w:trHeight w:val="782" w:hRule="exact"/>
        </w:trPr>
        <w:tc>
          <w:tcPr>
            <w:tcW w:w="189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758"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66" w:type="dxa"/>
            <w:tcBorders>
              <w:top w:val="nil" w:sz="6" w:space="0" w:color="auto"/>
              <w:left w:val="nil" w:sz="6" w:space="0" w:color="auto"/>
              <w:bottom w:val="single" w:sz="4" w:space="0" w:color="000000"/>
              <w:right w:val="nil" w:sz="6" w:space="0" w:color="auto"/>
            </w:tcBorders>
          </w:tcPr>
          <w:p>
            <w:pPr>
              <w:pStyle w:val="TableParagraph"/>
              <w:spacing w:line="367" w:lineRule="auto" w:before="95"/>
              <w:ind w:left="531" w:right="168" w:hanging="182"/>
              <w:jc w:val="left"/>
              <w:rPr>
                <w:rFonts w:ascii="宋体" w:hAnsi="宋体" w:cs="宋体" w:eastAsia="宋体" w:hint="default"/>
                <w:sz w:val="18"/>
                <w:szCs w:val="18"/>
              </w:rPr>
            </w:pPr>
            <w:r>
              <w:rPr>
                <w:rFonts w:ascii="宋体" w:hAnsi="宋体" w:cs="宋体" w:eastAsia="宋体" w:hint="default"/>
                <w:b/>
                <w:bCs/>
                <w:sz w:val="18"/>
                <w:szCs w:val="18"/>
              </w:rPr>
              <w:t>广州天瑞文化传播</w:t>
            </w:r>
            <w:r>
              <w:rPr>
                <w:rFonts w:ascii="宋体" w:hAnsi="宋体" w:cs="宋体" w:eastAsia="宋体" w:hint="default"/>
                <w:b/>
                <w:bCs/>
                <w:w w:val="99"/>
                <w:sz w:val="18"/>
                <w:szCs w:val="18"/>
              </w:rPr>
              <w:t> </w:t>
            </w:r>
            <w:r>
              <w:rPr>
                <w:rFonts w:ascii="宋体" w:hAnsi="宋体" w:cs="宋体" w:eastAsia="宋体" w:hint="default"/>
                <w:b/>
                <w:bCs/>
                <w:sz w:val="18"/>
                <w:szCs w:val="18"/>
              </w:rPr>
              <w:t>有限责任公司</w:t>
            </w:r>
            <w:r>
              <w:rPr>
                <w:rFonts w:ascii="宋体" w:hAnsi="宋体" w:cs="宋体" w:eastAsia="宋体" w:hint="default"/>
                <w:sz w:val="18"/>
                <w:szCs w:val="18"/>
              </w:rPr>
            </w:r>
          </w:p>
        </w:tc>
        <w:tc>
          <w:tcPr>
            <w:tcW w:w="1935" w:type="dxa"/>
            <w:tcBorders>
              <w:top w:val="nil" w:sz="6" w:space="0" w:color="auto"/>
              <w:left w:val="nil" w:sz="6" w:space="0" w:color="auto"/>
              <w:bottom w:val="single" w:sz="4" w:space="0" w:color="000000"/>
              <w:right w:val="nil" w:sz="6" w:space="0" w:color="auto"/>
            </w:tcBorders>
          </w:tcPr>
          <w:p>
            <w:pPr>
              <w:pStyle w:val="TableParagraph"/>
              <w:spacing w:line="367" w:lineRule="auto" w:before="95"/>
              <w:ind w:left="514" w:right="154" w:hanging="362"/>
              <w:jc w:val="left"/>
              <w:rPr>
                <w:rFonts w:ascii="宋体" w:hAnsi="宋体" w:cs="宋体" w:eastAsia="宋体" w:hint="default"/>
                <w:sz w:val="18"/>
                <w:szCs w:val="18"/>
              </w:rPr>
            </w:pPr>
            <w:r>
              <w:rPr>
                <w:rFonts w:ascii="宋体" w:hAnsi="宋体" w:cs="宋体" w:eastAsia="宋体" w:hint="default"/>
                <w:b/>
                <w:bCs/>
                <w:sz w:val="18"/>
                <w:szCs w:val="18"/>
              </w:rPr>
              <w:t>北京神奇领域信息技</w:t>
            </w:r>
            <w:r>
              <w:rPr>
                <w:rFonts w:ascii="宋体" w:hAnsi="宋体" w:cs="宋体" w:eastAsia="宋体" w:hint="default"/>
                <w:b/>
                <w:bCs/>
                <w:w w:val="99"/>
                <w:sz w:val="18"/>
                <w:szCs w:val="18"/>
              </w:rPr>
              <w:t> </w:t>
            </w:r>
            <w:r>
              <w:rPr>
                <w:rFonts w:ascii="宋体" w:hAnsi="宋体" w:cs="宋体" w:eastAsia="宋体" w:hint="default"/>
                <w:b/>
                <w:bCs/>
                <w:sz w:val="18"/>
                <w:szCs w:val="18"/>
              </w:rPr>
              <w:t>术有限公司</w:t>
            </w:r>
            <w:r>
              <w:rPr>
                <w:rFonts w:ascii="宋体" w:hAnsi="宋体" w:cs="宋体" w:eastAsia="宋体" w:hint="default"/>
                <w:sz w:val="18"/>
                <w:szCs w:val="18"/>
              </w:rPr>
            </w:r>
          </w:p>
        </w:tc>
        <w:tc>
          <w:tcPr>
            <w:tcW w:w="1753" w:type="dxa"/>
            <w:tcBorders>
              <w:top w:val="nil" w:sz="6" w:space="0" w:color="auto"/>
              <w:left w:val="nil" w:sz="6" w:space="0" w:color="auto"/>
              <w:bottom w:val="single" w:sz="4" w:space="0" w:color="000000"/>
              <w:right w:val="nil" w:sz="6" w:space="0" w:color="auto"/>
            </w:tcBorders>
          </w:tcPr>
          <w:p>
            <w:pPr>
              <w:pStyle w:val="TableParagraph"/>
              <w:spacing w:line="367" w:lineRule="auto" w:before="95"/>
              <w:ind w:left="337" w:right="150" w:hanging="182"/>
              <w:jc w:val="left"/>
              <w:rPr>
                <w:rFonts w:ascii="宋体" w:hAnsi="宋体" w:cs="宋体" w:eastAsia="宋体" w:hint="default"/>
                <w:sz w:val="18"/>
                <w:szCs w:val="18"/>
              </w:rPr>
            </w:pPr>
            <w:r>
              <w:rPr>
                <w:rFonts w:ascii="宋体" w:hAnsi="宋体" w:cs="宋体" w:eastAsia="宋体" w:hint="default"/>
                <w:b/>
                <w:bCs/>
                <w:sz w:val="18"/>
                <w:szCs w:val="18"/>
              </w:rPr>
              <w:t>北京永载文化传播</w:t>
            </w:r>
            <w:r>
              <w:rPr>
                <w:rFonts w:ascii="宋体" w:hAnsi="宋体" w:cs="宋体" w:eastAsia="宋体" w:hint="default"/>
                <w:b/>
                <w:bCs/>
                <w:w w:val="99"/>
                <w:sz w:val="18"/>
                <w:szCs w:val="18"/>
              </w:rPr>
              <w:t> </w:t>
            </w:r>
            <w:r>
              <w:rPr>
                <w:rFonts w:ascii="宋体" w:hAnsi="宋体" w:cs="宋体" w:eastAsia="宋体" w:hint="default"/>
                <w:b/>
                <w:bCs/>
                <w:sz w:val="18"/>
                <w:szCs w:val="18"/>
              </w:rPr>
              <w:t>有限责任公司</w:t>
            </w:r>
            <w:r>
              <w:rPr>
                <w:rFonts w:ascii="宋体" w:hAnsi="宋体" w:cs="宋体" w:eastAsia="宋体" w:hint="default"/>
                <w:sz w:val="18"/>
                <w:szCs w:val="18"/>
              </w:rPr>
            </w:r>
          </w:p>
        </w:tc>
        <w:tc>
          <w:tcPr>
            <w:tcW w:w="1879" w:type="dxa"/>
            <w:tcBorders>
              <w:top w:val="nil" w:sz="6" w:space="0" w:color="auto"/>
              <w:left w:val="nil" w:sz="6" w:space="0" w:color="auto"/>
              <w:bottom w:val="single" w:sz="4" w:space="0" w:color="000000"/>
              <w:right w:val="nil" w:sz="6" w:space="0" w:color="auto"/>
            </w:tcBorders>
          </w:tcPr>
          <w:p>
            <w:pPr>
              <w:pStyle w:val="TableParagraph"/>
              <w:spacing w:line="367" w:lineRule="auto" w:before="95"/>
              <w:ind w:left="685" w:right="110" w:hanging="543"/>
              <w:jc w:val="left"/>
              <w:rPr>
                <w:rFonts w:ascii="宋体" w:hAnsi="宋体" w:cs="宋体" w:eastAsia="宋体" w:hint="default"/>
                <w:sz w:val="18"/>
                <w:szCs w:val="18"/>
              </w:rPr>
            </w:pPr>
            <w:r>
              <w:rPr>
                <w:rFonts w:ascii="宋体" w:hAnsi="宋体" w:cs="宋体" w:eastAsia="宋体" w:hint="default"/>
                <w:b/>
                <w:bCs/>
                <w:sz w:val="18"/>
                <w:szCs w:val="18"/>
              </w:rPr>
              <w:t>人民今典科教传媒有</w:t>
            </w:r>
            <w:r>
              <w:rPr>
                <w:rFonts w:ascii="宋体" w:hAnsi="宋体" w:cs="宋体" w:eastAsia="宋体" w:hint="default"/>
                <w:b/>
                <w:bCs/>
                <w:w w:val="99"/>
                <w:sz w:val="18"/>
                <w:szCs w:val="18"/>
              </w:rPr>
              <w:t> </w:t>
            </w:r>
            <w:r>
              <w:rPr>
                <w:rFonts w:ascii="宋体" w:hAnsi="宋体" w:cs="宋体" w:eastAsia="宋体" w:hint="default"/>
                <w:b/>
                <w:bCs/>
                <w:sz w:val="18"/>
                <w:szCs w:val="18"/>
              </w:rPr>
              <w:t>限公司</w:t>
            </w:r>
            <w:r>
              <w:rPr>
                <w:rFonts w:ascii="宋体" w:hAnsi="宋体" w:cs="宋体" w:eastAsia="宋体" w:hint="default"/>
                <w:sz w:val="18"/>
                <w:szCs w:val="18"/>
              </w:rPr>
            </w:r>
          </w:p>
        </w:tc>
      </w:tr>
      <w:tr>
        <w:trPr>
          <w:trHeight w:val="494" w:hRule="exact"/>
        </w:trPr>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66"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51"/>
              <w:jc w:val="right"/>
              <w:rPr>
                <w:rFonts w:ascii="Times New Roman" w:hAnsi="Times New Roman" w:cs="Times New Roman" w:eastAsia="Times New Roman" w:hint="default"/>
                <w:sz w:val="18"/>
                <w:szCs w:val="18"/>
              </w:rPr>
            </w:pPr>
            <w:r>
              <w:rPr>
                <w:rFonts w:ascii="Times New Roman"/>
                <w:spacing w:val="-1"/>
                <w:sz w:val="18"/>
              </w:rPr>
              <w:t>6,810,766.82</w:t>
            </w:r>
          </w:p>
        </w:tc>
        <w:tc>
          <w:tcPr>
            <w:tcW w:w="1935" w:type="dxa"/>
            <w:tcBorders>
              <w:top w:val="single" w:sz="4" w:space="0" w:color="000000"/>
              <w:left w:val="nil" w:sz="6" w:space="0" w:color="auto"/>
              <w:bottom w:val="nil" w:sz="6" w:space="0" w:color="auto"/>
              <w:right w:val="nil" w:sz="6" w:space="0" w:color="auto"/>
            </w:tcBorders>
          </w:tcPr>
          <w:p>
            <w:pP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40"/>
              <w:jc w:val="right"/>
              <w:rPr>
                <w:rFonts w:ascii="Times New Roman" w:hAnsi="Times New Roman" w:cs="Times New Roman" w:eastAsia="Times New Roman" w:hint="default"/>
                <w:sz w:val="18"/>
                <w:szCs w:val="18"/>
              </w:rPr>
            </w:pPr>
            <w:r>
              <w:rPr>
                <w:rFonts w:ascii="Times New Roman"/>
                <w:spacing w:val="-1"/>
                <w:sz w:val="18"/>
              </w:rPr>
              <w:t>73,096,123.28</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72"/>
              <w:jc w:val="right"/>
              <w:rPr>
                <w:rFonts w:ascii="Times New Roman" w:hAnsi="Times New Roman" w:cs="Times New Roman" w:eastAsia="Times New Roman" w:hint="default"/>
                <w:sz w:val="18"/>
                <w:szCs w:val="18"/>
              </w:rPr>
            </w:pPr>
            <w:r>
              <w:rPr>
                <w:rFonts w:ascii="Times New Roman"/>
                <w:spacing w:val="-1"/>
                <w:sz w:val="18"/>
              </w:rPr>
              <w:t>98,300,341.38</w:t>
            </w:r>
          </w:p>
        </w:tc>
      </w:tr>
      <w:tr>
        <w:trPr>
          <w:trHeight w:val="44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0"/>
              <w:jc w:val="right"/>
              <w:rPr>
                <w:rFonts w:ascii="Times New Roman" w:hAnsi="Times New Roman" w:cs="Times New Roman" w:eastAsia="Times New Roman" w:hint="default"/>
                <w:sz w:val="18"/>
                <w:szCs w:val="18"/>
              </w:rPr>
            </w:pPr>
            <w:r>
              <w:rPr>
                <w:rFonts w:ascii="Times New Roman"/>
                <w:w w:val="95"/>
                <w:sz w:val="18"/>
              </w:rPr>
              <w:t>-178,087.26</w:t>
            </w:r>
            <w:r>
              <w:rPr>
                <w:rFonts w:ascii="Times New Roman"/>
                <w:sz w:val="18"/>
              </w:rPr>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8"/>
              <w:jc w:val="right"/>
              <w:rPr>
                <w:rFonts w:ascii="Times New Roman" w:hAnsi="Times New Roman" w:cs="Times New Roman" w:eastAsia="Times New Roman" w:hint="default"/>
                <w:sz w:val="18"/>
                <w:szCs w:val="18"/>
              </w:rPr>
            </w:pPr>
            <w:r>
              <w:rPr>
                <w:rFonts w:ascii="Times New Roman"/>
                <w:spacing w:val="-1"/>
                <w:sz w:val="18"/>
              </w:rPr>
              <w:t>-8,473,529.34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0"/>
              <w:jc w:val="right"/>
              <w:rPr>
                <w:rFonts w:ascii="Times New Roman" w:hAnsi="Times New Roman" w:cs="Times New Roman" w:eastAsia="Times New Roman" w:hint="default"/>
                <w:sz w:val="18"/>
                <w:szCs w:val="18"/>
              </w:rPr>
            </w:pPr>
            <w:r>
              <w:rPr>
                <w:rFonts w:ascii="Times New Roman"/>
                <w:spacing w:val="-1"/>
                <w:sz w:val="18"/>
              </w:rPr>
              <w:t>2,880,565.24</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2"/>
              <w:jc w:val="right"/>
              <w:rPr>
                <w:rFonts w:ascii="Times New Roman" w:hAnsi="Times New Roman" w:cs="Times New Roman" w:eastAsia="Times New Roman" w:hint="default"/>
                <w:sz w:val="18"/>
                <w:szCs w:val="18"/>
              </w:rPr>
            </w:pPr>
            <w:r>
              <w:rPr>
                <w:rFonts w:ascii="Times New Roman"/>
                <w:spacing w:val="-1"/>
                <w:sz w:val="18"/>
              </w:rPr>
              <w:t>27,952,074.40</w:t>
            </w:r>
          </w:p>
        </w:tc>
      </w:tr>
      <w:tr>
        <w:trPr>
          <w:trHeight w:val="44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
              <w:jc w:val="right"/>
              <w:rPr>
                <w:rFonts w:ascii="Times New Roman" w:hAnsi="Times New Roman" w:cs="Times New Roman" w:eastAsia="Times New Roman" w:hint="default"/>
                <w:sz w:val="18"/>
                <w:szCs w:val="18"/>
              </w:rPr>
            </w:pPr>
            <w:r>
              <w:rPr>
                <w:rFonts w:ascii="Times New Roman"/>
                <w:w w:val="95"/>
                <w:sz w:val="18"/>
              </w:rPr>
              <w:t>-178,087.26</w:t>
            </w:r>
            <w:r>
              <w:rPr>
                <w:rFonts w:ascii="Times New Roman"/>
                <w:sz w:val="18"/>
              </w:rPr>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pacing w:val="-1"/>
                <w:sz w:val="18"/>
              </w:rPr>
              <w:t>-8,473,529.34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8"/>
                <w:szCs w:val="18"/>
              </w:rPr>
            </w:pPr>
            <w:r>
              <w:rPr>
                <w:rFonts w:ascii="Times New Roman"/>
                <w:spacing w:val="-1"/>
                <w:sz w:val="18"/>
              </w:rPr>
              <w:t>2,880,565.24</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2"/>
              <w:jc w:val="right"/>
              <w:rPr>
                <w:rFonts w:ascii="Times New Roman" w:hAnsi="Times New Roman" w:cs="Times New Roman" w:eastAsia="Times New Roman" w:hint="default"/>
                <w:sz w:val="18"/>
                <w:szCs w:val="18"/>
              </w:rPr>
            </w:pPr>
            <w:r>
              <w:rPr>
                <w:rFonts w:ascii="Times New Roman"/>
                <w:spacing w:val="-1"/>
                <w:sz w:val="18"/>
              </w:rPr>
              <w:t>27,952,074.40</w:t>
            </w:r>
          </w:p>
        </w:tc>
      </w:tr>
      <w:tr>
        <w:trPr>
          <w:trHeight w:val="315"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0"/>
              <w:jc w:val="right"/>
              <w:rPr>
                <w:rFonts w:ascii="Times New Roman" w:hAnsi="Times New Roman" w:cs="Times New Roman" w:eastAsia="Times New Roman" w:hint="default"/>
                <w:sz w:val="18"/>
                <w:szCs w:val="18"/>
              </w:rPr>
            </w:pPr>
            <w:r>
              <w:rPr>
                <w:rFonts w:ascii="Times New Roman"/>
                <w:sz w:val="18"/>
              </w:rPr>
              <w:t>414,953.77</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Times New Roman" w:hAnsi="Times New Roman" w:cs="Times New Roman" w:eastAsia="Times New Roman" w:hint="default"/>
                <w:sz w:val="18"/>
                <w:szCs w:val="18"/>
              </w:rPr>
            </w:pPr>
            <w:r>
              <w:rPr>
                <w:rFonts w:ascii="Times New Roman"/>
                <w:spacing w:val="-1"/>
                <w:sz w:val="18"/>
              </w:rPr>
              <w:t>-7,927,602.44</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0"/>
              <w:jc w:val="right"/>
              <w:rPr>
                <w:rFonts w:ascii="Times New Roman" w:hAnsi="Times New Roman" w:cs="Times New Roman" w:eastAsia="Times New Roman" w:hint="default"/>
                <w:sz w:val="18"/>
                <w:szCs w:val="18"/>
              </w:rPr>
            </w:pPr>
            <w:r>
              <w:rPr>
                <w:rFonts w:ascii="Times New Roman"/>
                <w:spacing w:val="-1"/>
                <w:sz w:val="18"/>
              </w:rPr>
              <w:t>4,671,750.72</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2"/>
              <w:jc w:val="right"/>
              <w:rPr>
                <w:rFonts w:ascii="Times New Roman" w:hAnsi="Times New Roman" w:cs="Times New Roman" w:eastAsia="Times New Roman" w:hint="default"/>
                <w:sz w:val="18"/>
                <w:szCs w:val="18"/>
              </w:rPr>
            </w:pPr>
            <w:r>
              <w:rPr>
                <w:rFonts w:ascii="Times New Roman"/>
                <w:spacing w:val="-1"/>
                <w:sz w:val="18"/>
              </w:rPr>
              <w:t>48,058,460.03</w:t>
            </w:r>
          </w:p>
        </w:tc>
      </w:tr>
    </w:tbl>
    <w:p>
      <w:pPr>
        <w:spacing w:line="240" w:lineRule="auto" w:before="5"/>
        <w:rPr>
          <w:rFonts w:ascii="宋体" w:hAnsi="宋体" w:cs="宋体" w:eastAsia="宋体" w:hint="default"/>
          <w:sz w:val="11"/>
          <w:szCs w:val="11"/>
        </w:rPr>
      </w:pPr>
    </w:p>
    <w:p>
      <w:pPr>
        <w:pStyle w:val="BodyText"/>
        <w:spacing w:line="511" w:lineRule="auto" w:before="44"/>
        <w:ind w:right="6743"/>
        <w:jc w:val="left"/>
      </w:pPr>
      <w:bookmarkStart w:name="（4）在子公司所有者权益份额发生变化" w:id="251"/>
      <w:bookmarkEnd w:id="251"/>
      <w:r>
        <w:rPr/>
      </w:r>
      <w:r>
        <w:rPr/>
        <w:t>（</w:t>
      </w:r>
      <w:r>
        <w:rPr>
          <w:rFonts w:ascii="Times New Roman" w:hAnsi="Times New Roman" w:cs="Times New Roman" w:eastAsia="Times New Roman" w:hint="default"/>
        </w:rPr>
        <w:t>4</w:t>
      </w:r>
      <w:r>
        <w:rPr/>
        <w:t>）在子公司所有者权益份额发生变化 不丧失控制权的情况 </w:t>
      </w:r>
      <w:r>
        <w:rPr>
          <w:rFonts w:ascii="Times New Roman" w:hAnsi="Times New Roman" w:cs="Times New Roman" w:eastAsia="Times New Roman" w:hint="default"/>
        </w:rPr>
        <w:t>a.</w:t>
      </w:r>
      <w:r>
        <w:rPr/>
        <w:t>在子公司所有者权益份额发生变化的情况</w:t>
      </w:r>
    </w:p>
    <w:p>
      <w:pPr>
        <w:pStyle w:val="BodyText"/>
        <w:spacing w:line="345" w:lineRule="auto" w:before="41"/>
        <w:ind w:left="1418" w:right="126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月，广州游爱网络技术有限公司与上海暴走信息科技有限公司签订股权转让合同书，上海暴走信息科技有</w:t>
      </w:r>
      <w:r>
        <w:rPr/>
        <w:t> 限公司将持有广州暴游信息技术有限公司还未实缴出资的</w:t>
      </w:r>
      <w:r>
        <w:rPr>
          <w:rFonts w:ascii="Times New Roman" w:hAnsi="Times New Roman" w:cs="Times New Roman" w:eastAsia="Times New Roman" w:hint="default"/>
        </w:rPr>
        <w:t>50%</w:t>
      </w:r>
      <w:r>
        <w:rPr/>
        <w:t>股权转让给广州游爱网络技术有限公司，转让后，广州</w:t>
      </w:r>
      <w:r>
        <w:rPr>
          <w:spacing w:val="-32"/>
        </w:rPr>
        <w:t> </w:t>
      </w:r>
      <w:r>
        <w:rPr>
          <w:spacing w:val="-32"/>
        </w:rPr>
      </w:r>
      <w:r>
        <w:rPr/>
        <w:t>游爱网络技术有限公司持有广州暴游信息技术有限公司</w:t>
      </w:r>
      <w:r>
        <w:rPr>
          <w:rFonts w:ascii="Times New Roman" w:hAnsi="Times New Roman" w:cs="Times New Roman" w:eastAsia="Times New Roman" w:hint="default"/>
        </w:rPr>
        <w:t>100%</w:t>
      </w:r>
      <w:r>
        <w:rPr/>
        <w:t>股权。</w:t>
      </w:r>
    </w:p>
    <w:p>
      <w:pPr>
        <w:spacing w:line="240" w:lineRule="auto" w:before="9"/>
        <w:rPr>
          <w:rFonts w:ascii="宋体" w:hAnsi="宋体" w:cs="宋体" w:eastAsia="宋体" w:hint="default"/>
          <w:sz w:val="13"/>
          <w:szCs w:val="13"/>
        </w:rPr>
      </w:pPr>
    </w:p>
    <w:p>
      <w:pPr>
        <w:pStyle w:val="BodyText"/>
        <w:spacing w:line="345" w:lineRule="auto"/>
        <w:ind w:left="1418" w:right="1267"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月，上海跨合企业管理中心（有限合伙）出资信息发生变更，有限合伙人上海花羽信息技术有限公司出资</w:t>
      </w:r>
      <w:r>
        <w:rPr/>
        <w:t> 额由</w:t>
      </w:r>
      <w:r>
        <w:rPr>
          <w:rFonts w:ascii="Times New Roman" w:hAnsi="Times New Roman" w:cs="Times New Roman" w:eastAsia="Times New Roman" w:hint="default"/>
        </w:rPr>
        <w:t>75.00</w:t>
      </w:r>
      <w:r>
        <w:rPr/>
        <w:t>万元减至</w:t>
      </w:r>
      <w:r>
        <w:rPr>
          <w:rFonts w:ascii="Times New Roman" w:hAnsi="Times New Roman" w:cs="Times New Roman" w:eastAsia="Times New Roman" w:hint="default"/>
        </w:rPr>
        <w:t>25.00</w:t>
      </w:r>
      <w:r>
        <w:rPr/>
        <w:t>万元，实缴出资额</w:t>
      </w:r>
      <w:r>
        <w:rPr>
          <w:rFonts w:ascii="Times New Roman" w:hAnsi="Times New Roman" w:cs="Times New Roman" w:eastAsia="Times New Roman" w:hint="default"/>
        </w:rPr>
        <w:t>25.00</w:t>
      </w:r>
      <w:r>
        <w:rPr/>
        <w:t>万元未发生变化，广州游爱网络技术有限公司持股比例由</w:t>
      </w:r>
      <w:r>
        <w:rPr>
          <w:rFonts w:ascii="Times New Roman" w:hAnsi="Times New Roman" w:cs="Times New Roman" w:eastAsia="Times New Roman" w:hint="default"/>
        </w:rPr>
        <w:t>59%</w:t>
      </w:r>
      <w:r>
        <w:rPr/>
        <w:t>变更为</w:t>
      </w:r>
      <w:r>
        <w:rPr>
          <w:spacing w:val="2"/>
        </w:rPr>
        <w:t> </w:t>
      </w:r>
      <w:r>
        <w:rPr>
          <w:rFonts w:ascii="Times New Roman" w:hAnsi="Times New Roman" w:cs="Times New Roman" w:eastAsia="Times New Roman" w:hint="default"/>
        </w:rPr>
        <w:t>68.43%</w:t>
      </w:r>
      <w:r>
        <w:rPr/>
        <w:t>。</w:t>
      </w:r>
    </w:p>
    <w:p>
      <w:pPr>
        <w:spacing w:line="240" w:lineRule="auto" w:before="9"/>
        <w:rPr>
          <w:rFonts w:ascii="宋体" w:hAnsi="宋体" w:cs="宋体" w:eastAsia="宋体" w:hint="default"/>
          <w:sz w:val="13"/>
          <w:szCs w:val="13"/>
        </w:rPr>
      </w:pPr>
    </w:p>
    <w:p>
      <w:pPr>
        <w:pStyle w:val="BodyText"/>
        <w:spacing w:line="240" w:lineRule="auto"/>
        <w:ind w:right="1117"/>
        <w:jc w:val="left"/>
      </w:pPr>
      <w:r>
        <w:rPr>
          <w:rFonts w:ascii="Times New Roman" w:hAnsi="Times New Roman" w:cs="Times New Roman" w:eastAsia="Times New Roman" w:hint="default"/>
        </w:rPr>
        <w:t>b.</w:t>
      </w:r>
      <w:r>
        <w:rPr/>
        <w:t>交易对于少数股东权益及归属于母公司所有者权益的影响</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892"/>
        <w:gridCol w:w="2390"/>
        <w:gridCol w:w="2148"/>
      </w:tblGrid>
      <w:tr>
        <w:trPr>
          <w:trHeight w:val="672" w:hRule="exact"/>
        </w:trPr>
        <w:tc>
          <w:tcPr>
            <w:tcW w:w="489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24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390" w:type="dxa"/>
            <w:tcBorders>
              <w:top w:val="nil" w:sz="6" w:space="0" w:color="auto"/>
              <w:left w:val="nil" w:sz="6" w:space="0" w:color="auto"/>
              <w:bottom w:val="single" w:sz="4" w:space="0" w:color="000000"/>
              <w:right w:val="nil" w:sz="6" w:space="0" w:color="auto"/>
            </w:tcBorders>
          </w:tcPr>
          <w:p>
            <w:pPr>
              <w:pStyle w:val="TableParagraph"/>
              <w:spacing w:line="180" w:lineRule="exact"/>
              <w:ind w:left="241" w:right="0"/>
              <w:jc w:val="center"/>
              <w:rPr>
                <w:rFonts w:ascii="宋体" w:hAnsi="宋体" w:cs="宋体" w:eastAsia="宋体" w:hint="default"/>
                <w:sz w:val="18"/>
                <w:szCs w:val="18"/>
              </w:rPr>
            </w:pPr>
            <w:r>
              <w:rPr>
                <w:rFonts w:ascii="宋体" w:hAnsi="宋体" w:cs="宋体" w:eastAsia="宋体" w:hint="default"/>
                <w:b/>
                <w:bCs/>
                <w:sz w:val="18"/>
                <w:szCs w:val="18"/>
              </w:rPr>
              <w:t>广州暴游信息技术</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1" w:right="0"/>
              <w:jc w:val="center"/>
              <w:rPr>
                <w:rFonts w:ascii="宋体" w:hAnsi="宋体" w:cs="宋体" w:eastAsia="宋体" w:hint="default"/>
                <w:sz w:val="18"/>
                <w:szCs w:val="18"/>
              </w:rPr>
            </w:pPr>
            <w:r>
              <w:rPr>
                <w:rFonts w:ascii="宋体" w:hAnsi="宋体" w:cs="宋体" w:eastAsia="宋体" w:hint="default"/>
                <w:b/>
                <w:bCs/>
                <w:sz w:val="18"/>
                <w:szCs w:val="18"/>
              </w:rPr>
              <w:t>有限公司</w:t>
            </w:r>
            <w:r>
              <w:rPr>
                <w:rFonts w:ascii="宋体" w:hAnsi="宋体" w:cs="宋体" w:eastAsia="宋体" w:hint="default"/>
                <w:sz w:val="18"/>
                <w:szCs w:val="18"/>
              </w:rPr>
            </w:r>
          </w:p>
        </w:tc>
        <w:tc>
          <w:tcPr>
            <w:tcW w:w="2148" w:type="dxa"/>
            <w:tcBorders>
              <w:top w:val="nil" w:sz="6" w:space="0" w:color="auto"/>
              <w:left w:val="nil" w:sz="6" w:space="0" w:color="auto"/>
              <w:bottom w:val="single" w:sz="4" w:space="0" w:color="000000"/>
              <w:right w:val="nil" w:sz="6" w:space="0" w:color="auto"/>
            </w:tcBorders>
          </w:tcPr>
          <w:p>
            <w:pPr>
              <w:pStyle w:val="TableParagraph"/>
              <w:spacing w:line="180"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上海跨合企业管理</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中心（有限合伙</w:t>
            </w:r>
            <w:r>
              <w:rPr>
                <w:rFonts w:ascii="宋体" w:hAnsi="宋体" w:cs="宋体" w:eastAsia="宋体" w:hint="default"/>
                <w:sz w:val="18"/>
                <w:szCs w:val="18"/>
              </w:rPr>
              <w:t>）</w:t>
            </w:r>
          </w:p>
        </w:tc>
      </w:tr>
      <w:tr>
        <w:trPr>
          <w:trHeight w:val="493" w:hRule="exact"/>
        </w:trPr>
        <w:tc>
          <w:tcPr>
            <w:tcW w:w="489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2390" w:type="dxa"/>
            <w:tcBorders>
              <w:top w:val="single" w:sz="4" w:space="0" w:color="000000"/>
              <w:left w:val="nil" w:sz="6" w:space="0" w:color="auto"/>
              <w:bottom w:val="nil" w:sz="6" w:space="0" w:color="auto"/>
              <w:right w:val="nil" w:sz="6" w:space="0" w:color="auto"/>
            </w:tcBorders>
          </w:tcPr>
          <w:p>
            <w:pPr/>
          </w:p>
        </w:tc>
        <w:tc>
          <w:tcPr>
            <w:tcW w:w="2148" w:type="dxa"/>
            <w:tcBorders>
              <w:top w:val="single" w:sz="4" w:space="0" w:color="000000"/>
              <w:left w:val="nil" w:sz="6" w:space="0" w:color="auto"/>
              <w:bottom w:val="nil" w:sz="6" w:space="0" w:color="auto"/>
              <w:right w:val="nil" w:sz="6" w:space="0" w:color="auto"/>
            </w:tcBorders>
          </w:tcPr>
          <w:p>
            <w:pPr/>
          </w:p>
        </w:tc>
      </w:tr>
      <w:tr>
        <w:trPr>
          <w:trHeight w:val="440" w:hRule="exact"/>
        </w:trPr>
        <w:tc>
          <w:tcPr>
            <w:tcW w:w="489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5"/>
              <w:jc w:val="right"/>
              <w:rPr>
                <w:rFonts w:ascii="Times New Roman" w:hAnsi="Times New Roman" w:cs="Times New Roman" w:eastAsia="Times New Roman" w:hint="default"/>
                <w:sz w:val="18"/>
                <w:szCs w:val="18"/>
              </w:rPr>
            </w:pPr>
            <w:r>
              <w:rPr>
                <w:rFonts w:ascii="Times New Roman"/>
                <w:sz w:val="18"/>
              </w:rPr>
              <w:t>682,398.47</w:t>
            </w:r>
          </w:p>
        </w:tc>
        <w:tc>
          <w:tcPr>
            <w:tcW w:w="2148" w:type="dxa"/>
            <w:tcBorders>
              <w:top w:val="nil" w:sz="6" w:space="0" w:color="auto"/>
              <w:left w:val="nil" w:sz="6" w:space="0" w:color="auto"/>
              <w:bottom w:val="nil" w:sz="6" w:space="0" w:color="auto"/>
              <w:right w:val="nil" w:sz="6" w:space="0" w:color="auto"/>
            </w:tcBorders>
          </w:tcPr>
          <w:p>
            <w:pPr/>
          </w:p>
        </w:tc>
      </w:tr>
      <w:tr>
        <w:trPr>
          <w:trHeight w:val="440" w:hRule="exact"/>
        </w:trPr>
        <w:tc>
          <w:tcPr>
            <w:tcW w:w="489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15"/>
              <w:jc w:val="right"/>
              <w:rPr>
                <w:rFonts w:ascii="Times New Roman" w:hAnsi="Times New Roman" w:cs="Times New Roman" w:eastAsia="Times New Roman" w:hint="default"/>
                <w:sz w:val="18"/>
                <w:szCs w:val="18"/>
              </w:rPr>
            </w:pPr>
            <w:r>
              <w:rPr>
                <w:rFonts w:ascii="Times New Roman"/>
                <w:w w:val="99"/>
                <w:sz w:val="18"/>
              </w:rPr>
            </w:r>
            <w:r>
              <w:rPr>
                <w:rFonts w:ascii="Times New Roman"/>
                <w:w w:val="95"/>
                <w:sz w:val="18"/>
                <w:u w:val="thick" w:color="000000"/>
              </w:rPr>
              <w:t>-682,398.47</w:t>
            </w:r>
            <w:r>
              <w:rPr>
                <w:rFonts w:ascii="Times New Roman"/>
                <w:w w:val="95"/>
                <w:sz w:val="18"/>
              </w:rPr>
            </w:r>
            <w:r>
              <w:rPr>
                <w:rFonts w:ascii="Times New Roman"/>
                <w:sz w:val="18"/>
              </w:rPr>
            </w:r>
          </w:p>
        </w:tc>
        <w:tc>
          <w:tcPr>
            <w:tcW w:w="2148" w:type="dxa"/>
            <w:tcBorders>
              <w:top w:val="nil" w:sz="6" w:space="0" w:color="auto"/>
              <w:left w:val="nil" w:sz="6" w:space="0" w:color="auto"/>
              <w:bottom w:val="nil" w:sz="6" w:space="0" w:color="auto"/>
              <w:right w:val="nil" w:sz="6" w:space="0" w:color="auto"/>
            </w:tcBorders>
          </w:tcPr>
          <w:p>
            <w:pPr/>
          </w:p>
        </w:tc>
      </w:tr>
      <w:tr>
        <w:trPr>
          <w:trHeight w:val="315" w:hRule="exact"/>
        </w:trPr>
        <w:tc>
          <w:tcPr>
            <w:tcW w:w="489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5"/>
              <w:jc w:val="right"/>
              <w:rPr>
                <w:rFonts w:ascii="Times New Roman" w:hAnsi="Times New Roman" w:cs="Times New Roman" w:eastAsia="Times New Roman" w:hint="default"/>
                <w:sz w:val="18"/>
                <w:szCs w:val="18"/>
              </w:rPr>
            </w:pPr>
            <w:r>
              <w:rPr>
                <w:rFonts w:ascii="Times New Roman"/>
                <w:w w:val="95"/>
                <w:sz w:val="18"/>
              </w:rPr>
              <w:t>-682,398.47</w:t>
            </w:r>
            <w:r>
              <w:rPr>
                <w:rFonts w:ascii="Times New Roman"/>
                <w:sz w:val="18"/>
              </w:rPr>
            </w:r>
          </w:p>
        </w:tc>
        <w:tc>
          <w:tcPr>
            <w:tcW w:w="2148"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1"/>
          <w:szCs w:val="11"/>
        </w:rPr>
      </w:pPr>
    </w:p>
    <w:p>
      <w:pPr>
        <w:pStyle w:val="BodyText"/>
        <w:spacing w:line="240" w:lineRule="auto" w:before="44"/>
        <w:ind w:right="1117"/>
        <w:jc w:val="left"/>
      </w:pPr>
      <w:bookmarkStart w:name="2.在合营安排或联营企业中的权益" w:id="252"/>
      <w:bookmarkEnd w:id="252"/>
      <w:r>
        <w:rPr/>
      </w:r>
      <w:r>
        <w:rPr>
          <w:rFonts w:ascii="Times New Roman" w:hAnsi="Times New Roman" w:cs="Times New Roman" w:eastAsia="Times New Roman" w:hint="default"/>
        </w:rPr>
        <w:t>2.</w:t>
      </w:r>
      <w:r>
        <w:rPr/>
        <w:t>在合营安排或联营企业中的权益</w:t>
      </w:r>
    </w:p>
    <w:p>
      <w:pPr>
        <w:spacing w:line="240" w:lineRule="auto" w:before="5"/>
        <w:rPr>
          <w:rFonts w:ascii="宋体" w:hAnsi="宋体" w:cs="宋体" w:eastAsia="宋体" w:hint="default"/>
          <w:sz w:val="20"/>
          <w:szCs w:val="20"/>
        </w:rPr>
      </w:pPr>
    </w:p>
    <w:p>
      <w:pPr>
        <w:pStyle w:val="BodyText"/>
        <w:spacing w:line="240" w:lineRule="auto"/>
        <w:ind w:right="1117"/>
        <w:jc w:val="left"/>
      </w:pPr>
      <w:bookmarkStart w:name="（1）重要合营企业或联营企业" w:id="253"/>
      <w:bookmarkEnd w:id="253"/>
      <w:r>
        <w:rPr/>
      </w:r>
      <w:r>
        <w:rPr/>
        <w:t>（</w:t>
      </w:r>
      <w:r>
        <w:rPr>
          <w:rFonts w:ascii="Times New Roman" w:hAnsi="Times New Roman" w:cs="Times New Roman" w:eastAsia="Times New Roman" w:hint="default"/>
        </w:rPr>
        <w:t>1</w:t>
      </w:r>
      <w:r>
        <w:rPr/>
        <w:t>）重要合营企业或联营企业</w:t>
      </w:r>
    </w:p>
    <w:p>
      <w:pPr>
        <w:spacing w:line="240" w:lineRule="auto" w:before="13"/>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2447"/>
        <w:gridCol w:w="1003"/>
        <w:gridCol w:w="808"/>
        <w:gridCol w:w="983"/>
        <w:gridCol w:w="1382"/>
        <w:gridCol w:w="1625"/>
        <w:gridCol w:w="1184"/>
      </w:tblGrid>
      <w:tr>
        <w:trPr>
          <w:trHeight w:val="786" w:hRule="exact"/>
        </w:trPr>
        <w:tc>
          <w:tcPr>
            <w:tcW w:w="244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755" w:right="0"/>
              <w:jc w:val="left"/>
              <w:rPr>
                <w:rFonts w:ascii="宋体" w:hAnsi="宋体" w:cs="宋体" w:eastAsia="宋体" w:hint="default"/>
                <w:sz w:val="15"/>
                <w:szCs w:val="15"/>
              </w:rPr>
            </w:pPr>
            <w:r>
              <w:rPr>
                <w:rFonts w:ascii="宋体" w:hAnsi="宋体" w:cs="宋体" w:eastAsia="宋体" w:hint="default"/>
                <w:b/>
                <w:bCs/>
                <w:sz w:val="15"/>
                <w:szCs w:val="15"/>
              </w:rPr>
              <w:t>被投资单位名称</w:t>
            </w:r>
            <w:r>
              <w:rPr>
                <w:rFonts w:ascii="宋体" w:hAnsi="宋体" w:cs="宋体" w:eastAsia="宋体" w:hint="default"/>
                <w:sz w:val="15"/>
                <w:szCs w:val="15"/>
              </w:rPr>
            </w:r>
          </w:p>
        </w:tc>
        <w:tc>
          <w:tcPr>
            <w:tcW w:w="1003" w:type="dxa"/>
            <w:tcBorders>
              <w:top w:val="nil" w:sz="6" w:space="0" w:color="auto"/>
              <w:left w:val="nil" w:sz="6" w:space="0" w:color="auto"/>
              <w:bottom w:val="single" w:sz="4" w:space="0" w:color="000000"/>
              <w:right w:val="nil" w:sz="6" w:space="0" w:color="auto"/>
            </w:tcBorders>
          </w:tcPr>
          <w:p>
            <w:pPr>
              <w:pStyle w:val="TableParagraph"/>
              <w:spacing w:line="441" w:lineRule="auto" w:before="93"/>
              <w:ind w:left="465" w:right="159" w:hanging="227"/>
              <w:jc w:val="left"/>
              <w:rPr>
                <w:rFonts w:ascii="宋体" w:hAnsi="宋体" w:cs="宋体" w:eastAsia="宋体" w:hint="default"/>
                <w:sz w:val="15"/>
                <w:szCs w:val="15"/>
              </w:rPr>
            </w:pPr>
            <w:r>
              <w:rPr>
                <w:rFonts w:ascii="宋体" w:hAnsi="宋体" w:cs="宋体" w:eastAsia="宋体" w:hint="default"/>
                <w:b/>
                <w:bCs/>
                <w:sz w:val="15"/>
                <w:szCs w:val="15"/>
              </w:rPr>
              <w:t>主要经营</w:t>
            </w:r>
            <w:r>
              <w:rPr>
                <w:rFonts w:ascii="宋体" w:hAnsi="宋体" w:cs="宋体" w:eastAsia="宋体" w:hint="default"/>
                <w:b/>
                <w:bCs/>
                <w:w w:val="99"/>
                <w:sz w:val="15"/>
                <w:szCs w:val="15"/>
              </w:rPr>
              <w:t> </w:t>
            </w:r>
            <w:r>
              <w:rPr>
                <w:rFonts w:ascii="宋体" w:hAnsi="宋体" w:cs="宋体" w:eastAsia="宋体" w:hint="default"/>
                <w:b/>
                <w:bCs/>
                <w:sz w:val="15"/>
                <w:szCs w:val="15"/>
              </w:rPr>
              <w:t>地</w:t>
            </w:r>
            <w:r>
              <w:rPr>
                <w:rFonts w:ascii="宋体" w:hAnsi="宋体" w:cs="宋体" w:eastAsia="宋体" w:hint="default"/>
                <w:sz w:val="15"/>
                <w:szCs w:val="15"/>
              </w:rPr>
            </w:r>
          </w:p>
        </w:tc>
        <w:tc>
          <w:tcPr>
            <w:tcW w:w="80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tc>
        <w:tc>
          <w:tcPr>
            <w:tcW w:w="98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9" w:right="0"/>
              <w:jc w:val="center"/>
              <w:rPr>
                <w:rFonts w:ascii="宋体" w:hAnsi="宋体" w:cs="宋体" w:eastAsia="宋体" w:hint="default"/>
                <w:sz w:val="15"/>
                <w:szCs w:val="15"/>
              </w:rPr>
            </w:pPr>
            <w:r>
              <w:rPr>
                <w:rFonts w:ascii="宋体" w:hAnsi="宋体" w:cs="宋体" w:eastAsia="宋体" w:hint="default"/>
                <w:b/>
                <w:bCs/>
                <w:sz w:val="15"/>
                <w:szCs w:val="15"/>
              </w:rPr>
              <w:t>业务性质</w:t>
            </w:r>
            <w:r>
              <w:rPr>
                <w:rFonts w:ascii="宋体" w:hAnsi="宋体" w:cs="宋体" w:eastAsia="宋体" w:hint="default"/>
                <w:sz w:val="15"/>
                <w:szCs w:val="15"/>
              </w:rPr>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09" w:right="0" w:hanging="24"/>
              <w:jc w:val="left"/>
              <w:rPr>
                <w:rFonts w:ascii="宋体" w:hAnsi="宋体" w:cs="宋体" w:eastAsia="宋体" w:hint="default"/>
                <w:sz w:val="15"/>
                <w:szCs w:val="15"/>
              </w:rPr>
            </w:pPr>
            <w:r>
              <w:rPr>
                <w:rFonts w:ascii="宋体" w:hAnsi="宋体" w:cs="宋体" w:eastAsia="宋体" w:hint="default"/>
                <w:b/>
                <w:bCs/>
                <w:sz w:val="15"/>
                <w:szCs w:val="15"/>
              </w:rPr>
              <w:t>持股比例（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pStyle w:val="TableParagraph"/>
              <w:spacing w:line="240" w:lineRule="auto" w:before="10"/>
              <w:ind w:right="0"/>
              <w:jc w:val="left"/>
              <w:rPr>
                <w:rFonts w:ascii="宋体" w:hAnsi="宋体" w:cs="宋体" w:eastAsia="宋体" w:hint="default"/>
                <w:sz w:val="17"/>
                <w:szCs w:val="17"/>
              </w:rPr>
            </w:pPr>
          </w:p>
          <w:p>
            <w:pPr>
              <w:pStyle w:val="TableParagraph"/>
              <w:tabs>
                <w:tab w:pos="913" w:val="left" w:leader="none"/>
              </w:tabs>
              <w:spacing w:line="240" w:lineRule="auto"/>
              <w:ind w:left="209" w:right="0"/>
              <w:jc w:val="left"/>
              <w:rPr>
                <w:rFonts w:ascii="宋体" w:hAnsi="宋体" w:cs="宋体" w:eastAsia="宋体" w:hint="default"/>
                <w:sz w:val="15"/>
                <w:szCs w:val="15"/>
              </w:rPr>
            </w:pPr>
            <w:r>
              <w:rPr>
                <w:rFonts w:ascii="宋体" w:hAnsi="宋体" w:cs="宋体" w:eastAsia="宋体" w:hint="default"/>
                <w:b/>
                <w:bCs/>
                <w:w w:val="95"/>
                <w:sz w:val="15"/>
                <w:szCs w:val="15"/>
              </w:rPr>
              <w:t>直接</w:t>
              <w:tab/>
            </w:r>
            <w:r>
              <w:rPr>
                <w:rFonts w:ascii="宋体" w:hAnsi="宋体" w:cs="宋体" w:eastAsia="宋体" w:hint="default"/>
                <w:b/>
                <w:bCs/>
                <w:sz w:val="15"/>
                <w:szCs w:val="15"/>
              </w:rPr>
              <w:t>间接</w:t>
            </w:r>
            <w:r>
              <w:rPr>
                <w:rFonts w:ascii="宋体" w:hAnsi="宋体" w:cs="宋体" w:eastAsia="宋体" w:hint="default"/>
                <w:sz w:val="15"/>
                <w:szCs w:val="15"/>
              </w:rPr>
            </w:r>
          </w:p>
        </w:tc>
        <w:tc>
          <w:tcPr>
            <w:tcW w:w="1625" w:type="dxa"/>
            <w:tcBorders>
              <w:top w:val="nil" w:sz="6" w:space="0" w:color="auto"/>
              <w:left w:val="nil" w:sz="6" w:space="0" w:color="auto"/>
              <w:bottom w:val="single" w:sz="4" w:space="0" w:color="000000"/>
              <w:right w:val="nil" w:sz="6" w:space="0" w:color="auto"/>
            </w:tcBorders>
          </w:tcPr>
          <w:p>
            <w:pPr>
              <w:pStyle w:val="TableParagraph"/>
              <w:spacing w:line="441" w:lineRule="auto" w:before="93"/>
              <w:ind w:left="143" w:right="124" w:firstLine="71"/>
              <w:jc w:val="left"/>
              <w:rPr>
                <w:rFonts w:ascii="宋体" w:hAnsi="宋体" w:cs="宋体" w:eastAsia="宋体" w:hint="default"/>
                <w:sz w:val="15"/>
                <w:szCs w:val="15"/>
              </w:rPr>
            </w:pPr>
            <w:r>
              <w:rPr>
                <w:rFonts w:ascii="宋体" w:hAnsi="宋体" w:cs="宋体" w:eastAsia="宋体" w:hint="default"/>
                <w:b/>
                <w:bCs/>
                <w:sz w:val="15"/>
                <w:szCs w:val="15"/>
              </w:rPr>
              <w:t>本公司在被投资单</w:t>
            </w:r>
            <w:r>
              <w:rPr>
                <w:rFonts w:ascii="宋体" w:hAnsi="宋体" w:cs="宋体" w:eastAsia="宋体" w:hint="default"/>
                <w:b/>
                <w:bCs/>
                <w:w w:val="99"/>
                <w:sz w:val="15"/>
                <w:szCs w:val="15"/>
              </w:rPr>
              <w:t> </w:t>
            </w:r>
            <w:r>
              <w:rPr>
                <w:rFonts w:ascii="宋体" w:hAnsi="宋体" w:cs="宋体" w:eastAsia="宋体" w:hint="default"/>
                <w:b/>
                <w:bCs/>
                <w:sz w:val="15"/>
                <w:szCs w:val="15"/>
              </w:rPr>
              <w:t>位表决权比例（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84" w:type="dxa"/>
            <w:tcBorders>
              <w:top w:val="nil" w:sz="6" w:space="0" w:color="auto"/>
              <w:left w:val="nil" w:sz="6" w:space="0" w:color="auto"/>
              <w:bottom w:val="single" w:sz="4" w:space="0" w:color="000000"/>
              <w:right w:val="nil" w:sz="6" w:space="0" w:color="auto"/>
            </w:tcBorders>
          </w:tcPr>
          <w:p>
            <w:pPr>
              <w:pStyle w:val="TableParagraph"/>
              <w:spacing w:line="441" w:lineRule="auto" w:before="93"/>
              <w:ind w:left="126" w:right="152"/>
              <w:jc w:val="left"/>
              <w:rPr>
                <w:rFonts w:ascii="宋体" w:hAnsi="宋体" w:cs="宋体" w:eastAsia="宋体" w:hint="default"/>
                <w:sz w:val="15"/>
                <w:szCs w:val="15"/>
              </w:rPr>
            </w:pPr>
            <w:r>
              <w:rPr>
                <w:rFonts w:ascii="宋体" w:hAnsi="宋体" w:cs="宋体" w:eastAsia="宋体" w:hint="default"/>
                <w:b/>
                <w:bCs/>
                <w:sz w:val="15"/>
                <w:szCs w:val="15"/>
              </w:rPr>
              <w:t>对集团活动是</w:t>
            </w:r>
            <w:r>
              <w:rPr>
                <w:rFonts w:ascii="宋体" w:hAnsi="宋体" w:cs="宋体" w:eastAsia="宋体" w:hint="default"/>
                <w:b/>
                <w:bCs/>
                <w:w w:val="99"/>
                <w:sz w:val="15"/>
                <w:szCs w:val="15"/>
              </w:rPr>
              <w:t> </w:t>
            </w:r>
            <w:r>
              <w:rPr>
                <w:rFonts w:ascii="宋体" w:hAnsi="宋体" w:cs="宋体" w:eastAsia="宋体" w:hint="default"/>
                <w:b/>
                <w:bCs/>
                <w:sz w:val="15"/>
                <w:szCs w:val="15"/>
              </w:rPr>
              <w:t>否具有战略性</w:t>
            </w:r>
            <w:r>
              <w:rPr>
                <w:rFonts w:ascii="宋体" w:hAnsi="宋体" w:cs="宋体" w:eastAsia="宋体" w:hint="default"/>
                <w:sz w:val="15"/>
                <w:szCs w:val="15"/>
              </w:rPr>
            </w:r>
          </w:p>
        </w:tc>
      </w:tr>
      <w:tr>
        <w:trPr>
          <w:trHeight w:val="499" w:hRule="exact"/>
        </w:trPr>
        <w:tc>
          <w:tcPr>
            <w:tcW w:w="244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一、联营企业</w:t>
            </w:r>
          </w:p>
        </w:tc>
        <w:tc>
          <w:tcPr>
            <w:tcW w:w="1003" w:type="dxa"/>
            <w:tcBorders>
              <w:top w:val="single" w:sz="4" w:space="0" w:color="000000"/>
              <w:left w:val="nil" w:sz="6" w:space="0" w:color="auto"/>
              <w:bottom w:val="nil" w:sz="6" w:space="0" w:color="auto"/>
              <w:right w:val="nil" w:sz="6" w:space="0" w:color="auto"/>
            </w:tcBorders>
          </w:tcPr>
          <w:p>
            <w:pPr/>
          </w:p>
        </w:tc>
        <w:tc>
          <w:tcPr>
            <w:tcW w:w="808" w:type="dxa"/>
            <w:tcBorders>
              <w:top w:val="single" w:sz="4" w:space="0" w:color="000000"/>
              <w:left w:val="nil" w:sz="6" w:space="0" w:color="auto"/>
              <w:bottom w:val="nil" w:sz="6" w:space="0" w:color="auto"/>
              <w:right w:val="nil" w:sz="6" w:space="0" w:color="auto"/>
            </w:tcBorders>
          </w:tcPr>
          <w:p>
            <w:pPr/>
          </w:p>
        </w:tc>
        <w:tc>
          <w:tcPr>
            <w:tcW w:w="983" w:type="dxa"/>
            <w:tcBorders>
              <w:top w:val="single" w:sz="4" w:space="0" w:color="000000"/>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nil" w:sz="6" w:space="0" w:color="auto"/>
              <w:right w:val="nil" w:sz="6" w:space="0" w:color="auto"/>
            </w:tcBorders>
          </w:tcPr>
          <w:p>
            <w:pPr/>
          </w:p>
        </w:tc>
      </w:tr>
      <w:tr>
        <w:trPr>
          <w:trHeight w:val="444"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5"/>
                <w:szCs w:val="15"/>
              </w:rPr>
            </w:pPr>
            <w:r>
              <w:rPr>
                <w:rFonts w:ascii="宋体" w:hAnsi="宋体" w:cs="宋体" w:eastAsia="宋体" w:hint="default"/>
                <w:sz w:val="15"/>
                <w:szCs w:val="15"/>
              </w:rPr>
              <w:t>决胜教育科技集团股份有限公司</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35"/>
              <w:jc w:val="right"/>
              <w:rPr>
                <w:rFonts w:ascii="宋体" w:hAnsi="宋体" w:cs="宋体" w:eastAsia="宋体" w:hint="default"/>
                <w:sz w:val="15"/>
                <w:szCs w:val="15"/>
              </w:rPr>
            </w:pPr>
            <w:r>
              <w:rPr>
                <w:rFonts w:ascii="宋体" w:hAnsi="宋体" w:cs="宋体" w:eastAsia="宋体" w:hint="default"/>
                <w:sz w:val="15"/>
                <w:szCs w:val="15"/>
              </w:rPr>
              <w:t>北京市</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1"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 w:right="0"/>
              <w:jc w:val="center"/>
              <w:rPr>
                <w:rFonts w:ascii="宋体" w:hAnsi="宋体" w:cs="宋体" w:eastAsia="宋体" w:hint="default"/>
                <w:sz w:val="15"/>
                <w:szCs w:val="15"/>
              </w:rPr>
            </w:pPr>
            <w:r>
              <w:rPr>
                <w:rFonts w:ascii="宋体" w:hAnsi="宋体" w:cs="宋体" w:eastAsia="宋体" w:hint="default"/>
                <w:sz w:val="15"/>
                <w:szCs w:val="15"/>
              </w:rPr>
              <w:t>网络教育</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91" w:right="0"/>
              <w:jc w:val="left"/>
              <w:rPr>
                <w:rFonts w:ascii="Times New Roman" w:hAnsi="Times New Roman" w:cs="Times New Roman" w:eastAsia="Times New Roman" w:hint="default"/>
                <w:sz w:val="15"/>
                <w:szCs w:val="15"/>
              </w:rPr>
            </w:pPr>
            <w:r>
              <w:rPr>
                <w:rFonts w:ascii="Times New Roman"/>
                <w:sz w:val="15"/>
              </w:rPr>
              <w:t>18.61</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18.61</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28"/>
              <w:jc w:val="right"/>
              <w:rPr>
                <w:rFonts w:ascii="宋体" w:hAnsi="宋体" w:cs="宋体" w:eastAsia="宋体" w:hint="default"/>
                <w:sz w:val="15"/>
                <w:szCs w:val="15"/>
              </w:rPr>
            </w:pPr>
            <w:r>
              <w:rPr>
                <w:rFonts w:ascii="宋体" w:hAnsi="宋体" w:cs="宋体" w:eastAsia="宋体" w:hint="default"/>
                <w:sz w:val="15"/>
                <w:szCs w:val="15"/>
              </w:rPr>
              <w:t>是</w:t>
            </w:r>
          </w:p>
        </w:tc>
      </w:tr>
      <w:tr>
        <w:trPr>
          <w:trHeight w:val="399" w:hRule="exact"/>
        </w:trPr>
        <w:tc>
          <w:tcPr>
            <w:tcW w:w="244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宋体" w:hAnsi="宋体" w:cs="宋体" w:eastAsia="宋体" w:hint="default"/>
                <w:sz w:val="15"/>
                <w:szCs w:val="15"/>
              </w:rPr>
              <w:t>海南元游信息技术有限公司</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5"/>
              <w:jc w:val="right"/>
              <w:rPr>
                <w:rFonts w:ascii="宋体" w:hAnsi="宋体" w:cs="宋体" w:eastAsia="宋体" w:hint="default"/>
                <w:sz w:val="15"/>
                <w:szCs w:val="15"/>
              </w:rPr>
            </w:pPr>
            <w:r>
              <w:rPr>
                <w:rFonts w:ascii="宋体" w:hAnsi="宋体" w:cs="宋体" w:eastAsia="宋体" w:hint="default"/>
                <w:sz w:val="15"/>
                <w:szCs w:val="15"/>
              </w:rPr>
              <w:t>广州市</w:t>
            </w:r>
          </w:p>
        </w:tc>
        <w:tc>
          <w:tcPr>
            <w:tcW w:w="80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61" w:right="0"/>
              <w:jc w:val="left"/>
              <w:rPr>
                <w:rFonts w:ascii="宋体" w:hAnsi="宋体" w:cs="宋体" w:eastAsia="宋体" w:hint="default"/>
                <w:sz w:val="15"/>
                <w:szCs w:val="15"/>
              </w:rPr>
            </w:pPr>
            <w:r>
              <w:rPr>
                <w:rFonts w:ascii="宋体" w:hAnsi="宋体" w:cs="宋体" w:eastAsia="宋体" w:hint="default"/>
                <w:sz w:val="15"/>
                <w:szCs w:val="15"/>
              </w:rPr>
              <w:t>海南市</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 w:right="0"/>
              <w:jc w:val="center"/>
              <w:rPr>
                <w:rFonts w:ascii="宋体" w:hAnsi="宋体" w:cs="宋体" w:eastAsia="宋体" w:hint="default"/>
                <w:sz w:val="15"/>
                <w:szCs w:val="15"/>
              </w:rPr>
            </w:pPr>
            <w:r>
              <w:rPr>
                <w:rFonts w:ascii="宋体" w:hAnsi="宋体" w:cs="宋体" w:eastAsia="宋体" w:hint="default"/>
                <w:sz w:val="15"/>
                <w:szCs w:val="15"/>
              </w:rPr>
              <w:t>游戏运营</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895" w:right="0"/>
              <w:jc w:val="left"/>
              <w:rPr>
                <w:rFonts w:ascii="Times New Roman" w:hAnsi="Times New Roman" w:cs="Times New Roman" w:eastAsia="Times New Roman" w:hint="default"/>
                <w:sz w:val="15"/>
                <w:szCs w:val="15"/>
              </w:rPr>
            </w:pPr>
            <w:r>
              <w:rPr>
                <w:rFonts w:ascii="Times New Roman"/>
                <w:sz w:val="15"/>
              </w:rPr>
              <w:t>20.00</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20.00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28"/>
              <w:jc w:val="right"/>
              <w:rPr>
                <w:rFonts w:ascii="宋体" w:hAnsi="宋体" w:cs="宋体" w:eastAsia="宋体" w:hint="default"/>
                <w:sz w:val="15"/>
                <w:szCs w:val="15"/>
              </w:rPr>
            </w:pPr>
            <w:r>
              <w:rPr>
                <w:rFonts w:ascii="宋体" w:hAnsi="宋体" w:cs="宋体" w:eastAsia="宋体" w:hint="default"/>
                <w:sz w:val="15"/>
                <w:szCs w:val="15"/>
              </w:rPr>
              <w:t>是</w:t>
            </w:r>
          </w:p>
        </w:tc>
      </w:tr>
    </w:tbl>
    <w:p>
      <w:pPr>
        <w:spacing w:after="0" w:line="240" w:lineRule="auto"/>
        <w:jc w:val="right"/>
        <w:rPr>
          <w:rFonts w:ascii="宋体" w:hAnsi="宋体" w:cs="宋体" w:eastAsia="宋体" w:hint="default"/>
          <w:sz w:val="15"/>
          <w:szCs w:val="15"/>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45" w:lineRule="auto"/>
        <w:ind w:left="1418" w:right="1264" w:firstLine="360"/>
        <w:jc w:val="left"/>
      </w:pPr>
      <w:r>
        <w:rPr/>
        <w:t>注</w:t>
      </w:r>
      <w:r>
        <w:rPr>
          <w:spacing w:val="24"/>
        </w:rPr>
        <w:t> </w:t>
      </w:r>
      <w:r>
        <w:rPr>
          <w:rFonts w:ascii="Times New Roman" w:hAnsi="Times New Roman" w:cs="Times New Roman" w:eastAsia="Times New Roman" w:hint="default"/>
        </w:rPr>
        <w:t>1</w:t>
      </w:r>
      <w:r>
        <w:rPr/>
        <w:t>：投资完成后，公司成为决胜教育科技集团股份有限公司第二大股东，在决胜教育科技集团股份有限公司董 事会成员中派有董事，对决胜教育科技集团股份有限公司财务和经营政策具有重大影响。</w:t>
      </w:r>
    </w:p>
    <w:p>
      <w:pPr>
        <w:spacing w:line="240" w:lineRule="auto" w:before="5"/>
        <w:rPr>
          <w:rFonts w:ascii="宋体" w:hAnsi="宋体" w:cs="宋体" w:eastAsia="宋体" w:hint="default"/>
          <w:sz w:val="15"/>
          <w:szCs w:val="15"/>
        </w:rPr>
      </w:pPr>
    </w:p>
    <w:p>
      <w:pPr>
        <w:pStyle w:val="BodyText"/>
        <w:spacing w:line="348" w:lineRule="auto"/>
        <w:ind w:left="1418" w:right="1262" w:firstLine="360"/>
        <w:jc w:val="left"/>
      </w:pPr>
      <w:r>
        <w:rPr/>
        <w:t>注</w:t>
      </w:r>
      <w:r>
        <w:rPr>
          <w:spacing w:val="26"/>
        </w:rPr>
        <w:t> </w:t>
      </w:r>
      <w:r>
        <w:rPr>
          <w:rFonts w:ascii="Times New Roman" w:hAnsi="Times New Roman" w:cs="Times New Roman" w:eastAsia="Times New Roman" w:hint="default"/>
        </w:rPr>
        <w:t>2</w:t>
      </w:r>
      <w:r>
        <w:rPr/>
        <w:t>：投资完成后，上海游爱之星信息科技有限公司成为海南元游信息技术有限公司第二大股东，在海南元游信 息技术有限公司董事会成员中派有董事，对海南元游信息技术有限公司财务和经营政策具有重大影响。</w:t>
      </w:r>
    </w:p>
    <w:p>
      <w:pPr>
        <w:spacing w:line="240" w:lineRule="auto" w:before="3"/>
        <w:rPr>
          <w:rFonts w:ascii="宋体" w:hAnsi="宋体" w:cs="宋体" w:eastAsia="宋体" w:hint="default"/>
          <w:sz w:val="15"/>
          <w:szCs w:val="15"/>
        </w:rPr>
      </w:pPr>
    </w:p>
    <w:p>
      <w:pPr>
        <w:pStyle w:val="BodyText"/>
        <w:spacing w:line="240" w:lineRule="auto"/>
        <w:ind w:right="1117"/>
        <w:jc w:val="left"/>
      </w:pPr>
      <w:bookmarkStart w:name="（2）重要联营企业的主要财务信息" w:id="254"/>
      <w:bookmarkEnd w:id="254"/>
      <w:r>
        <w:rPr/>
      </w:r>
      <w:r>
        <w:rPr/>
        <w:t>（</w:t>
      </w:r>
      <w:r>
        <w:rPr>
          <w:rFonts w:ascii="Times New Roman" w:hAnsi="Times New Roman" w:cs="Times New Roman" w:eastAsia="Times New Roman" w:hint="default"/>
        </w:rPr>
        <w:t>2</w:t>
      </w:r>
      <w:r>
        <w:rPr/>
        <w:t>）重要联营企业的主要财务信息</w:t>
      </w:r>
    </w:p>
    <w:p>
      <w:pPr>
        <w:spacing w:line="240" w:lineRule="auto" w:before="0"/>
        <w:rPr>
          <w:rFonts w:ascii="宋体" w:hAnsi="宋体" w:cs="宋体" w:eastAsia="宋体" w:hint="default"/>
          <w:sz w:val="20"/>
          <w:szCs w:val="20"/>
        </w:rPr>
      </w:pPr>
    </w:p>
    <w:p>
      <w:pPr>
        <w:pStyle w:val="Heading6"/>
        <w:spacing w:line="228" w:lineRule="exact" w:before="44"/>
        <w:ind w:left="3489" w:right="0"/>
        <w:jc w:val="center"/>
        <w:rPr>
          <w:b w:val="0"/>
          <w:bCs w:val="0"/>
        </w:rPr>
      </w:pPr>
      <w:r>
        <w:rPr/>
        <w:t>期末余额或本期发生额</w:t>
      </w:r>
      <w:r>
        <w:rPr>
          <w:b w:val="0"/>
          <w:bCs w:val="0"/>
        </w:rPr>
      </w:r>
    </w:p>
    <w:p>
      <w:pPr>
        <w:pStyle w:val="Heading6"/>
        <w:spacing w:line="220" w:lineRule="exact"/>
        <w:ind w:left="2712" w:right="1117"/>
        <w:jc w:val="left"/>
        <w:rPr>
          <w:b w:val="0"/>
          <w:bCs w:val="0"/>
        </w:rPr>
      </w:pPr>
      <w:r>
        <w:rPr/>
        <w:t>项</w:t>
      </w:r>
      <w:r>
        <w:rPr>
          <w:spacing w:val="90"/>
        </w:rPr>
        <w:t> </w:t>
      </w:r>
      <w:r>
        <w:rPr/>
        <w:t>目</w:t>
      </w:r>
      <w:r>
        <w:rPr>
          <w:b w:val="0"/>
          <w:bCs w:val="0"/>
        </w:rPr>
      </w:r>
    </w:p>
    <w:p>
      <w:pPr>
        <w:pStyle w:val="Heading6"/>
        <w:tabs>
          <w:tab w:pos="6683" w:val="left" w:leader="none"/>
        </w:tabs>
        <w:spacing w:line="228" w:lineRule="exact"/>
        <w:ind w:left="3460" w:right="0"/>
        <w:jc w:val="center"/>
        <w:rPr>
          <w:b w:val="0"/>
          <w:bCs w:val="0"/>
        </w:rPr>
      </w:pPr>
      <w:r>
        <w:rPr>
          <w:w w:val="95"/>
        </w:rPr>
        <w:t>决胜教育科技集团股份有限公司</w:t>
        <w:tab/>
      </w:r>
      <w:r>
        <w:rPr/>
        <w:t>海南元游信息技术有限公司</w:t>
      </w:r>
      <w:r>
        <w:rPr>
          <w:b w:val="0"/>
          <w:bCs w:val="0"/>
        </w:rPr>
      </w:r>
    </w:p>
    <w:p>
      <w:pPr>
        <w:spacing w:line="240" w:lineRule="auto" w:before="8"/>
        <w:rPr>
          <w:rFonts w:ascii="宋体" w:hAnsi="宋体" w:cs="宋体" w:eastAsia="宋体" w:hint="default"/>
          <w:b/>
          <w:bCs/>
          <w:sz w:val="6"/>
          <w:szCs w:val="6"/>
        </w:rPr>
      </w:pPr>
    </w:p>
    <w:p>
      <w:pPr>
        <w:spacing w:line="20" w:lineRule="exact"/>
        <w:ind w:left="1300" w:right="0" w:firstLine="0"/>
        <w:rPr>
          <w:rFonts w:ascii="宋体" w:hAnsi="宋体" w:cs="宋体" w:eastAsia="宋体" w:hint="default"/>
          <w:sz w:val="2"/>
          <w:szCs w:val="2"/>
        </w:rPr>
      </w:pPr>
      <w:r>
        <w:rPr>
          <w:rFonts w:ascii="宋体" w:hAnsi="宋体" w:cs="宋体" w:eastAsia="宋体" w:hint="default"/>
          <w:sz w:val="2"/>
          <w:szCs w:val="2"/>
        </w:rPr>
        <w:pict>
          <v:group style="width:472.5pt;height:1pt;mso-position-horizontal-relative:char;mso-position-vertical-relative:line" coordorigin="0,0" coordsize="9450,20">
            <v:group style="position:absolute;left:10;top:10;width:3346;height:2" coordorigin="10,10" coordsize="3346,2">
              <v:shape style="position:absolute;left:10;top:10;width:3346;height:2" coordorigin="10,10" coordsize="3346,0" path="m10,10l3356,10e" filled="false" stroked="true" strokeweight=".96pt" strokecolor="#000000">
                <v:path arrowok="t"/>
              </v:shape>
            </v:group>
            <v:group style="position:absolute;left:3356;top:10;width:20;height:2" coordorigin="3356,10" coordsize="20,2">
              <v:shape style="position:absolute;left:3356;top:10;width:20;height:2" coordorigin="3356,10" coordsize="20,0" path="m3356,10l3375,10e" filled="false" stroked="true" strokeweight=".96pt" strokecolor="#000000">
                <v:path arrowok="t"/>
              </v:shape>
            </v:group>
            <v:group style="position:absolute;left:3375;top:10;width:3177;height:2" coordorigin="3375,10" coordsize="3177,2">
              <v:shape style="position:absolute;left:3375;top:10;width:3177;height:2" coordorigin="3375,10" coordsize="3177,0" path="m3375,10l6552,10e" filled="false" stroked="true" strokeweight=".96pt" strokecolor="#000000">
                <v:path arrowok="t"/>
              </v:shape>
            </v:group>
            <v:group style="position:absolute;left:6552;top:10;width:20;height:2" coordorigin="6552,10" coordsize="20,2">
              <v:shape style="position:absolute;left:6552;top:10;width:20;height:2" coordorigin="6552,10" coordsize="20,0" path="m6552,10l6571,10e" filled="false" stroked="true" strokeweight=".96pt" strokecolor="#000000">
                <v:path arrowok="t"/>
              </v:shape>
            </v:group>
            <v:group style="position:absolute;left:6571;top:10;width:2870;height:2" coordorigin="6571,10" coordsize="2870,2">
              <v:shape style="position:absolute;left:6571;top:10;width:2870;height:2" coordorigin="6571,10" coordsize="2870,0" path="m6571,10l9440,10e" filled="false" stroked="true" strokeweight=".96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5"/>
          <w:szCs w:val="5"/>
        </w:rPr>
      </w:pPr>
    </w:p>
    <w:tbl>
      <w:tblPr>
        <w:tblW w:w="0" w:type="auto"/>
        <w:jc w:val="left"/>
        <w:tblInd w:w="1383" w:type="dxa"/>
        <w:tblLayout w:type="fixed"/>
        <w:tblCellMar>
          <w:top w:w="0" w:type="dxa"/>
          <w:left w:w="0" w:type="dxa"/>
          <w:bottom w:w="0" w:type="dxa"/>
          <w:right w:w="0" w:type="dxa"/>
        </w:tblCellMar>
        <w:tblLook w:val="01E0"/>
      </w:tblPr>
      <w:tblGrid>
        <w:gridCol w:w="3787"/>
        <w:gridCol w:w="2879"/>
        <w:gridCol w:w="2042"/>
      </w:tblGrid>
      <w:tr>
        <w:trPr>
          <w:trHeight w:val="415"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
              <w:jc w:val="center"/>
              <w:rPr>
                <w:rFonts w:ascii="Times New Roman" w:hAnsi="Times New Roman" w:cs="Times New Roman" w:eastAsia="Times New Roman" w:hint="default"/>
                <w:sz w:val="18"/>
                <w:szCs w:val="18"/>
              </w:rPr>
            </w:pPr>
            <w:r>
              <w:rPr>
                <w:rFonts w:ascii="Times New Roman"/>
                <w:sz w:val="18"/>
              </w:rPr>
              <w:t>179,756,755.07</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233,993,669.85</w:t>
            </w:r>
          </w:p>
        </w:tc>
      </w:tr>
      <w:tr>
        <w:trPr>
          <w:trHeight w:val="44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 w:right="0"/>
              <w:jc w:val="center"/>
              <w:rPr>
                <w:rFonts w:ascii="Times New Roman" w:hAnsi="Times New Roman" w:cs="Times New Roman" w:eastAsia="Times New Roman" w:hint="default"/>
                <w:sz w:val="18"/>
                <w:szCs w:val="18"/>
              </w:rPr>
            </w:pPr>
            <w:r>
              <w:rPr>
                <w:rFonts w:ascii="Times New Roman"/>
                <w:sz w:val="18"/>
              </w:rPr>
              <w:t>93,529,302.74</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1,202,520.30</w:t>
            </w:r>
          </w:p>
        </w:tc>
      </w:tr>
      <w:tr>
        <w:trPr>
          <w:trHeight w:val="44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273,286,057.81</w:t>
            </w:r>
            <w:r>
              <w:rPr>
                <w:rFonts w:ascii="Times New Roman"/>
                <w:sz w:val="18"/>
              </w:rPr>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235,196,190.15</w:t>
            </w:r>
            <w:r>
              <w:rPr>
                <w:rFonts w:ascii="Times New Roman"/>
                <w:spacing w:val="-1"/>
                <w:sz w:val="18"/>
              </w:rPr>
            </w:r>
          </w:p>
        </w:tc>
      </w:tr>
      <w:tr>
        <w:trPr>
          <w:trHeight w:val="44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 w:right="0"/>
              <w:jc w:val="center"/>
              <w:rPr>
                <w:rFonts w:ascii="Times New Roman" w:hAnsi="Times New Roman" w:cs="Times New Roman" w:eastAsia="Times New Roman" w:hint="default"/>
                <w:sz w:val="18"/>
                <w:szCs w:val="18"/>
              </w:rPr>
            </w:pPr>
            <w:r>
              <w:rPr>
                <w:rFonts w:ascii="Times New Roman"/>
                <w:sz w:val="18"/>
              </w:rPr>
              <w:t>76,197,441.98</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55,003,273.66</w:t>
            </w:r>
          </w:p>
        </w:tc>
      </w:tr>
      <w:tr>
        <w:trPr>
          <w:trHeight w:val="44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 w:right="0"/>
              <w:jc w:val="center"/>
              <w:rPr>
                <w:rFonts w:ascii="Times New Roman" w:hAnsi="Times New Roman" w:cs="Times New Roman" w:eastAsia="Times New Roman" w:hint="default"/>
                <w:sz w:val="18"/>
                <w:szCs w:val="18"/>
              </w:rPr>
            </w:pPr>
            <w:r>
              <w:rPr>
                <w:rFonts w:ascii="Times New Roman"/>
                <w:sz w:val="18"/>
              </w:rPr>
              <w:t>20,279,671.05</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894,349.82</w:t>
            </w:r>
          </w:p>
        </w:tc>
      </w:tr>
      <w:tr>
        <w:trPr>
          <w:trHeight w:val="44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9"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96,477,113.03</w:t>
            </w:r>
            <w:r>
              <w:rPr>
                <w:rFonts w:ascii="Times New Roman"/>
                <w:sz w:val="18"/>
              </w:rPr>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55,897,623.48</w:t>
            </w:r>
            <w:r>
              <w:rPr>
                <w:rFonts w:ascii="Times New Roman"/>
                <w:spacing w:val="-1"/>
                <w:sz w:val="18"/>
              </w:rPr>
            </w:r>
          </w:p>
        </w:tc>
      </w:tr>
      <w:tr>
        <w:trPr>
          <w:trHeight w:val="44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
              <w:jc w:val="center"/>
              <w:rPr>
                <w:rFonts w:ascii="Times New Roman" w:hAnsi="Times New Roman" w:cs="Times New Roman" w:eastAsia="Times New Roman" w:hint="default"/>
                <w:sz w:val="18"/>
                <w:szCs w:val="18"/>
              </w:rPr>
            </w:pPr>
            <w:r>
              <w:rPr>
                <w:rFonts w:ascii="Times New Roman"/>
                <w:sz w:val="18"/>
              </w:rPr>
              <w:t>176,808,944.78</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179,298,566.67</w:t>
            </w:r>
          </w:p>
        </w:tc>
      </w:tr>
      <w:tr>
        <w:trPr>
          <w:trHeight w:val="44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9" w:right="0"/>
              <w:jc w:val="center"/>
              <w:rPr>
                <w:rFonts w:ascii="Times New Roman" w:hAnsi="Times New Roman" w:cs="Times New Roman" w:eastAsia="Times New Roman" w:hint="default"/>
                <w:sz w:val="18"/>
                <w:szCs w:val="18"/>
              </w:rPr>
            </w:pPr>
            <w:r>
              <w:rPr>
                <w:rFonts w:ascii="Times New Roman"/>
                <w:sz w:val="18"/>
              </w:rPr>
              <w:t>32,341,148.80</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35,859,713.33</w:t>
            </w:r>
          </w:p>
        </w:tc>
      </w:tr>
      <w:tr>
        <w:trPr>
          <w:trHeight w:val="44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131,349,971.09</w:t>
            </w:r>
            <w:r>
              <w:rPr>
                <w:rFonts w:ascii="Times New Roman"/>
                <w:sz w:val="18"/>
              </w:rPr>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single" w:color="000000"/>
              </w:rPr>
              <w:t>-1,323,567.07</w:t>
            </w:r>
            <w:r>
              <w:rPr>
                <w:rFonts w:ascii="Times New Roman"/>
                <w:spacing w:val="-1"/>
                <w:sz w:val="18"/>
              </w:rPr>
            </w:r>
          </w:p>
        </w:tc>
      </w:tr>
      <w:tr>
        <w:trPr>
          <w:trHeight w:val="132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71" w:right="0"/>
              <w:jc w:val="left"/>
              <w:rPr>
                <w:rFonts w:ascii="Times New Roman" w:hAnsi="Times New Roman" w:cs="Times New Roman" w:eastAsia="Times New Roman" w:hint="default"/>
                <w:sz w:val="18"/>
                <w:szCs w:val="18"/>
              </w:rPr>
            </w:pPr>
            <w:r>
              <w:rPr>
                <w:rFonts w:ascii="Times New Roman"/>
                <w:sz w:val="18"/>
              </w:rPr>
              <w:t>130,516,931.04</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185" w:right="0"/>
              <w:jc w:val="left"/>
              <w:rPr>
                <w:rFonts w:ascii="Times New Roman" w:hAnsi="Times New Roman" w:cs="Times New Roman" w:eastAsia="Times New Roman" w:hint="default"/>
                <w:sz w:val="18"/>
                <w:szCs w:val="18"/>
              </w:rPr>
            </w:pPr>
            <w:r>
              <w:rPr>
                <w:rFonts w:ascii="Times New Roman"/>
                <w:sz w:val="18"/>
              </w:rPr>
              <w:t>833,040.05</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-1,323,567.07</w:t>
            </w:r>
          </w:p>
        </w:tc>
      </w:tr>
      <w:tr>
        <w:trPr>
          <w:trHeight w:val="875"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
              <w:jc w:val="center"/>
              <w:rPr>
                <w:rFonts w:ascii="Times New Roman" w:hAnsi="Times New Roman" w:cs="Times New Roman" w:eastAsia="Times New Roman" w:hint="default"/>
                <w:sz w:val="18"/>
                <w:szCs w:val="18"/>
              </w:rPr>
            </w:pPr>
            <w:r>
              <w:rPr>
                <w:rFonts w:ascii="Times New Roman"/>
                <w:sz w:val="18"/>
              </w:rPr>
              <w:t>163,691,119.89</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34,536,146.26</w:t>
            </w:r>
          </w:p>
        </w:tc>
      </w:tr>
      <w:tr>
        <w:trPr>
          <w:trHeight w:val="445"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8"/>
              <w:jc w:val="center"/>
              <w:rPr>
                <w:rFonts w:ascii="Times New Roman" w:hAnsi="Times New Roman" w:cs="Times New Roman" w:eastAsia="Times New Roman" w:hint="default"/>
                <w:sz w:val="18"/>
                <w:szCs w:val="18"/>
              </w:rPr>
            </w:pPr>
            <w:r>
              <w:rPr>
                <w:rFonts w:ascii="Times New Roman"/>
                <w:sz w:val="18"/>
              </w:rPr>
              <w:t>300,498,766.05</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pacing w:val="-1"/>
                <w:sz w:val="18"/>
              </w:rPr>
              <w:t>205,579,367.09</w:t>
            </w:r>
          </w:p>
        </w:tc>
      </w:tr>
      <w:tr>
        <w:trPr>
          <w:trHeight w:val="875"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9" w:right="0"/>
              <w:jc w:val="center"/>
              <w:rPr>
                <w:rFonts w:ascii="Times New Roman" w:hAnsi="Times New Roman" w:cs="Times New Roman" w:eastAsia="Times New Roman" w:hint="default"/>
                <w:sz w:val="18"/>
                <w:szCs w:val="18"/>
              </w:rPr>
            </w:pPr>
            <w:r>
              <w:rPr>
                <w:rFonts w:ascii="Times New Roman"/>
                <w:sz w:val="18"/>
              </w:rPr>
              <w:t>-21,395,913.70</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147,680,731.29</w:t>
            </w:r>
          </w:p>
        </w:tc>
      </w:tr>
      <w:tr>
        <w:trPr>
          <w:trHeight w:val="850" w:hRule="exact"/>
        </w:trPr>
        <w:tc>
          <w:tcPr>
            <w:tcW w:w="378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综合收益总额</w:t>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收到的来自联营企业的股利</w:t>
            </w: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9" w:right="0"/>
              <w:jc w:val="center"/>
              <w:rPr>
                <w:rFonts w:ascii="Times New Roman" w:hAnsi="Times New Roman" w:cs="Times New Roman" w:eastAsia="Times New Roman" w:hint="default"/>
                <w:sz w:val="18"/>
                <w:szCs w:val="18"/>
              </w:rPr>
            </w:pPr>
            <w:r>
              <w:rPr>
                <w:rFonts w:ascii="Times New Roman"/>
                <w:sz w:val="18"/>
              </w:rPr>
              <w:t>-21,395,913.70</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pacing w:val="-1"/>
                <w:sz w:val="18"/>
              </w:rPr>
              <w:t>147,680,731.29</w:t>
            </w:r>
          </w:p>
        </w:tc>
      </w:tr>
    </w:tbl>
    <w:p>
      <w:pPr>
        <w:spacing w:line="240" w:lineRule="auto" w:before="13"/>
        <w:rPr>
          <w:rFonts w:ascii="宋体" w:hAnsi="宋体" w:cs="宋体" w:eastAsia="宋体" w:hint="default"/>
          <w:b/>
          <w:bCs/>
          <w:sz w:val="22"/>
          <w:szCs w:val="22"/>
        </w:rPr>
      </w:pPr>
    </w:p>
    <w:p>
      <w:pPr>
        <w:pStyle w:val="BodyText"/>
        <w:spacing w:line="240" w:lineRule="auto" w:before="44"/>
        <w:ind w:right="1117"/>
        <w:jc w:val="left"/>
      </w:pPr>
      <w:r>
        <w:rPr/>
        <w:t>接上表：</w:t>
      </w:r>
    </w:p>
    <w:p>
      <w:pPr>
        <w:spacing w:line="240" w:lineRule="auto" w:before="10"/>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5545"/>
        <w:gridCol w:w="3886"/>
      </w:tblGrid>
      <w:tr>
        <w:trPr>
          <w:trHeight w:val="420" w:hRule="exact"/>
        </w:trPr>
        <w:tc>
          <w:tcPr>
            <w:tcW w:w="55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0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886" w:type="dxa"/>
            <w:tcBorders>
              <w:top w:val="nil" w:sz="6" w:space="0" w:color="auto"/>
              <w:left w:val="nil" w:sz="6" w:space="0" w:color="auto"/>
              <w:bottom w:val="nil" w:sz="6" w:space="0" w:color="auto"/>
              <w:right w:val="nil" w:sz="6" w:space="0" w:color="auto"/>
            </w:tcBorders>
          </w:tcPr>
          <w:p>
            <w:pPr>
              <w:pStyle w:val="TableParagraph"/>
              <w:spacing w:line="180" w:lineRule="exact"/>
              <w:ind w:left="-61"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r>
      <w:tr>
        <w:trPr>
          <w:trHeight w:val="296" w:hRule="exact"/>
        </w:trPr>
        <w:tc>
          <w:tcPr>
            <w:tcW w:w="5545" w:type="dxa"/>
            <w:tcBorders>
              <w:top w:val="nil" w:sz="6" w:space="0" w:color="auto"/>
              <w:left w:val="nil" w:sz="6" w:space="0" w:color="auto"/>
              <w:bottom w:val="single" w:sz="8" w:space="0" w:color="000000"/>
              <w:right w:val="nil" w:sz="6" w:space="0" w:color="auto"/>
            </w:tcBorders>
          </w:tcPr>
          <w:p>
            <w:pPr>
              <w:pStyle w:val="TableParagraph"/>
              <w:spacing w:line="200" w:lineRule="exact"/>
              <w:ind w:left="3678" w:right="-121"/>
              <w:jc w:val="left"/>
              <w:rPr>
                <w:rFonts w:ascii="宋体" w:hAnsi="宋体" w:cs="宋体" w:eastAsia="宋体" w:hint="default"/>
                <w:sz w:val="18"/>
                <w:szCs w:val="18"/>
              </w:rPr>
            </w:pPr>
            <w:r>
              <w:rPr>
                <w:rFonts w:ascii="宋体" w:hAnsi="宋体" w:cs="宋体" w:eastAsia="宋体" w:hint="default"/>
                <w:b/>
                <w:bCs/>
                <w:w w:val="95"/>
                <w:sz w:val="18"/>
                <w:szCs w:val="18"/>
              </w:rPr>
              <w:t>决胜教育科技集团股份有</w:t>
            </w:r>
            <w:r>
              <w:rPr>
                <w:rFonts w:ascii="宋体" w:hAnsi="宋体" w:cs="宋体" w:eastAsia="宋体" w:hint="default"/>
                <w:sz w:val="18"/>
                <w:szCs w:val="18"/>
              </w:rPr>
            </w:r>
          </w:p>
        </w:tc>
        <w:tc>
          <w:tcPr>
            <w:tcW w:w="3886" w:type="dxa"/>
            <w:tcBorders>
              <w:top w:val="nil" w:sz="6" w:space="0" w:color="auto"/>
              <w:left w:val="nil" w:sz="6" w:space="0" w:color="auto"/>
              <w:bottom w:val="single" w:sz="8" w:space="0" w:color="000000"/>
              <w:right w:val="nil" w:sz="6" w:space="0" w:color="auto"/>
            </w:tcBorders>
          </w:tcPr>
          <w:p>
            <w:pPr>
              <w:pStyle w:val="TableParagraph"/>
              <w:tabs>
                <w:tab w:pos="1356" w:val="left" w:leader="none"/>
              </w:tabs>
              <w:spacing w:line="200" w:lineRule="exact"/>
              <w:ind w:left="120" w:right="0"/>
              <w:jc w:val="left"/>
              <w:rPr>
                <w:rFonts w:ascii="宋体" w:hAnsi="宋体" w:cs="宋体" w:eastAsia="宋体" w:hint="default"/>
                <w:sz w:val="18"/>
                <w:szCs w:val="18"/>
              </w:rPr>
            </w:pPr>
            <w:r>
              <w:rPr>
                <w:rFonts w:ascii="宋体" w:hAnsi="宋体" w:cs="宋体" w:eastAsia="宋体" w:hint="default"/>
                <w:b/>
                <w:bCs/>
                <w:w w:val="95"/>
                <w:sz w:val="18"/>
                <w:szCs w:val="18"/>
              </w:rPr>
              <w:t>限公司</w:t>
              <w:tab/>
            </w:r>
            <w:r>
              <w:rPr>
                <w:rFonts w:ascii="宋体" w:hAnsi="宋体" w:cs="宋体" w:eastAsia="宋体" w:hint="default"/>
                <w:b/>
                <w:bCs/>
                <w:sz w:val="18"/>
                <w:szCs w:val="18"/>
              </w:rPr>
              <w:t>海南元游信息技术有限公司</w:t>
            </w:r>
            <w:r>
              <w:rPr>
                <w:rFonts w:ascii="宋体" w:hAnsi="宋体" w:cs="宋体" w:eastAsia="宋体" w:hint="default"/>
                <w:sz w:val="18"/>
                <w:szCs w:val="18"/>
              </w:rPr>
            </w:r>
          </w:p>
        </w:tc>
      </w:tr>
      <w:tr>
        <w:trPr>
          <w:trHeight w:val="374" w:hRule="exact"/>
        </w:trPr>
        <w:tc>
          <w:tcPr>
            <w:tcW w:w="5545" w:type="dxa"/>
            <w:tcBorders>
              <w:top w:val="single" w:sz="8" w:space="0" w:color="000000"/>
              <w:left w:val="nil" w:sz="6" w:space="0" w:color="auto"/>
              <w:bottom w:val="nil" w:sz="6" w:space="0" w:color="auto"/>
              <w:right w:val="nil" w:sz="6" w:space="0" w:color="auto"/>
            </w:tcBorders>
          </w:tcPr>
          <w:p>
            <w:pPr>
              <w:pStyle w:val="TableParagraph"/>
              <w:tabs>
                <w:tab w:pos="4883" w:val="left" w:leader="none"/>
              </w:tabs>
              <w:spacing w:line="240" w:lineRule="auto" w:before="118"/>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w:t>
              <w:tab/>
            </w:r>
            <w:r>
              <w:rPr>
                <w:rFonts w:ascii="Times New Roman" w:hAnsi="Times New Roman" w:cs="Times New Roman" w:eastAsia="Times New Roman" w:hint="default"/>
                <w:sz w:val="18"/>
                <w:szCs w:val="18"/>
              </w:rPr>
              <w:t>181,849,</w:t>
            </w:r>
          </w:p>
        </w:tc>
        <w:tc>
          <w:tcPr>
            <w:tcW w:w="3886"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31" w:right="0"/>
              <w:jc w:val="left"/>
              <w:rPr>
                <w:rFonts w:ascii="Times New Roman" w:hAnsi="Times New Roman" w:cs="Times New Roman" w:eastAsia="Times New Roman" w:hint="default"/>
                <w:sz w:val="18"/>
                <w:szCs w:val="18"/>
              </w:rPr>
            </w:pPr>
            <w:r>
              <w:rPr>
                <w:rFonts w:ascii="Times New Roman"/>
                <w:sz w:val="18"/>
              </w:rPr>
              <w:t>605.39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6"/>
        <w:spacing w:line="240" w:lineRule="auto" w:before="44"/>
        <w:ind w:left="6795" w:right="1117"/>
        <w:jc w:val="left"/>
        <w:rPr>
          <w:b w:val="0"/>
          <w:bCs w:val="0"/>
        </w:rPr>
      </w:pPr>
      <w:r>
        <w:rPr/>
        <w:t>期初余额或上期发生额</w:t>
      </w:r>
      <w:r>
        <w:rPr>
          <w:b w:val="0"/>
          <w:bCs w:val="0"/>
        </w:rPr>
      </w:r>
    </w:p>
    <w:p>
      <w:pPr>
        <w:spacing w:line="240" w:lineRule="auto" w:before="1"/>
        <w:rPr>
          <w:rFonts w:ascii="宋体" w:hAnsi="宋体" w:cs="宋体" w:eastAsia="宋体" w:hint="default"/>
          <w:b/>
          <w:bCs/>
          <w:sz w:val="2"/>
          <w:szCs w:val="2"/>
        </w:rPr>
      </w:pPr>
    </w:p>
    <w:tbl>
      <w:tblPr>
        <w:tblW w:w="0" w:type="auto"/>
        <w:jc w:val="left"/>
        <w:tblInd w:w="1310" w:type="dxa"/>
        <w:tblLayout w:type="fixed"/>
        <w:tblCellMar>
          <w:top w:w="0" w:type="dxa"/>
          <w:left w:w="0" w:type="dxa"/>
          <w:bottom w:w="0" w:type="dxa"/>
          <w:right w:w="0" w:type="dxa"/>
        </w:tblCellMar>
        <w:tblLook w:val="01E0"/>
      </w:tblPr>
      <w:tblGrid>
        <w:gridCol w:w="3333"/>
        <w:gridCol w:w="3220"/>
        <w:gridCol w:w="2877"/>
      </w:tblGrid>
      <w:tr>
        <w:trPr>
          <w:trHeight w:val="510" w:hRule="exact"/>
        </w:trPr>
        <w:tc>
          <w:tcPr>
            <w:tcW w:w="3333" w:type="dxa"/>
            <w:tcBorders>
              <w:top w:val="nil" w:sz="6" w:space="0" w:color="auto"/>
              <w:left w:val="nil" w:sz="6" w:space="0" w:color="auto"/>
              <w:bottom w:val="single" w:sz="8" w:space="0" w:color="000000"/>
              <w:right w:val="nil" w:sz="6" w:space="0" w:color="auto"/>
            </w:tcBorders>
          </w:tcPr>
          <w:p>
            <w:pPr>
              <w:pStyle w:val="TableParagraph"/>
              <w:spacing w:line="193" w:lineRule="exact"/>
              <w:ind w:left="12"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20"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决胜教育科技集团股份有限公司</w:t>
            </w:r>
            <w:r>
              <w:rPr>
                <w:rFonts w:ascii="宋体" w:hAnsi="宋体" w:cs="宋体" w:eastAsia="宋体" w:hint="default"/>
                <w:sz w:val="18"/>
                <w:szCs w:val="18"/>
              </w:rPr>
            </w:r>
          </w:p>
        </w:tc>
        <w:tc>
          <w:tcPr>
            <w:tcW w:w="2877"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b/>
                <w:bCs/>
                <w:sz w:val="18"/>
                <w:szCs w:val="18"/>
              </w:rPr>
              <w:t>海南元游信息技术有限公司</w:t>
            </w:r>
            <w:r>
              <w:rPr>
                <w:rFonts w:ascii="宋体" w:hAnsi="宋体" w:cs="宋体" w:eastAsia="宋体" w:hint="default"/>
                <w:sz w:val="18"/>
                <w:szCs w:val="18"/>
              </w:rPr>
            </w:r>
          </w:p>
        </w:tc>
      </w:tr>
      <w:tr>
        <w:trPr>
          <w:trHeight w:val="499" w:hRule="exact"/>
        </w:trPr>
        <w:tc>
          <w:tcPr>
            <w:tcW w:w="3333"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20"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1640" w:right="0"/>
              <w:jc w:val="left"/>
              <w:rPr>
                <w:rFonts w:ascii="Times New Roman" w:hAnsi="Times New Roman" w:cs="Times New Roman" w:eastAsia="Times New Roman" w:hint="default"/>
                <w:sz w:val="18"/>
                <w:szCs w:val="18"/>
              </w:rPr>
            </w:pPr>
            <w:r>
              <w:rPr>
                <w:rFonts w:ascii="Times New Roman"/>
                <w:sz w:val="18"/>
              </w:rPr>
              <w:t>82,965,520.20</w:t>
            </w:r>
          </w:p>
        </w:tc>
        <w:tc>
          <w:tcPr>
            <w:tcW w:w="2877" w:type="dxa"/>
            <w:tcBorders>
              <w:top w:val="single" w:sz="8" w:space="0" w:color="000000"/>
              <w:left w:val="nil" w:sz="6" w:space="0" w:color="auto"/>
              <w:bottom w:val="nil" w:sz="6" w:space="0" w:color="auto"/>
              <w:right w:val="nil" w:sz="6" w:space="0" w:color="auto"/>
            </w:tcBorders>
          </w:tcPr>
          <w:p>
            <w:pPr/>
          </w:p>
        </w:tc>
      </w:tr>
      <w:tr>
        <w:trPr>
          <w:trHeight w:val="440"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5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264,815,125.59</w:t>
            </w:r>
            <w:r>
              <w:rPr>
                <w:rFonts w:ascii="Times New Roman"/>
                <w:sz w:val="18"/>
              </w:rPr>
            </w:r>
          </w:p>
        </w:tc>
        <w:tc>
          <w:tcPr>
            <w:tcW w:w="2877" w:type="dxa"/>
            <w:tcBorders>
              <w:top w:val="nil" w:sz="6" w:space="0" w:color="auto"/>
              <w:left w:val="nil" w:sz="6" w:space="0" w:color="auto"/>
              <w:bottom w:val="nil" w:sz="6" w:space="0" w:color="auto"/>
              <w:right w:val="nil" w:sz="6" w:space="0" w:color="auto"/>
            </w:tcBorders>
          </w:tcPr>
          <w:p>
            <w:pPr/>
          </w:p>
        </w:tc>
      </w:tr>
      <w:tr>
        <w:trPr>
          <w:trHeight w:val="440"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640" w:right="0"/>
              <w:jc w:val="left"/>
              <w:rPr>
                <w:rFonts w:ascii="Times New Roman" w:hAnsi="Times New Roman" w:cs="Times New Roman" w:eastAsia="Times New Roman" w:hint="default"/>
                <w:sz w:val="18"/>
                <w:szCs w:val="18"/>
              </w:rPr>
            </w:pPr>
            <w:r>
              <w:rPr>
                <w:rFonts w:ascii="Times New Roman"/>
                <w:sz w:val="18"/>
              </w:rPr>
              <w:t>41,833,166.15</w:t>
            </w:r>
          </w:p>
        </w:tc>
        <w:tc>
          <w:tcPr>
            <w:tcW w:w="2877" w:type="dxa"/>
            <w:tcBorders>
              <w:top w:val="nil" w:sz="6" w:space="0" w:color="auto"/>
              <w:left w:val="nil" w:sz="6" w:space="0" w:color="auto"/>
              <w:bottom w:val="nil" w:sz="6" w:space="0" w:color="auto"/>
              <w:right w:val="nil" w:sz="6" w:space="0" w:color="auto"/>
            </w:tcBorders>
          </w:tcPr>
          <w:p>
            <w:pPr/>
          </w:p>
        </w:tc>
      </w:tr>
      <w:tr>
        <w:trPr>
          <w:trHeight w:val="440"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40" w:right="0"/>
              <w:jc w:val="left"/>
              <w:rPr>
                <w:rFonts w:ascii="Times New Roman" w:hAnsi="Times New Roman" w:cs="Times New Roman" w:eastAsia="Times New Roman" w:hint="default"/>
                <w:sz w:val="18"/>
                <w:szCs w:val="18"/>
              </w:rPr>
            </w:pPr>
            <w:r>
              <w:rPr>
                <w:rFonts w:ascii="Times New Roman"/>
                <w:sz w:val="18"/>
              </w:rPr>
              <w:t>24,747,991.14</w:t>
            </w:r>
          </w:p>
        </w:tc>
        <w:tc>
          <w:tcPr>
            <w:tcW w:w="2877" w:type="dxa"/>
            <w:tcBorders>
              <w:top w:val="nil" w:sz="6" w:space="0" w:color="auto"/>
              <w:left w:val="nil" w:sz="6" w:space="0" w:color="auto"/>
              <w:bottom w:val="nil" w:sz="6" w:space="0" w:color="auto"/>
              <w:right w:val="nil" w:sz="6" w:space="0" w:color="auto"/>
            </w:tcBorders>
          </w:tcPr>
          <w:p>
            <w:pPr/>
          </w:p>
        </w:tc>
      </w:tr>
      <w:tr>
        <w:trPr>
          <w:trHeight w:val="440"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66,581,157.29</w:t>
            </w:r>
            <w:r>
              <w:rPr>
                <w:rFonts w:ascii="Times New Roman"/>
                <w:sz w:val="18"/>
              </w:rPr>
            </w:r>
          </w:p>
        </w:tc>
        <w:tc>
          <w:tcPr>
            <w:tcW w:w="2877" w:type="dxa"/>
            <w:tcBorders>
              <w:top w:val="nil" w:sz="6" w:space="0" w:color="auto"/>
              <w:left w:val="nil" w:sz="6" w:space="0" w:color="auto"/>
              <w:bottom w:val="nil" w:sz="6" w:space="0" w:color="auto"/>
              <w:right w:val="nil" w:sz="6" w:space="0" w:color="auto"/>
            </w:tcBorders>
          </w:tcPr>
          <w:p>
            <w:pPr/>
          </w:p>
        </w:tc>
      </w:tr>
      <w:tr>
        <w:trPr>
          <w:trHeight w:val="440"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50" w:right="0"/>
              <w:jc w:val="left"/>
              <w:rPr>
                <w:rFonts w:ascii="Times New Roman" w:hAnsi="Times New Roman" w:cs="Times New Roman" w:eastAsia="Times New Roman" w:hint="default"/>
                <w:sz w:val="18"/>
                <w:szCs w:val="18"/>
              </w:rPr>
            </w:pPr>
            <w:r>
              <w:rPr>
                <w:rFonts w:ascii="Times New Roman"/>
                <w:sz w:val="18"/>
              </w:rPr>
              <w:t>198,233,968.30</w:t>
            </w:r>
          </w:p>
        </w:tc>
        <w:tc>
          <w:tcPr>
            <w:tcW w:w="2877" w:type="dxa"/>
            <w:tcBorders>
              <w:top w:val="nil" w:sz="6" w:space="0" w:color="auto"/>
              <w:left w:val="nil" w:sz="6" w:space="0" w:color="auto"/>
              <w:bottom w:val="nil" w:sz="6" w:space="0" w:color="auto"/>
              <w:right w:val="nil" w:sz="6" w:space="0" w:color="auto"/>
            </w:tcBorders>
          </w:tcPr>
          <w:p>
            <w:pPr/>
          </w:p>
        </w:tc>
      </w:tr>
      <w:tr>
        <w:trPr>
          <w:trHeight w:val="440"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40" w:right="0"/>
              <w:jc w:val="left"/>
              <w:rPr>
                <w:rFonts w:ascii="Times New Roman" w:hAnsi="Times New Roman" w:cs="Times New Roman" w:eastAsia="Times New Roman" w:hint="default"/>
                <w:sz w:val="18"/>
                <w:szCs w:val="18"/>
              </w:rPr>
            </w:pPr>
            <w:r>
              <w:rPr>
                <w:rFonts w:ascii="Times New Roman"/>
                <w:sz w:val="18"/>
              </w:rPr>
              <w:t>36,957,432.48</w:t>
            </w:r>
          </w:p>
        </w:tc>
        <w:tc>
          <w:tcPr>
            <w:tcW w:w="2877" w:type="dxa"/>
            <w:tcBorders>
              <w:top w:val="nil" w:sz="6" w:space="0" w:color="auto"/>
              <w:left w:val="nil" w:sz="6" w:space="0" w:color="auto"/>
              <w:bottom w:val="nil" w:sz="6" w:space="0" w:color="auto"/>
              <w:right w:val="nil" w:sz="6" w:space="0" w:color="auto"/>
            </w:tcBorders>
          </w:tcPr>
          <w:p>
            <w:pPr/>
          </w:p>
        </w:tc>
      </w:tr>
      <w:tr>
        <w:trPr>
          <w:trHeight w:val="440"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5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130,516,931.04</w:t>
            </w:r>
            <w:r>
              <w:rPr>
                <w:rFonts w:ascii="Times New Roman"/>
                <w:sz w:val="18"/>
              </w:rPr>
            </w:r>
          </w:p>
        </w:tc>
        <w:tc>
          <w:tcPr>
            <w:tcW w:w="2877" w:type="dxa"/>
            <w:tcBorders>
              <w:top w:val="nil" w:sz="6" w:space="0" w:color="auto"/>
              <w:left w:val="nil" w:sz="6" w:space="0" w:color="auto"/>
              <w:bottom w:val="nil" w:sz="6" w:space="0" w:color="auto"/>
              <w:right w:val="nil" w:sz="6" w:space="0" w:color="auto"/>
            </w:tcBorders>
          </w:tcPr>
          <w:p>
            <w:pPr/>
          </w:p>
        </w:tc>
      </w:tr>
      <w:tr>
        <w:trPr>
          <w:trHeight w:val="1760"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422" w:lineRule="auto"/>
              <w:ind w:left="108" w:right="70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 对联营企业权益投资的账面价值</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50" w:right="0"/>
              <w:jc w:val="left"/>
              <w:rPr>
                <w:rFonts w:ascii="Times New Roman" w:hAnsi="Times New Roman" w:cs="Times New Roman" w:eastAsia="Times New Roman" w:hint="default"/>
                <w:sz w:val="18"/>
                <w:szCs w:val="18"/>
              </w:rPr>
            </w:pPr>
            <w:r>
              <w:rPr>
                <w:rFonts w:ascii="Times New Roman"/>
                <w:sz w:val="18"/>
              </w:rPr>
              <w:t>130,516,931.04</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167,474,363.52</w:t>
            </w:r>
          </w:p>
        </w:tc>
        <w:tc>
          <w:tcPr>
            <w:tcW w:w="2877" w:type="dxa"/>
            <w:tcBorders>
              <w:top w:val="nil" w:sz="6" w:space="0" w:color="auto"/>
              <w:left w:val="nil" w:sz="6" w:space="0" w:color="auto"/>
              <w:bottom w:val="nil" w:sz="6" w:space="0" w:color="auto"/>
              <w:right w:val="nil" w:sz="6" w:space="0" w:color="auto"/>
            </w:tcBorders>
          </w:tcPr>
          <w:p>
            <w:pPr/>
          </w:p>
        </w:tc>
      </w:tr>
      <w:tr>
        <w:trPr>
          <w:trHeight w:val="435"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存在公开报价的权益投资的公允价值</w:t>
            </w:r>
          </w:p>
        </w:tc>
        <w:tc>
          <w:tcPr>
            <w:tcW w:w="3220" w:type="dxa"/>
            <w:tcBorders>
              <w:top w:val="nil" w:sz="6" w:space="0" w:color="auto"/>
              <w:left w:val="nil" w:sz="6" w:space="0" w:color="auto"/>
              <w:bottom w:val="nil" w:sz="6" w:space="0" w:color="auto"/>
              <w:right w:val="nil" w:sz="6" w:space="0" w:color="auto"/>
            </w:tcBorders>
          </w:tcPr>
          <w:p>
            <w:pPr/>
          </w:p>
        </w:tc>
        <w:tc>
          <w:tcPr>
            <w:tcW w:w="2877" w:type="dxa"/>
            <w:tcBorders>
              <w:top w:val="nil" w:sz="6" w:space="0" w:color="auto"/>
              <w:left w:val="nil" w:sz="6" w:space="0" w:color="auto"/>
              <w:bottom w:val="nil" w:sz="6" w:space="0" w:color="auto"/>
              <w:right w:val="nil" w:sz="6" w:space="0" w:color="auto"/>
            </w:tcBorders>
          </w:tcPr>
          <w:p>
            <w:pPr/>
          </w:p>
        </w:tc>
      </w:tr>
      <w:tr>
        <w:trPr>
          <w:trHeight w:val="445"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550" w:right="0"/>
              <w:jc w:val="left"/>
              <w:rPr>
                <w:rFonts w:ascii="Times New Roman" w:hAnsi="Times New Roman" w:cs="Times New Roman" w:eastAsia="Times New Roman" w:hint="default"/>
                <w:sz w:val="18"/>
                <w:szCs w:val="18"/>
              </w:rPr>
            </w:pPr>
            <w:r>
              <w:rPr>
                <w:rFonts w:ascii="Times New Roman"/>
                <w:sz w:val="18"/>
              </w:rPr>
              <w:t>125,751,884.50</w:t>
            </w:r>
          </w:p>
        </w:tc>
        <w:tc>
          <w:tcPr>
            <w:tcW w:w="2877" w:type="dxa"/>
            <w:tcBorders>
              <w:top w:val="nil" w:sz="6" w:space="0" w:color="auto"/>
              <w:left w:val="nil" w:sz="6" w:space="0" w:color="auto"/>
              <w:bottom w:val="nil" w:sz="6" w:space="0" w:color="auto"/>
              <w:right w:val="nil" w:sz="6" w:space="0" w:color="auto"/>
            </w:tcBorders>
          </w:tcPr>
          <w:p>
            <w:pPr/>
          </w:p>
        </w:tc>
      </w:tr>
      <w:tr>
        <w:trPr>
          <w:trHeight w:val="875"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80" w:right="0"/>
              <w:jc w:val="left"/>
              <w:rPr>
                <w:rFonts w:ascii="Times New Roman" w:hAnsi="Times New Roman" w:cs="Times New Roman" w:eastAsia="Times New Roman" w:hint="default"/>
                <w:sz w:val="18"/>
                <w:szCs w:val="18"/>
              </w:rPr>
            </w:pPr>
            <w:r>
              <w:rPr>
                <w:rFonts w:ascii="Times New Roman"/>
                <w:sz w:val="18"/>
              </w:rPr>
              <w:t>-13,623,182.47</w:t>
            </w:r>
          </w:p>
        </w:tc>
        <w:tc>
          <w:tcPr>
            <w:tcW w:w="2877" w:type="dxa"/>
            <w:tcBorders>
              <w:top w:val="nil" w:sz="6" w:space="0" w:color="auto"/>
              <w:left w:val="nil" w:sz="6" w:space="0" w:color="auto"/>
              <w:bottom w:val="nil" w:sz="6" w:space="0" w:color="auto"/>
              <w:right w:val="nil" w:sz="6" w:space="0" w:color="auto"/>
            </w:tcBorders>
          </w:tcPr>
          <w:p>
            <w:pPr/>
          </w:p>
        </w:tc>
      </w:tr>
      <w:tr>
        <w:trPr>
          <w:trHeight w:val="849" w:hRule="exact"/>
        </w:trPr>
        <w:tc>
          <w:tcPr>
            <w:tcW w:w="33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收到的来自联营企业的股利</w:t>
            </w:r>
          </w:p>
        </w:tc>
        <w:tc>
          <w:tcPr>
            <w:tcW w:w="322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580" w:right="0"/>
              <w:jc w:val="left"/>
              <w:rPr>
                <w:rFonts w:ascii="Times New Roman" w:hAnsi="Times New Roman" w:cs="Times New Roman" w:eastAsia="Times New Roman" w:hint="default"/>
                <w:sz w:val="18"/>
                <w:szCs w:val="18"/>
              </w:rPr>
            </w:pPr>
            <w:r>
              <w:rPr>
                <w:rFonts w:ascii="Times New Roman"/>
                <w:sz w:val="18"/>
              </w:rPr>
              <w:t>-13,623,182.47</w:t>
            </w:r>
          </w:p>
        </w:tc>
        <w:tc>
          <w:tcPr>
            <w:tcW w:w="2877"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b/>
          <w:bCs/>
          <w:sz w:val="22"/>
          <w:szCs w:val="22"/>
        </w:rPr>
      </w:pPr>
    </w:p>
    <w:p>
      <w:pPr>
        <w:pStyle w:val="BodyText"/>
        <w:spacing w:line="240" w:lineRule="auto" w:before="44"/>
        <w:ind w:right="1117"/>
        <w:jc w:val="left"/>
      </w:pPr>
      <w:r>
        <w:rPr/>
        <w:t>注：公司从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月起对海南元游信息技术有限公司投资采用权益法核算，因此无期初余额和上期发生额。</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3</w:t>
      </w:r>
      <w:r>
        <w:rPr/>
        <w:t>）不重要合营企业和联营企业的汇总财务信息</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866"/>
        <w:gridCol w:w="3198"/>
        <w:gridCol w:w="2367"/>
      </w:tblGrid>
      <w:tr>
        <w:trPr>
          <w:trHeight w:val="272" w:hRule="exact"/>
        </w:trPr>
        <w:tc>
          <w:tcPr>
            <w:tcW w:w="3866" w:type="dxa"/>
            <w:tcBorders>
              <w:top w:val="nil" w:sz="6" w:space="0" w:color="auto"/>
              <w:left w:val="nil" w:sz="6" w:space="0" w:color="auto"/>
              <w:bottom w:val="single" w:sz="4" w:space="0" w:color="000000"/>
              <w:right w:val="nil" w:sz="6" w:space="0" w:color="auto"/>
            </w:tcBorders>
          </w:tcPr>
          <w:p>
            <w:pPr>
              <w:pStyle w:val="TableParagraph"/>
              <w:spacing w:line="180" w:lineRule="exact"/>
              <w:ind w:left="50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98" w:type="dxa"/>
            <w:tcBorders>
              <w:top w:val="nil" w:sz="6" w:space="0" w:color="auto"/>
              <w:left w:val="nil" w:sz="6" w:space="0" w:color="auto"/>
              <w:bottom w:val="single" w:sz="4" w:space="0" w:color="000000"/>
              <w:right w:val="nil" w:sz="6" w:space="0" w:color="auto"/>
            </w:tcBorders>
          </w:tcPr>
          <w:p>
            <w:pPr>
              <w:pStyle w:val="TableParagraph"/>
              <w:spacing w:line="180" w:lineRule="exact"/>
              <w:ind w:left="34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7" w:type="dxa"/>
            <w:tcBorders>
              <w:top w:val="nil" w:sz="6" w:space="0" w:color="auto"/>
              <w:left w:val="nil" w:sz="6" w:space="0" w:color="auto"/>
              <w:bottom w:val="single" w:sz="4" w:space="0" w:color="000000"/>
              <w:right w:val="nil" w:sz="6" w:space="0" w:color="auto"/>
            </w:tcBorders>
          </w:tcPr>
          <w:p>
            <w:pPr>
              <w:pStyle w:val="TableParagraph"/>
              <w:spacing w:line="180" w:lineRule="exact"/>
              <w:ind w:left="73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88" w:hRule="exact"/>
        </w:trPr>
        <w:tc>
          <w:tcPr>
            <w:tcW w:w="386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198" w:type="dxa"/>
            <w:tcBorders>
              <w:top w:val="single" w:sz="4" w:space="0" w:color="000000"/>
              <w:left w:val="nil" w:sz="6" w:space="0" w:color="auto"/>
              <w:bottom w:val="nil" w:sz="6" w:space="0" w:color="auto"/>
              <w:right w:val="nil" w:sz="6" w:space="0" w:color="auto"/>
            </w:tcBorders>
          </w:tcPr>
          <w:p>
            <w:pPr/>
          </w:p>
        </w:tc>
        <w:tc>
          <w:tcPr>
            <w:tcW w:w="2367" w:type="dxa"/>
            <w:tcBorders>
              <w:top w:val="single" w:sz="4" w:space="0" w:color="000000"/>
              <w:left w:val="nil" w:sz="6" w:space="0" w:color="auto"/>
              <w:bottom w:val="nil" w:sz="6" w:space="0" w:color="auto"/>
              <w:right w:val="nil" w:sz="6" w:space="0" w:color="auto"/>
            </w:tcBorders>
          </w:tcPr>
          <w:p>
            <w:pPr/>
          </w:p>
        </w:tc>
      </w:tr>
      <w:tr>
        <w:trPr>
          <w:trHeight w:val="445"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37"/>
              <w:jc w:val="right"/>
              <w:rPr>
                <w:rFonts w:ascii="Times New Roman" w:hAnsi="Times New Roman" w:cs="Times New Roman" w:eastAsia="Times New Roman" w:hint="default"/>
                <w:sz w:val="18"/>
                <w:szCs w:val="18"/>
              </w:rPr>
            </w:pPr>
            <w:r>
              <w:rPr>
                <w:rFonts w:ascii="Times New Roman"/>
                <w:spacing w:val="-1"/>
                <w:sz w:val="18"/>
              </w:rPr>
              <w:t>5,092,343.26</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75"/>
              <w:jc w:val="right"/>
              <w:rPr>
                <w:rFonts w:ascii="Times New Roman" w:hAnsi="Times New Roman" w:cs="Times New Roman" w:eastAsia="Times New Roman" w:hint="default"/>
                <w:sz w:val="18"/>
                <w:szCs w:val="18"/>
              </w:rPr>
            </w:pPr>
            <w:r>
              <w:rPr>
                <w:rFonts w:ascii="Times New Roman"/>
                <w:spacing w:val="-1"/>
                <w:sz w:val="18"/>
              </w:rPr>
              <w:t>2,797,822.67</w:t>
            </w:r>
          </w:p>
        </w:tc>
      </w:tr>
      <w:tr>
        <w:trPr>
          <w:trHeight w:val="435"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98"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
        </w:tc>
      </w:tr>
      <w:tr>
        <w:trPr>
          <w:trHeight w:val="445"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37"/>
              <w:jc w:val="right"/>
              <w:rPr>
                <w:rFonts w:ascii="Times New Roman" w:hAnsi="Times New Roman" w:cs="Times New Roman" w:eastAsia="Times New Roman" w:hint="default"/>
                <w:sz w:val="18"/>
                <w:szCs w:val="18"/>
              </w:rPr>
            </w:pPr>
            <w:r>
              <w:rPr>
                <w:rFonts w:ascii="Times New Roman"/>
                <w:spacing w:val="-1"/>
                <w:sz w:val="18"/>
              </w:rPr>
              <w:t>-1,705,479.41</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75"/>
              <w:jc w:val="right"/>
              <w:rPr>
                <w:rFonts w:ascii="Times New Roman" w:hAnsi="Times New Roman" w:cs="Times New Roman" w:eastAsia="Times New Roman" w:hint="default"/>
                <w:sz w:val="18"/>
                <w:szCs w:val="18"/>
              </w:rPr>
            </w:pPr>
            <w:r>
              <w:rPr>
                <w:rFonts w:ascii="Times New Roman"/>
                <w:w w:val="95"/>
                <w:sz w:val="18"/>
              </w:rPr>
              <w:t>-202,177.33</w:t>
            </w:r>
            <w:r>
              <w:rPr>
                <w:rFonts w:ascii="Times New Roman"/>
                <w:sz w:val="18"/>
              </w:rPr>
            </w:r>
          </w:p>
        </w:tc>
      </w:tr>
      <w:tr>
        <w:trPr>
          <w:trHeight w:val="436"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8"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
        </w:tc>
      </w:tr>
      <w:tr>
        <w:trPr>
          <w:trHeight w:val="445"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37"/>
              <w:jc w:val="right"/>
              <w:rPr>
                <w:rFonts w:ascii="Times New Roman" w:hAnsi="Times New Roman" w:cs="Times New Roman" w:eastAsia="Times New Roman" w:hint="default"/>
                <w:sz w:val="18"/>
                <w:szCs w:val="18"/>
              </w:rPr>
            </w:pPr>
            <w:r>
              <w:rPr>
                <w:rFonts w:ascii="Times New Roman"/>
                <w:spacing w:val="-1"/>
                <w:sz w:val="18"/>
              </w:rPr>
              <w:t>-1,705,479.41</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75"/>
              <w:jc w:val="right"/>
              <w:rPr>
                <w:rFonts w:ascii="Times New Roman" w:hAnsi="Times New Roman" w:cs="Times New Roman" w:eastAsia="Times New Roman" w:hint="default"/>
                <w:sz w:val="18"/>
                <w:szCs w:val="18"/>
              </w:rPr>
            </w:pPr>
            <w:r>
              <w:rPr>
                <w:rFonts w:ascii="Times New Roman"/>
                <w:w w:val="95"/>
                <w:sz w:val="18"/>
              </w:rPr>
              <w:t>-202,177.33</w:t>
            </w:r>
            <w:r>
              <w:rPr>
                <w:rFonts w:ascii="Times New Roman"/>
                <w:sz w:val="18"/>
              </w:rPr>
            </w:r>
          </w:p>
        </w:tc>
      </w:tr>
      <w:tr>
        <w:trPr>
          <w:trHeight w:val="305"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198"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3866"/>
        <w:gridCol w:w="3198"/>
        <w:gridCol w:w="2367"/>
      </w:tblGrid>
      <w:tr>
        <w:trPr>
          <w:trHeight w:val="272" w:hRule="exact"/>
        </w:trPr>
        <w:tc>
          <w:tcPr>
            <w:tcW w:w="3866" w:type="dxa"/>
            <w:tcBorders>
              <w:top w:val="nil" w:sz="6" w:space="0" w:color="auto"/>
              <w:left w:val="nil" w:sz="6" w:space="0" w:color="auto"/>
              <w:bottom w:val="single" w:sz="4" w:space="0" w:color="000000"/>
              <w:right w:val="nil" w:sz="6" w:space="0" w:color="auto"/>
            </w:tcBorders>
          </w:tcPr>
          <w:p>
            <w:pPr>
              <w:pStyle w:val="TableParagraph"/>
              <w:spacing w:line="180" w:lineRule="exact"/>
              <w:ind w:left="50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98" w:type="dxa"/>
            <w:tcBorders>
              <w:top w:val="nil" w:sz="6" w:space="0" w:color="auto"/>
              <w:left w:val="nil" w:sz="6" w:space="0" w:color="auto"/>
              <w:bottom w:val="single" w:sz="4" w:space="0" w:color="000000"/>
              <w:right w:val="nil" w:sz="6" w:space="0" w:color="auto"/>
            </w:tcBorders>
          </w:tcPr>
          <w:p>
            <w:pPr>
              <w:pStyle w:val="TableParagraph"/>
              <w:spacing w:line="180" w:lineRule="exact"/>
              <w:ind w:left="140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7" w:type="dxa"/>
            <w:tcBorders>
              <w:top w:val="nil" w:sz="6" w:space="0" w:color="auto"/>
              <w:left w:val="nil" w:sz="6" w:space="0" w:color="auto"/>
              <w:bottom w:val="single" w:sz="4" w:space="0" w:color="000000"/>
              <w:right w:val="nil" w:sz="6" w:space="0" w:color="auto"/>
            </w:tcBorders>
          </w:tcPr>
          <w:p>
            <w:pPr>
              <w:pStyle w:val="TableParagraph"/>
              <w:spacing w:line="180" w:lineRule="exact"/>
              <w:ind w:left="73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3" w:hRule="exact"/>
        </w:trPr>
        <w:tc>
          <w:tcPr>
            <w:tcW w:w="386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98"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left="1423" w:right="0"/>
              <w:jc w:val="left"/>
              <w:rPr>
                <w:rFonts w:ascii="Times New Roman" w:hAnsi="Times New Roman" w:cs="Times New Roman" w:eastAsia="Times New Roman" w:hint="default"/>
                <w:sz w:val="18"/>
                <w:szCs w:val="18"/>
              </w:rPr>
            </w:pPr>
            <w:r>
              <w:rPr>
                <w:rFonts w:ascii="Times New Roman"/>
                <w:sz w:val="18"/>
              </w:rPr>
              <w:t>52,589,982.12</w:t>
            </w:r>
          </w:p>
        </w:tc>
        <w:tc>
          <w:tcPr>
            <w:tcW w:w="236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75"/>
              <w:jc w:val="right"/>
              <w:rPr>
                <w:rFonts w:ascii="Times New Roman" w:hAnsi="Times New Roman" w:cs="Times New Roman" w:eastAsia="Times New Roman" w:hint="default"/>
                <w:sz w:val="18"/>
                <w:szCs w:val="18"/>
              </w:rPr>
            </w:pPr>
            <w:r>
              <w:rPr>
                <w:rFonts w:ascii="Times New Roman"/>
                <w:spacing w:val="-1"/>
                <w:sz w:val="18"/>
              </w:rPr>
              <w:t>2,542,735.90</w:t>
            </w:r>
          </w:p>
        </w:tc>
      </w:tr>
      <w:tr>
        <w:trPr>
          <w:trHeight w:val="435"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98"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
        </w:tc>
      </w:tr>
      <w:tr>
        <w:trPr>
          <w:trHeight w:val="445"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453" w:right="0"/>
              <w:jc w:val="left"/>
              <w:rPr>
                <w:rFonts w:ascii="Times New Roman" w:hAnsi="Times New Roman" w:cs="Times New Roman" w:eastAsia="Times New Roman" w:hint="default"/>
                <w:sz w:val="18"/>
                <w:szCs w:val="18"/>
              </w:rPr>
            </w:pPr>
            <w:r>
              <w:rPr>
                <w:rFonts w:ascii="Times New Roman"/>
                <w:sz w:val="18"/>
              </w:rPr>
              <w:t>-1,252,715.04</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75"/>
              <w:jc w:val="right"/>
              <w:rPr>
                <w:rFonts w:ascii="Times New Roman" w:hAnsi="Times New Roman" w:cs="Times New Roman" w:eastAsia="Times New Roman" w:hint="default"/>
                <w:sz w:val="18"/>
                <w:szCs w:val="18"/>
              </w:rPr>
            </w:pPr>
            <w:r>
              <w:rPr>
                <w:rFonts w:ascii="Times New Roman"/>
                <w:w w:val="95"/>
                <w:sz w:val="18"/>
              </w:rPr>
              <w:t>-332,415.27</w:t>
            </w:r>
            <w:r>
              <w:rPr>
                <w:rFonts w:ascii="Times New Roman"/>
                <w:sz w:val="18"/>
              </w:rPr>
            </w:r>
          </w:p>
        </w:tc>
      </w:tr>
      <w:tr>
        <w:trPr>
          <w:trHeight w:val="435"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8"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
        </w:tc>
      </w:tr>
      <w:tr>
        <w:trPr>
          <w:trHeight w:val="320" w:hRule="exact"/>
        </w:trPr>
        <w:tc>
          <w:tcPr>
            <w:tcW w:w="38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453" w:right="0"/>
              <w:jc w:val="left"/>
              <w:rPr>
                <w:rFonts w:ascii="Times New Roman" w:hAnsi="Times New Roman" w:cs="Times New Roman" w:eastAsia="Times New Roman" w:hint="default"/>
                <w:sz w:val="18"/>
                <w:szCs w:val="18"/>
              </w:rPr>
            </w:pPr>
            <w:r>
              <w:rPr>
                <w:rFonts w:ascii="Times New Roman"/>
                <w:sz w:val="18"/>
              </w:rPr>
              <w:t>-1,252,715.04</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75"/>
              <w:jc w:val="right"/>
              <w:rPr>
                <w:rFonts w:ascii="Times New Roman" w:hAnsi="Times New Roman" w:cs="Times New Roman" w:eastAsia="Times New Roman" w:hint="default"/>
                <w:sz w:val="18"/>
                <w:szCs w:val="18"/>
              </w:rPr>
            </w:pPr>
            <w:r>
              <w:rPr>
                <w:rFonts w:ascii="Times New Roman"/>
                <w:w w:val="95"/>
                <w:sz w:val="18"/>
              </w:rPr>
              <w:t>-332,415.27</w:t>
            </w:r>
            <w:r>
              <w:rPr>
                <w:rFonts w:ascii="Times New Roman"/>
                <w:sz w:val="18"/>
              </w:rPr>
            </w:r>
          </w:p>
        </w:tc>
      </w:tr>
    </w:tbl>
    <w:p>
      <w:pPr>
        <w:spacing w:line="240" w:lineRule="auto" w:before="4"/>
        <w:rPr>
          <w:rFonts w:ascii="宋体" w:hAnsi="宋体" w:cs="宋体" w:eastAsia="宋体" w:hint="default"/>
          <w:sz w:val="28"/>
          <w:szCs w:val="28"/>
        </w:rPr>
      </w:pPr>
    </w:p>
    <w:p>
      <w:pPr>
        <w:pStyle w:val="Heading2"/>
        <w:spacing w:line="240" w:lineRule="auto" w:before="26"/>
        <w:ind w:left="1901" w:right="1117"/>
        <w:jc w:val="left"/>
        <w:rPr>
          <w:rFonts w:ascii="黑体" w:hAnsi="黑体" w:cs="黑体" w:eastAsia="黑体" w:hint="default"/>
          <w:b w:val="0"/>
          <w:bCs w:val="0"/>
        </w:rPr>
      </w:pPr>
      <w:bookmarkStart w:name="九、与金融工具相关的风险" w:id="255"/>
      <w:bookmarkEnd w:id="255"/>
      <w:r>
        <w:rPr>
          <w:b w:val="0"/>
          <w:bCs w:val="0"/>
        </w:rPr>
      </w:r>
      <w:r>
        <w:rPr>
          <w:rFonts w:ascii="黑体" w:hAnsi="黑体" w:cs="黑体" w:eastAsia="黑体" w:hint="default"/>
        </w:rPr>
        <w:t>九、与金融工具相关的风险</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367" w:lineRule="auto"/>
        <w:ind w:left="1418" w:right="1274" w:firstLine="360"/>
        <w:jc w:val="both"/>
      </w:pPr>
      <w:r>
        <w:rPr/>
        <w:t>本公司的金融工具，金融资产主要为因经营而直接产生的贷款与应收款项，如货币资金、应收票据、应收账款、 应收利息、其他应收款、一年内到期的非流动资产、其他流动资产、可供出售金融资产等；金融负债主要为因经营而</w:t>
      </w:r>
      <w:r>
        <w:rPr>
          <w:spacing w:val="-63"/>
        </w:rPr>
        <w:t> </w:t>
      </w:r>
      <w:r>
        <w:rPr>
          <w:spacing w:val="-63"/>
        </w:rPr>
      </w:r>
      <w:r>
        <w:rPr/>
        <w:t>直接产生的其他金融负债，如应付账款、其他应付款等。这些金融工具的主要目的在于为本公司的运营融资。</w:t>
      </w:r>
    </w:p>
    <w:p>
      <w:pPr>
        <w:spacing w:line="240" w:lineRule="auto" w:before="2"/>
        <w:rPr>
          <w:rFonts w:ascii="宋体" w:hAnsi="宋体" w:cs="宋体" w:eastAsia="宋体" w:hint="default"/>
          <w:sz w:val="14"/>
          <w:szCs w:val="14"/>
        </w:rPr>
      </w:pPr>
    </w:p>
    <w:p>
      <w:pPr>
        <w:pStyle w:val="BodyText"/>
        <w:spacing w:line="240" w:lineRule="auto"/>
        <w:ind w:right="1117"/>
        <w:jc w:val="left"/>
      </w:pPr>
      <w:r>
        <w:rPr/>
        <w:t>本公司的金融工具导致的主要风险是信用风险、流动风险及市场风险。</w:t>
      </w:r>
    </w:p>
    <w:p>
      <w:pPr>
        <w:spacing w:line="240" w:lineRule="auto" w:before="6"/>
        <w:rPr>
          <w:rFonts w:ascii="宋体" w:hAnsi="宋体" w:cs="宋体" w:eastAsia="宋体" w:hint="default"/>
          <w:sz w:val="21"/>
          <w:szCs w:val="21"/>
        </w:rPr>
      </w:pPr>
    </w:p>
    <w:p>
      <w:pPr>
        <w:pStyle w:val="BodyText"/>
        <w:spacing w:line="240" w:lineRule="auto"/>
        <w:ind w:right="1117"/>
        <w:jc w:val="left"/>
      </w:pPr>
      <w:r>
        <w:rPr>
          <w:rFonts w:ascii="Times New Roman" w:hAnsi="Times New Roman" w:cs="Times New Roman" w:eastAsia="Times New Roman" w:hint="default"/>
        </w:rPr>
        <w:t>1.</w:t>
      </w:r>
      <w:r>
        <w:rPr/>
        <w:t>金融工具分类</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）资产负债表日的各类金融资产的账面价值如下：</w:t>
      </w:r>
    </w:p>
    <w:p>
      <w:pPr>
        <w:spacing w:line="240" w:lineRule="auto" w:before="8"/>
        <w:rPr>
          <w:rFonts w:ascii="宋体" w:hAnsi="宋体" w:cs="宋体" w:eastAsia="宋体" w:hint="default"/>
          <w:sz w:val="29"/>
          <w:szCs w:val="29"/>
        </w:rPr>
      </w:pPr>
    </w:p>
    <w:tbl>
      <w:tblPr>
        <w:tblW w:w="0" w:type="auto"/>
        <w:jc w:val="left"/>
        <w:tblInd w:w="1418" w:type="dxa"/>
        <w:tblLayout w:type="fixed"/>
        <w:tblCellMar>
          <w:top w:w="0" w:type="dxa"/>
          <w:left w:w="0" w:type="dxa"/>
          <w:bottom w:w="0" w:type="dxa"/>
          <w:right w:w="0" w:type="dxa"/>
        </w:tblCellMar>
        <w:tblLook w:val="01E0"/>
      </w:tblPr>
      <w:tblGrid>
        <w:gridCol w:w="1498"/>
        <w:gridCol w:w="2285"/>
        <w:gridCol w:w="921"/>
        <w:gridCol w:w="1427"/>
        <w:gridCol w:w="1607"/>
        <w:gridCol w:w="1477"/>
      </w:tblGrid>
      <w:tr>
        <w:trPr>
          <w:trHeight w:val="285" w:hRule="exact"/>
        </w:trPr>
        <w:tc>
          <w:tcPr>
            <w:tcW w:w="1498"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150" w:lineRule="exact"/>
              <w:ind w:left="438"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60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r>
      <w:tr>
        <w:trPr>
          <w:trHeight w:val="321"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5"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2285" w:type="dxa"/>
            <w:vMerge w:val="restart"/>
            <w:tcBorders>
              <w:top w:val="nil" w:sz="6" w:space="0" w:color="auto"/>
              <w:left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439" w:lineRule="auto"/>
              <w:ind w:left="510" w:right="116" w:hanging="302"/>
              <w:jc w:val="left"/>
              <w:rPr>
                <w:rFonts w:ascii="宋体" w:hAnsi="宋体" w:cs="宋体" w:eastAsia="宋体" w:hint="default"/>
                <w:sz w:val="15"/>
                <w:szCs w:val="15"/>
              </w:rPr>
            </w:pPr>
            <w:r>
              <w:rPr>
                <w:rFonts w:ascii="宋体" w:hAnsi="宋体" w:cs="宋体" w:eastAsia="宋体" w:hint="default"/>
                <w:b/>
                <w:bCs/>
                <w:sz w:val="15"/>
                <w:szCs w:val="15"/>
              </w:rPr>
              <w:t>以公允价值计量且其变动计入</w:t>
            </w:r>
            <w:r>
              <w:rPr>
                <w:rFonts w:ascii="宋体" w:hAnsi="宋体" w:cs="宋体" w:eastAsia="宋体" w:hint="default"/>
                <w:b/>
                <w:bCs/>
                <w:w w:val="99"/>
                <w:sz w:val="15"/>
                <w:szCs w:val="15"/>
              </w:rPr>
              <w:t> </w:t>
            </w:r>
            <w:r>
              <w:rPr>
                <w:rFonts w:ascii="宋体" w:hAnsi="宋体" w:cs="宋体" w:eastAsia="宋体" w:hint="default"/>
                <w:b/>
                <w:bCs/>
                <w:sz w:val="15"/>
                <w:szCs w:val="15"/>
              </w:rPr>
              <w:t>当期损益的金融资产</w:t>
            </w:r>
            <w:r>
              <w:rPr>
                <w:rFonts w:ascii="宋体" w:hAnsi="宋体" w:cs="宋体" w:eastAsia="宋体" w:hint="default"/>
                <w:sz w:val="15"/>
                <w:szCs w:val="15"/>
              </w:rPr>
            </w:r>
          </w:p>
        </w:tc>
        <w:tc>
          <w:tcPr>
            <w:tcW w:w="921" w:type="dxa"/>
            <w:vMerge w:val="restart"/>
            <w:tcBorders>
              <w:top w:val="nil" w:sz="6" w:space="0" w:color="auto"/>
              <w:left w:val="nil" w:sz="6" w:space="0" w:color="auto"/>
              <w:right w:val="nil" w:sz="6" w:space="0" w:color="auto"/>
            </w:tcBorders>
          </w:tcPr>
          <w:p>
            <w:pPr>
              <w:pStyle w:val="TableParagraph"/>
              <w:spacing w:line="240" w:lineRule="auto" w:before="109"/>
              <w:ind w:left="118" w:right="0" w:firstLine="75"/>
              <w:jc w:val="left"/>
              <w:rPr>
                <w:rFonts w:ascii="宋体" w:hAnsi="宋体" w:cs="宋体" w:eastAsia="宋体" w:hint="default"/>
                <w:sz w:val="15"/>
                <w:szCs w:val="15"/>
              </w:rPr>
            </w:pPr>
            <w:r>
              <w:rPr>
                <w:rFonts w:ascii="宋体" w:hAnsi="宋体" w:cs="宋体" w:eastAsia="宋体" w:hint="default"/>
                <w:b/>
                <w:bCs/>
                <w:sz w:val="15"/>
                <w:szCs w:val="15"/>
              </w:rPr>
              <w:t>持有至</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5"/>
                <w:szCs w:val="15"/>
              </w:rPr>
            </w:pPr>
            <w:r>
              <w:rPr>
                <w:rFonts w:ascii="宋体" w:hAnsi="宋体" w:cs="宋体" w:eastAsia="宋体" w:hint="default"/>
                <w:b/>
                <w:bCs/>
                <w:sz w:val="15"/>
                <w:szCs w:val="15"/>
              </w:rPr>
              <w:t>到期投资</w:t>
            </w:r>
            <w:r>
              <w:rPr>
                <w:rFonts w:ascii="宋体" w:hAnsi="宋体" w:cs="宋体" w:eastAsia="宋体" w:hint="default"/>
                <w:sz w:val="15"/>
                <w:szCs w:val="15"/>
              </w:rPr>
            </w:r>
          </w:p>
        </w:tc>
        <w:tc>
          <w:tcPr>
            <w:tcW w:w="1427"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r>
      <w:tr>
        <w:trPr>
          <w:trHeight w:val="481" w:hRule="exact"/>
        </w:trPr>
        <w:tc>
          <w:tcPr>
            <w:tcW w:w="1498" w:type="dxa"/>
            <w:tcBorders>
              <w:top w:val="nil" w:sz="6" w:space="0" w:color="auto"/>
              <w:left w:val="nil" w:sz="6" w:space="0" w:color="auto"/>
              <w:bottom w:val="single" w:sz="4" w:space="0" w:color="000000"/>
              <w:right w:val="nil" w:sz="6" w:space="0" w:color="auto"/>
            </w:tcBorders>
          </w:tcPr>
          <w:p>
            <w:pPr/>
          </w:p>
        </w:tc>
        <w:tc>
          <w:tcPr>
            <w:tcW w:w="2285" w:type="dxa"/>
            <w:vMerge/>
            <w:tcBorders>
              <w:left w:val="nil" w:sz="6" w:space="0" w:color="auto"/>
              <w:bottom w:val="single" w:sz="4" w:space="0" w:color="000000"/>
              <w:right w:val="nil" w:sz="6" w:space="0" w:color="auto"/>
            </w:tcBorders>
          </w:tcPr>
          <w:p>
            <w:pPr/>
          </w:p>
        </w:tc>
        <w:tc>
          <w:tcPr>
            <w:tcW w:w="921" w:type="dxa"/>
            <w:vMerge/>
            <w:tcBorders>
              <w:left w:val="nil" w:sz="6" w:space="0" w:color="auto"/>
              <w:bottom w:val="single" w:sz="4" w:space="0" w:color="000000"/>
              <w:right w:val="nil" w:sz="6" w:space="0" w:color="auto"/>
            </w:tcBorders>
          </w:tcPr>
          <w:p>
            <w:pPr/>
          </w:p>
        </w:tc>
        <w:tc>
          <w:tcPr>
            <w:tcW w:w="1427" w:type="dxa"/>
            <w:tcBorders>
              <w:top w:val="nil" w:sz="6" w:space="0" w:color="auto"/>
              <w:left w:val="nil" w:sz="6" w:space="0" w:color="auto"/>
              <w:bottom w:val="single" w:sz="4" w:space="0" w:color="000000"/>
              <w:right w:val="nil" w:sz="6" w:space="0" w:color="auto"/>
            </w:tcBorders>
          </w:tcPr>
          <w:p>
            <w:pPr>
              <w:pStyle w:val="TableParagraph"/>
              <w:spacing w:line="185" w:lineRule="exact"/>
              <w:ind w:right="171"/>
              <w:jc w:val="right"/>
              <w:rPr>
                <w:rFonts w:ascii="宋体" w:hAnsi="宋体" w:cs="宋体" w:eastAsia="宋体" w:hint="default"/>
                <w:sz w:val="15"/>
                <w:szCs w:val="15"/>
              </w:rPr>
            </w:pPr>
            <w:r>
              <w:rPr>
                <w:rFonts w:ascii="宋体" w:hAnsi="宋体" w:cs="宋体" w:eastAsia="宋体" w:hint="default"/>
                <w:b/>
                <w:bCs/>
                <w:w w:val="95"/>
                <w:sz w:val="15"/>
                <w:szCs w:val="15"/>
              </w:rPr>
              <w:t>贷款和应收款项</w:t>
            </w:r>
            <w:r>
              <w:rPr>
                <w:rFonts w:ascii="宋体" w:hAnsi="宋体" w:cs="宋体" w:eastAsia="宋体" w:hint="default"/>
                <w:sz w:val="15"/>
                <w:szCs w:val="15"/>
              </w:rPr>
            </w:r>
          </w:p>
        </w:tc>
        <w:tc>
          <w:tcPr>
            <w:tcW w:w="1607" w:type="dxa"/>
            <w:tcBorders>
              <w:top w:val="nil" w:sz="6" w:space="0" w:color="auto"/>
              <w:left w:val="nil" w:sz="6" w:space="0" w:color="auto"/>
              <w:bottom w:val="single" w:sz="4" w:space="0" w:color="000000"/>
              <w:right w:val="nil" w:sz="6" w:space="0" w:color="auto"/>
            </w:tcBorders>
          </w:tcPr>
          <w:p>
            <w:pPr>
              <w:pStyle w:val="TableParagraph"/>
              <w:spacing w:line="185" w:lineRule="exact"/>
              <w:ind w:right="253"/>
              <w:jc w:val="right"/>
              <w:rPr>
                <w:rFonts w:ascii="宋体" w:hAnsi="宋体" w:cs="宋体" w:eastAsia="宋体" w:hint="default"/>
                <w:sz w:val="15"/>
                <w:szCs w:val="15"/>
              </w:rPr>
            </w:pPr>
            <w:r>
              <w:rPr>
                <w:rFonts w:ascii="宋体" w:hAnsi="宋体" w:cs="宋体" w:eastAsia="宋体" w:hint="default"/>
                <w:b/>
                <w:bCs/>
                <w:w w:val="95"/>
                <w:sz w:val="15"/>
                <w:szCs w:val="15"/>
              </w:rPr>
              <w:t>可供出售金融资产</w:t>
            </w:r>
            <w:r>
              <w:rPr>
                <w:rFonts w:ascii="宋体" w:hAnsi="宋体" w:cs="宋体" w:eastAsia="宋体" w:hint="default"/>
                <w:sz w:val="15"/>
                <w:szCs w:val="15"/>
              </w:rPr>
            </w:r>
          </w:p>
        </w:tc>
        <w:tc>
          <w:tcPr>
            <w:tcW w:w="1477" w:type="dxa"/>
            <w:tcBorders>
              <w:top w:val="nil" w:sz="6" w:space="0" w:color="auto"/>
              <w:left w:val="nil" w:sz="6" w:space="0" w:color="auto"/>
              <w:bottom w:val="single" w:sz="4" w:space="0" w:color="000000"/>
              <w:right w:val="nil" w:sz="6" w:space="0" w:color="auto"/>
            </w:tcBorders>
          </w:tcPr>
          <w:p>
            <w:pPr>
              <w:pStyle w:val="TableParagraph"/>
              <w:spacing w:line="185" w:lineRule="exact"/>
              <w:ind w:right="128"/>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503" w:hRule="exact"/>
        </w:trPr>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2285" w:type="dxa"/>
            <w:tcBorders>
              <w:top w:val="single" w:sz="4" w:space="0" w:color="000000"/>
              <w:left w:val="nil" w:sz="6" w:space="0" w:color="auto"/>
              <w:bottom w:val="nil" w:sz="6" w:space="0" w:color="auto"/>
              <w:right w:val="nil" w:sz="6" w:space="0" w:color="auto"/>
            </w:tcBorders>
          </w:tcPr>
          <w:p>
            <w:pPr/>
          </w:p>
        </w:tc>
        <w:tc>
          <w:tcPr>
            <w:tcW w:w="921" w:type="dxa"/>
            <w:tcBorders>
              <w:top w:val="single" w:sz="4" w:space="0" w:color="000000"/>
              <w:left w:val="nil" w:sz="6" w:space="0" w:color="auto"/>
              <w:bottom w:val="nil" w:sz="6" w:space="0" w:color="auto"/>
              <w:right w:val="nil" w:sz="6" w:space="0" w:color="auto"/>
            </w:tcBorders>
          </w:tcPr>
          <w:p>
            <w:pP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6"/>
              <w:jc w:val="right"/>
              <w:rPr>
                <w:rFonts w:ascii="Times New Roman" w:hAnsi="Times New Roman" w:cs="Times New Roman" w:eastAsia="Times New Roman" w:hint="default"/>
                <w:sz w:val="15"/>
                <w:szCs w:val="15"/>
              </w:rPr>
            </w:pPr>
            <w:r>
              <w:rPr>
                <w:rFonts w:ascii="Times New Roman"/>
                <w:spacing w:val="-1"/>
                <w:sz w:val="15"/>
              </w:rPr>
              <w:t>985,041,341.15</w:t>
            </w:r>
          </w:p>
        </w:tc>
        <w:tc>
          <w:tcPr>
            <w:tcW w:w="1607" w:type="dxa"/>
            <w:tcBorders>
              <w:top w:val="single" w:sz="4" w:space="0" w:color="000000"/>
              <w:left w:val="nil" w:sz="6" w:space="0" w:color="auto"/>
              <w:bottom w:val="nil" w:sz="6" w:space="0" w:color="auto"/>
              <w:right w:val="nil" w:sz="6" w:space="0" w:color="auto"/>
            </w:tcBorders>
          </w:tcPr>
          <w:p>
            <w:pP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985,041,341.15</w:t>
            </w:r>
            <w:r>
              <w:rPr>
                <w:rFonts w:ascii="Times New Roman"/>
                <w:spacing w:val="-1"/>
                <w:sz w:val="15"/>
              </w:rPr>
            </w:r>
          </w:p>
        </w:tc>
      </w:tr>
      <w:tr>
        <w:trPr>
          <w:trHeight w:val="440"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228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6"/>
              <w:jc w:val="right"/>
              <w:rPr>
                <w:rFonts w:ascii="Times New Roman" w:hAnsi="Times New Roman" w:cs="Times New Roman" w:eastAsia="Times New Roman" w:hint="default"/>
                <w:sz w:val="15"/>
                <w:szCs w:val="15"/>
              </w:rPr>
            </w:pPr>
            <w:r>
              <w:rPr>
                <w:rFonts w:ascii="Times New Roman"/>
                <w:spacing w:val="-1"/>
                <w:sz w:val="15"/>
              </w:rPr>
              <w:t>274,226,349.96</w:t>
            </w:r>
          </w:p>
        </w:tc>
        <w:tc>
          <w:tcPr>
            <w:tcW w:w="160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274,226,349.96</w:t>
            </w:r>
            <w:r>
              <w:rPr>
                <w:rFonts w:ascii="Times New Roman"/>
                <w:spacing w:val="-1"/>
                <w:sz w:val="15"/>
              </w:rPr>
            </w:r>
          </w:p>
        </w:tc>
      </w:tr>
      <w:tr>
        <w:trPr>
          <w:trHeight w:val="440"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228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spacing w:val="-1"/>
                <w:sz w:val="15"/>
              </w:rPr>
              <w:t>1,969,297.88</w:t>
            </w:r>
          </w:p>
        </w:tc>
        <w:tc>
          <w:tcPr>
            <w:tcW w:w="160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1,969,297.88</w:t>
            </w:r>
            <w:r>
              <w:rPr>
                <w:rFonts w:ascii="Times New Roman"/>
                <w:spacing w:val="-1"/>
                <w:sz w:val="15"/>
              </w:rPr>
            </w:r>
          </w:p>
        </w:tc>
      </w:tr>
      <w:tr>
        <w:trPr>
          <w:trHeight w:val="440"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228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spacing w:val="-1"/>
                <w:sz w:val="15"/>
              </w:rPr>
              <w:t>77,003,811.86</w:t>
            </w:r>
          </w:p>
        </w:tc>
        <w:tc>
          <w:tcPr>
            <w:tcW w:w="160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77,003,811.86</w:t>
            </w:r>
            <w:r>
              <w:rPr>
                <w:rFonts w:ascii="Times New Roman"/>
                <w:spacing w:val="-1"/>
                <w:sz w:val="15"/>
              </w:rPr>
            </w:r>
          </w:p>
        </w:tc>
      </w:tr>
      <w:tr>
        <w:trPr>
          <w:trHeight w:val="440"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228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0"/>
              <w:jc w:val="right"/>
              <w:rPr>
                <w:rFonts w:ascii="Times New Roman" w:hAnsi="Times New Roman" w:cs="Times New Roman" w:eastAsia="Times New Roman" w:hint="default"/>
                <w:sz w:val="15"/>
                <w:szCs w:val="15"/>
              </w:rPr>
            </w:pPr>
            <w:r>
              <w:rPr>
                <w:rFonts w:ascii="Times New Roman"/>
                <w:spacing w:val="-1"/>
                <w:sz w:val="15"/>
              </w:rPr>
              <w:t>325,508,325.00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325,508,325.00</w:t>
            </w:r>
            <w:r>
              <w:rPr>
                <w:rFonts w:ascii="Times New Roman"/>
                <w:spacing w:val="-1"/>
                <w:sz w:val="15"/>
              </w:rPr>
            </w:r>
          </w:p>
        </w:tc>
      </w:tr>
      <w:tr>
        <w:trPr>
          <w:trHeight w:val="299"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12"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2285" w:type="dxa"/>
            <w:tcBorders>
              <w:top w:val="nil" w:sz="6" w:space="0" w:color="auto"/>
              <w:left w:val="nil" w:sz="6" w:space="0" w:color="auto"/>
              <w:bottom w:val="nil" w:sz="6" w:space="0" w:color="auto"/>
              <w:right w:val="nil" w:sz="6" w:space="0" w:color="auto"/>
            </w:tcBorders>
          </w:tcPr>
          <w:p>
            <w:pPr/>
          </w:p>
        </w:tc>
        <w:tc>
          <w:tcPr>
            <w:tcW w:w="92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4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1,338,240,800.85</w:t>
            </w:r>
            <w:r>
              <w:rPr>
                <w:rFonts w:ascii="Times New Roman"/>
                <w:spacing w:val="-1"/>
                <w:sz w:val="15"/>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325,508,325.00</w:t>
            </w:r>
            <w:r>
              <w:rPr>
                <w:rFonts w:ascii="Times New Roman"/>
                <w:spacing w:val="-1"/>
                <w:sz w:val="15"/>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6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1,663,749,125.85</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ind w:right="1117"/>
        <w:jc w:val="left"/>
      </w:pPr>
      <w:r>
        <w:rPr/>
        <w:t>接上表：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418" w:type="dxa"/>
        <w:tblLayout w:type="fixed"/>
        <w:tblCellMar>
          <w:top w:w="0" w:type="dxa"/>
          <w:left w:w="0" w:type="dxa"/>
          <w:bottom w:w="0" w:type="dxa"/>
          <w:right w:w="0" w:type="dxa"/>
        </w:tblCellMar>
        <w:tblLook w:val="01E0"/>
      </w:tblPr>
      <w:tblGrid>
        <w:gridCol w:w="1510"/>
        <w:gridCol w:w="2183"/>
        <w:gridCol w:w="984"/>
        <w:gridCol w:w="1489"/>
        <w:gridCol w:w="1704"/>
        <w:gridCol w:w="1344"/>
      </w:tblGrid>
      <w:tr>
        <w:trPr>
          <w:trHeight w:val="285" w:hRule="exact"/>
        </w:trPr>
        <w:tc>
          <w:tcPr>
            <w:tcW w:w="1510"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150" w:lineRule="exact"/>
              <w:ind w:left="465"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7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r>
      <w:tr>
        <w:trPr>
          <w:trHeight w:val="320"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85"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2183" w:type="dxa"/>
            <w:vMerge w:val="restart"/>
            <w:tcBorders>
              <w:top w:val="nil" w:sz="6" w:space="0" w:color="auto"/>
              <w:left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439" w:lineRule="auto"/>
              <w:ind w:left="371" w:right="154" w:hanging="150"/>
              <w:jc w:val="left"/>
              <w:rPr>
                <w:rFonts w:ascii="宋体" w:hAnsi="宋体" w:cs="宋体" w:eastAsia="宋体" w:hint="default"/>
                <w:sz w:val="15"/>
                <w:szCs w:val="15"/>
              </w:rPr>
            </w:pPr>
            <w:r>
              <w:rPr>
                <w:rFonts w:ascii="宋体" w:hAnsi="宋体" w:cs="宋体" w:eastAsia="宋体" w:hint="default"/>
                <w:b/>
                <w:bCs/>
                <w:sz w:val="15"/>
                <w:szCs w:val="15"/>
              </w:rPr>
              <w:t>以公允价值计量且其变动计</w:t>
            </w:r>
            <w:r>
              <w:rPr>
                <w:rFonts w:ascii="宋体" w:hAnsi="宋体" w:cs="宋体" w:eastAsia="宋体" w:hint="default"/>
                <w:b/>
                <w:bCs/>
                <w:w w:val="99"/>
                <w:sz w:val="15"/>
                <w:szCs w:val="15"/>
              </w:rPr>
              <w:t> </w:t>
            </w:r>
            <w:r>
              <w:rPr>
                <w:rFonts w:ascii="宋体" w:hAnsi="宋体" w:cs="宋体" w:eastAsia="宋体" w:hint="default"/>
                <w:b/>
                <w:bCs/>
                <w:sz w:val="15"/>
                <w:szCs w:val="15"/>
              </w:rPr>
              <w:t>入当期损益的金融资产</w:t>
            </w:r>
            <w:r>
              <w:rPr>
                <w:rFonts w:ascii="宋体" w:hAnsi="宋体" w:cs="宋体" w:eastAsia="宋体" w:hint="default"/>
                <w:sz w:val="15"/>
                <w:szCs w:val="15"/>
              </w:rPr>
            </w:r>
          </w:p>
        </w:tc>
        <w:tc>
          <w:tcPr>
            <w:tcW w:w="984" w:type="dxa"/>
            <w:vMerge w:val="restart"/>
            <w:tcBorders>
              <w:top w:val="nil" w:sz="6" w:space="0" w:color="auto"/>
              <w:left w:val="nil" w:sz="6" w:space="0" w:color="auto"/>
              <w:right w:val="nil" w:sz="6" w:space="0" w:color="auto"/>
            </w:tcBorders>
          </w:tcPr>
          <w:p>
            <w:pPr>
              <w:pStyle w:val="TableParagraph"/>
              <w:spacing w:line="240" w:lineRule="auto" w:before="108"/>
              <w:ind w:left="156" w:right="0" w:firstLine="75"/>
              <w:jc w:val="left"/>
              <w:rPr>
                <w:rFonts w:ascii="宋体" w:hAnsi="宋体" w:cs="宋体" w:eastAsia="宋体" w:hint="default"/>
                <w:sz w:val="15"/>
                <w:szCs w:val="15"/>
              </w:rPr>
            </w:pPr>
            <w:r>
              <w:rPr>
                <w:rFonts w:ascii="宋体" w:hAnsi="宋体" w:cs="宋体" w:eastAsia="宋体" w:hint="default"/>
                <w:b/>
                <w:bCs/>
                <w:sz w:val="15"/>
                <w:szCs w:val="15"/>
              </w:rPr>
              <w:t>持有至</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b/>
                <w:bCs/>
                <w:sz w:val="15"/>
                <w:szCs w:val="15"/>
              </w:rPr>
              <w:t>到期投资</w:t>
            </w:r>
            <w:r>
              <w:rPr>
                <w:rFonts w:ascii="宋体" w:hAnsi="宋体" w:cs="宋体" w:eastAsia="宋体" w:hint="default"/>
                <w:sz w:val="15"/>
                <w:szCs w:val="15"/>
              </w:rPr>
            </w:r>
          </w:p>
        </w:tc>
        <w:tc>
          <w:tcPr>
            <w:tcW w:w="1489"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r>
      <w:tr>
        <w:trPr>
          <w:trHeight w:val="481" w:hRule="exact"/>
        </w:trPr>
        <w:tc>
          <w:tcPr>
            <w:tcW w:w="1510" w:type="dxa"/>
            <w:tcBorders>
              <w:top w:val="nil" w:sz="6" w:space="0" w:color="auto"/>
              <w:left w:val="nil" w:sz="6" w:space="0" w:color="auto"/>
              <w:bottom w:val="single" w:sz="4" w:space="0" w:color="000000"/>
              <w:right w:val="nil" w:sz="6" w:space="0" w:color="auto"/>
            </w:tcBorders>
          </w:tcPr>
          <w:p>
            <w:pPr/>
          </w:p>
        </w:tc>
        <w:tc>
          <w:tcPr>
            <w:tcW w:w="2183" w:type="dxa"/>
            <w:vMerge/>
            <w:tcBorders>
              <w:left w:val="nil" w:sz="6" w:space="0" w:color="auto"/>
              <w:bottom w:val="single" w:sz="4" w:space="0" w:color="000000"/>
              <w:right w:val="nil" w:sz="6" w:space="0" w:color="auto"/>
            </w:tcBorders>
          </w:tcPr>
          <w:p>
            <w:pPr/>
          </w:p>
        </w:tc>
        <w:tc>
          <w:tcPr>
            <w:tcW w:w="984" w:type="dxa"/>
            <w:vMerge/>
            <w:tcBorders>
              <w:left w:val="nil" w:sz="6" w:space="0" w:color="auto"/>
              <w:bottom w:val="single" w:sz="4" w:space="0" w:color="000000"/>
              <w:right w:val="nil" w:sz="6" w:space="0" w:color="auto"/>
            </w:tcBorders>
          </w:tcPr>
          <w:p>
            <w:pPr/>
          </w:p>
        </w:tc>
        <w:tc>
          <w:tcPr>
            <w:tcW w:w="1489" w:type="dxa"/>
            <w:tcBorders>
              <w:top w:val="nil" w:sz="6" w:space="0" w:color="auto"/>
              <w:left w:val="nil" w:sz="6" w:space="0" w:color="auto"/>
              <w:bottom w:val="single" w:sz="4" w:space="0" w:color="000000"/>
              <w:right w:val="nil" w:sz="6" w:space="0" w:color="auto"/>
            </w:tcBorders>
          </w:tcPr>
          <w:p>
            <w:pPr>
              <w:pStyle w:val="TableParagraph"/>
              <w:spacing w:line="185" w:lineRule="exact"/>
              <w:ind w:left="226" w:right="0"/>
              <w:jc w:val="left"/>
              <w:rPr>
                <w:rFonts w:ascii="宋体" w:hAnsi="宋体" w:cs="宋体" w:eastAsia="宋体" w:hint="default"/>
                <w:sz w:val="15"/>
                <w:szCs w:val="15"/>
              </w:rPr>
            </w:pPr>
            <w:r>
              <w:rPr>
                <w:rFonts w:ascii="宋体" w:hAnsi="宋体" w:cs="宋体" w:eastAsia="宋体" w:hint="default"/>
                <w:b/>
                <w:bCs/>
                <w:sz w:val="15"/>
                <w:szCs w:val="15"/>
              </w:rPr>
              <w:t>贷款和应收款项</w:t>
            </w:r>
            <w:r>
              <w:rPr>
                <w:rFonts w:ascii="宋体" w:hAnsi="宋体" w:cs="宋体" w:eastAsia="宋体" w:hint="default"/>
                <w:sz w:val="15"/>
                <w:szCs w:val="15"/>
              </w:rPr>
            </w:r>
          </w:p>
        </w:tc>
        <w:tc>
          <w:tcPr>
            <w:tcW w:w="1704" w:type="dxa"/>
            <w:tcBorders>
              <w:top w:val="nil" w:sz="6" w:space="0" w:color="auto"/>
              <w:left w:val="nil" w:sz="6" w:space="0" w:color="auto"/>
              <w:bottom w:val="single" w:sz="4" w:space="0" w:color="000000"/>
              <w:right w:val="nil" w:sz="6" w:space="0" w:color="auto"/>
            </w:tcBorders>
          </w:tcPr>
          <w:p>
            <w:pPr>
              <w:pStyle w:val="TableParagraph"/>
              <w:spacing w:line="185" w:lineRule="exact"/>
              <w:ind w:left="111" w:right="0"/>
              <w:jc w:val="left"/>
              <w:rPr>
                <w:rFonts w:ascii="宋体" w:hAnsi="宋体" w:cs="宋体" w:eastAsia="宋体" w:hint="default"/>
                <w:sz w:val="15"/>
                <w:szCs w:val="15"/>
              </w:rPr>
            </w:pPr>
            <w:r>
              <w:rPr>
                <w:rFonts w:ascii="宋体" w:hAnsi="宋体" w:cs="宋体" w:eastAsia="宋体" w:hint="default"/>
                <w:b/>
                <w:bCs/>
                <w:sz w:val="15"/>
                <w:szCs w:val="15"/>
              </w:rPr>
              <w:t>可供出售金融资产</w:t>
            </w:r>
            <w:r>
              <w:rPr>
                <w:rFonts w:ascii="宋体" w:hAnsi="宋体" w:cs="宋体" w:eastAsia="宋体" w:hint="default"/>
                <w:sz w:val="15"/>
                <w:szCs w:val="15"/>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185" w:lineRule="exact"/>
              <w:ind w:left="388"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504" w:hRule="exact"/>
        </w:trPr>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2183" w:type="dxa"/>
            <w:tcBorders>
              <w:top w:val="single" w:sz="4" w:space="0" w:color="000000"/>
              <w:left w:val="nil" w:sz="6" w:space="0" w:color="auto"/>
              <w:bottom w:val="nil" w:sz="6" w:space="0" w:color="auto"/>
              <w:right w:val="nil" w:sz="6" w:space="0" w:color="auto"/>
            </w:tcBorders>
          </w:tcPr>
          <w:p>
            <w:pPr/>
          </w:p>
        </w:tc>
        <w:tc>
          <w:tcPr>
            <w:tcW w:w="984"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pacing w:val="-1"/>
                <w:sz w:val="15"/>
              </w:rPr>
              <w:t>1,483,437,417.85</w:t>
            </w:r>
          </w:p>
        </w:tc>
        <w:tc>
          <w:tcPr>
            <w:tcW w:w="1704"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1,483,437,417.85</w:t>
            </w:r>
            <w:r>
              <w:rPr>
                <w:rFonts w:ascii="Times New Roman"/>
                <w:spacing w:val="-1"/>
                <w:sz w:val="15"/>
              </w:rPr>
            </w:r>
          </w:p>
        </w:tc>
      </w:tr>
      <w:tr>
        <w:trPr>
          <w:trHeight w:val="440"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2183"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pacing w:val="-1"/>
                <w:sz w:val="15"/>
              </w:rPr>
              <w:t>219,381,204.09</w:t>
            </w:r>
          </w:p>
        </w:tc>
        <w:tc>
          <w:tcPr>
            <w:tcW w:w="17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219,381,204.09</w:t>
            </w:r>
            <w:r>
              <w:rPr>
                <w:rFonts w:ascii="Times New Roman"/>
                <w:spacing w:val="-1"/>
                <w:sz w:val="15"/>
              </w:rPr>
            </w:r>
          </w:p>
        </w:tc>
      </w:tr>
      <w:tr>
        <w:trPr>
          <w:trHeight w:val="299"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2183"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pacing w:val="-1"/>
                <w:sz w:val="15"/>
              </w:rPr>
              <w:t>1,078,210.56</w:t>
            </w:r>
          </w:p>
        </w:tc>
        <w:tc>
          <w:tcPr>
            <w:tcW w:w="170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1,078,210.56</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418" w:type="dxa"/>
        <w:tblLayout w:type="fixed"/>
        <w:tblCellMar>
          <w:top w:w="0" w:type="dxa"/>
          <w:left w:w="0" w:type="dxa"/>
          <w:bottom w:w="0" w:type="dxa"/>
          <w:right w:w="0" w:type="dxa"/>
        </w:tblCellMar>
        <w:tblLook w:val="01E0"/>
      </w:tblPr>
      <w:tblGrid>
        <w:gridCol w:w="1510"/>
        <w:gridCol w:w="2183"/>
        <w:gridCol w:w="984"/>
        <w:gridCol w:w="1489"/>
        <w:gridCol w:w="1619"/>
        <w:gridCol w:w="1429"/>
      </w:tblGrid>
      <w:tr>
        <w:trPr>
          <w:trHeight w:val="285" w:hRule="exact"/>
        </w:trPr>
        <w:tc>
          <w:tcPr>
            <w:tcW w:w="1510" w:type="dxa"/>
            <w:tcBorders>
              <w:top w:val="nil" w:sz="6" w:space="0" w:color="auto"/>
              <w:left w:val="nil" w:sz="6" w:space="0" w:color="auto"/>
              <w:bottom w:val="nil" w:sz="6" w:space="0" w:color="auto"/>
              <w:right w:val="nil" w:sz="6" w:space="0" w:color="auto"/>
            </w:tcBorders>
          </w:tcPr>
          <w:p>
            <w:pPr/>
          </w:p>
        </w:tc>
        <w:tc>
          <w:tcPr>
            <w:tcW w:w="2183"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150" w:lineRule="exact"/>
              <w:ind w:left="465"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619"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r>
      <w:tr>
        <w:trPr>
          <w:trHeight w:val="320"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85"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2183" w:type="dxa"/>
            <w:vMerge w:val="restart"/>
            <w:tcBorders>
              <w:top w:val="nil" w:sz="6" w:space="0" w:color="auto"/>
              <w:left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441" w:lineRule="auto"/>
              <w:ind w:left="371" w:right="154" w:hanging="150"/>
              <w:jc w:val="left"/>
              <w:rPr>
                <w:rFonts w:ascii="宋体" w:hAnsi="宋体" w:cs="宋体" w:eastAsia="宋体" w:hint="default"/>
                <w:sz w:val="15"/>
                <w:szCs w:val="15"/>
              </w:rPr>
            </w:pPr>
            <w:r>
              <w:rPr>
                <w:rFonts w:ascii="宋体" w:hAnsi="宋体" w:cs="宋体" w:eastAsia="宋体" w:hint="default"/>
                <w:b/>
                <w:bCs/>
                <w:sz w:val="15"/>
                <w:szCs w:val="15"/>
              </w:rPr>
              <w:t>以公允价值计量且其变动计</w:t>
            </w:r>
            <w:r>
              <w:rPr>
                <w:rFonts w:ascii="宋体" w:hAnsi="宋体" w:cs="宋体" w:eastAsia="宋体" w:hint="default"/>
                <w:b/>
                <w:bCs/>
                <w:w w:val="99"/>
                <w:sz w:val="15"/>
                <w:szCs w:val="15"/>
              </w:rPr>
              <w:t> </w:t>
            </w:r>
            <w:r>
              <w:rPr>
                <w:rFonts w:ascii="宋体" w:hAnsi="宋体" w:cs="宋体" w:eastAsia="宋体" w:hint="default"/>
                <w:b/>
                <w:bCs/>
                <w:sz w:val="15"/>
                <w:szCs w:val="15"/>
              </w:rPr>
              <w:t>入当期损益的金融资产</w:t>
            </w:r>
            <w:r>
              <w:rPr>
                <w:rFonts w:ascii="宋体" w:hAnsi="宋体" w:cs="宋体" w:eastAsia="宋体" w:hint="default"/>
                <w:sz w:val="15"/>
                <w:szCs w:val="15"/>
              </w:rPr>
            </w:r>
          </w:p>
        </w:tc>
        <w:tc>
          <w:tcPr>
            <w:tcW w:w="984" w:type="dxa"/>
            <w:vMerge w:val="restart"/>
            <w:tcBorders>
              <w:top w:val="nil" w:sz="6" w:space="0" w:color="auto"/>
              <w:left w:val="nil" w:sz="6" w:space="0" w:color="auto"/>
              <w:right w:val="nil" w:sz="6" w:space="0" w:color="auto"/>
            </w:tcBorders>
          </w:tcPr>
          <w:p>
            <w:pPr>
              <w:pStyle w:val="TableParagraph"/>
              <w:spacing w:line="240" w:lineRule="auto" w:before="109"/>
              <w:ind w:left="156" w:right="0" w:firstLine="75"/>
              <w:jc w:val="left"/>
              <w:rPr>
                <w:rFonts w:ascii="宋体" w:hAnsi="宋体" w:cs="宋体" w:eastAsia="宋体" w:hint="default"/>
                <w:sz w:val="15"/>
                <w:szCs w:val="15"/>
              </w:rPr>
            </w:pPr>
            <w:r>
              <w:rPr>
                <w:rFonts w:ascii="宋体" w:hAnsi="宋体" w:cs="宋体" w:eastAsia="宋体" w:hint="default"/>
                <w:b/>
                <w:bCs/>
                <w:sz w:val="15"/>
                <w:szCs w:val="15"/>
              </w:rPr>
              <w:t>持有至</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5"/>
                <w:szCs w:val="15"/>
              </w:rPr>
            </w:pPr>
            <w:r>
              <w:rPr>
                <w:rFonts w:ascii="宋体" w:hAnsi="宋体" w:cs="宋体" w:eastAsia="宋体" w:hint="default"/>
                <w:b/>
                <w:bCs/>
                <w:sz w:val="15"/>
                <w:szCs w:val="15"/>
              </w:rPr>
              <w:t>到期投资</w:t>
            </w:r>
            <w:r>
              <w:rPr>
                <w:rFonts w:ascii="宋体" w:hAnsi="宋体" w:cs="宋体" w:eastAsia="宋体" w:hint="default"/>
                <w:sz w:val="15"/>
                <w:szCs w:val="15"/>
              </w:rPr>
            </w:r>
          </w:p>
        </w:tc>
        <w:tc>
          <w:tcPr>
            <w:tcW w:w="1489"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r>
      <w:tr>
        <w:trPr>
          <w:trHeight w:val="482" w:hRule="exact"/>
        </w:trPr>
        <w:tc>
          <w:tcPr>
            <w:tcW w:w="1510" w:type="dxa"/>
            <w:tcBorders>
              <w:top w:val="nil" w:sz="6" w:space="0" w:color="auto"/>
              <w:left w:val="nil" w:sz="6" w:space="0" w:color="auto"/>
              <w:bottom w:val="single" w:sz="4" w:space="0" w:color="000000"/>
              <w:right w:val="nil" w:sz="6" w:space="0" w:color="auto"/>
            </w:tcBorders>
          </w:tcPr>
          <w:p>
            <w:pPr/>
          </w:p>
        </w:tc>
        <w:tc>
          <w:tcPr>
            <w:tcW w:w="2183" w:type="dxa"/>
            <w:vMerge/>
            <w:tcBorders>
              <w:left w:val="nil" w:sz="6" w:space="0" w:color="auto"/>
              <w:bottom w:val="single" w:sz="4" w:space="0" w:color="000000"/>
              <w:right w:val="nil" w:sz="6" w:space="0" w:color="auto"/>
            </w:tcBorders>
          </w:tcPr>
          <w:p>
            <w:pPr/>
          </w:p>
        </w:tc>
        <w:tc>
          <w:tcPr>
            <w:tcW w:w="984" w:type="dxa"/>
            <w:vMerge/>
            <w:tcBorders>
              <w:left w:val="nil" w:sz="6" w:space="0" w:color="auto"/>
              <w:bottom w:val="single" w:sz="4" w:space="0" w:color="000000"/>
              <w:right w:val="nil" w:sz="6" w:space="0" w:color="auto"/>
            </w:tcBorders>
          </w:tcPr>
          <w:p>
            <w:pPr/>
          </w:p>
        </w:tc>
        <w:tc>
          <w:tcPr>
            <w:tcW w:w="1489" w:type="dxa"/>
            <w:tcBorders>
              <w:top w:val="nil" w:sz="6" w:space="0" w:color="auto"/>
              <w:left w:val="nil" w:sz="6" w:space="0" w:color="auto"/>
              <w:bottom w:val="single" w:sz="4" w:space="0" w:color="000000"/>
              <w:right w:val="nil" w:sz="6" w:space="0" w:color="auto"/>
            </w:tcBorders>
          </w:tcPr>
          <w:p>
            <w:pPr>
              <w:pStyle w:val="TableParagraph"/>
              <w:spacing w:line="185" w:lineRule="exact"/>
              <w:ind w:left="226" w:right="0"/>
              <w:jc w:val="left"/>
              <w:rPr>
                <w:rFonts w:ascii="宋体" w:hAnsi="宋体" w:cs="宋体" w:eastAsia="宋体" w:hint="default"/>
                <w:sz w:val="15"/>
                <w:szCs w:val="15"/>
              </w:rPr>
            </w:pPr>
            <w:r>
              <w:rPr>
                <w:rFonts w:ascii="宋体" w:hAnsi="宋体" w:cs="宋体" w:eastAsia="宋体" w:hint="default"/>
                <w:b/>
                <w:bCs/>
                <w:sz w:val="15"/>
                <w:szCs w:val="15"/>
              </w:rPr>
              <w:t>贷款和应收款项</w:t>
            </w:r>
            <w:r>
              <w:rPr>
                <w:rFonts w:ascii="宋体" w:hAnsi="宋体" w:cs="宋体" w:eastAsia="宋体" w:hint="default"/>
                <w:sz w:val="15"/>
                <w:szCs w:val="15"/>
              </w:rPr>
            </w:r>
          </w:p>
        </w:tc>
        <w:tc>
          <w:tcPr>
            <w:tcW w:w="1619" w:type="dxa"/>
            <w:tcBorders>
              <w:top w:val="nil" w:sz="6" w:space="0" w:color="auto"/>
              <w:left w:val="nil" w:sz="6" w:space="0" w:color="auto"/>
              <w:bottom w:val="single" w:sz="4" w:space="0" w:color="000000"/>
              <w:right w:val="nil" w:sz="6" w:space="0" w:color="auto"/>
            </w:tcBorders>
          </w:tcPr>
          <w:p>
            <w:pPr>
              <w:pStyle w:val="TableParagraph"/>
              <w:spacing w:line="185" w:lineRule="exact"/>
              <w:ind w:right="301"/>
              <w:jc w:val="right"/>
              <w:rPr>
                <w:rFonts w:ascii="宋体" w:hAnsi="宋体" w:cs="宋体" w:eastAsia="宋体" w:hint="default"/>
                <w:sz w:val="15"/>
                <w:szCs w:val="15"/>
              </w:rPr>
            </w:pPr>
            <w:r>
              <w:rPr>
                <w:rFonts w:ascii="宋体" w:hAnsi="宋体" w:cs="宋体" w:eastAsia="宋体" w:hint="default"/>
                <w:b/>
                <w:bCs/>
                <w:w w:val="95"/>
                <w:sz w:val="15"/>
                <w:szCs w:val="15"/>
              </w:rPr>
              <w:t>可供出售金融资产</w:t>
            </w:r>
            <w:r>
              <w:rPr>
                <w:rFonts w:ascii="宋体" w:hAnsi="宋体" w:cs="宋体" w:eastAsia="宋体" w:hint="default"/>
                <w:sz w:val="15"/>
                <w:szCs w:val="15"/>
              </w:rPr>
            </w:r>
          </w:p>
        </w:tc>
        <w:tc>
          <w:tcPr>
            <w:tcW w:w="1429" w:type="dxa"/>
            <w:tcBorders>
              <w:top w:val="nil" w:sz="6" w:space="0" w:color="auto"/>
              <w:left w:val="nil" w:sz="6" w:space="0" w:color="auto"/>
              <w:bottom w:val="single" w:sz="4" w:space="0" w:color="000000"/>
              <w:right w:val="nil" w:sz="6" w:space="0" w:color="auto"/>
            </w:tcBorders>
          </w:tcPr>
          <w:p>
            <w:pPr>
              <w:pStyle w:val="TableParagraph"/>
              <w:spacing w:line="185" w:lineRule="exact"/>
              <w:ind w:left="473"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r>
      <w:tr>
        <w:trPr>
          <w:trHeight w:val="503" w:hRule="exact"/>
        </w:trPr>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2183" w:type="dxa"/>
            <w:tcBorders>
              <w:top w:val="single" w:sz="4" w:space="0" w:color="000000"/>
              <w:left w:val="nil" w:sz="6" w:space="0" w:color="auto"/>
              <w:bottom w:val="nil" w:sz="6" w:space="0" w:color="auto"/>
              <w:right w:val="nil" w:sz="6" w:space="0" w:color="auto"/>
            </w:tcBorders>
          </w:tcPr>
          <w:p>
            <w:pPr/>
          </w:p>
        </w:tc>
        <w:tc>
          <w:tcPr>
            <w:tcW w:w="984"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30,259,430.12</w:t>
            </w:r>
          </w:p>
        </w:tc>
        <w:tc>
          <w:tcPr>
            <w:tcW w:w="1619" w:type="dxa"/>
            <w:tcBorders>
              <w:top w:val="single" w:sz="4" w:space="0" w:color="000000"/>
              <w:left w:val="nil" w:sz="6" w:space="0" w:color="auto"/>
              <w:bottom w:val="nil" w:sz="6" w:space="0" w:color="auto"/>
              <w:right w:val="nil" w:sz="6" w:space="0" w:color="auto"/>
            </w:tcBorders>
          </w:tcPr>
          <w:p>
            <w:pP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30,259,430.12</w:t>
            </w:r>
            <w:r>
              <w:rPr>
                <w:rFonts w:ascii="Times New Roman"/>
                <w:spacing w:val="-1"/>
                <w:sz w:val="15"/>
              </w:rPr>
            </w:r>
          </w:p>
        </w:tc>
      </w:tr>
      <w:tr>
        <w:trPr>
          <w:trHeight w:val="440"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2183"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7"/>
              <w:jc w:val="right"/>
              <w:rPr>
                <w:rFonts w:ascii="Times New Roman" w:hAnsi="Times New Roman" w:cs="Times New Roman" w:eastAsia="Times New Roman" w:hint="default"/>
                <w:sz w:val="15"/>
                <w:szCs w:val="15"/>
              </w:rPr>
            </w:pPr>
            <w:r>
              <w:rPr>
                <w:rFonts w:ascii="Times New Roman"/>
                <w:spacing w:val="-1"/>
                <w:sz w:val="15"/>
              </w:rPr>
              <w:t>129,607,116.00</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129,607,116.00</w:t>
            </w:r>
            <w:r>
              <w:rPr>
                <w:rFonts w:ascii="Times New Roman"/>
                <w:spacing w:val="-1"/>
                <w:sz w:val="15"/>
              </w:rPr>
            </w:r>
          </w:p>
        </w:tc>
      </w:tr>
      <w:tr>
        <w:trPr>
          <w:trHeight w:val="299"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12"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2183"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1,734,156,262.62</w:t>
            </w:r>
            <w:r>
              <w:rPr>
                <w:rFonts w:ascii="Times New Roman"/>
                <w:spacing w:val="-1"/>
                <w:sz w:val="15"/>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129,607,116.00</w:t>
            </w:r>
            <w:r>
              <w:rPr>
                <w:rFonts w:ascii="Times New Roman"/>
                <w:spacing w:val="-1"/>
                <w:sz w:val="15"/>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1,863,763,378.62</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2</w:t>
      </w:r>
      <w:r>
        <w:rPr/>
        <w:t>）资产负债表日的各类金融负债的账面价值如下：</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2023"/>
        <w:gridCol w:w="2854"/>
        <w:gridCol w:w="2153"/>
        <w:gridCol w:w="2185"/>
      </w:tblGrid>
      <w:tr>
        <w:trPr>
          <w:trHeight w:val="290" w:hRule="exact"/>
        </w:trPr>
        <w:tc>
          <w:tcPr>
            <w:tcW w:w="9215"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6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08"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854" w:type="dxa"/>
            <w:vMerge w:val="restart"/>
            <w:tcBorders>
              <w:top w:val="nil" w:sz="6" w:space="0" w:color="auto"/>
              <w:left w:val="nil" w:sz="6" w:space="0" w:color="auto"/>
              <w:right w:val="nil" w:sz="6" w:space="0" w:color="auto"/>
            </w:tcBorders>
          </w:tcPr>
          <w:p>
            <w:pPr>
              <w:pStyle w:val="TableParagraph"/>
              <w:spacing w:line="367" w:lineRule="auto" w:before="94"/>
              <w:ind w:left="511" w:right="354" w:hanging="182"/>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2153"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
        </w:tc>
      </w:tr>
      <w:tr>
        <w:trPr>
          <w:trHeight w:val="472" w:hRule="exact"/>
        </w:trPr>
        <w:tc>
          <w:tcPr>
            <w:tcW w:w="2023" w:type="dxa"/>
            <w:tcBorders>
              <w:top w:val="nil" w:sz="6" w:space="0" w:color="auto"/>
              <w:left w:val="nil" w:sz="6" w:space="0" w:color="auto"/>
              <w:bottom w:val="single" w:sz="4" w:space="0" w:color="000000"/>
              <w:right w:val="nil" w:sz="6" w:space="0" w:color="auto"/>
            </w:tcBorders>
          </w:tcPr>
          <w:p>
            <w:pPr/>
          </w:p>
        </w:tc>
        <w:tc>
          <w:tcPr>
            <w:tcW w:w="2854" w:type="dxa"/>
            <w:vMerge/>
            <w:tcBorders>
              <w:left w:val="nil" w:sz="6" w:space="0" w:color="auto"/>
              <w:bottom w:val="single" w:sz="4" w:space="0" w:color="000000"/>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00" w:lineRule="exact"/>
              <w:ind w:left="356"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2185" w:type="dxa"/>
            <w:tcBorders>
              <w:top w:val="nil" w:sz="6" w:space="0" w:color="auto"/>
              <w:left w:val="nil" w:sz="6" w:space="0" w:color="auto"/>
              <w:bottom w:val="single" w:sz="4" w:space="0" w:color="000000"/>
              <w:right w:val="nil" w:sz="6" w:space="0" w:color="auto"/>
            </w:tcBorders>
          </w:tcPr>
          <w:p>
            <w:pPr>
              <w:pStyle w:val="TableParagraph"/>
              <w:spacing w:line="200" w:lineRule="exact"/>
              <w:ind w:right="4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3" w:hRule="exact"/>
        </w:trPr>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54" w:type="dxa"/>
            <w:tcBorders>
              <w:top w:val="single" w:sz="4" w:space="0" w:color="000000"/>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54"/>
              <w:jc w:val="right"/>
              <w:rPr>
                <w:rFonts w:ascii="Times New Roman" w:hAnsi="Times New Roman" w:cs="Times New Roman" w:eastAsia="Times New Roman" w:hint="default"/>
                <w:sz w:val="18"/>
                <w:szCs w:val="18"/>
              </w:rPr>
            </w:pPr>
            <w:r>
              <w:rPr>
                <w:rFonts w:ascii="Times New Roman"/>
                <w:spacing w:val="-1"/>
                <w:sz w:val="18"/>
              </w:rPr>
              <w:t>278,617,929.37</w:t>
            </w:r>
          </w:p>
        </w:tc>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278,617,929.37</w:t>
            </w:r>
            <w:r>
              <w:rPr>
                <w:rFonts w:ascii="Times New Roman"/>
                <w:spacing w:val="-1"/>
                <w:sz w:val="18"/>
              </w:rPr>
            </w:r>
          </w:p>
        </w:tc>
      </w:tr>
      <w:tr>
        <w:trPr>
          <w:trHeight w:val="44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54"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54"/>
              <w:jc w:val="right"/>
              <w:rPr>
                <w:rFonts w:ascii="Times New Roman" w:hAnsi="Times New Roman" w:cs="Times New Roman" w:eastAsia="Times New Roman" w:hint="default"/>
                <w:sz w:val="18"/>
                <w:szCs w:val="18"/>
              </w:rPr>
            </w:pPr>
            <w:r>
              <w:rPr>
                <w:rFonts w:ascii="Times New Roman"/>
                <w:spacing w:val="-1"/>
                <w:sz w:val="18"/>
              </w:rPr>
              <w:t>117,097,491.29</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117,097,491.29</w:t>
            </w:r>
            <w:r>
              <w:rPr>
                <w:rFonts w:ascii="Times New Roman"/>
                <w:spacing w:val="-1"/>
                <w:sz w:val="18"/>
              </w:rPr>
            </w:r>
          </w:p>
        </w:tc>
      </w:tr>
      <w:tr>
        <w:trPr>
          <w:trHeight w:val="44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54"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4"/>
              <w:jc w:val="right"/>
              <w:rPr>
                <w:rFonts w:ascii="Times New Roman" w:hAnsi="Times New Roman" w:cs="Times New Roman" w:eastAsia="Times New Roman" w:hint="default"/>
                <w:sz w:val="18"/>
                <w:szCs w:val="18"/>
              </w:rPr>
            </w:pPr>
            <w:r>
              <w:rPr>
                <w:rFonts w:ascii="Times New Roman"/>
                <w:spacing w:val="-1"/>
                <w:sz w:val="18"/>
              </w:rPr>
              <w:t>12,074,712.60</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12,074,712.60</w:t>
            </w:r>
            <w:r>
              <w:rPr>
                <w:rFonts w:ascii="Times New Roman"/>
                <w:spacing w:val="-1"/>
                <w:sz w:val="18"/>
              </w:rPr>
            </w:r>
          </w:p>
        </w:tc>
      </w:tr>
      <w:tr>
        <w:trPr>
          <w:trHeight w:val="315"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8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54"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5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407,790,133.26</w:t>
            </w:r>
            <w:r>
              <w:rPr>
                <w:rFonts w:ascii="Times New Roman"/>
                <w:spacing w:val="-1"/>
                <w:sz w:val="18"/>
              </w:rPr>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407,790,133.26</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接上表：</w:t>
      </w:r>
    </w:p>
    <w:p>
      <w:pPr>
        <w:spacing w:line="240" w:lineRule="auto" w:before="9"/>
        <w:rPr>
          <w:rFonts w:ascii="宋体" w:hAnsi="宋体" w:cs="宋体" w:eastAsia="宋体" w:hint="default"/>
          <w:sz w:val="28"/>
          <w:szCs w:val="28"/>
        </w:rPr>
      </w:pPr>
    </w:p>
    <w:tbl>
      <w:tblPr>
        <w:tblW w:w="0" w:type="auto"/>
        <w:jc w:val="left"/>
        <w:tblInd w:w="1418" w:type="dxa"/>
        <w:tblLayout w:type="fixed"/>
        <w:tblCellMar>
          <w:top w:w="0" w:type="dxa"/>
          <w:left w:w="0" w:type="dxa"/>
          <w:bottom w:w="0" w:type="dxa"/>
          <w:right w:w="0" w:type="dxa"/>
        </w:tblCellMar>
        <w:tblLook w:val="01E0"/>
      </w:tblPr>
      <w:tblGrid>
        <w:gridCol w:w="2023"/>
        <w:gridCol w:w="2854"/>
        <w:gridCol w:w="2291"/>
        <w:gridCol w:w="2048"/>
      </w:tblGrid>
      <w:tr>
        <w:trPr>
          <w:trHeight w:val="290" w:hRule="exact"/>
        </w:trPr>
        <w:tc>
          <w:tcPr>
            <w:tcW w:w="9215"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64"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08"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854" w:type="dxa"/>
            <w:vMerge w:val="restart"/>
            <w:tcBorders>
              <w:top w:val="nil" w:sz="6" w:space="0" w:color="auto"/>
              <w:left w:val="nil" w:sz="6" w:space="0" w:color="auto"/>
              <w:right w:val="nil" w:sz="6" w:space="0" w:color="auto"/>
            </w:tcBorders>
          </w:tcPr>
          <w:p>
            <w:pPr>
              <w:pStyle w:val="TableParagraph"/>
              <w:spacing w:line="367" w:lineRule="auto" w:before="95"/>
              <w:ind w:left="510" w:right="354" w:hanging="180"/>
              <w:jc w:val="left"/>
              <w:rPr>
                <w:rFonts w:ascii="宋体" w:hAnsi="宋体" w:cs="宋体" w:eastAsia="宋体" w:hint="default"/>
                <w:sz w:val="18"/>
                <w:szCs w:val="18"/>
              </w:rPr>
            </w:pPr>
            <w:r>
              <w:rPr>
                <w:rFonts w:ascii="宋体" w:hAnsi="宋体" w:cs="宋体" w:eastAsia="宋体" w:hint="default"/>
                <w:b/>
                <w:bCs/>
                <w:w w:val="95"/>
                <w:sz w:val="18"/>
                <w:szCs w:val="18"/>
              </w:rPr>
              <w:t>以公允价值计量且其变动计</w:t>
            </w:r>
            <w:r>
              <w:rPr>
                <w:rFonts w:ascii="宋体" w:hAnsi="宋体" w:cs="宋体" w:eastAsia="宋体" w:hint="default"/>
                <w:b/>
                <w:bCs/>
                <w:spacing w:val="19"/>
                <w:w w:val="95"/>
                <w:sz w:val="18"/>
                <w:szCs w:val="18"/>
              </w:rPr>
              <w:t> </w:t>
            </w:r>
            <w:r>
              <w:rPr>
                <w:rFonts w:ascii="宋体" w:hAnsi="宋体" w:cs="宋体" w:eastAsia="宋体" w:hint="default"/>
                <w:b/>
                <w:bCs/>
                <w:spacing w:val="19"/>
                <w:w w:val="95"/>
                <w:sz w:val="18"/>
                <w:szCs w:val="18"/>
              </w:rPr>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2291"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71" w:hRule="exact"/>
        </w:trPr>
        <w:tc>
          <w:tcPr>
            <w:tcW w:w="2023" w:type="dxa"/>
            <w:tcBorders>
              <w:top w:val="nil" w:sz="6" w:space="0" w:color="auto"/>
              <w:left w:val="nil" w:sz="6" w:space="0" w:color="auto"/>
              <w:bottom w:val="single" w:sz="4" w:space="0" w:color="000000"/>
              <w:right w:val="nil" w:sz="6" w:space="0" w:color="auto"/>
            </w:tcBorders>
          </w:tcPr>
          <w:p>
            <w:pPr/>
          </w:p>
        </w:tc>
        <w:tc>
          <w:tcPr>
            <w:tcW w:w="2854" w:type="dxa"/>
            <w:vMerge/>
            <w:tcBorders>
              <w:left w:val="nil" w:sz="6" w:space="0" w:color="auto"/>
              <w:bottom w:val="single" w:sz="4" w:space="0" w:color="000000"/>
              <w:right w:val="nil" w:sz="6" w:space="0" w:color="auto"/>
            </w:tcBorders>
          </w:tcPr>
          <w:p>
            <w:pPr/>
          </w:p>
        </w:tc>
        <w:tc>
          <w:tcPr>
            <w:tcW w:w="2291" w:type="dxa"/>
            <w:tcBorders>
              <w:top w:val="nil" w:sz="6" w:space="0" w:color="auto"/>
              <w:left w:val="nil" w:sz="6" w:space="0" w:color="auto"/>
              <w:bottom w:val="single" w:sz="4" w:space="0" w:color="000000"/>
              <w:right w:val="nil" w:sz="6" w:space="0" w:color="auto"/>
            </w:tcBorders>
          </w:tcPr>
          <w:p>
            <w:pPr>
              <w:pStyle w:val="TableParagraph"/>
              <w:spacing w:line="200" w:lineRule="exact"/>
              <w:ind w:left="356"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2048" w:type="dxa"/>
            <w:tcBorders>
              <w:top w:val="nil" w:sz="6" w:space="0" w:color="auto"/>
              <w:left w:val="nil" w:sz="6" w:space="0" w:color="auto"/>
              <w:bottom w:val="single" w:sz="4" w:space="0" w:color="000000"/>
              <w:right w:val="nil" w:sz="6" w:space="0" w:color="auto"/>
            </w:tcBorders>
          </w:tcPr>
          <w:p>
            <w:pPr/>
          </w:p>
        </w:tc>
      </w:tr>
      <w:tr>
        <w:trPr>
          <w:trHeight w:val="493" w:hRule="exact"/>
        </w:trPr>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54" w:type="dxa"/>
            <w:tcBorders>
              <w:top w:val="single" w:sz="4" w:space="0" w:color="000000"/>
              <w:left w:val="nil" w:sz="6" w:space="0" w:color="auto"/>
              <w:bottom w:val="nil" w:sz="6" w:space="0" w:color="auto"/>
              <w:right w:val="nil" w:sz="6" w:space="0" w:color="auto"/>
            </w:tcBorders>
          </w:tcPr>
          <w:p>
            <w:pPr/>
          </w:p>
        </w:tc>
        <w:tc>
          <w:tcPr>
            <w:tcW w:w="2291"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554"/>
              <w:jc w:val="right"/>
              <w:rPr>
                <w:rFonts w:ascii="Times New Roman" w:hAnsi="Times New Roman" w:cs="Times New Roman" w:eastAsia="Times New Roman" w:hint="default"/>
                <w:sz w:val="18"/>
                <w:szCs w:val="18"/>
              </w:rPr>
            </w:pPr>
            <w:r>
              <w:rPr>
                <w:rFonts w:ascii="Times New Roman"/>
                <w:spacing w:val="-1"/>
                <w:sz w:val="18"/>
              </w:rPr>
              <w:t>210,167,583.24</w:t>
            </w:r>
          </w:p>
        </w:tc>
        <w:tc>
          <w:tcPr>
            <w:tcW w:w="204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3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210,167,583.24</w:t>
            </w:r>
            <w:r>
              <w:rPr>
                <w:rFonts w:ascii="Times New Roman"/>
                <w:spacing w:val="-1"/>
                <w:sz w:val="18"/>
              </w:rPr>
            </w:r>
          </w:p>
        </w:tc>
      </w:tr>
      <w:tr>
        <w:trPr>
          <w:trHeight w:val="44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54" w:type="dxa"/>
            <w:tcBorders>
              <w:top w:val="nil" w:sz="6" w:space="0" w:color="auto"/>
              <w:left w:val="nil" w:sz="6" w:space="0" w:color="auto"/>
              <w:bottom w:val="nil" w:sz="6" w:space="0" w:color="auto"/>
              <w:right w:val="nil" w:sz="6" w:space="0" w:color="auto"/>
            </w:tcBorders>
          </w:tcPr>
          <w:p>
            <w:pP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4"/>
              <w:jc w:val="right"/>
              <w:rPr>
                <w:rFonts w:ascii="Times New Roman" w:hAnsi="Times New Roman" w:cs="Times New Roman" w:eastAsia="Times New Roman" w:hint="default"/>
                <w:sz w:val="18"/>
                <w:szCs w:val="18"/>
              </w:rPr>
            </w:pPr>
            <w:r>
              <w:rPr>
                <w:rFonts w:ascii="Times New Roman"/>
                <w:spacing w:val="-1"/>
                <w:sz w:val="18"/>
              </w:rPr>
              <w:t>199,693,427.82</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199,693,427.82</w:t>
            </w:r>
            <w:r>
              <w:rPr>
                <w:rFonts w:ascii="Times New Roman"/>
                <w:spacing w:val="-1"/>
                <w:sz w:val="18"/>
              </w:rPr>
            </w:r>
          </w:p>
        </w:tc>
      </w:tr>
      <w:tr>
        <w:trPr>
          <w:trHeight w:val="421"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54" w:type="dxa"/>
            <w:tcBorders>
              <w:top w:val="nil" w:sz="6" w:space="0" w:color="auto"/>
              <w:left w:val="nil" w:sz="6" w:space="0" w:color="auto"/>
              <w:bottom w:val="nil" w:sz="6" w:space="0" w:color="auto"/>
              <w:right w:val="nil" w:sz="6" w:space="0" w:color="auto"/>
            </w:tcBorders>
          </w:tcPr>
          <w:p>
            <w:pP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54"/>
              <w:jc w:val="right"/>
              <w:rPr>
                <w:rFonts w:ascii="Times New Roman" w:hAnsi="Times New Roman" w:cs="Times New Roman" w:eastAsia="Times New Roman" w:hint="default"/>
                <w:sz w:val="18"/>
                <w:szCs w:val="18"/>
              </w:rPr>
            </w:pPr>
            <w:r>
              <w:rPr>
                <w:rFonts w:ascii="Times New Roman"/>
                <w:spacing w:val="-1"/>
                <w:sz w:val="18"/>
              </w:rPr>
              <w:t>12,074,712.60</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12,074,712.60</w:t>
            </w:r>
            <w:r>
              <w:rPr>
                <w:rFonts w:ascii="Times New Roman"/>
                <w:spacing w:val="-1"/>
                <w:sz w:val="18"/>
              </w:rPr>
            </w:r>
          </w:p>
        </w:tc>
      </w:tr>
      <w:tr>
        <w:trPr>
          <w:trHeight w:val="325"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8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54" w:type="dxa"/>
            <w:tcBorders>
              <w:top w:val="nil" w:sz="6" w:space="0" w:color="auto"/>
              <w:left w:val="nil" w:sz="6" w:space="0" w:color="auto"/>
              <w:bottom w:val="nil" w:sz="6" w:space="0" w:color="auto"/>
              <w:right w:val="nil" w:sz="6" w:space="0" w:color="auto"/>
            </w:tcBorders>
          </w:tcPr>
          <w:p>
            <w:pP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5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421,935,723.66</w:t>
            </w:r>
            <w:r>
              <w:rPr>
                <w:rFonts w:ascii="Times New Roman"/>
                <w:spacing w:val="-1"/>
                <w:sz w:val="18"/>
              </w:rPr>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6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421,935,723.66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17"/>
        <w:jc w:val="left"/>
      </w:pPr>
      <w:r>
        <w:rPr>
          <w:rFonts w:ascii="Times New Roman" w:hAnsi="Times New Roman" w:cs="Times New Roman" w:eastAsia="Times New Roman" w:hint="default"/>
        </w:rPr>
        <w:t>2.</w:t>
      </w:r>
      <w:r>
        <w:rPr/>
        <w:t>信用风险</w:t>
      </w:r>
    </w:p>
    <w:p>
      <w:pPr>
        <w:spacing w:line="240" w:lineRule="auto" w:before="6"/>
        <w:rPr>
          <w:rFonts w:ascii="宋体" w:hAnsi="宋体" w:cs="宋体" w:eastAsia="宋体" w:hint="default"/>
          <w:sz w:val="20"/>
          <w:szCs w:val="20"/>
        </w:rPr>
      </w:pPr>
    </w:p>
    <w:p>
      <w:pPr>
        <w:pStyle w:val="BodyText"/>
        <w:spacing w:line="367" w:lineRule="auto"/>
        <w:ind w:left="1418" w:right="1274" w:firstLine="360"/>
        <w:jc w:val="both"/>
      </w:pPr>
      <w:r>
        <w:rPr/>
        <w:t>本公司仅与经认可的、信誉良好的第三方进行交易。按照本公司的政策，需对所有要求采用信用方式进行交易的 客户进行信用审核。另外，本公司对应收账款余额进行持续监控，以确保本公司不致面临重大坏账风险。</w:t>
      </w:r>
    </w:p>
    <w:p>
      <w:pPr>
        <w:spacing w:line="240" w:lineRule="auto" w:before="2"/>
        <w:rPr>
          <w:rFonts w:ascii="宋体" w:hAnsi="宋体" w:cs="宋体" w:eastAsia="宋体" w:hint="default"/>
          <w:sz w:val="14"/>
          <w:szCs w:val="14"/>
        </w:rPr>
      </w:pPr>
    </w:p>
    <w:p>
      <w:pPr>
        <w:pStyle w:val="BodyText"/>
        <w:spacing w:line="367" w:lineRule="auto"/>
        <w:ind w:left="1418" w:right="1274" w:firstLine="360"/>
        <w:jc w:val="both"/>
      </w:pPr>
      <w:r>
        <w:rPr/>
        <w:t>本公司其他金融资产包括货币资金、应收账款、应收利息、其他应收款、可供出售的金融资产及某些衍生工具， 这些金融资产的信用风险源自交易对手违约，最大风险敞口等于这些工具的账面金额。</w:t>
      </w:r>
    </w:p>
    <w:p>
      <w:pPr>
        <w:spacing w:line="240" w:lineRule="auto" w:before="2"/>
        <w:rPr>
          <w:rFonts w:ascii="宋体" w:hAnsi="宋体" w:cs="宋体" w:eastAsia="宋体" w:hint="default"/>
          <w:sz w:val="14"/>
          <w:szCs w:val="14"/>
        </w:rPr>
      </w:pPr>
    </w:p>
    <w:p>
      <w:pPr>
        <w:pStyle w:val="BodyText"/>
        <w:spacing w:line="367" w:lineRule="auto"/>
        <w:ind w:left="1418" w:right="1272" w:firstLine="360"/>
        <w:jc w:val="both"/>
      </w:pPr>
      <w:r>
        <w:rPr>
          <w:spacing w:val="-3"/>
        </w:rPr>
        <w:t>由于本公司仅与经认可的且信誉良好的第三方进行交易，所以无需担保物。信用风险集中按照客户类别进行管理。</w:t>
      </w:r>
      <w:r>
        <w:rPr/>
        <w:t> 本公司的应收账款客户群主要集中于图书出版发行行业和互联网电子商务，图书出版行业客户分别为国有新华书店系</w:t>
      </w:r>
      <w:r>
        <w:rPr>
          <w:spacing w:val="-63"/>
        </w:rPr>
        <w:t> </w:t>
      </w:r>
      <w:r>
        <w:rPr>
          <w:spacing w:val="-63"/>
        </w:rPr>
      </w:r>
      <w:r>
        <w:rPr/>
        <w:t>统和民营图书渠道；国有新华书店系统客户已与公司合作多年，付款及时，信誉良好，应收款项不存在重大风险；民</w:t>
      </w:r>
    </w:p>
    <w:p>
      <w:pPr>
        <w:spacing w:after="0" w:line="367" w:lineRule="auto"/>
        <w:jc w:val="both"/>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67" w:lineRule="auto"/>
        <w:ind w:left="1418" w:right="1117"/>
        <w:jc w:val="left"/>
      </w:pPr>
      <w:r>
        <w:rPr/>
        <w:t>营图书渠道客户较分散，单个客户应收款项金额较少，这些客户已与公司合作多年，信誉较好，但由于现在传统图书</w:t>
      </w:r>
      <w:r>
        <w:rPr>
          <w:spacing w:val="-63"/>
        </w:rPr>
        <w:t> </w:t>
      </w:r>
      <w:r>
        <w:rPr>
          <w:spacing w:val="-63"/>
        </w:rPr>
      </w:r>
      <w:r>
        <w:rPr/>
        <w:t>出版发行行业受互联网新媒体的冲击，市场存在重大不确定性，可能存在一定的信用违约风险。</w:t>
      </w:r>
    </w:p>
    <w:p>
      <w:pPr>
        <w:spacing w:line="240" w:lineRule="auto" w:before="2"/>
        <w:rPr>
          <w:rFonts w:ascii="宋体" w:hAnsi="宋体" w:cs="宋体" w:eastAsia="宋体" w:hint="default"/>
          <w:sz w:val="14"/>
          <w:szCs w:val="14"/>
        </w:rPr>
      </w:pPr>
    </w:p>
    <w:p>
      <w:pPr>
        <w:pStyle w:val="BodyText"/>
        <w:spacing w:line="367" w:lineRule="auto"/>
        <w:ind w:left="1418" w:right="1273" w:firstLine="360"/>
        <w:jc w:val="both"/>
      </w:pPr>
      <w:r>
        <w:rPr/>
        <w:t>本公司子公司北京神奇时代网络有限公司以及广州游爱网络技术有限公司经营移动网游戏业务，客户均从事互联 网电子商务，大部分客户已与公司合作多年，信誉较好，付款及时，但本年度部分客户存在结算周期延长，出现应收</w:t>
      </w:r>
      <w:r>
        <w:rPr>
          <w:spacing w:val="-63"/>
        </w:rPr>
        <w:t> </w:t>
      </w:r>
      <w:r>
        <w:rPr>
          <w:spacing w:val="-63"/>
        </w:rPr>
      </w:r>
      <w:r>
        <w:rPr/>
        <w:t>账款信用风险增加情况，但整体应收款项不存在重大信用风险。本公司对应收账款余额未持有任何担保物或其他信用</w:t>
      </w:r>
      <w:r>
        <w:rPr>
          <w:spacing w:val="-61"/>
        </w:rPr>
        <w:t> </w:t>
      </w:r>
      <w:r>
        <w:rPr>
          <w:spacing w:val="-61"/>
        </w:rPr>
      </w:r>
      <w:r>
        <w:rPr/>
        <w:t>增级。</w:t>
      </w:r>
    </w:p>
    <w:p>
      <w:pPr>
        <w:spacing w:line="240" w:lineRule="auto" w:before="2"/>
        <w:rPr>
          <w:rFonts w:ascii="宋体" w:hAnsi="宋体" w:cs="宋体" w:eastAsia="宋体" w:hint="default"/>
          <w:sz w:val="14"/>
          <w:szCs w:val="14"/>
        </w:rPr>
      </w:pPr>
    </w:p>
    <w:p>
      <w:pPr>
        <w:pStyle w:val="BodyText"/>
        <w:spacing w:line="240" w:lineRule="auto"/>
        <w:ind w:right="1117"/>
        <w:jc w:val="left"/>
      </w:pPr>
      <w:r>
        <w:rPr>
          <w:rFonts w:ascii="Times New Roman" w:hAnsi="Times New Roman" w:cs="Times New Roman" w:eastAsia="Times New Roman" w:hint="default"/>
        </w:rPr>
        <w:t>3.</w:t>
      </w:r>
      <w:r>
        <w:rPr/>
        <w:t>流动风险</w:t>
      </w:r>
    </w:p>
    <w:p>
      <w:pPr>
        <w:spacing w:line="240" w:lineRule="auto" w:before="5"/>
        <w:rPr>
          <w:rFonts w:ascii="宋体" w:hAnsi="宋体" w:cs="宋体" w:eastAsia="宋体" w:hint="default"/>
          <w:sz w:val="20"/>
          <w:szCs w:val="20"/>
        </w:rPr>
      </w:pPr>
    </w:p>
    <w:p>
      <w:pPr>
        <w:pStyle w:val="BodyText"/>
        <w:spacing w:line="367" w:lineRule="auto"/>
        <w:ind w:left="1418" w:right="1274" w:firstLine="360"/>
        <w:jc w:val="both"/>
      </w:pPr>
      <w:r>
        <w:rPr/>
        <w:t>本公司采用循环流动性计划工具管理资金短缺风险。该工具既考虑其金融工具的到期日，也考虑本公司运营产生 的预计现金流量，管理流动风险时，本公司保持管理层认为充分的现金及现金等价物并对其进行监控，以满足本公司</w:t>
      </w:r>
      <w:r>
        <w:rPr>
          <w:spacing w:val="-63"/>
        </w:rPr>
        <w:t> </w:t>
      </w:r>
      <w:r>
        <w:rPr>
          <w:spacing w:val="-63"/>
        </w:rPr>
      </w:r>
      <w:r>
        <w:rPr/>
        <w:t>经营需要，并降低现金流量波动的影响。</w:t>
      </w:r>
    </w:p>
    <w:p>
      <w:pPr>
        <w:pStyle w:val="BodyText"/>
        <w:spacing w:line="240" w:lineRule="auto" w:before="80"/>
        <w:ind w:right="1117"/>
        <w:jc w:val="left"/>
      </w:pPr>
      <w:r>
        <w:rPr>
          <w:rFonts w:ascii="Times New Roman" w:hAnsi="Times New Roman" w:cs="Times New Roman" w:eastAsia="Times New Roman" w:hint="default"/>
        </w:rPr>
        <w:t>4.</w:t>
      </w:r>
      <w:r>
        <w:rPr/>
        <w:t>市场风险</w:t>
      </w:r>
    </w:p>
    <w:p>
      <w:pPr>
        <w:spacing w:line="240" w:lineRule="auto" w:before="5"/>
        <w:rPr>
          <w:rFonts w:ascii="宋体" w:hAnsi="宋体" w:cs="宋体" w:eastAsia="宋体" w:hint="default"/>
          <w:sz w:val="20"/>
          <w:szCs w:val="20"/>
        </w:rPr>
      </w:pPr>
    </w:p>
    <w:p>
      <w:pPr>
        <w:pStyle w:val="BodyText"/>
        <w:spacing w:line="367" w:lineRule="auto"/>
        <w:ind w:left="1418" w:right="1274" w:firstLine="360"/>
        <w:jc w:val="both"/>
      </w:pPr>
      <w:r>
        <w:rPr/>
        <w:t>市场风险，是指金融工具的公允价值或未来现金流量因市场价格变动而发生波动的风险。市场风险主要包括利率 风险、外汇风险。</w:t>
      </w:r>
    </w:p>
    <w:p>
      <w:pPr>
        <w:spacing w:line="240" w:lineRule="auto" w:before="2"/>
        <w:rPr>
          <w:rFonts w:ascii="宋体" w:hAnsi="宋体" w:cs="宋体" w:eastAsia="宋体" w:hint="default"/>
          <w:sz w:val="14"/>
          <w:szCs w:val="14"/>
        </w:rPr>
      </w:pPr>
    </w:p>
    <w:p>
      <w:pPr>
        <w:pStyle w:val="BodyText"/>
        <w:spacing w:line="496" w:lineRule="auto"/>
        <w:ind w:right="4348"/>
        <w:jc w:val="left"/>
      </w:pPr>
      <w:r>
        <w:rPr/>
        <w:t>（</w:t>
      </w:r>
      <w:r>
        <w:rPr>
          <w:rFonts w:ascii="Times New Roman" w:hAnsi="Times New Roman" w:cs="Times New Roman" w:eastAsia="Times New Roman" w:hint="default"/>
        </w:rPr>
        <w:t>1</w:t>
      </w:r>
      <w:r>
        <w:rPr/>
        <w:t>）利率风险 公司期末无以浮动利率计息的长短期负债，预计未来不会面临利率风险。</w:t>
      </w:r>
    </w:p>
    <w:p>
      <w:pPr>
        <w:pStyle w:val="BodyText"/>
        <w:spacing w:line="240" w:lineRule="auto" w:before="88"/>
        <w:ind w:right="1117"/>
        <w:jc w:val="left"/>
      </w:pPr>
      <w:r>
        <w:rPr/>
        <w:t>（</w:t>
      </w:r>
      <w:r>
        <w:rPr>
          <w:rFonts w:ascii="Times New Roman" w:hAnsi="Times New Roman" w:cs="Times New Roman" w:eastAsia="Times New Roman" w:hint="default"/>
        </w:rPr>
        <w:t>2</w:t>
      </w:r>
      <w:r>
        <w:rPr/>
        <w:t>）汇率风险</w:t>
      </w:r>
    </w:p>
    <w:p>
      <w:pPr>
        <w:spacing w:line="240" w:lineRule="auto" w:before="6"/>
        <w:rPr>
          <w:rFonts w:ascii="宋体" w:hAnsi="宋体" w:cs="宋体" w:eastAsia="宋体" w:hint="default"/>
          <w:sz w:val="20"/>
          <w:szCs w:val="20"/>
        </w:rPr>
      </w:pPr>
    </w:p>
    <w:p>
      <w:pPr>
        <w:pStyle w:val="BodyText"/>
        <w:spacing w:line="367" w:lineRule="auto"/>
        <w:ind w:left="1418" w:right="1274" w:firstLine="360"/>
        <w:jc w:val="both"/>
      </w:pPr>
      <w:r>
        <w:rPr/>
        <w:t>外汇风险，是指金融工具的公允价值或未来现金流量因外汇汇率变动而发生波动的风险。公司尽可能将外币收入 与外币支出相匹配以降低外汇风险。此外，公司根据必要签署远期外汇合约或货币互换合约以达到规避外汇风险的目</w:t>
      </w:r>
      <w:r>
        <w:rPr>
          <w:spacing w:val="-63"/>
        </w:rPr>
        <w:t> </w:t>
      </w:r>
      <w:r>
        <w:rPr>
          <w:spacing w:val="-63"/>
        </w:rPr>
      </w:r>
      <w:r>
        <w:rPr/>
        <w:t>的。公司面临的外汇风险主要来源于以外币计价的金融资产和金融负债，外币金融资产和外币金融负债折算成人民币</w:t>
      </w:r>
      <w:r>
        <w:rPr>
          <w:spacing w:val="-63"/>
        </w:rPr>
        <w:t> </w:t>
      </w:r>
      <w:r>
        <w:rPr>
          <w:spacing w:val="-63"/>
        </w:rPr>
      </w:r>
      <w:r>
        <w:rPr/>
        <w:t>的金额详见本财务报表附注六、</w:t>
      </w:r>
      <w:r>
        <w:rPr>
          <w:rFonts w:ascii="Times New Roman" w:hAnsi="Times New Roman" w:cs="Times New Roman" w:eastAsia="Times New Roman" w:hint="default"/>
        </w:rPr>
        <w:t>46</w:t>
      </w:r>
      <w:r>
        <w:rPr/>
        <w:t>。</w:t>
      </w:r>
    </w:p>
    <w:p>
      <w:pPr>
        <w:spacing w:line="240" w:lineRule="auto" w:before="12"/>
        <w:rPr>
          <w:rFonts w:ascii="宋体" w:hAnsi="宋体" w:cs="宋体" w:eastAsia="宋体" w:hint="default"/>
          <w:sz w:val="18"/>
          <w:szCs w:val="18"/>
        </w:rPr>
      </w:pPr>
    </w:p>
    <w:p>
      <w:pPr>
        <w:spacing w:line="547" w:lineRule="auto" w:before="0"/>
        <w:ind w:left="1808" w:right="5458" w:firstLine="92"/>
        <w:jc w:val="left"/>
        <w:rPr>
          <w:rFonts w:ascii="黑体" w:hAnsi="黑体" w:cs="黑体" w:eastAsia="黑体" w:hint="default"/>
          <w:sz w:val="24"/>
          <w:szCs w:val="24"/>
        </w:rPr>
      </w:pPr>
      <w:bookmarkStart w:name="十、公允价值" w:id="256"/>
      <w:bookmarkEnd w:id="256"/>
      <w:r>
        <w:rPr/>
      </w:r>
      <w:r>
        <w:rPr>
          <w:rFonts w:ascii="黑体" w:hAnsi="黑体" w:cs="黑体" w:eastAsia="黑体" w:hint="default"/>
          <w:b/>
          <w:bCs/>
          <w:sz w:val="24"/>
          <w:szCs w:val="24"/>
        </w:rPr>
        <w:t>十、公允价值</w:t>
      </w:r>
      <w:r>
        <w:rPr>
          <w:rFonts w:ascii="黑体" w:hAnsi="黑体" w:cs="黑体" w:eastAsia="黑体" w:hint="default"/>
          <w:b/>
          <w:bCs/>
          <w:w w:val="99"/>
          <w:sz w:val="24"/>
          <w:szCs w:val="24"/>
        </w:rPr>
        <w:t> </w:t>
      </w:r>
      <w:bookmarkStart w:name="本公司报告期内无采用公允价值计量的报表项目。" w:id="257"/>
      <w:bookmarkEnd w:id="257"/>
      <w:r>
        <w:rPr>
          <w:rFonts w:ascii="黑体" w:hAnsi="黑体" w:cs="黑体" w:eastAsia="黑体" w:hint="default"/>
          <w:b/>
          <w:bCs/>
          <w:w w:val="99"/>
          <w:sz w:val="24"/>
          <w:szCs w:val="24"/>
        </w:rPr>
      </w:r>
      <w:r>
        <w:rPr>
          <w:rFonts w:ascii="宋体" w:hAnsi="宋体" w:cs="宋体" w:eastAsia="宋体" w:hint="default"/>
          <w:sz w:val="21"/>
          <w:szCs w:val="21"/>
        </w:rPr>
        <w:t>本公司报告期内无采用公允价值计量的报表项目。 </w:t>
      </w:r>
      <w:bookmarkStart w:name="十一、关联方关系及其交易" w:id="258"/>
      <w:bookmarkEnd w:id="258"/>
      <w:r>
        <w:rPr>
          <w:rFonts w:ascii="宋体" w:hAnsi="宋体" w:cs="宋体" w:eastAsia="宋体" w:hint="default"/>
          <w:sz w:val="21"/>
          <w:szCs w:val="21"/>
        </w:rPr>
      </w:r>
      <w:r>
        <w:rPr>
          <w:rFonts w:ascii="黑体" w:hAnsi="黑体" w:cs="黑体" w:eastAsia="黑体" w:hint="default"/>
          <w:b/>
          <w:bCs/>
          <w:sz w:val="24"/>
          <w:szCs w:val="24"/>
        </w:rPr>
        <w:t>十一、关联方关系及其交易</w:t>
      </w:r>
      <w:r>
        <w:rPr>
          <w:rFonts w:ascii="黑体" w:hAnsi="黑体" w:cs="黑体" w:eastAsia="黑体" w:hint="default"/>
          <w:sz w:val="24"/>
          <w:szCs w:val="24"/>
        </w:rPr>
      </w:r>
    </w:p>
    <w:p>
      <w:pPr>
        <w:pStyle w:val="BodyText"/>
        <w:spacing w:line="240" w:lineRule="auto" w:before="121"/>
        <w:ind w:right="1117"/>
        <w:jc w:val="left"/>
      </w:pPr>
      <w:bookmarkStart w:name="1.关联方的认定标准：" w:id="259"/>
      <w:bookmarkEnd w:id="259"/>
      <w:r>
        <w:rPr/>
      </w:r>
      <w:r>
        <w:rPr>
          <w:rFonts w:ascii="Times New Roman" w:hAnsi="Times New Roman" w:cs="Times New Roman" w:eastAsia="Times New Roman" w:hint="default"/>
        </w:rPr>
        <w:t>1.</w:t>
      </w:r>
      <w:r>
        <w:rPr/>
        <w:t>关联方的认定标准：</w:t>
      </w:r>
    </w:p>
    <w:p>
      <w:pPr>
        <w:spacing w:line="240" w:lineRule="auto" w:before="5"/>
        <w:rPr>
          <w:rFonts w:ascii="宋体" w:hAnsi="宋体" w:cs="宋体" w:eastAsia="宋体" w:hint="default"/>
          <w:sz w:val="20"/>
          <w:szCs w:val="20"/>
        </w:rPr>
      </w:pPr>
    </w:p>
    <w:p>
      <w:pPr>
        <w:pStyle w:val="BodyText"/>
        <w:spacing w:line="367" w:lineRule="auto"/>
        <w:ind w:left="1418" w:right="1274" w:firstLine="360"/>
        <w:jc w:val="both"/>
      </w:pPr>
      <w:r>
        <w:rPr/>
        <w:t>一方控制、共同控制另一方或对另一方施加重大影响，以及两方或两方以上同受一方控制、共同控制或重大影响 的，构成关联方。</w:t>
      </w:r>
    </w:p>
    <w:p>
      <w:pPr>
        <w:spacing w:line="240" w:lineRule="auto" w:before="2"/>
        <w:rPr>
          <w:rFonts w:ascii="宋体" w:hAnsi="宋体" w:cs="宋体" w:eastAsia="宋体" w:hint="default"/>
          <w:sz w:val="14"/>
          <w:szCs w:val="14"/>
        </w:rPr>
      </w:pPr>
    </w:p>
    <w:p>
      <w:pPr>
        <w:pStyle w:val="BodyText"/>
        <w:spacing w:line="240" w:lineRule="auto"/>
        <w:ind w:right="1117"/>
        <w:jc w:val="left"/>
      </w:pPr>
      <w:r>
        <w:rPr/>
        <w:pict>
          <v:group style="position:absolute;margin-left:68.459999pt;margin-top:63.931717pt;width:464.95pt;height:.5pt;mso-position-horizontal-relative:page;mso-position-vertical-relative:paragraph;z-index:-946816" coordorigin="1369,1279" coordsize="9299,10">
            <v:group style="position:absolute;left:1374;top:1283;width:1557;height:2" coordorigin="1374,1283" coordsize="1557,2">
              <v:shape style="position:absolute;left:1374;top:1283;width:1557;height:2" coordorigin="1374,1283" coordsize="1557,0" path="m1374,1283l2931,1283e" filled="false" stroked="true" strokeweight=".48pt" strokecolor="#000000">
                <v:path arrowok="t"/>
              </v:shape>
            </v:group>
            <v:group style="position:absolute;left:2916;top:1283;width:10;height:2" coordorigin="2916,1283" coordsize="10,2">
              <v:shape style="position:absolute;left:2916;top:1283;width:10;height:2" coordorigin="2916,1283" coordsize="10,0" path="m2916,1283l2926,1283e" filled="false" stroked="true" strokeweight=".48pt" strokecolor="#000000">
                <v:path arrowok="t"/>
              </v:shape>
            </v:group>
            <v:group style="position:absolute;left:2926;top:1283;width:1383;height:2" coordorigin="2926,1283" coordsize="1383,2">
              <v:shape style="position:absolute;left:2926;top:1283;width:1383;height:2" coordorigin="2926,1283" coordsize="1383,0" path="m2926,1283l4308,1283e" filled="false" stroked="true" strokeweight=".48pt" strokecolor="#000000">
                <v:path arrowok="t"/>
              </v:shape>
            </v:group>
            <v:group style="position:absolute;left:4294;top:1283;width:10;height:2" coordorigin="4294,1283" coordsize="10,2">
              <v:shape style="position:absolute;left:4294;top:1283;width:10;height:2" coordorigin="4294,1283" coordsize="10,0" path="m4294,1283l4304,1283e" filled="false" stroked="true" strokeweight=".48pt" strokecolor="#000000">
                <v:path arrowok="t"/>
              </v:shape>
            </v:group>
            <v:group style="position:absolute;left:4304;top:1283;width:1377;height:2" coordorigin="4304,1283" coordsize="1377,2">
              <v:shape style="position:absolute;left:4304;top:1283;width:1377;height:2" coordorigin="4304,1283" coordsize="1377,0" path="m4304,1283l5680,1283e" filled="false" stroked="true" strokeweight=".48pt" strokecolor="#000000">
                <v:path arrowok="t"/>
              </v:shape>
            </v:group>
            <v:group style="position:absolute;left:5666;top:1283;width:10;height:2" coordorigin="5666,1283" coordsize="10,2">
              <v:shape style="position:absolute;left:5666;top:1283;width:10;height:2" coordorigin="5666,1283" coordsize="10,0" path="m5666,1283l5676,1283e" filled="false" stroked="true" strokeweight=".48pt" strokecolor="#000000">
                <v:path arrowok="t"/>
              </v:shape>
            </v:group>
            <v:group style="position:absolute;left:5676;top:1283;width:1072;height:2" coordorigin="5676,1283" coordsize="1072,2">
              <v:shape style="position:absolute;left:5676;top:1283;width:1072;height:2" coordorigin="5676,1283" coordsize="1072,0" path="m5676,1283l6747,1283e" filled="false" stroked="true" strokeweight=".48pt" strokecolor="#000000">
                <v:path arrowok="t"/>
              </v:shape>
            </v:group>
            <v:group style="position:absolute;left:6733;top:1283;width:10;height:2" coordorigin="6733,1283" coordsize="10,2">
              <v:shape style="position:absolute;left:6733;top:1283;width:10;height:2" coordorigin="6733,1283" coordsize="10,0" path="m6733,1283l6742,1283e" filled="false" stroked="true" strokeweight=".48pt" strokecolor="#000000">
                <v:path arrowok="t"/>
              </v:shape>
            </v:group>
            <v:group style="position:absolute;left:6742;top:1283;width:2745;height:2" coordorigin="6742,1283" coordsize="2745,2">
              <v:shape style="position:absolute;left:6742;top:1283;width:2745;height:2" coordorigin="6742,1283" coordsize="2745,0" path="m6742,1283l9487,1283e" filled="false" stroked="true" strokeweight=".48pt" strokecolor="#000000">
                <v:path arrowok="t"/>
              </v:shape>
            </v:group>
            <v:group style="position:absolute;left:9473;top:1283;width:10;height:2" coordorigin="9473,1283" coordsize="10,2">
              <v:shape style="position:absolute;left:9473;top:1283;width:10;height:2" coordorigin="9473,1283" coordsize="10,0" path="m9473,1283l9482,1283e" filled="false" stroked="true" strokeweight=".48pt" strokecolor="#000000">
                <v:path arrowok="t"/>
              </v:shape>
            </v:group>
            <v:group style="position:absolute;left:9482;top:1283;width:1181;height:2" coordorigin="9482,1283" coordsize="1181,2">
              <v:shape style="position:absolute;left:9482;top:1283;width:1181;height:2" coordorigin="9482,1283" coordsize="1181,0" path="m9482,1283l10663,1283e" filled="false" stroked="true" strokeweight=".48pt" strokecolor="#000000">
                <v:path arrowok="t"/>
              </v:shape>
            </v:group>
            <w10:wrap type="none"/>
          </v:group>
        </w:pict>
      </w:r>
      <w:bookmarkStart w:name="2.本公司的母公司有关信息" w:id="260"/>
      <w:bookmarkEnd w:id="260"/>
      <w:r>
        <w:rPr/>
      </w:r>
      <w:r>
        <w:rPr>
          <w:rFonts w:ascii="Times New Roman" w:hAnsi="Times New Roman" w:cs="Times New Roman" w:eastAsia="Times New Roman" w:hint="default"/>
        </w:rPr>
        <w:t>2.</w:t>
      </w:r>
      <w:r>
        <w:rPr/>
        <w:t>本公司的母公司有关信息</w:t>
      </w:r>
    </w:p>
    <w:p>
      <w:pPr>
        <w:spacing w:line="240" w:lineRule="auto" w:before="9"/>
        <w:rPr>
          <w:rFonts w:ascii="宋体" w:hAnsi="宋体" w:cs="宋体" w:eastAsia="宋体" w:hint="default"/>
          <w:sz w:val="29"/>
          <w:szCs w:val="29"/>
        </w:rPr>
      </w:pPr>
    </w:p>
    <w:tbl>
      <w:tblPr>
        <w:tblW w:w="0" w:type="auto"/>
        <w:jc w:val="left"/>
        <w:tblInd w:w="1383" w:type="dxa"/>
        <w:tblLayout w:type="fixed"/>
        <w:tblCellMar>
          <w:top w:w="0" w:type="dxa"/>
          <w:left w:w="0" w:type="dxa"/>
          <w:bottom w:w="0" w:type="dxa"/>
          <w:right w:w="0" w:type="dxa"/>
        </w:tblCellMar>
        <w:tblLook w:val="01E0"/>
      </w:tblPr>
      <w:tblGrid>
        <w:gridCol w:w="1543"/>
        <w:gridCol w:w="1417"/>
        <w:gridCol w:w="1221"/>
        <w:gridCol w:w="1599"/>
        <w:gridCol w:w="1932"/>
        <w:gridCol w:w="1568"/>
      </w:tblGrid>
      <w:tr>
        <w:trPr>
          <w:trHeight w:val="646" w:hRule="exact"/>
        </w:trPr>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b/>
                <w:bCs/>
                <w:sz w:val="15"/>
                <w:szCs w:val="15"/>
              </w:rPr>
              <w:t>母公司名称</w:t>
            </w:r>
            <w:r>
              <w:rPr>
                <w:rFonts w:ascii="宋体" w:hAnsi="宋体" w:cs="宋体" w:eastAsia="宋体" w:hint="default"/>
                <w:sz w:val="15"/>
                <w:szCs w:val="15"/>
              </w:rPr>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91" w:right="0"/>
              <w:jc w:val="left"/>
              <w:rPr>
                <w:rFonts w:ascii="宋体" w:hAnsi="宋体" w:cs="宋体" w:eastAsia="宋体" w:hint="default"/>
                <w:sz w:val="15"/>
                <w:szCs w:val="15"/>
              </w:rPr>
            </w:pPr>
            <w:r>
              <w:rPr>
                <w:rFonts w:ascii="宋体" w:hAnsi="宋体" w:cs="宋体" w:eastAsia="宋体" w:hint="default"/>
                <w:b/>
                <w:bCs/>
                <w:sz w:val="15"/>
                <w:szCs w:val="15"/>
              </w:rPr>
              <w:t>公司类型</w:t>
            </w:r>
            <w:r>
              <w:rPr>
                <w:rFonts w:ascii="宋体" w:hAnsi="宋体" w:cs="宋体" w:eastAsia="宋体" w:hint="default"/>
                <w:sz w:val="15"/>
                <w:szCs w:val="15"/>
              </w:rPr>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423" w:right="0"/>
              <w:jc w:val="left"/>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45" w:right="0"/>
              <w:jc w:val="left"/>
              <w:rPr>
                <w:rFonts w:ascii="宋体" w:hAnsi="宋体" w:cs="宋体" w:eastAsia="宋体" w:hint="default"/>
                <w:sz w:val="15"/>
                <w:szCs w:val="15"/>
              </w:rPr>
            </w:pPr>
            <w:r>
              <w:rPr>
                <w:rFonts w:ascii="宋体" w:hAnsi="宋体" w:cs="宋体" w:eastAsia="宋体" w:hint="default"/>
                <w:b/>
                <w:bCs/>
                <w:sz w:val="15"/>
                <w:szCs w:val="15"/>
              </w:rPr>
              <w:t>法人代表</w:t>
            </w:r>
            <w:r>
              <w:rPr>
                <w:rFonts w:ascii="宋体" w:hAnsi="宋体" w:cs="宋体" w:eastAsia="宋体" w:hint="default"/>
                <w:sz w:val="15"/>
                <w:szCs w:val="15"/>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5"/>
              <w:jc w:val="center"/>
              <w:rPr>
                <w:rFonts w:ascii="宋体" w:hAnsi="宋体" w:cs="宋体" w:eastAsia="宋体" w:hint="default"/>
                <w:sz w:val="15"/>
                <w:szCs w:val="15"/>
              </w:rPr>
            </w:pPr>
            <w:r>
              <w:rPr>
                <w:rFonts w:ascii="宋体" w:hAnsi="宋体" w:cs="宋体" w:eastAsia="宋体" w:hint="default"/>
                <w:b/>
                <w:bCs/>
                <w:sz w:val="15"/>
                <w:szCs w:val="15"/>
              </w:rPr>
              <w:t>业务性质</w:t>
            </w:r>
            <w:r>
              <w:rPr>
                <w:rFonts w:ascii="宋体" w:hAnsi="宋体" w:cs="宋体" w:eastAsia="宋体" w:hint="default"/>
                <w:sz w:val="15"/>
                <w:szCs w:val="15"/>
              </w:rPr>
            </w:r>
          </w:p>
        </w:tc>
        <w:tc>
          <w:tcPr>
            <w:tcW w:w="1568" w:type="dxa"/>
            <w:tcBorders>
              <w:top w:val="nil" w:sz="6" w:space="0" w:color="auto"/>
              <w:left w:val="nil" w:sz="6" w:space="0" w:color="auto"/>
              <w:bottom w:val="nil" w:sz="6" w:space="0" w:color="auto"/>
              <w:right w:val="nil" w:sz="6" w:space="0" w:color="auto"/>
            </w:tcBorders>
          </w:tcPr>
          <w:p>
            <w:pPr>
              <w:pStyle w:val="TableParagraph"/>
              <w:spacing w:line="150" w:lineRule="exact"/>
              <w:ind w:left="678"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78"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r>
    </w:tbl>
    <w:p>
      <w:pPr>
        <w:spacing w:after="0" w:line="240" w:lineRule="auto"/>
        <w:jc w:val="left"/>
        <w:rPr>
          <w:rFonts w:ascii="宋体" w:hAnsi="宋体" w:cs="宋体" w:eastAsia="宋体" w:hint="default"/>
          <w:sz w:val="15"/>
          <w:szCs w:val="15"/>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388" w:type="dxa"/>
        <w:tblLayout w:type="fixed"/>
        <w:tblCellMar>
          <w:top w:w="0" w:type="dxa"/>
          <w:left w:w="0" w:type="dxa"/>
          <w:bottom w:w="0" w:type="dxa"/>
          <w:right w:w="0" w:type="dxa"/>
        </w:tblCellMar>
        <w:tblLook w:val="01E0"/>
      </w:tblPr>
      <w:tblGrid>
        <w:gridCol w:w="1397"/>
        <w:gridCol w:w="1344"/>
        <w:gridCol w:w="1595"/>
        <w:gridCol w:w="920"/>
        <w:gridCol w:w="2970"/>
        <w:gridCol w:w="1048"/>
      </w:tblGrid>
      <w:tr>
        <w:trPr>
          <w:trHeight w:val="646" w:hRule="exact"/>
        </w:trPr>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95" w:right="0"/>
              <w:jc w:val="left"/>
              <w:rPr>
                <w:rFonts w:ascii="宋体" w:hAnsi="宋体" w:cs="宋体" w:eastAsia="宋体" w:hint="default"/>
                <w:sz w:val="15"/>
                <w:szCs w:val="15"/>
              </w:rPr>
            </w:pPr>
            <w:r>
              <w:rPr>
                <w:rFonts w:ascii="宋体" w:hAnsi="宋体" w:cs="宋体" w:eastAsia="宋体" w:hint="default"/>
                <w:b/>
                <w:bCs/>
                <w:sz w:val="15"/>
                <w:szCs w:val="15"/>
              </w:rPr>
              <w:t>母公司名称</w:t>
            </w:r>
            <w:r>
              <w:rPr>
                <w:rFonts w:ascii="宋体" w:hAnsi="宋体" w:cs="宋体" w:eastAsia="宋体" w:hint="default"/>
                <w:sz w:val="15"/>
                <w:szCs w:val="15"/>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33" w:right="0"/>
              <w:jc w:val="left"/>
              <w:rPr>
                <w:rFonts w:ascii="宋体" w:hAnsi="宋体" w:cs="宋体" w:eastAsia="宋体" w:hint="default"/>
                <w:sz w:val="15"/>
                <w:szCs w:val="15"/>
              </w:rPr>
            </w:pPr>
            <w:r>
              <w:rPr>
                <w:rFonts w:ascii="宋体" w:hAnsi="宋体" w:cs="宋体" w:eastAsia="宋体" w:hint="default"/>
                <w:b/>
                <w:bCs/>
                <w:sz w:val="15"/>
                <w:szCs w:val="15"/>
              </w:rPr>
              <w:t>公司类型</w:t>
            </w:r>
            <w:r>
              <w:rPr>
                <w:rFonts w:ascii="宋体" w:hAnsi="宋体" w:cs="宋体" w:eastAsia="宋体" w:hint="default"/>
                <w:sz w:val="15"/>
                <w:szCs w:val="15"/>
              </w:rPr>
            </w:r>
          </w:p>
        </w:tc>
        <w:tc>
          <w:tcPr>
            <w:tcW w:w="159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38" w:right="0"/>
              <w:jc w:val="left"/>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tc>
        <w:tc>
          <w:tcPr>
            <w:tcW w:w="92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4" w:right="0"/>
              <w:jc w:val="center"/>
              <w:rPr>
                <w:rFonts w:ascii="宋体" w:hAnsi="宋体" w:cs="宋体" w:eastAsia="宋体" w:hint="default"/>
                <w:sz w:val="15"/>
                <w:szCs w:val="15"/>
              </w:rPr>
            </w:pPr>
            <w:r>
              <w:rPr>
                <w:rFonts w:ascii="宋体" w:hAnsi="宋体" w:cs="宋体" w:eastAsia="宋体" w:hint="default"/>
                <w:b/>
                <w:bCs/>
                <w:sz w:val="15"/>
                <w:szCs w:val="15"/>
              </w:rPr>
              <w:t>法人代表</w:t>
            </w:r>
            <w:r>
              <w:rPr>
                <w:rFonts w:ascii="宋体" w:hAnsi="宋体" w:cs="宋体" w:eastAsia="宋体" w:hint="default"/>
                <w:sz w:val="15"/>
                <w:szCs w:val="15"/>
              </w:rPr>
            </w:r>
          </w:p>
        </w:tc>
        <w:tc>
          <w:tcPr>
            <w:tcW w:w="29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center"/>
              <w:rPr>
                <w:rFonts w:ascii="宋体" w:hAnsi="宋体" w:cs="宋体" w:eastAsia="宋体" w:hint="default"/>
                <w:sz w:val="15"/>
                <w:szCs w:val="15"/>
              </w:rPr>
            </w:pPr>
            <w:r>
              <w:rPr>
                <w:rFonts w:ascii="宋体" w:hAnsi="宋体" w:cs="宋体" w:eastAsia="宋体" w:hint="default"/>
                <w:b/>
                <w:bCs/>
                <w:sz w:val="15"/>
                <w:szCs w:val="15"/>
              </w:rPr>
              <w:t>业务性质</w:t>
            </w:r>
            <w:r>
              <w:rPr>
                <w:rFonts w:ascii="宋体" w:hAnsi="宋体" w:cs="宋体" w:eastAsia="宋体" w:hint="default"/>
                <w:sz w:val="15"/>
                <w:szCs w:val="15"/>
              </w:rPr>
            </w:r>
          </w:p>
        </w:tc>
        <w:tc>
          <w:tcPr>
            <w:tcW w:w="1048" w:type="dxa"/>
            <w:tcBorders>
              <w:top w:val="nil" w:sz="6" w:space="0" w:color="auto"/>
              <w:left w:val="nil" w:sz="6" w:space="0" w:color="auto"/>
              <w:bottom w:val="single" w:sz="4" w:space="0" w:color="000000"/>
              <w:right w:val="nil" w:sz="6" w:space="0" w:color="auto"/>
            </w:tcBorders>
          </w:tcPr>
          <w:p>
            <w:pPr>
              <w:pStyle w:val="TableParagraph"/>
              <w:spacing w:line="150" w:lineRule="exact"/>
              <w:ind w:left="158"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r>
      <w:tr>
        <w:trPr>
          <w:trHeight w:val="755" w:hRule="exact"/>
        </w:trPr>
        <w:tc>
          <w:tcPr>
            <w:tcW w:w="1397" w:type="dxa"/>
            <w:tcBorders>
              <w:top w:val="single" w:sz="4" w:space="0" w:color="000000"/>
              <w:left w:val="nil" w:sz="6" w:space="0" w:color="auto"/>
              <w:bottom w:val="nil" w:sz="6" w:space="0" w:color="auto"/>
              <w:right w:val="nil" w:sz="6" w:space="0" w:color="auto"/>
            </w:tcBorders>
          </w:tcPr>
          <w:p>
            <w:pPr>
              <w:pStyle w:val="TableParagraph"/>
              <w:spacing w:line="402" w:lineRule="exact" w:before="6"/>
              <w:ind w:left="320" w:right="173"/>
              <w:jc w:val="left"/>
              <w:rPr>
                <w:rFonts w:ascii="宋体" w:hAnsi="宋体" w:cs="宋体" w:eastAsia="宋体" w:hint="default"/>
                <w:sz w:val="15"/>
                <w:szCs w:val="15"/>
              </w:rPr>
            </w:pPr>
            <w:r>
              <w:rPr>
                <w:rFonts w:ascii="宋体" w:hAnsi="宋体" w:cs="宋体" w:eastAsia="宋体" w:hint="default"/>
                <w:sz w:val="15"/>
                <w:szCs w:val="15"/>
              </w:rPr>
              <w:t>湖南天鸿投资 集团有限公司</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有限责任公司</w:t>
            </w:r>
          </w:p>
        </w:tc>
        <w:tc>
          <w:tcPr>
            <w:tcW w:w="1595" w:type="dxa"/>
            <w:tcBorders>
              <w:top w:val="single" w:sz="4" w:space="0" w:color="000000"/>
              <w:left w:val="nil" w:sz="6" w:space="0" w:color="auto"/>
              <w:bottom w:val="nil" w:sz="6" w:space="0" w:color="auto"/>
              <w:right w:val="nil" w:sz="6" w:space="0" w:color="auto"/>
            </w:tcBorders>
          </w:tcPr>
          <w:p>
            <w:pPr>
              <w:pStyle w:val="TableParagraph"/>
              <w:spacing w:line="360" w:lineRule="atLeast" w:before="9"/>
              <w:ind w:left="208" w:right="184"/>
              <w:jc w:val="left"/>
              <w:rPr>
                <w:rFonts w:ascii="宋体" w:hAnsi="宋体" w:cs="宋体" w:eastAsia="宋体" w:hint="default"/>
                <w:sz w:val="15"/>
                <w:szCs w:val="15"/>
              </w:rPr>
            </w:pPr>
            <w:r>
              <w:rPr>
                <w:rFonts w:ascii="宋体" w:hAnsi="宋体" w:cs="宋体" w:eastAsia="宋体" w:hint="default"/>
                <w:sz w:val="15"/>
                <w:szCs w:val="15"/>
              </w:rPr>
              <w:t>长沙县星沙镇茶叶 大市场</w:t>
            </w:r>
          </w:p>
        </w:tc>
        <w:tc>
          <w:tcPr>
            <w:tcW w:w="9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5" w:right="0"/>
              <w:jc w:val="center"/>
              <w:rPr>
                <w:rFonts w:ascii="宋体" w:hAnsi="宋体" w:cs="宋体" w:eastAsia="宋体" w:hint="default"/>
                <w:sz w:val="15"/>
                <w:szCs w:val="15"/>
              </w:rPr>
            </w:pPr>
            <w:r>
              <w:rPr>
                <w:rFonts w:ascii="宋体" w:hAnsi="宋体" w:cs="宋体" w:eastAsia="宋体" w:hint="default"/>
                <w:sz w:val="15"/>
                <w:szCs w:val="15"/>
              </w:rPr>
              <w:t>肖志鸿</w:t>
            </w:r>
          </w:p>
        </w:tc>
        <w:tc>
          <w:tcPr>
            <w:tcW w:w="2970" w:type="dxa"/>
            <w:tcBorders>
              <w:top w:val="single" w:sz="4" w:space="0" w:color="000000"/>
              <w:left w:val="nil" w:sz="6" w:space="0" w:color="auto"/>
              <w:bottom w:val="nil" w:sz="6" w:space="0" w:color="auto"/>
              <w:right w:val="nil" w:sz="6" w:space="0" w:color="auto"/>
            </w:tcBorders>
          </w:tcPr>
          <w:p>
            <w:pPr>
              <w:pStyle w:val="TableParagraph"/>
              <w:spacing w:line="360" w:lineRule="atLeast" w:before="9"/>
              <w:ind w:left="132" w:right="156"/>
              <w:jc w:val="left"/>
              <w:rPr>
                <w:rFonts w:ascii="宋体" w:hAnsi="宋体" w:cs="宋体" w:eastAsia="宋体" w:hint="default"/>
                <w:sz w:val="15"/>
                <w:szCs w:val="15"/>
              </w:rPr>
            </w:pPr>
            <w:r>
              <w:rPr>
                <w:rFonts w:ascii="宋体" w:hAnsi="宋体" w:cs="宋体" w:eastAsia="宋体" w:hint="default"/>
                <w:spacing w:val="-2"/>
                <w:sz w:val="15"/>
                <w:szCs w:val="15"/>
              </w:rPr>
              <w:t>投资高新技术产业、农业、文教产业，提</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供企业管理咨询服务</w:t>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Times New Roman" w:hAnsi="Times New Roman" w:cs="Times New Roman" w:eastAsia="Times New Roman" w:hint="default"/>
                <w:sz w:val="15"/>
                <w:szCs w:val="15"/>
              </w:rPr>
            </w:pPr>
            <w:r>
              <w:rPr>
                <w:rFonts w:ascii="Times New Roman"/>
                <w:sz w:val="15"/>
              </w:rPr>
              <w:t>4,720.00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1117"/>
        <w:jc w:val="left"/>
      </w:pPr>
      <w:r>
        <w:rPr/>
        <w:t>接上表：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388" w:type="dxa"/>
        <w:tblLayout w:type="fixed"/>
        <w:tblCellMar>
          <w:top w:w="0" w:type="dxa"/>
          <w:left w:w="0" w:type="dxa"/>
          <w:bottom w:w="0" w:type="dxa"/>
          <w:right w:w="0" w:type="dxa"/>
        </w:tblCellMar>
        <w:tblLook w:val="01E0"/>
      </w:tblPr>
      <w:tblGrid>
        <w:gridCol w:w="2492"/>
        <w:gridCol w:w="2715"/>
        <w:gridCol w:w="2217"/>
        <w:gridCol w:w="1850"/>
      </w:tblGrid>
      <w:tr>
        <w:trPr>
          <w:trHeight w:val="245" w:hRule="exact"/>
        </w:trPr>
        <w:tc>
          <w:tcPr>
            <w:tcW w:w="2492" w:type="dxa"/>
            <w:tcBorders>
              <w:top w:val="nil" w:sz="6" w:space="0" w:color="auto"/>
              <w:left w:val="nil" w:sz="6" w:space="0" w:color="auto"/>
              <w:bottom w:val="single" w:sz="4" w:space="0" w:color="000000"/>
              <w:right w:val="nil" w:sz="6" w:space="0" w:color="auto"/>
            </w:tcBorders>
          </w:tcPr>
          <w:p>
            <w:pPr>
              <w:pStyle w:val="TableParagraph"/>
              <w:spacing w:line="161" w:lineRule="exact"/>
              <w:ind w:right="9"/>
              <w:jc w:val="center"/>
              <w:rPr>
                <w:rFonts w:ascii="宋体" w:hAnsi="宋体" w:cs="宋体" w:eastAsia="宋体" w:hint="default"/>
                <w:sz w:val="15"/>
                <w:szCs w:val="15"/>
              </w:rPr>
            </w:pPr>
            <w:r>
              <w:rPr>
                <w:rFonts w:ascii="宋体" w:hAnsi="宋体" w:cs="宋体" w:eastAsia="宋体" w:hint="default"/>
                <w:b/>
                <w:bCs/>
                <w:sz w:val="15"/>
                <w:szCs w:val="15"/>
              </w:rPr>
              <w:t>母公司对本公司的持股比例（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715" w:type="dxa"/>
            <w:tcBorders>
              <w:top w:val="nil" w:sz="6" w:space="0" w:color="auto"/>
              <w:left w:val="nil" w:sz="6" w:space="0" w:color="auto"/>
              <w:bottom w:val="single" w:sz="4" w:space="0" w:color="000000"/>
              <w:right w:val="nil" w:sz="6" w:space="0" w:color="auto"/>
            </w:tcBorders>
          </w:tcPr>
          <w:p>
            <w:pPr>
              <w:pStyle w:val="TableParagraph"/>
              <w:spacing w:line="161" w:lineRule="exact"/>
              <w:ind w:right="58"/>
              <w:jc w:val="center"/>
              <w:rPr>
                <w:rFonts w:ascii="宋体" w:hAnsi="宋体" w:cs="宋体" w:eastAsia="宋体" w:hint="default"/>
                <w:sz w:val="15"/>
                <w:szCs w:val="15"/>
              </w:rPr>
            </w:pPr>
            <w:r>
              <w:rPr>
                <w:rFonts w:ascii="宋体" w:hAnsi="宋体" w:cs="宋体" w:eastAsia="宋体" w:hint="default"/>
                <w:b/>
                <w:bCs/>
                <w:sz w:val="15"/>
                <w:szCs w:val="15"/>
              </w:rPr>
              <w:t>母公司对本公司的表决权比例（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217" w:type="dxa"/>
            <w:tcBorders>
              <w:top w:val="nil" w:sz="6" w:space="0" w:color="auto"/>
              <w:left w:val="nil" w:sz="6" w:space="0" w:color="auto"/>
              <w:bottom w:val="single" w:sz="4" w:space="0" w:color="000000"/>
              <w:right w:val="nil" w:sz="6" w:space="0" w:color="auto"/>
            </w:tcBorders>
          </w:tcPr>
          <w:p>
            <w:pPr>
              <w:pStyle w:val="TableParagraph"/>
              <w:spacing w:line="150" w:lineRule="exact"/>
              <w:ind w:right="48"/>
              <w:jc w:val="center"/>
              <w:rPr>
                <w:rFonts w:ascii="宋体" w:hAnsi="宋体" w:cs="宋体" w:eastAsia="宋体" w:hint="default"/>
                <w:sz w:val="15"/>
                <w:szCs w:val="15"/>
              </w:rPr>
            </w:pPr>
            <w:r>
              <w:rPr>
                <w:rFonts w:ascii="宋体" w:hAnsi="宋体" w:cs="宋体" w:eastAsia="宋体" w:hint="default"/>
                <w:b/>
                <w:bCs/>
                <w:sz w:val="15"/>
                <w:szCs w:val="15"/>
              </w:rPr>
              <w:t>本公司最终控制方</w:t>
            </w:r>
            <w:r>
              <w:rPr>
                <w:rFonts w:ascii="宋体" w:hAnsi="宋体" w:cs="宋体" w:eastAsia="宋体" w:hint="default"/>
                <w:sz w:val="15"/>
                <w:szCs w:val="15"/>
              </w:rPr>
            </w:r>
          </w:p>
        </w:tc>
        <w:tc>
          <w:tcPr>
            <w:tcW w:w="1850" w:type="dxa"/>
            <w:tcBorders>
              <w:top w:val="nil" w:sz="6" w:space="0" w:color="auto"/>
              <w:left w:val="nil" w:sz="6" w:space="0" w:color="auto"/>
              <w:bottom w:val="single" w:sz="4" w:space="0" w:color="000000"/>
              <w:right w:val="nil" w:sz="6" w:space="0" w:color="auto"/>
            </w:tcBorders>
          </w:tcPr>
          <w:p>
            <w:pPr>
              <w:pStyle w:val="TableParagraph"/>
              <w:spacing w:line="150" w:lineRule="exact"/>
              <w:ind w:right="0"/>
              <w:jc w:val="center"/>
              <w:rPr>
                <w:rFonts w:ascii="宋体" w:hAnsi="宋体" w:cs="宋体" w:eastAsia="宋体" w:hint="default"/>
                <w:sz w:val="15"/>
                <w:szCs w:val="15"/>
              </w:rPr>
            </w:pPr>
            <w:r>
              <w:rPr>
                <w:rFonts w:ascii="宋体" w:hAnsi="宋体" w:cs="宋体" w:eastAsia="宋体" w:hint="default"/>
                <w:b/>
                <w:bCs/>
                <w:sz w:val="15"/>
                <w:szCs w:val="15"/>
              </w:rPr>
              <w:t>组织机构代码</w:t>
            </w:r>
            <w:r>
              <w:rPr>
                <w:rFonts w:ascii="宋体" w:hAnsi="宋体" w:cs="宋体" w:eastAsia="宋体" w:hint="default"/>
                <w:sz w:val="15"/>
                <w:szCs w:val="15"/>
              </w:rPr>
            </w:r>
          </w:p>
        </w:tc>
      </w:tr>
      <w:tr>
        <w:trPr>
          <w:trHeight w:val="363" w:hRule="exact"/>
        </w:trPr>
        <w:tc>
          <w:tcPr>
            <w:tcW w:w="249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8"/>
              <w:jc w:val="center"/>
              <w:rPr>
                <w:rFonts w:ascii="Times New Roman" w:hAnsi="Times New Roman" w:cs="Times New Roman" w:eastAsia="Times New Roman" w:hint="default"/>
                <w:sz w:val="15"/>
                <w:szCs w:val="15"/>
              </w:rPr>
            </w:pPr>
            <w:r>
              <w:rPr>
                <w:rFonts w:ascii="Times New Roman"/>
                <w:sz w:val="15"/>
              </w:rPr>
              <w:t>19.72</w:t>
            </w:r>
          </w:p>
        </w:tc>
        <w:tc>
          <w:tcPr>
            <w:tcW w:w="271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7"/>
              <w:jc w:val="center"/>
              <w:rPr>
                <w:rFonts w:ascii="Times New Roman" w:hAnsi="Times New Roman" w:cs="Times New Roman" w:eastAsia="Times New Roman" w:hint="default"/>
                <w:sz w:val="15"/>
                <w:szCs w:val="15"/>
              </w:rPr>
            </w:pPr>
            <w:r>
              <w:rPr>
                <w:rFonts w:ascii="Times New Roman"/>
                <w:sz w:val="15"/>
              </w:rPr>
              <w:t>24.03</w:t>
            </w:r>
          </w:p>
        </w:tc>
        <w:tc>
          <w:tcPr>
            <w:tcW w:w="221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49"/>
              <w:jc w:val="center"/>
              <w:rPr>
                <w:rFonts w:ascii="宋体" w:hAnsi="宋体" w:cs="宋体" w:eastAsia="宋体" w:hint="default"/>
                <w:sz w:val="15"/>
                <w:szCs w:val="15"/>
              </w:rPr>
            </w:pPr>
            <w:r>
              <w:rPr>
                <w:rFonts w:ascii="宋体" w:hAnsi="宋体" w:cs="宋体" w:eastAsia="宋体" w:hint="default"/>
                <w:sz w:val="15"/>
                <w:szCs w:val="15"/>
              </w:rPr>
              <w:t>湖南天鸿投资集团有限公司</w:t>
            </w:r>
          </w:p>
        </w:tc>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91430121734774240G</w:t>
            </w:r>
          </w:p>
        </w:tc>
      </w:tr>
    </w:tbl>
    <w:p>
      <w:pPr>
        <w:spacing w:line="240" w:lineRule="auto" w:before="11"/>
        <w:rPr>
          <w:rFonts w:ascii="宋体" w:hAnsi="宋体" w:cs="宋体" w:eastAsia="宋体" w:hint="default"/>
          <w:sz w:val="11"/>
          <w:szCs w:val="11"/>
        </w:rPr>
      </w:pPr>
    </w:p>
    <w:p>
      <w:pPr>
        <w:pStyle w:val="BodyText"/>
        <w:spacing w:line="496" w:lineRule="auto" w:before="44"/>
        <w:ind w:right="5358"/>
        <w:jc w:val="left"/>
      </w:pPr>
      <w:bookmarkStart w:name="3.本公司的子公司情况" w:id="261"/>
      <w:bookmarkEnd w:id="261"/>
      <w:r>
        <w:rPr/>
      </w:r>
      <w:r>
        <w:rPr>
          <w:rFonts w:ascii="Times New Roman" w:hAnsi="Times New Roman" w:cs="Times New Roman" w:eastAsia="Times New Roman" w:hint="default"/>
        </w:rPr>
        <w:t>3.</w:t>
      </w:r>
      <w:r>
        <w:rPr/>
        <w:t>本公司的子公司情况 本公司子公司的情况详见附注</w:t>
      </w:r>
      <w:r>
        <w:rPr>
          <w:rFonts w:ascii="Times New Roman" w:hAnsi="Times New Roman" w:cs="Times New Roman" w:eastAsia="Times New Roman" w:hint="default"/>
        </w:rPr>
        <w:t>“</w:t>
      </w:r>
      <w:r>
        <w:rPr/>
        <w:t>八、</w:t>
      </w:r>
      <w:r>
        <w:rPr>
          <w:rFonts w:ascii="Times New Roman" w:hAnsi="Times New Roman" w:cs="Times New Roman" w:eastAsia="Times New Roman" w:hint="default"/>
        </w:rPr>
        <w:t>1</w:t>
      </w:r>
      <w:r>
        <w:rPr/>
        <w:t>、在子公司中的权益</w:t>
      </w:r>
      <w:r>
        <w:rPr>
          <w:rFonts w:ascii="Times New Roman" w:hAnsi="Times New Roman" w:cs="Times New Roman" w:eastAsia="Times New Roman" w:hint="default"/>
        </w:rPr>
        <w:t>”</w:t>
      </w:r>
      <w:r>
        <w:rPr/>
        <w:t>。 </w:t>
      </w:r>
      <w:bookmarkStart w:name="4.本公司的合营和联营企业情况" w:id="262"/>
      <w:bookmarkEnd w:id="262"/>
      <w:r>
        <w:rPr/>
      </w:r>
      <w:r>
        <w:rPr>
          <w:rFonts w:ascii="Times New Roman" w:hAnsi="Times New Roman" w:cs="Times New Roman" w:eastAsia="Times New Roman" w:hint="default"/>
        </w:rPr>
        <w:t>4.</w:t>
      </w:r>
      <w:r>
        <w:rPr/>
        <w:t>本公司的合营和联营企业情况</w:t>
      </w:r>
    </w:p>
    <w:p>
      <w:pPr>
        <w:pStyle w:val="BodyText"/>
        <w:spacing w:line="496" w:lineRule="auto" w:before="53"/>
        <w:ind w:right="1648"/>
        <w:jc w:val="left"/>
      </w:pPr>
      <w:r>
        <w:rPr/>
        <w:t>本公司重要的合营或联营企业详见附注</w:t>
      </w:r>
      <w:r>
        <w:rPr>
          <w:rFonts w:ascii="Times New Roman" w:hAnsi="Times New Roman" w:cs="Times New Roman" w:eastAsia="Times New Roman" w:hint="default"/>
        </w:rPr>
        <w:t>“</w:t>
      </w:r>
      <w:r>
        <w:rPr/>
        <w:t>八、</w:t>
      </w:r>
      <w:r>
        <w:rPr>
          <w:rFonts w:ascii="Times New Roman" w:hAnsi="Times New Roman" w:cs="Times New Roman" w:eastAsia="Times New Roman" w:hint="default"/>
        </w:rPr>
        <w:t>2</w:t>
      </w:r>
      <w:r>
        <w:rPr/>
        <w:t>、在合营安排或联营企业中的权益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13"/>
        <w:rPr>
          <w:rFonts w:ascii="宋体" w:hAnsi="宋体" w:cs="宋体" w:eastAsia="宋体" w:hint="default"/>
          <w:sz w:val="13"/>
          <w:szCs w:val="13"/>
        </w:rPr>
      </w:pPr>
    </w:p>
    <w:tbl>
      <w:tblPr>
        <w:tblW w:w="0" w:type="auto"/>
        <w:jc w:val="left"/>
        <w:tblInd w:w="1310" w:type="dxa"/>
        <w:tblLayout w:type="fixed"/>
        <w:tblCellMar>
          <w:top w:w="0" w:type="dxa"/>
          <w:left w:w="0" w:type="dxa"/>
          <w:bottom w:w="0" w:type="dxa"/>
          <w:right w:w="0" w:type="dxa"/>
        </w:tblCellMar>
        <w:tblLook w:val="01E0"/>
      </w:tblPr>
      <w:tblGrid>
        <w:gridCol w:w="4892"/>
        <w:gridCol w:w="4539"/>
      </w:tblGrid>
      <w:tr>
        <w:trPr>
          <w:trHeight w:val="271" w:hRule="exact"/>
        </w:trPr>
        <w:tc>
          <w:tcPr>
            <w:tcW w:w="4892" w:type="dxa"/>
            <w:tcBorders>
              <w:top w:val="nil" w:sz="6" w:space="0" w:color="auto"/>
              <w:left w:val="nil" w:sz="6" w:space="0" w:color="auto"/>
              <w:bottom w:val="single" w:sz="4" w:space="0" w:color="000000"/>
              <w:right w:val="nil" w:sz="6" w:space="0" w:color="auto"/>
            </w:tcBorders>
          </w:tcPr>
          <w:p>
            <w:pPr>
              <w:pStyle w:val="TableParagraph"/>
              <w:spacing w:line="180" w:lineRule="exact"/>
              <w:ind w:left="1679" w:right="0"/>
              <w:jc w:val="left"/>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4539" w:type="dxa"/>
            <w:tcBorders>
              <w:top w:val="nil" w:sz="6" w:space="0" w:color="auto"/>
              <w:left w:val="nil" w:sz="6" w:space="0" w:color="auto"/>
              <w:bottom w:val="single" w:sz="4" w:space="0" w:color="000000"/>
              <w:right w:val="nil" w:sz="6" w:space="0" w:color="auto"/>
            </w:tcBorders>
          </w:tcPr>
          <w:p>
            <w:pPr>
              <w:pStyle w:val="TableParagraph"/>
              <w:spacing w:line="180" w:lineRule="exact"/>
              <w:ind w:left="87" w:right="0"/>
              <w:jc w:val="center"/>
              <w:rPr>
                <w:rFonts w:ascii="宋体" w:hAnsi="宋体" w:cs="宋体" w:eastAsia="宋体" w:hint="default"/>
                <w:sz w:val="18"/>
                <w:szCs w:val="18"/>
              </w:rPr>
            </w:pPr>
            <w:r>
              <w:rPr>
                <w:rFonts w:ascii="宋体" w:hAnsi="宋体" w:cs="宋体" w:eastAsia="宋体" w:hint="default"/>
                <w:b/>
                <w:bCs/>
                <w:sz w:val="18"/>
                <w:szCs w:val="18"/>
              </w:rPr>
              <w:t>合营或联营企业与本公司关系</w:t>
            </w:r>
            <w:r>
              <w:rPr>
                <w:rFonts w:ascii="宋体" w:hAnsi="宋体" w:cs="宋体" w:eastAsia="宋体" w:hint="default"/>
                <w:sz w:val="18"/>
                <w:szCs w:val="18"/>
              </w:rPr>
            </w:r>
          </w:p>
        </w:tc>
      </w:tr>
      <w:tr>
        <w:trPr>
          <w:trHeight w:val="489" w:hRule="exact"/>
        </w:trPr>
        <w:tc>
          <w:tcPr>
            <w:tcW w:w="489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231"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c>
          <w:tcPr>
            <w:tcW w:w="453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91" w:right="0"/>
              <w:jc w:val="center"/>
              <w:rPr>
                <w:rFonts w:ascii="宋体" w:hAnsi="宋体" w:cs="宋体" w:eastAsia="宋体" w:hint="default"/>
                <w:sz w:val="18"/>
                <w:szCs w:val="18"/>
              </w:rPr>
            </w:pPr>
            <w:r>
              <w:rPr>
                <w:rFonts w:ascii="宋体" w:hAnsi="宋体" w:cs="宋体" w:eastAsia="宋体" w:hint="default"/>
                <w:sz w:val="18"/>
                <w:szCs w:val="18"/>
              </w:rPr>
              <w:t>合营企业</w:t>
            </w:r>
          </w:p>
        </w:tc>
      </w:tr>
      <w:tr>
        <w:trPr>
          <w:trHeight w:val="440" w:hRule="exact"/>
        </w:trPr>
        <w:tc>
          <w:tcPr>
            <w:tcW w:w="48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08"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45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1" w:right="0"/>
              <w:jc w:val="center"/>
              <w:rPr>
                <w:rFonts w:ascii="宋体" w:hAnsi="宋体" w:cs="宋体" w:eastAsia="宋体" w:hint="default"/>
                <w:sz w:val="18"/>
                <w:szCs w:val="18"/>
              </w:rPr>
            </w:pPr>
            <w:r>
              <w:rPr>
                <w:rFonts w:ascii="宋体" w:hAnsi="宋体" w:cs="宋体" w:eastAsia="宋体" w:hint="default"/>
                <w:sz w:val="18"/>
                <w:szCs w:val="18"/>
              </w:rPr>
              <w:t>联营公司</w:t>
            </w:r>
          </w:p>
        </w:tc>
      </w:tr>
      <w:tr>
        <w:trPr>
          <w:trHeight w:val="310" w:hRule="exact"/>
        </w:trPr>
        <w:tc>
          <w:tcPr>
            <w:tcW w:w="48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08" w:right="0"/>
              <w:jc w:val="left"/>
              <w:rPr>
                <w:rFonts w:ascii="宋体" w:hAnsi="宋体" w:cs="宋体" w:eastAsia="宋体" w:hint="default"/>
                <w:sz w:val="18"/>
                <w:szCs w:val="18"/>
              </w:rPr>
            </w:pPr>
            <w:r>
              <w:rPr>
                <w:rFonts w:ascii="宋体" w:hAnsi="宋体" w:cs="宋体" w:eastAsia="宋体" w:hint="default"/>
                <w:sz w:val="18"/>
                <w:szCs w:val="18"/>
              </w:rPr>
              <w:t>成都天纵世纪科技有限公司</w:t>
            </w:r>
          </w:p>
        </w:tc>
        <w:tc>
          <w:tcPr>
            <w:tcW w:w="453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1" w:right="0"/>
              <w:jc w:val="center"/>
              <w:rPr>
                <w:rFonts w:ascii="宋体" w:hAnsi="宋体" w:cs="宋体" w:eastAsia="宋体" w:hint="default"/>
                <w:sz w:val="18"/>
                <w:szCs w:val="18"/>
              </w:rPr>
            </w:pPr>
            <w:r>
              <w:rPr>
                <w:rFonts w:ascii="宋体" w:hAnsi="宋体" w:cs="宋体" w:eastAsia="宋体" w:hint="default"/>
                <w:sz w:val="18"/>
                <w:szCs w:val="18"/>
              </w:rPr>
              <w:t>联营公司</w:t>
            </w:r>
          </w:p>
        </w:tc>
      </w:tr>
    </w:tbl>
    <w:p>
      <w:pPr>
        <w:spacing w:line="240" w:lineRule="auto" w:before="3"/>
        <w:rPr>
          <w:rFonts w:ascii="宋体" w:hAnsi="宋体" w:cs="宋体" w:eastAsia="宋体" w:hint="default"/>
          <w:sz w:val="12"/>
          <w:szCs w:val="12"/>
        </w:rPr>
      </w:pPr>
    </w:p>
    <w:p>
      <w:pPr>
        <w:pStyle w:val="BodyText"/>
        <w:spacing w:line="240" w:lineRule="auto" w:before="44"/>
        <w:ind w:right="1117"/>
        <w:jc w:val="left"/>
      </w:pPr>
      <w:bookmarkStart w:name="5.本公司的其他关联方情况" w:id="263"/>
      <w:bookmarkEnd w:id="263"/>
      <w:r>
        <w:rPr/>
      </w:r>
      <w:r>
        <w:rPr>
          <w:rFonts w:ascii="Times New Roman" w:hAnsi="Times New Roman" w:cs="Times New Roman" w:eastAsia="Times New Roman" w:hint="default"/>
        </w:rPr>
        <w:t>5.</w:t>
      </w:r>
      <w:r>
        <w:rPr/>
        <w:t>本公司的其他关联方情况</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130"/>
        <w:gridCol w:w="5301"/>
      </w:tblGrid>
      <w:tr>
        <w:trPr>
          <w:trHeight w:val="272" w:hRule="exact"/>
        </w:trPr>
        <w:tc>
          <w:tcPr>
            <w:tcW w:w="4130" w:type="dxa"/>
            <w:tcBorders>
              <w:top w:val="nil" w:sz="6" w:space="0" w:color="auto"/>
              <w:left w:val="nil" w:sz="6" w:space="0" w:color="auto"/>
              <w:bottom w:val="single" w:sz="4" w:space="0" w:color="000000"/>
              <w:right w:val="nil" w:sz="6" w:space="0" w:color="auto"/>
            </w:tcBorders>
          </w:tcPr>
          <w:p>
            <w:pPr>
              <w:pStyle w:val="TableParagraph"/>
              <w:spacing w:line="180" w:lineRule="exact"/>
              <w:ind w:left="1859"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5301" w:type="dxa"/>
            <w:tcBorders>
              <w:top w:val="nil" w:sz="6" w:space="0" w:color="auto"/>
              <w:left w:val="nil" w:sz="6" w:space="0" w:color="auto"/>
              <w:bottom w:val="single" w:sz="4" w:space="0" w:color="000000"/>
              <w:right w:val="nil" w:sz="6" w:space="0" w:color="auto"/>
            </w:tcBorders>
          </w:tcPr>
          <w:p>
            <w:pPr>
              <w:pStyle w:val="TableParagraph"/>
              <w:spacing w:line="180" w:lineRule="exact"/>
              <w:ind w:left="2083"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r>
      <w:tr>
        <w:trPr>
          <w:trHeight w:val="488" w:hRule="exact"/>
        </w:trPr>
        <w:tc>
          <w:tcPr>
            <w:tcW w:w="413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长沙鸿发印务实业有限公司</w:t>
            </w:r>
          </w:p>
        </w:tc>
        <w:tc>
          <w:tcPr>
            <w:tcW w:w="530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961"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40"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湖南鸿大茶叶有限公司</w:t>
            </w:r>
          </w:p>
        </w:tc>
        <w:tc>
          <w:tcPr>
            <w:tcW w:w="53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61"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40"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c>
          <w:tcPr>
            <w:tcW w:w="53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61"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800"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5301" w:type="dxa"/>
            <w:tcBorders>
              <w:top w:val="nil" w:sz="6" w:space="0" w:color="auto"/>
              <w:left w:val="nil" w:sz="6" w:space="0" w:color="auto"/>
              <w:bottom w:val="nil" w:sz="6" w:space="0" w:color="auto"/>
              <w:right w:val="nil" w:sz="6" w:space="0" w:color="auto"/>
            </w:tcBorders>
          </w:tcPr>
          <w:p>
            <w:pPr>
              <w:pStyle w:val="TableParagraph"/>
              <w:spacing w:line="367" w:lineRule="auto" w:before="74"/>
              <w:ind w:left="961" w:right="106"/>
              <w:jc w:val="left"/>
              <w:rPr>
                <w:rFonts w:ascii="宋体" w:hAnsi="宋体" w:cs="宋体" w:eastAsia="宋体" w:hint="default"/>
                <w:sz w:val="18"/>
                <w:szCs w:val="18"/>
              </w:rPr>
            </w:pPr>
            <w:r>
              <w:rPr>
                <w:rFonts w:ascii="宋体" w:hAnsi="宋体" w:cs="宋体" w:eastAsia="宋体" w:hint="default"/>
                <w:spacing w:val="-4"/>
                <w:sz w:val="18"/>
                <w:szCs w:val="18"/>
              </w:rPr>
              <w:t>本公司下属从事教育科学研究、教育技术研究及推广的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民办非企业法人单位</w:t>
            </w:r>
          </w:p>
        </w:tc>
      </w:tr>
      <w:tr>
        <w:trPr>
          <w:trHeight w:val="440"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53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61"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0"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53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61"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0"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成仁凤</w:t>
            </w:r>
          </w:p>
        </w:tc>
        <w:tc>
          <w:tcPr>
            <w:tcW w:w="53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61"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0"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53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61"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0"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53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61"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310" w:hRule="exact"/>
        </w:trPr>
        <w:tc>
          <w:tcPr>
            <w:tcW w:w="41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53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61" w:right="0"/>
              <w:jc w:val="left"/>
              <w:rPr>
                <w:rFonts w:ascii="宋体" w:hAnsi="宋体" w:cs="宋体" w:eastAsia="宋体" w:hint="default"/>
                <w:sz w:val="18"/>
                <w:szCs w:val="18"/>
              </w:rPr>
            </w:pPr>
            <w:r>
              <w:rPr>
                <w:rFonts w:ascii="宋体" w:hAnsi="宋体" w:cs="宋体" w:eastAsia="宋体" w:hint="default"/>
                <w:sz w:val="18"/>
                <w:szCs w:val="18"/>
              </w:rPr>
              <w:t>公司股东</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218" w:type="dxa"/>
        <w:tblLayout w:type="fixed"/>
        <w:tblCellMar>
          <w:top w:w="0" w:type="dxa"/>
          <w:left w:w="0" w:type="dxa"/>
          <w:bottom w:w="0" w:type="dxa"/>
          <w:right w:w="0" w:type="dxa"/>
        </w:tblCellMar>
        <w:tblLook w:val="01E0"/>
      </w:tblPr>
      <w:tblGrid>
        <w:gridCol w:w="4672"/>
        <w:gridCol w:w="1612"/>
      </w:tblGrid>
      <w:tr>
        <w:trPr>
          <w:trHeight w:val="310" w:hRule="exact"/>
        </w:trPr>
        <w:tc>
          <w:tcPr>
            <w:tcW w:w="467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新余高新区和也投资管理中心（有限合伙）</w:t>
            </w:r>
          </w:p>
        </w:tc>
        <w:tc>
          <w:tcPr>
            <w:tcW w:w="1612" w:type="dxa"/>
            <w:tcBorders>
              <w:top w:val="nil" w:sz="6" w:space="0" w:color="auto"/>
              <w:left w:val="nil" w:sz="6" w:space="0" w:color="auto"/>
              <w:bottom w:val="nil" w:sz="6" w:space="0" w:color="auto"/>
              <w:right w:val="nil" w:sz="6" w:space="0" w:color="auto"/>
            </w:tcBorders>
          </w:tcPr>
          <w:p>
            <w:pPr>
              <w:pStyle w:val="TableParagraph"/>
              <w:spacing w:line="180" w:lineRule="exact"/>
              <w:ind w:left="511"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40" w:hRule="exact"/>
        </w:trPr>
        <w:tc>
          <w:tcPr>
            <w:tcW w:w="467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0"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1"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r>
        <w:trPr>
          <w:trHeight w:val="310" w:hRule="exact"/>
        </w:trPr>
        <w:tc>
          <w:tcPr>
            <w:tcW w:w="467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0" w:right="0"/>
              <w:jc w:val="left"/>
              <w:rPr>
                <w:rFonts w:ascii="宋体" w:hAnsi="宋体" w:cs="宋体" w:eastAsia="宋体" w:hint="default"/>
                <w:sz w:val="18"/>
                <w:szCs w:val="18"/>
              </w:rPr>
            </w:pPr>
            <w:r>
              <w:rPr>
                <w:rFonts w:ascii="宋体" w:hAnsi="宋体" w:cs="宋体" w:eastAsia="宋体" w:hint="default"/>
                <w:sz w:val="18"/>
                <w:szCs w:val="18"/>
              </w:rPr>
              <w:t>华育今典（天津）版权服务合伙企业（有限合伙）</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1" w:right="0"/>
              <w:jc w:val="left"/>
              <w:rPr>
                <w:rFonts w:ascii="宋体" w:hAnsi="宋体" w:cs="宋体" w:eastAsia="宋体" w:hint="default"/>
                <w:sz w:val="18"/>
                <w:szCs w:val="18"/>
              </w:rPr>
            </w:pPr>
            <w:r>
              <w:rPr>
                <w:rFonts w:ascii="宋体" w:hAnsi="宋体" w:cs="宋体" w:eastAsia="宋体" w:hint="default"/>
                <w:sz w:val="18"/>
                <w:szCs w:val="18"/>
              </w:rPr>
              <w:t>子公司股东</w:t>
            </w:r>
          </w:p>
        </w:tc>
      </w:tr>
    </w:tbl>
    <w:p>
      <w:pPr>
        <w:spacing w:line="240" w:lineRule="auto" w:before="4"/>
        <w:rPr>
          <w:rFonts w:ascii="宋体" w:hAnsi="宋体" w:cs="宋体" w:eastAsia="宋体" w:hint="default"/>
          <w:sz w:val="12"/>
          <w:szCs w:val="12"/>
        </w:rPr>
      </w:pPr>
    </w:p>
    <w:p>
      <w:pPr>
        <w:pStyle w:val="BodyText"/>
        <w:spacing w:line="240" w:lineRule="auto" w:before="44"/>
        <w:ind w:right="1117"/>
        <w:jc w:val="left"/>
      </w:pPr>
      <w:bookmarkStart w:name="6.关联方交易" w:id="264"/>
      <w:bookmarkEnd w:id="264"/>
      <w:r>
        <w:rPr/>
      </w:r>
      <w:r>
        <w:rPr>
          <w:rFonts w:ascii="Times New Roman" w:hAnsi="Times New Roman" w:cs="Times New Roman" w:eastAsia="Times New Roman" w:hint="default"/>
        </w:rPr>
        <w:t>6.</w:t>
      </w:r>
      <w:r>
        <w:rPr/>
        <w:t>关联方交易</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）采购商品</w:t>
      </w:r>
      <w:r>
        <w:rPr>
          <w:rFonts w:ascii="Times New Roman" w:hAnsi="Times New Roman" w:cs="Times New Roman" w:eastAsia="Times New Roman" w:hint="default"/>
        </w:rPr>
        <w:t>/</w:t>
      </w:r>
      <w:r>
        <w:rPr/>
        <w:t>接受劳务情况表</w:t>
      </w:r>
    </w:p>
    <w:p>
      <w:pPr>
        <w:spacing w:line="240" w:lineRule="auto" w:before="9"/>
        <w:rPr>
          <w:rFonts w:ascii="宋体" w:hAnsi="宋体" w:cs="宋体" w:eastAsia="宋体" w:hint="default"/>
          <w:sz w:val="27"/>
          <w:szCs w:val="27"/>
        </w:rPr>
      </w:pPr>
    </w:p>
    <w:tbl>
      <w:tblPr>
        <w:tblW w:w="0" w:type="auto"/>
        <w:jc w:val="left"/>
        <w:tblInd w:w="1388" w:type="dxa"/>
        <w:tblLayout w:type="fixed"/>
        <w:tblCellMar>
          <w:top w:w="0" w:type="dxa"/>
          <w:left w:w="0" w:type="dxa"/>
          <w:bottom w:w="0" w:type="dxa"/>
          <w:right w:w="0" w:type="dxa"/>
        </w:tblCellMar>
        <w:tblLook w:val="01E0"/>
      </w:tblPr>
      <w:tblGrid>
        <w:gridCol w:w="2559"/>
        <w:gridCol w:w="2393"/>
        <w:gridCol w:w="2236"/>
        <w:gridCol w:w="2087"/>
      </w:tblGrid>
      <w:tr>
        <w:trPr>
          <w:trHeight w:val="272" w:hRule="exact"/>
        </w:trPr>
        <w:tc>
          <w:tcPr>
            <w:tcW w:w="2559" w:type="dxa"/>
            <w:tcBorders>
              <w:top w:val="nil" w:sz="6" w:space="0" w:color="auto"/>
              <w:left w:val="nil" w:sz="6" w:space="0" w:color="auto"/>
              <w:bottom w:val="single" w:sz="4" w:space="0" w:color="000000"/>
              <w:right w:val="nil" w:sz="6" w:space="0" w:color="auto"/>
            </w:tcBorders>
          </w:tcPr>
          <w:p>
            <w:pPr>
              <w:pStyle w:val="TableParagraph"/>
              <w:spacing w:line="180" w:lineRule="exact"/>
              <w:ind w:left="108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393" w:type="dxa"/>
            <w:tcBorders>
              <w:top w:val="nil" w:sz="6" w:space="0" w:color="auto"/>
              <w:left w:val="nil" w:sz="6" w:space="0" w:color="auto"/>
              <w:bottom w:val="single" w:sz="4" w:space="0" w:color="000000"/>
              <w:right w:val="nil" w:sz="6" w:space="0" w:color="auto"/>
            </w:tcBorders>
          </w:tcPr>
          <w:p>
            <w:pPr>
              <w:pStyle w:val="TableParagraph"/>
              <w:spacing w:line="180" w:lineRule="exact"/>
              <w:ind w:left="772"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2236" w:type="dxa"/>
            <w:tcBorders>
              <w:top w:val="nil" w:sz="6" w:space="0" w:color="auto"/>
              <w:left w:val="nil" w:sz="6" w:space="0" w:color="auto"/>
              <w:bottom w:val="single" w:sz="4" w:space="0" w:color="000000"/>
              <w:right w:val="nil" w:sz="6" w:space="0" w:color="auto"/>
            </w:tcBorders>
          </w:tcPr>
          <w:p>
            <w:pPr>
              <w:pStyle w:val="TableParagraph"/>
              <w:spacing w:line="180" w:lineRule="exact"/>
              <w:ind w:left="53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87" w:type="dxa"/>
            <w:tcBorders>
              <w:top w:val="nil" w:sz="6" w:space="0" w:color="auto"/>
              <w:left w:val="nil" w:sz="6" w:space="0" w:color="auto"/>
              <w:bottom w:val="single" w:sz="4" w:space="0" w:color="000000"/>
              <w:right w:val="nil" w:sz="6" w:space="0" w:color="auto"/>
            </w:tcBorders>
          </w:tcPr>
          <w:p>
            <w:pPr>
              <w:pStyle w:val="TableParagraph"/>
              <w:spacing w:line="180" w:lineRule="exact"/>
              <w:ind w:left="51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255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0"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239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69" w:right="0"/>
              <w:jc w:val="left"/>
              <w:rPr>
                <w:rFonts w:ascii="宋体" w:hAnsi="宋体" w:cs="宋体" w:eastAsia="宋体" w:hint="default"/>
                <w:sz w:val="18"/>
                <w:szCs w:val="18"/>
              </w:rPr>
            </w:pPr>
            <w:r>
              <w:rPr>
                <w:rFonts w:ascii="宋体" w:hAnsi="宋体" w:cs="宋体" w:eastAsia="宋体" w:hint="default"/>
                <w:sz w:val="18"/>
                <w:szCs w:val="18"/>
              </w:rPr>
              <w:t>游戏分成成本</w:t>
            </w: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12"/>
              <w:jc w:val="right"/>
              <w:rPr>
                <w:rFonts w:ascii="Times New Roman" w:hAnsi="Times New Roman" w:cs="Times New Roman" w:eastAsia="Times New Roman" w:hint="default"/>
                <w:sz w:val="18"/>
                <w:szCs w:val="18"/>
              </w:rPr>
            </w:pPr>
            <w:r>
              <w:rPr>
                <w:rFonts w:ascii="Times New Roman"/>
                <w:spacing w:val="-1"/>
                <w:sz w:val="18"/>
              </w:rPr>
              <w:t>83,947,801.36</w:t>
            </w:r>
          </w:p>
        </w:tc>
        <w:tc>
          <w:tcPr>
            <w:tcW w:w="2087"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9" w:right="0"/>
              <w:jc w:val="left"/>
              <w:rPr>
                <w:rFonts w:ascii="宋体" w:hAnsi="宋体" w:cs="宋体" w:eastAsia="宋体" w:hint="default"/>
                <w:sz w:val="18"/>
                <w:szCs w:val="18"/>
              </w:rPr>
            </w:pPr>
            <w:r>
              <w:rPr>
                <w:rFonts w:ascii="宋体" w:hAnsi="宋体" w:cs="宋体" w:eastAsia="宋体" w:hint="default"/>
                <w:sz w:val="18"/>
                <w:szCs w:val="18"/>
              </w:rPr>
              <w:t>采购图书</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2"/>
              <w:jc w:val="right"/>
              <w:rPr>
                <w:rFonts w:ascii="Times New Roman" w:hAnsi="Times New Roman" w:cs="Times New Roman" w:eastAsia="Times New Roman" w:hint="default"/>
                <w:sz w:val="18"/>
                <w:szCs w:val="18"/>
              </w:rPr>
            </w:pPr>
            <w:r>
              <w:rPr>
                <w:rFonts w:ascii="Times New Roman"/>
                <w:spacing w:val="-1"/>
                <w:sz w:val="18"/>
              </w:rPr>
              <w:t>54,693,208.78</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8"/>
              <w:jc w:val="right"/>
              <w:rPr>
                <w:rFonts w:ascii="Times New Roman" w:hAnsi="Times New Roman" w:cs="Times New Roman" w:eastAsia="Times New Roman" w:hint="default"/>
                <w:sz w:val="18"/>
                <w:szCs w:val="18"/>
              </w:rPr>
            </w:pPr>
            <w:r>
              <w:rPr>
                <w:rFonts w:ascii="Times New Roman"/>
                <w:spacing w:val="-1"/>
                <w:sz w:val="18"/>
              </w:rPr>
              <w:t>37,574,214.93</w:t>
            </w:r>
          </w:p>
        </w:tc>
      </w:tr>
      <w:tr>
        <w:trPr>
          <w:trHeight w:val="440"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 w:right="0"/>
              <w:jc w:val="left"/>
              <w:rPr>
                <w:rFonts w:ascii="宋体" w:hAnsi="宋体" w:cs="宋体" w:eastAsia="宋体" w:hint="default"/>
                <w:sz w:val="18"/>
                <w:szCs w:val="18"/>
              </w:rPr>
            </w:pPr>
            <w:r>
              <w:rPr>
                <w:rFonts w:ascii="宋体" w:hAnsi="宋体" w:cs="宋体" w:eastAsia="宋体" w:hint="default"/>
                <w:sz w:val="18"/>
                <w:szCs w:val="18"/>
              </w:rPr>
              <w:t>成都天纵世纪科技有限公司</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9" w:right="0"/>
              <w:jc w:val="left"/>
              <w:rPr>
                <w:rFonts w:ascii="宋体" w:hAnsi="宋体" w:cs="宋体" w:eastAsia="宋体" w:hint="default"/>
                <w:sz w:val="18"/>
                <w:szCs w:val="18"/>
              </w:rPr>
            </w:pPr>
            <w:r>
              <w:rPr>
                <w:rFonts w:ascii="宋体" w:hAnsi="宋体" w:cs="宋体" w:eastAsia="宋体" w:hint="default"/>
                <w:sz w:val="18"/>
                <w:szCs w:val="18"/>
              </w:rPr>
              <w:t>美术外包制作</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2"/>
              <w:jc w:val="right"/>
              <w:rPr>
                <w:rFonts w:ascii="Times New Roman" w:hAnsi="Times New Roman" w:cs="Times New Roman" w:eastAsia="Times New Roman" w:hint="default"/>
                <w:sz w:val="18"/>
                <w:szCs w:val="18"/>
              </w:rPr>
            </w:pPr>
            <w:r>
              <w:rPr>
                <w:rFonts w:ascii="Times New Roman"/>
                <w:sz w:val="18"/>
              </w:rPr>
              <w:t>188,225.00</w:t>
            </w:r>
          </w:p>
        </w:tc>
        <w:tc>
          <w:tcPr>
            <w:tcW w:w="2087" w:type="dxa"/>
            <w:tcBorders>
              <w:top w:val="nil" w:sz="6" w:space="0" w:color="auto"/>
              <w:left w:val="nil" w:sz="6" w:space="0" w:color="auto"/>
              <w:bottom w:val="nil" w:sz="6" w:space="0" w:color="auto"/>
              <w:right w:val="nil" w:sz="6" w:space="0" w:color="auto"/>
            </w:tcBorders>
          </w:tcPr>
          <w:p>
            <w:pPr/>
          </w:p>
        </w:tc>
      </w:tr>
      <w:tr>
        <w:trPr>
          <w:trHeight w:val="440"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 w:right="0"/>
              <w:jc w:val="left"/>
              <w:rPr>
                <w:rFonts w:ascii="宋体" w:hAnsi="宋体" w:cs="宋体" w:eastAsia="宋体" w:hint="default"/>
                <w:sz w:val="18"/>
                <w:szCs w:val="18"/>
              </w:rPr>
            </w:pPr>
            <w:r>
              <w:rPr>
                <w:rFonts w:ascii="宋体" w:hAnsi="宋体" w:cs="宋体" w:eastAsia="宋体" w:hint="default"/>
                <w:sz w:val="18"/>
                <w:szCs w:val="18"/>
              </w:rPr>
              <w:t>湖南鸿大茶叶有限公司</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9" w:right="0"/>
              <w:jc w:val="left"/>
              <w:rPr>
                <w:rFonts w:ascii="宋体" w:hAnsi="宋体" w:cs="宋体" w:eastAsia="宋体" w:hint="default"/>
                <w:sz w:val="18"/>
                <w:szCs w:val="18"/>
              </w:rPr>
            </w:pPr>
            <w:r>
              <w:rPr>
                <w:rFonts w:ascii="宋体" w:hAnsi="宋体" w:cs="宋体" w:eastAsia="宋体" w:hint="default"/>
                <w:sz w:val="18"/>
                <w:szCs w:val="18"/>
              </w:rPr>
              <w:t>购买茶叶</w:t>
            </w:r>
          </w:p>
        </w:tc>
        <w:tc>
          <w:tcPr>
            <w:tcW w:w="2236"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58"/>
              <w:jc w:val="right"/>
              <w:rPr>
                <w:rFonts w:ascii="Times New Roman" w:hAnsi="Times New Roman" w:cs="Times New Roman" w:eastAsia="Times New Roman" w:hint="default"/>
                <w:sz w:val="18"/>
                <w:szCs w:val="18"/>
              </w:rPr>
            </w:pPr>
            <w:r>
              <w:rPr>
                <w:rFonts w:ascii="Times New Roman"/>
                <w:sz w:val="18"/>
              </w:rPr>
              <w:t>74,775.00</w:t>
            </w:r>
          </w:p>
        </w:tc>
      </w:tr>
      <w:tr>
        <w:trPr>
          <w:trHeight w:val="440"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 w:right="0"/>
              <w:jc w:val="left"/>
              <w:rPr>
                <w:rFonts w:ascii="宋体" w:hAnsi="宋体" w:cs="宋体" w:eastAsia="宋体" w:hint="default"/>
                <w:sz w:val="18"/>
                <w:szCs w:val="18"/>
              </w:rPr>
            </w:pPr>
            <w:r>
              <w:rPr>
                <w:rFonts w:ascii="宋体" w:hAnsi="宋体" w:cs="宋体" w:eastAsia="宋体" w:hint="default"/>
                <w:sz w:val="18"/>
                <w:szCs w:val="18"/>
              </w:rPr>
              <w:t>长沙鸿发印务实业有限公司</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9"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2"/>
              <w:jc w:val="right"/>
              <w:rPr>
                <w:rFonts w:ascii="Times New Roman" w:hAnsi="Times New Roman" w:cs="Times New Roman" w:eastAsia="Times New Roman" w:hint="default"/>
                <w:sz w:val="18"/>
                <w:szCs w:val="18"/>
              </w:rPr>
            </w:pPr>
            <w:r>
              <w:rPr>
                <w:rFonts w:ascii="Times New Roman"/>
                <w:spacing w:val="-1"/>
                <w:sz w:val="18"/>
              </w:rPr>
              <w:t>11,736.75</w:t>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8"/>
              <w:jc w:val="right"/>
              <w:rPr>
                <w:rFonts w:ascii="Times New Roman" w:hAnsi="Times New Roman" w:cs="Times New Roman" w:eastAsia="Times New Roman" w:hint="default"/>
                <w:sz w:val="18"/>
                <w:szCs w:val="18"/>
              </w:rPr>
            </w:pPr>
            <w:r>
              <w:rPr>
                <w:rFonts w:ascii="Times New Roman"/>
                <w:sz w:val="18"/>
              </w:rPr>
              <w:t>1,264.30</w:t>
            </w:r>
          </w:p>
        </w:tc>
      </w:tr>
      <w:tr>
        <w:trPr>
          <w:trHeight w:val="315"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393"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138,840,971.89</w:t>
            </w:r>
            <w:r>
              <w:rPr>
                <w:rFonts w:ascii="Times New Roman"/>
                <w:spacing w:val="-1"/>
                <w:sz w:val="18"/>
              </w:rPr>
            </w: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37,650,254.23</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2</w:t>
      </w:r>
      <w:r>
        <w:rPr/>
        <w:t>）出售商品</w:t>
      </w:r>
      <w:r>
        <w:rPr>
          <w:rFonts w:ascii="Times New Roman" w:hAnsi="Times New Roman" w:cs="Times New Roman" w:eastAsia="Times New Roman" w:hint="default"/>
        </w:rPr>
        <w:t>/</w:t>
      </w:r>
      <w:r>
        <w:rPr/>
        <w:t>提供劳务情况表</w:t>
      </w:r>
    </w:p>
    <w:p>
      <w:pPr>
        <w:spacing w:line="240" w:lineRule="auto" w:before="10"/>
        <w:rPr>
          <w:rFonts w:ascii="宋体" w:hAnsi="宋体" w:cs="宋体" w:eastAsia="宋体" w:hint="default"/>
          <w:sz w:val="27"/>
          <w:szCs w:val="27"/>
        </w:rPr>
      </w:pPr>
    </w:p>
    <w:tbl>
      <w:tblPr>
        <w:tblW w:w="0" w:type="auto"/>
        <w:jc w:val="left"/>
        <w:tblInd w:w="1388" w:type="dxa"/>
        <w:tblLayout w:type="fixed"/>
        <w:tblCellMar>
          <w:top w:w="0" w:type="dxa"/>
          <w:left w:w="0" w:type="dxa"/>
          <w:bottom w:w="0" w:type="dxa"/>
          <w:right w:w="0" w:type="dxa"/>
        </w:tblCellMar>
        <w:tblLook w:val="01E0"/>
      </w:tblPr>
      <w:tblGrid>
        <w:gridCol w:w="2628"/>
        <w:gridCol w:w="2530"/>
        <w:gridCol w:w="2106"/>
        <w:gridCol w:w="2011"/>
      </w:tblGrid>
      <w:tr>
        <w:trPr>
          <w:trHeight w:val="271" w:hRule="exact"/>
        </w:trPr>
        <w:tc>
          <w:tcPr>
            <w:tcW w:w="2628" w:type="dxa"/>
            <w:tcBorders>
              <w:top w:val="nil" w:sz="6" w:space="0" w:color="auto"/>
              <w:left w:val="nil" w:sz="6" w:space="0" w:color="auto"/>
              <w:bottom w:val="single" w:sz="4" w:space="0" w:color="000000"/>
              <w:right w:val="nil" w:sz="6" w:space="0" w:color="auto"/>
            </w:tcBorders>
          </w:tcPr>
          <w:p>
            <w:pPr>
              <w:pStyle w:val="TableParagraph"/>
              <w:spacing w:line="180" w:lineRule="exact"/>
              <w:ind w:left="1157"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530" w:type="dxa"/>
            <w:tcBorders>
              <w:top w:val="nil" w:sz="6" w:space="0" w:color="auto"/>
              <w:left w:val="nil" w:sz="6" w:space="0" w:color="auto"/>
              <w:bottom w:val="single" w:sz="4" w:space="0" w:color="000000"/>
              <w:right w:val="nil" w:sz="6" w:space="0" w:color="auto"/>
            </w:tcBorders>
          </w:tcPr>
          <w:p>
            <w:pPr>
              <w:pStyle w:val="TableParagraph"/>
              <w:spacing w:line="180" w:lineRule="exact"/>
              <w:ind w:left="911"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2106" w:type="dxa"/>
            <w:tcBorders>
              <w:top w:val="nil" w:sz="6" w:space="0" w:color="auto"/>
              <w:left w:val="nil" w:sz="6" w:space="0" w:color="auto"/>
              <w:bottom w:val="single" w:sz="4" w:space="0" w:color="000000"/>
              <w:right w:val="nil" w:sz="6" w:space="0" w:color="auto"/>
            </w:tcBorders>
          </w:tcPr>
          <w:p>
            <w:pPr>
              <w:pStyle w:val="TableParagraph"/>
              <w:spacing w:line="180" w:lineRule="exact"/>
              <w:ind w:left="53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11" w:type="dxa"/>
            <w:tcBorders>
              <w:top w:val="nil" w:sz="6" w:space="0" w:color="auto"/>
              <w:left w:val="nil" w:sz="6" w:space="0" w:color="auto"/>
              <w:bottom w:val="single" w:sz="4" w:space="0" w:color="000000"/>
              <w:right w:val="nil" w:sz="6" w:space="0" w:color="auto"/>
            </w:tcBorders>
          </w:tcPr>
          <w:p>
            <w:pPr>
              <w:pStyle w:val="TableParagraph"/>
              <w:spacing w:line="180" w:lineRule="exact"/>
              <w:ind w:left="50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4" w:hRule="exact"/>
        </w:trPr>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2530"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438" w:right="0"/>
              <w:jc w:val="left"/>
              <w:rPr>
                <w:rFonts w:ascii="宋体" w:hAnsi="宋体" w:cs="宋体" w:eastAsia="宋体" w:hint="default"/>
                <w:sz w:val="18"/>
                <w:szCs w:val="18"/>
              </w:rPr>
            </w:pPr>
            <w:r>
              <w:rPr>
                <w:rFonts w:ascii="宋体" w:hAnsi="宋体" w:cs="宋体" w:eastAsia="宋体" w:hint="default"/>
                <w:sz w:val="18"/>
                <w:szCs w:val="18"/>
              </w:rPr>
              <w:t>策划推广服务</w:t>
            </w:r>
          </w:p>
        </w:tc>
        <w:tc>
          <w:tcPr>
            <w:tcW w:w="2106"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502"/>
              <w:jc w:val="right"/>
              <w:rPr>
                <w:rFonts w:ascii="Times New Roman" w:hAnsi="Times New Roman" w:cs="Times New Roman" w:eastAsia="Times New Roman" w:hint="default"/>
                <w:sz w:val="18"/>
                <w:szCs w:val="18"/>
              </w:rPr>
            </w:pPr>
            <w:r>
              <w:rPr>
                <w:rFonts w:ascii="Times New Roman"/>
                <w:spacing w:val="-1"/>
                <w:sz w:val="18"/>
              </w:rPr>
              <w:t>7,043,170.95</w:t>
            </w: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405"/>
              <w:jc w:val="right"/>
              <w:rPr>
                <w:rFonts w:ascii="Times New Roman" w:hAnsi="Times New Roman" w:cs="Times New Roman" w:eastAsia="Times New Roman" w:hint="default"/>
                <w:sz w:val="18"/>
                <w:szCs w:val="18"/>
              </w:rPr>
            </w:pPr>
            <w:r>
              <w:rPr>
                <w:rFonts w:ascii="Times New Roman"/>
                <w:spacing w:val="-1"/>
                <w:sz w:val="18"/>
              </w:rPr>
              <w:t>7,365,866.33</w:t>
            </w:r>
          </w:p>
        </w:tc>
      </w:tr>
      <w:tr>
        <w:trPr>
          <w:trHeight w:val="440"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8"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210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6"/>
              <w:jc w:val="right"/>
              <w:rPr>
                <w:rFonts w:ascii="Times New Roman" w:hAnsi="Times New Roman" w:cs="Times New Roman" w:eastAsia="Times New Roman" w:hint="default"/>
                <w:sz w:val="18"/>
                <w:szCs w:val="18"/>
              </w:rPr>
            </w:pPr>
            <w:r>
              <w:rPr>
                <w:rFonts w:ascii="Times New Roman"/>
                <w:sz w:val="18"/>
              </w:rPr>
              <w:t>317,847.58</w:t>
            </w:r>
          </w:p>
        </w:tc>
      </w:tr>
      <w:tr>
        <w:trPr>
          <w:trHeight w:val="440"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 w:right="0"/>
              <w:jc w:val="left"/>
              <w:rPr>
                <w:rFonts w:ascii="宋体" w:hAnsi="宋体" w:cs="宋体" w:eastAsia="宋体" w:hint="default"/>
                <w:sz w:val="18"/>
                <w:szCs w:val="18"/>
              </w:rPr>
            </w:pPr>
            <w:r>
              <w:rPr>
                <w:rFonts w:ascii="宋体" w:hAnsi="宋体" w:cs="宋体" w:eastAsia="宋体" w:hint="default"/>
                <w:sz w:val="18"/>
                <w:szCs w:val="18"/>
              </w:rPr>
              <w:t>天鸿投资集团有限公司</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8" w:right="0"/>
              <w:jc w:val="left"/>
              <w:rPr>
                <w:rFonts w:ascii="宋体" w:hAnsi="宋体" w:cs="宋体" w:eastAsia="宋体" w:hint="default"/>
                <w:sz w:val="18"/>
                <w:szCs w:val="18"/>
              </w:rPr>
            </w:pPr>
            <w:r>
              <w:rPr>
                <w:rFonts w:ascii="宋体" w:hAnsi="宋体" w:cs="宋体" w:eastAsia="宋体" w:hint="default"/>
                <w:sz w:val="18"/>
                <w:szCs w:val="18"/>
              </w:rPr>
              <w:t>销售图书</w:t>
            </w:r>
          </w:p>
        </w:tc>
        <w:tc>
          <w:tcPr>
            <w:tcW w:w="210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6"/>
              <w:jc w:val="right"/>
              <w:rPr>
                <w:rFonts w:ascii="Times New Roman" w:hAnsi="Times New Roman" w:cs="Times New Roman" w:eastAsia="Times New Roman" w:hint="default"/>
                <w:sz w:val="18"/>
                <w:szCs w:val="18"/>
              </w:rPr>
            </w:pPr>
            <w:r>
              <w:rPr>
                <w:rFonts w:ascii="Times New Roman"/>
                <w:sz w:val="18"/>
              </w:rPr>
              <w:t>7,920.00</w:t>
            </w:r>
          </w:p>
        </w:tc>
      </w:tr>
      <w:tr>
        <w:trPr>
          <w:trHeight w:val="440"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 w:right="0"/>
              <w:jc w:val="left"/>
              <w:rPr>
                <w:rFonts w:ascii="宋体" w:hAnsi="宋体" w:cs="宋体" w:eastAsia="宋体" w:hint="default"/>
                <w:sz w:val="18"/>
                <w:szCs w:val="18"/>
              </w:rPr>
            </w:pPr>
            <w:r>
              <w:rPr>
                <w:rFonts w:ascii="宋体" w:hAnsi="宋体" w:cs="宋体" w:eastAsia="宋体" w:hint="default"/>
                <w:sz w:val="18"/>
                <w:szCs w:val="18"/>
              </w:rPr>
              <w:t>长沙鸿发印务实业有限公司</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38"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2106"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5"/>
              <w:jc w:val="right"/>
              <w:rPr>
                <w:rFonts w:ascii="Times New Roman" w:hAnsi="Times New Roman" w:cs="Times New Roman" w:eastAsia="Times New Roman" w:hint="default"/>
                <w:sz w:val="18"/>
                <w:szCs w:val="18"/>
              </w:rPr>
            </w:pPr>
            <w:r>
              <w:rPr>
                <w:rFonts w:ascii="Times New Roman"/>
                <w:sz w:val="18"/>
              </w:rPr>
              <w:t>2,317.95</w:t>
            </w:r>
          </w:p>
        </w:tc>
      </w:tr>
      <w:tr>
        <w:trPr>
          <w:trHeight w:val="315"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7"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30"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0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7,043,170.95</w:t>
            </w:r>
            <w:r>
              <w:rPr>
                <w:rFonts w:ascii="Times New Roman"/>
                <w:spacing w:val="-1"/>
                <w:sz w:val="18"/>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7,693,951.86</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496" w:lineRule="auto" w:before="44"/>
        <w:ind w:right="8578"/>
        <w:jc w:val="left"/>
      </w:pPr>
      <w:r>
        <w:rPr/>
        <w:t>（</w:t>
      </w:r>
      <w:r>
        <w:rPr>
          <w:rFonts w:ascii="Times New Roman" w:hAnsi="Times New Roman" w:cs="Times New Roman" w:eastAsia="Times New Roman" w:hint="default"/>
        </w:rPr>
        <w:t>3</w:t>
      </w:r>
      <w:r>
        <w:rPr/>
        <w:t>）关联租赁情况 公司承租情况表：</w:t>
      </w:r>
    </w:p>
    <w:p>
      <w:pPr>
        <w:spacing w:line="240" w:lineRule="auto" w:before="12"/>
        <w:rPr>
          <w:rFonts w:ascii="宋体" w:hAnsi="宋体" w:cs="宋体" w:eastAsia="宋体" w:hint="default"/>
          <w:sz w:val="15"/>
          <w:szCs w:val="15"/>
        </w:rPr>
      </w:pPr>
    </w:p>
    <w:tbl>
      <w:tblPr>
        <w:tblW w:w="0" w:type="auto"/>
        <w:jc w:val="left"/>
        <w:tblInd w:w="1388" w:type="dxa"/>
        <w:tblLayout w:type="fixed"/>
        <w:tblCellMar>
          <w:top w:w="0" w:type="dxa"/>
          <w:left w:w="0" w:type="dxa"/>
          <w:bottom w:w="0" w:type="dxa"/>
          <w:right w:w="0" w:type="dxa"/>
        </w:tblCellMar>
        <w:tblLook w:val="01E0"/>
      </w:tblPr>
      <w:tblGrid>
        <w:gridCol w:w="1167"/>
        <w:gridCol w:w="1083"/>
        <w:gridCol w:w="1131"/>
        <w:gridCol w:w="1041"/>
        <w:gridCol w:w="1072"/>
        <w:gridCol w:w="890"/>
        <w:gridCol w:w="1440"/>
        <w:gridCol w:w="1452"/>
      </w:tblGrid>
      <w:tr>
        <w:trPr>
          <w:trHeight w:val="646" w:hRule="exact"/>
        </w:trPr>
        <w:tc>
          <w:tcPr>
            <w:tcW w:w="116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6" w:right="0"/>
              <w:jc w:val="center"/>
              <w:rPr>
                <w:rFonts w:ascii="宋体" w:hAnsi="宋体" w:cs="宋体" w:eastAsia="宋体" w:hint="default"/>
                <w:sz w:val="15"/>
                <w:szCs w:val="15"/>
              </w:rPr>
            </w:pPr>
            <w:r>
              <w:rPr>
                <w:rFonts w:ascii="宋体" w:hAnsi="宋体" w:cs="宋体" w:eastAsia="宋体" w:hint="default"/>
                <w:b/>
                <w:bCs/>
                <w:sz w:val="15"/>
                <w:szCs w:val="15"/>
              </w:rPr>
              <w:t>出租方名称</w:t>
            </w:r>
            <w:r>
              <w:rPr>
                <w:rFonts w:ascii="宋体" w:hAnsi="宋体" w:cs="宋体" w:eastAsia="宋体" w:hint="default"/>
                <w:sz w:val="15"/>
                <w:szCs w:val="15"/>
              </w:rPr>
            </w:r>
          </w:p>
        </w:tc>
        <w:tc>
          <w:tcPr>
            <w:tcW w:w="108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88" w:right="0"/>
              <w:jc w:val="left"/>
              <w:rPr>
                <w:rFonts w:ascii="宋体" w:hAnsi="宋体" w:cs="宋体" w:eastAsia="宋体" w:hint="default"/>
                <w:sz w:val="15"/>
                <w:szCs w:val="15"/>
              </w:rPr>
            </w:pPr>
            <w:r>
              <w:rPr>
                <w:rFonts w:ascii="宋体" w:hAnsi="宋体" w:cs="宋体" w:eastAsia="宋体" w:hint="default"/>
                <w:b/>
                <w:bCs/>
                <w:sz w:val="15"/>
                <w:szCs w:val="15"/>
              </w:rPr>
              <w:t>承租方名称</w:t>
            </w:r>
            <w:r>
              <w:rPr>
                <w:rFonts w:ascii="宋体" w:hAnsi="宋体" w:cs="宋体" w:eastAsia="宋体" w:hint="default"/>
                <w:sz w:val="15"/>
                <w:szCs w:val="15"/>
              </w:rPr>
            </w:r>
          </w:p>
        </w:tc>
        <w:tc>
          <w:tcPr>
            <w:tcW w:w="113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33"/>
              <w:jc w:val="center"/>
              <w:rPr>
                <w:rFonts w:ascii="宋体" w:hAnsi="宋体" w:cs="宋体" w:eastAsia="宋体" w:hint="default"/>
                <w:sz w:val="15"/>
                <w:szCs w:val="15"/>
              </w:rPr>
            </w:pPr>
            <w:r>
              <w:rPr>
                <w:rFonts w:ascii="宋体" w:hAnsi="宋体" w:cs="宋体" w:eastAsia="宋体" w:hint="default"/>
                <w:b/>
                <w:bCs/>
                <w:sz w:val="15"/>
                <w:szCs w:val="15"/>
              </w:rPr>
              <w:t>租赁资产种类</w:t>
            </w:r>
            <w:r>
              <w:rPr>
                <w:rFonts w:ascii="宋体" w:hAnsi="宋体" w:cs="宋体" w:eastAsia="宋体" w:hint="default"/>
                <w:sz w:val="15"/>
                <w:szCs w:val="15"/>
              </w:rPr>
            </w:r>
          </w:p>
        </w:tc>
        <w:tc>
          <w:tcPr>
            <w:tcW w:w="104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3"/>
              <w:jc w:val="center"/>
              <w:rPr>
                <w:rFonts w:ascii="宋体" w:hAnsi="宋体" w:cs="宋体" w:eastAsia="宋体" w:hint="default"/>
                <w:sz w:val="15"/>
                <w:szCs w:val="15"/>
              </w:rPr>
            </w:pPr>
            <w:r>
              <w:rPr>
                <w:rFonts w:ascii="宋体" w:hAnsi="宋体" w:cs="宋体" w:eastAsia="宋体" w:hint="default"/>
                <w:b/>
                <w:bCs/>
                <w:sz w:val="15"/>
                <w:szCs w:val="15"/>
              </w:rPr>
              <w:t>租赁起始日</w:t>
            </w:r>
            <w:r>
              <w:rPr>
                <w:rFonts w:ascii="宋体" w:hAnsi="宋体" w:cs="宋体" w:eastAsia="宋体" w:hint="default"/>
                <w:sz w:val="15"/>
                <w:szCs w:val="15"/>
              </w:rPr>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57" w:right="0"/>
              <w:jc w:val="left"/>
              <w:rPr>
                <w:rFonts w:ascii="宋体" w:hAnsi="宋体" w:cs="宋体" w:eastAsia="宋体" w:hint="default"/>
                <w:sz w:val="15"/>
                <w:szCs w:val="15"/>
              </w:rPr>
            </w:pPr>
            <w:r>
              <w:rPr>
                <w:rFonts w:ascii="宋体" w:hAnsi="宋体" w:cs="宋体" w:eastAsia="宋体" w:hint="default"/>
                <w:b/>
                <w:bCs/>
                <w:sz w:val="15"/>
                <w:szCs w:val="15"/>
              </w:rPr>
              <w:t>租赁终止日</w:t>
            </w:r>
            <w:r>
              <w:rPr>
                <w:rFonts w:ascii="宋体" w:hAnsi="宋体" w:cs="宋体" w:eastAsia="宋体" w:hint="default"/>
                <w:sz w:val="15"/>
                <w:szCs w:val="15"/>
              </w:rPr>
            </w:r>
          </w:p>
        </w:tc>
        <w:tc>
          <w:tcPr>
            <w:tcW w:w="890" w:type="dxa"/>
            <w:tcBorders>
              <w:top w:val="nil" w:sz="6" w:space="0" w:color="auto"/>
              <w:left w:val="nil" w:sz="6" w:space="0" w:color="auto"/>
              <w:bottom w:val="single" w:sz="4" w:space="0" w:color="000000"/>
              <w:right w:val="nil" w:sz="6" w:space="0" w:color="auto"/>
            </w:tcBorders>
          </w:tcPr>
          <w:p>
            <w:pPr>
              <w:pStyle w:val="TableParagraph"/>
              <w:spacing w:line="150" w:lineRule="exact"/>
              <w:ind w:left="162" w:right="0" w:firstLine="75"/>
              <w:jc w:val="left"/>
              <w:rPr>
                <w:rFonts w:ascii="宋体" w:hAnsi="宋体" w:cs="宋体" w:eastAsia="宋体" w:hint="default"/>
                <w:sz w:val="15"/>
                <w:szCs w:val="15"/>
              </w:rPr>
            </w:pPr>
            <w:r>
              <w:rPr>
                <w:rFonts w:ascii="宋体" w:hAnsi="宋体" w:cs="宋体" w:eastAsia="宋体" w:hint="default"/>
                <w:b/>
                <w:bCs/>
                <w:sz w:val="15"/>
                <w:szCs w:val="15"/>
              </w:rPr>
              <w:t>租赁费</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5"/>
                <w:szCs w:val="15"/>
              </w:rPr>
            </w:pPr>
            <w:r>
              <w:rPr>
                <w:rFonts w:ascii="宋体" w:hAnsi="宋体" w:cs="宋体" w:eastAsia="宋体" w:hint="default"/>
                <w:b/>
                <w:bCs/>
                <w:sz w:val="15"/>
                <w:szCs w:val="15"/>
              </w:rPr>
              <w:t>定价依据</w:t>
            </w:r>
            <w:r>
              <w:rPr>
                <w:rFonts w:ascii="宋体" w:hAnsi="宋体" w:cs="宋体" w:eastAsia="宋体" w:hint="default"/>
                <w:sz w:val="15"/>
                <w:szCs w:val="15"/>
              </w:rPr>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08"/>
              <w:jc w:val="right"/>
              <w:rPr>
                <w:rFonts w:ascii="宋体" w:hAnsi="宋体" w:cs="宋体" w:eastAsia="宋体" w:hint="default"/>
                <w:sz w:val="15"/>
                <w:szCs w:val="15"/>
              </w:rPr>
            </w:pPr>
            <w:r>
              <w:rPr>
                <w:rFonts w:ascii="宋体" w:hAnsi="宋体" w:cs="宋体" w:eastAsia="宋体" w:hint="default"/>
                <w:b/>
                <w:bCs/>
                <w:w w:val="95"/>
                <w:sz w:val="15"/>
                <w:szCs w:val="15"/>
              </w:rPr>
              <w:t>本期确认的租赁费</w:t>
            </w:r>
            <w:r>
              <w:rPr>
                <w:rFonts w:ascii="宋体" w:hAnsi="宋体" w:cs="宋体" w:eastAsia="宋体" w:hint="default"/>
                <w:sz w:val="15"/>
                <w:szCs w:val="15"/>
              </w:rPr>
            </w: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135"/>
              <w:jc w:val="right"/>
              <w:rPr>
                <w:rFonts w:ascii="宋体" w:hAnsi="宋体" w:cs="宋体" w:eastAsia="宋体" w:hint="default"/>
                <w:sz w:val="15"/>
                <w:szCs w:val="15"/>
              </w:rPr>
            </w:pPr>
            <w:r>
              <w:rPr>
                <w:rFonts w:ascii="宋体" w:hAnsi="宋体" w:cs="宋体" w:eastAsia="宋体" w:hint="default"/>
                <w:b/>
                <w:bCs/>
                <w:w w:val="95"/>
                <w:sz w:val="15"/>
                <w:szCs w:val="15"/>
              </w:rPr>
              <w:t>上期确认的租赁费</w:t>
            </w:r>
            <w:r>
              <w:rPr>
                <w:rFonts w:ascii="宋体" w:hAnsi="宋体" w:cs="宋体" w:eastAsia="宋体" w:hint="default"/>
                <w:sz w:val="15"/>
                <w:szCs w:val="15"/>
              </w:rPr>
            </w:r>
          </w:p>
        </w:tc>
      </w:tr>
      <w:tr>
        <w:trPr>
          <w:trHeight w:val="859" w:hRule="exact"/>
        </w:trPr>
        <w:tc>
          <w:tcPr>
            <w:tcW w:w="116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439" w:lineRule="auto"/>
              <w:ind w:left="30" w:right="84"/>
              <w:jc w:val="left"/>
              <w:rPr>
                <w:rFonts w:ascii="宋体" w:hAnsi="宋体" w:cs="宋体" w:eastAsia="宋体" w:hint="default"/>
                <w:sz w:val="15"/>
                <w:szCs w:val="15"/>
              </w:rPr>
            </w:pPr>
            <w:r>
              <w:rPr>
                <w:rFonts w:ascii="宋体" w:hAnsi="宋体" w:cs="宋体" w:eastAsia="宋体" w:hint="default"/>
                <w:sz w:val="15"/>
                <w:szCs w:val="15"/>
              </w:rPr>
              <w:t>湖南天鸿致远文 化发展有限公司</w:t>
            </w:r>
          </w:p>
        </w:tc>
        <w:tc>
          <w:tcPr>
            <w:tcW w:w="10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439" w:lineRule="auto"/>
              <w:ind w:left="86" w:right="95"/>
              <w:jc w:val="left"/>
              <w:rPr>
                <w:rFonts w:ascii="宋体" w:hAnsi="宋体" w:cs="宋体" w:eastAsia="宋体" w:hint="default"/>
                <w:sz w:val="15"/>
                <w:szCs w:val="15"/>
              </w:rPr>
            </w:pPr>
            <w:r>
              <w:rPr>
                <w:rFonts w:ascii="宋体" w:hAnsi="宋体" w:cs="宋体" w:eastAsia="宋体" w:hint="default"/>
                <w:sz w:val="15"/>
                <w:szCs w:val="15"/>
              </w:rPr>
              <w:t>天舟文化股份 有限公司</w:t>
            </w:r>
          </w:p>
        </w:tc>
        <w:tc>
          <w:tcPr>
            <w:tcW w:w="11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34"/>
              <w:jc w:val="center"/>
              <w:rPr>
                <w:rFonts w:ascii="宋体" w:hAnsi="宋体" w:cs="宋体" w:eastAsia="宋体" w:hint="default"/>
                <w:sz w:val="15"/>
                <w:szCs w:val="15"/>
              </w:rPr>
            </w:pPr>
            <w:r>
              <w:rPr>
                <w:rFonts w:ascii="宋体" w:hAnsi="宋体" w:cs="宋体" w:eastAsia="宋体" w:hint="default"/>
                <w:sz w:val="15"/>
                <w:szCs w:val="15"/>
              </w:rPr>
              <w:t>仓储设施</w:t>
            </w:r>
          </w:p>
        </w:tc>
        <w:tc>
          <w:tcPr>
            <w:tcW w:w="104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2"/>
              <w:jc w:val="center"/>
              <w:rPr>
                <w:rFonts w:ascii="Times New Roman" w:hAnsi="Times New Roman" w:cs="Times New Roman" w:eastAsia="Times New Roman" w:hint="default"/>
                <w:sz w:val="15"/>
                <w:szCs w:val="15"/>
              </w:rPr>
            </w:pPr>
            <w:r>
              <w:rPr>
                <w:rFonts w:ascii="Times New Roman"/>
                <w:sz w:val="15"/>
              </w:rPr>
              <w:t>2015-6-20</w:t>
            </w:r>
          </w:p>
        </w:tc>
        <w:tc>
          <w:tcPr>
            <w:tcW w:w="107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0" w:right="0"/>
              <w:jc w:val="left"/>
              <w:rPr>
                <w:rFonts w:ascii="Times New Roman" w:hAnsi="Times New Roman" w:cs="Times New Roman" w:eastAsia="Times New Roman" w:hint="default"/>
                <w:sz w:val="15"/>
                <w:szCs w:val="15"/>
              </w:rPr>
            </w:pPr>
            <w:r>
              <w:rPr>
                <w:rFonts w:ascii="Times New Roman"/>
                <w:sz w:val="15"/>
              </w:rPr>
              <w:t>2018-6-19</w:t>
            </w: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98"/>
              <w:jc w:val="right"/>
              <w:rPr>
                <w:rFonts w:ascii="宋体" w:hAnsi="宋体" w:cs="宋体" w:eastAsia="宋体" w:hint="default"/>
                <w:sz w:val="15"/>
                <w:szCs w:val="15"/>
              </w:rPr>
            </w:pPr>
            <w:r>
              <w:rPr>
                <w:rFonts w:ascii="宋体" w:hAnsi="宋体" w:cs="宋体" w:eastAsia="宋体" w:hint="default"/>
                <w:sz w:val="15"/>
                <w:szCs w:val="15"/>
              </w:rPr>
              <w:t>市场价</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252,595.20</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1"/>
                <w:sz w:val="15"/>
              </w:rPr>
              <w:t>242,880.00</w:t>
            </w:r>
          </w:p>
        </w:tc>
      </w:tr>
      <w:tr>
        <w:trPr>
          <w:trHeight w:val="801"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441" w:lineRule="auto" w:before="98"/>
              <w:ind w:left="30" w:right="84"/>
              <w:jc w:val="left"/>
              <w:rPr>
                <w:rFonts w:ascii="宋体" w:hAnsi="宋体" w:cs="宋体" w:eastAsia="宋体" w:hint="default"/>
                <w:sz w:val="15"/>
                <w:szCs w:val="15"/>
              </w:rPr>
            </w:pPr>
            <w:r>
              <w:rPr>
                <w:rFonts w:ascii="宋体" w:hAnsi="宋体" w:cs="宋体" w:eastAsia="宋体" w:hint="default"/>
                <w:sz w:val="15"/>
                <w:szCs w:val="15"/>
              </w:rPr>
              <w:t>湖南天鸿致远文 化发展有限公司</w:t>
            </w:r>
          </w:p>
        </w:tc>
        <w:tc>
          <w:tcPr>
            <w:tcW w:w="1083" w:type="dxa"/>
            <w:tcBorders>
              <w:top w:val="nil" w:sz="6" w:space="0" w:color="auto"/>
              <w:left w:val="nil" w:sz="6" w:space="0" w:color="auto"/>
              <w:bottom w:val="nil" w:sz="6" w:space="0" w:color="auto"/>
              <w:right w:val="nil" w:sz="6" w:space="0" w:color="auto"/>
            </w:tcBorders>
          </w:tcPr>
          <w:p>
            <w:pPr>
              <w:pStyle w:val="TableParagraph"/>
              <w:spacing w:line="441" w:lineRule="auto" w:before="98"/>
              <w:ind w:left="86" w:right="95"/>
              <w:jc w:val="left"/>
              <w:rPr>
                <w:rFonts w:ascii="宋体" w:hAnsi="宋体" w:cs="宋体" w:eastAsia="宋体" w:hint="default"/>
                <w:sz w:val="15"/>
                <w:szCs w:val="15"/>
              </w:rPr>
            </w:pPr>
            <w:r>
              <w:rPr>
                <w:rFonts w:ascii="宋体" w:hAnsi="宋体" w:cs="宋体" w:eastAsia="宋体" w:hint="default"/>
                <w:sz w:val="15"/>
                <w:szCs w:val="15"/>
              </w:rPr>
              <w:t>天舟文化股份 有限公司</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4"/>
              <w:jc w:val="center"/>
              <w:rPr>
                <w:rFonts w:ascii="宋体" w:hAnsi="宋体" w:cs="宋体" w:eastAsia="宋体" w:hint="default"/>
                <w:sz w:val="15"/>
                <w:szCs w:val="15"/>
              </w:rPr>
            </w:pPr>
            <w:r>
              <w:rPr>
                <w:rFonts w:ascii="宋体" w:hAnsi="宋体" w:cs="宋体" w:eastAsia="宋体" w:hint="default"/>
                <w:sz w:val="15"/>
                <w:szCs w:val="15"/>
              </w:rPr>
              <w:t>仓储设施</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center"/>
              <w:rPr>
                <w:rFonts w:ascii="Times New Roman" w:hAnsi="Times New Roman" w:cs="Times New Roman" w:eastAsia="Times New Roman" w:hint="default"/>
                <w:sz w:val="15"/>
                <w:szCs w:val="15"/>
              </w:rPr>
            </w:pPr>
            <w:r>
              <w:rPr>
                <w:rFonts w:ascii="Times New Roman"/>
                <w:sz w:val="15"/>
              </w:rPr>
              <w:t>2016-7-9</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20" w:right="0"/>
              <w:jc w:val="left"/>
              <w:rPr>
                <w:rFonts w:ascii="Times New Roman" w:hAnsi="Times New Roman" w:cs="Times New Roman" w:eastAsia="Times New Roman" w:hint="default"/>
                <w:sz w:val="15"/>
                <w:szCs w:val="15"/>
              </w:rPr>
            </w:pPr>
            <w:r>
              <w:rPr>
                <w:rFonts w:ascii="Times New Roman"/>
                <w:sz w:val="15"/>
              </w:rPr>
              <w:t>2018-6-19</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98"/>
              <w:jc w:val="right"/>
              <w:rPr>
                <w:rFonts w:ascii="宋体" w:hAnsi="宋体" w:cs="宋体" w:eastAsia="宋体" w:hint="default"/>
                <w:sz w:val="15"/>
                <w:szCs w:val="15"/>
              </w:rPr>
            </w:pPr>
            <w:r>
              <w:rPr>
                <w:rFonts w:ascii="宋体" w:hAnsi="宋体" w:cs="宋体" w:eastAsia="宋体" w:hint="default"/>
                <w:sz w:val="15"/>
                <w:szCs w:val="15"/>
              </w:rPr>
              <w:t>市场价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17"/>
              <w:jc w:val="right"/>
              <w:rPr>
                <w:rFonts w:ascii="Times New Roman" w:hAnsi="Times New Roman" w:cs="Times New Roman" w:eastAsia="Times New Roman" w:hint="default"/>
                <w:sz w:val="15"/>
                <w:szCs w:val="15"/>
              </w:rPr>
            </w:pPr>
            <w:r>
              <w:rPr>
                <w:rFonts w:ascii="Times New Roman"/>
                <w:spacing w:val="-1"/>
                <w:sz w:val="15"/>
              </w:rPr>
              <w:t>97,084.42</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1"/>
                <w:sz w:val="15"/>
              </w:rPr>
              <w:t>42,526.29</w:t>
            </w:r>
          </w:p>
        </w:tc>
      </w:tr>
      <w:tr>
        <w:trPr>
          <w:trHeight w:val="303" w:hRule="exact"/>
        </w:trPr>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5"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08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349,679.62</w:t>
            </w:r>
            <w:r>
              <w:rPr>
                <w:rFonts w:ascii="Times New Roman"/>
                <w:spacing w:val="-1"/>
                <w:sz w:val="15"/>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285,406.29</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注</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20</w:t>
      </w:r>
      <w:r>
        <w:rPr>
          <w:spacing w:val="-2"/>
        </w:rPr>
        <w:t>日，本公司与湖南天鸿致远文化发展有限公司签订仓储设施租赁协议，租赁湖南天鸿致远文化发</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45" w:lineRule="auto"/>
        <w:ind w:left="1418" w:right="1117"/>
        <w:jc w:val="left"/>
      </w:pPr>
      <w:r>
        <w:rPr/>
        <w:t>展有限公司面积</w:t>
      </w:r>
      <w:r>
        <w:rPr>
          <w:rFonts w:ascii="Times New Roman" w:hAnsi="Times New Roman" w:cs="Times New Roman" w:eastAsia="Times New Roman" w:hint="default"/>
        </w:rPr>
        <w:t>1,150.00</w:t>
      </w:r>
      <w:r>
        <w:rPr/>
        <w:t>㎡仓库，租金约定如下：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日租金</w:t>
      </w:r>
      <w:r>
        <w:rPr>
          <w:rFonts w:ascii="Times New Roman" w:hAnsi="Times New Roman" w:cs="Times New Roman" w:eastAsia="Times New Roman" w:hint="default"/>
        </w:rPr>
        <w:t>242,880.00</w:t>
      </w:r>
      <w:r>
        <w:rPr/>
        <w:t>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16"/>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日租金</w:t>
      </w:r>
      <w:r>
        <w:rPr>
          <w:rFonts w:ascii="Times New Roman" w:hAnsi="Times New Roman" w:cs="Times New Roman" w:eastAsia="Times New Roman" w:hint="default"/>
        </w:rPr>
        <w:t>262,310.40</w:t>
      </w:r>
      <w:r>
        <w:rPr/>
        <w:t>元。</w:t>
      </w:r>
    </w:p>
    <w:p>
      <w:pPr>
        <w:spacing w:line="240" w:lineRule="auto" w:before="9"/>
        <w:rPr>
          <w:rFonts w:ascii="宋体" w:hAnsi="宋体" w:cs="宋体" w:eastAsia="宋体" w:hint="default"/>
          <w:sz w:val="13"/>
          <w:szCs w:val="13"/>
        </w:rPr>
      </w:pPr>
    </w:p>
    <w:p>
      <w:pPr>
        <w:pStyle w:val="BodyText"/>
        <w:spacing w:line="240" w:lineRule="auto"/>
        <w:ind w:right="1117"/>
        <w:jc w:val="left"/>
      </w:pPr>
      <w:r>
        <w:rPr/>
        <w:t>注</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日，本公司与湖南天鸿致远文化发展有限公司签订仓储设施租赁协议，租赁湖南天鸿致远文化</w:t>
      </w:r>
    </w:p>
    <w:p>
      <w:pPr>
        <w:pStyle w:val="BodyText"/>
        <w:spacing w:line="240" w:lineRule="auto" w:before="111"/>
        <w:ind w:left="1418" w:right="1117"/>
        <w:jc w:val="left"/>
      </w:pPr>
      <w:r>
        <w:rPr/>
        <w:t>发展有限公司面积</w:t>
      </w:r>
      <w:r>
        <w:rPr>
          <w:spacing w:val="-37"/>
        </w:rPr>
        <w:t> </w:t>
      </w:r>
      <w:r>
        <w:rPr>
          <w:rFonts w:ascii="Times New Roman" w:hAnsi="Times New Roman" w:cs="Times New Roman" w:eastAsia="Times New Roman" w:hint="default"/>
        </w:rPr>
        <w:t>442.00</w:t>
      </w:r>
      <w:r>
        <w:rPr>
          <w:rFonts w:ascii="Times New Roman" w:hAnsi="Times New Roman" w:cs="Times New Roman" w:eastAsia="Times New Roman" w:hint="default"/>
          <w:spacing w:val="8"/>
        </w:rPr>
        <w:t> </w:t>
      </w:r>
      <w:r>
        <w:rPr/>
        <w:t>㎡仓库，租金约定如下：</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8"/>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日租金</w:t>
      </w:r>
      <w:r>
        <w:rPr>
          <w:spacing w:val="-38"/>
        </w:rPr>
        <w:t> </w:t>
      </w:r>
      <w:r>
        <w:rPr>
          <w:rFonts w:ascii="Times New Roman" w:hAnsi="Times New Roman" w:cs="Times New Roman" w:eastAsia="Times New Roman" w:hint="default"/>
        </w:rPr>
        <w:t>42,526.29</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p>
    <w:p>
      <w:pPr>
        <w:pStyle w:val="BodyText"/>
        <w:spacing w:line="240" w:lineRule="auto" w:before="111"/>
        <w:ind w:left="1418" w:right="1117"/>
        <w:jc w:val="left"/>
        <w:rPr>
          <w:rFonts w:ascii="Times New Roman" w:hAnsi="Times New Roman" w:cs="Times New Roman" w:eastAsia="Times New Roman"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46,675.2 </w:t>
      </w:r>
      <w:r>
        <w:rPr>
          <w:spacing w:val="-5"/>
        </w:rPr>
        <w:t>元；</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日租金</w:t>
      </w:r>
      <w:r>
        <w:rPr>
          <w:spacing w:val="-46"/>
        </w:rPr>
        <w:t> </w:t>
      </w:r>
      <w:r>
        <w:rPr>
          <w:rFonts w:ascii="Times New Roman" w:hAnsi="Times New Roman" w:cs="Times New Roman" w:eastAsia="Times New Roman" w:hint="default"/>
        </w:rPr>
        <w:t>50,409.22</w:t>
      </w:r>
      <w:r>
        <w:rPr>
          <w:rFonts w:ascii="Times New Roman" w:hAnsi="Times New Roman" w:cs="Times New Roman" w:eastAsia="Times New Roman" w:hint="default"/>
          <w:spacing w:val="-1"/>
        </w:rPr>
        <w:t> </w:t>
      </w:r>
      <w:r>
        <w:rPr>
          <w:spacing w:val="-5"/>
        </w:rPr>
        <w:t>元；</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p>
    <w:p>
      <w:pPr>
        <w:pStyle w:val="BodyText"/>
        <w:spacing w:line="240" w:lineRule="auto" w:before="111"/>
        <w:ind w:left="1418" w:right="1117"/>
        <w:jc w:val="left"/>
      </w:pP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租金</w:t>
      </w:r>
      <w:r>
        <w:rPr>
          <w:spacing w:val="-45"/>
        </w:rPr>
        <w:t> </w:t>
      </w:r>
      <w:r>
        <w:rPr>
          <w:rFonts w:ascii="Times New Roman" w:hAnsi="Times New Roman" w:cs="Times New Roman" w:eastAsia="Times New Roman" w:hint="default"/>
        </w:rPr>
        <w:t>50,409.22</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0"/>
          <w:szCs w:val="20"/>
        </w:rPr>
      </w:pPr>
    </w:p>
    <w:p>
      <w:pPr>
        <w:pStyle w:val="BodyText"/>
        <w:spacing w:line="496" w:lineRule="auto"/>
        <w:ind w:right="7588"/>
        <w:jc w:val="left"/>
      </w:pPr>
      <w:r>
        <w:rPr/>
        <w:t>（</w:t>
      </w:r>
      <w:r>
        <w:rPr>
          <w:rFonts w:ascii="Times New Roman" w:hAnsi="Times New Roman" w:cs="Times New Roman" w:eastAsia="Times New Roman" w:hint="default"/>
        </w:rPr>
        <w:t>4</w:t>
      </w:r>
      <w:r>
        <w:rPr/>
        <w:t>）关联担保情况 本公司本期无关联方担保事项。</w:t>
      </w:r>
    </w:p>
    <w:p>
      <w:pPr>
        <w:pStyle w:val="BodyText"/>
        <w:spacing w:line="496" w:lineRule="auto" w:before="88"/>
        <w:ind w:right="7588"/>
        <w:jc w:val="left"/>
      </w:pPr>
      <w:r>
        <w:rPr/>
        <w:t>（</w:t>
      </w:r>
      <w:r>
        <w:rPr>
          <w:rFonts w:ascii="Times New Roman" w:hAnsi="Times New Roman" w:cs="Times New Roman" w:eastAsia="Times New Roman" w:hint="default"/>
        </w:rPr>
        <w:t>5</w:t>
      </w:r>
      <w:r>
        <w:rPr/>
        <w:t>）关联方资金拆借 本公司本期无关联方资金拆借。</w:t>
      </w:r>
    </w:p>
    <w:p>
      <w:pPr>
        <w:pStyle w:val="BodyText"/>
        <w:spacing w:line="496" w:lineRule="auto" w:before="88"/>
        <w:ind w:right="6508"/>
        <w:jc w:val="left"/>
      </w:pPr>
      <w:r>
        <w:rPr/>
        <w:t>（</w:t>
      </w:r>
      <w:r>
        <w:rPr>
          <w:rFonts w:ascii="Times New Roman" w:hAnsi="Times New Roman" w:cs="Times New Roman" w:eastAsia="Times New Roman" w:hint="default"/>
        </w:rPr>
        <w:t>6</w:t>
      </w:r>
      <w:r>
        <w:rPr/>
        <w:t>）关联方资产转让、债务重组情况 本公司本期无关联方资产转让、债务重组情况</w:t>
      </w:r>
    </w:p>
    <w:p>
      <w:pPr>
        <w:pStyle w:val="BodyText"/>
        <w:spacing w:line="233" w:lineRule="exact"/>
        <w:ind w:right="1117"/>
        <w:jc w:val="left"/>
      </w:pPr>
      <w:r>
        <w:rPr/>
        <w:t>（</w:t>
      </w:r>
      <w:r>
        <w:rPr>
          <w:rFonts w:ascii="Times New Roman" w:hAnsi="Times New Roman" w:cs="Times New Roman" w:eastAsia="Times New Roman" w:hint="default"/>
        </w:rPr>
        <w:t>7</w:t>
      </w:r>
      <w:r>
        <w:rPr/>
        <w:t>）关键管理人员薪酬</w:t>
      </w:r>
    </w:p>
    <w:p>
      <w:pPr>
        <w:spacing w:line="240" w:lineRule="auto" w:before="9"/>
        <w:rPr>
          <w:rFonts w:ascii="宋体" w:hAnsi="宋体" w:cs="宋体" w:eastAsia="宋体" w:hint="default"/>
          <w:sz w:val="27"/>
          <w:szCs w:val="27"/>
        </w:rPr>
      </w:pPr>
    </w:p>
    <w:tbl>
      <w:tblPr>
        <w:tblW w:w="0" w:type="auto"/>
        <w:jc w:val="left"/>
        <w:tblInd w:w="1388" w:type="dxa"/>
        <w:tblLayout w:type="fixed"/>
        <w:tblCellMar>
          <w:top w:w="0" w:type="dxa"/>
          <w:left w:w="0" w:type="dxa"/>
          <w:bottom w:w="0" w:type="dxa"/>
          <w:right w:w="0" w:type="dxa"/>
        </w:tblCellMar>
        <w:tblLook w:val="01E0"/>
      </w:tblPr>
      <w:tblGrid>
        <w:gridCol w:w="3044"/>
        <w:gridCol w:w="3138"/>
        <w:gridCol w:w="3092"/>
      </w:tblGrid>
      <w:tr>
        <w:trPr>
          <w:trHeight w:val="271" w:hRule="exact"/>
        </w:trPr>
        <w:tc>
          <w:tcPr>
            <w:tcW w:w="3044"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38" w:type="dxa"/>
            <w:tcBorders>
              <w:top w:val="nil" w:sz="6" w:space="0" w:color="auto"/>
              <w:left w:val="nil" w:sz="6" w:space="0" w:color="auto"/>
              <w:bottom w:val="single" w:sz="4" w:space="0" w:color="000000"/>
              <w:right w:val="nil" w:sz="6" w:space="0" w:color="auto"/>
            </w:tcBorders>
          </w:tcPr>
          <w:p>
            <w:pPr>
              <w:pStyle w:val="TableParagraph"/>
              <w:spacing w:line="180" w:lineRule="exact"/>
              <w:ind w:left="46" w:right="0"/>
              <w:jc w:val="center"/>
              <w:rPr>
                <w:rFonts w:ascii="宋体" w:hAnsi="宋体" w:cs="宋体" w:eastAsia="宋体" w:hint="default"/>
                <w:sz w:val="18"/>
                <w:szCs w:val="18"/>
              </w:rPr>
            </w:pPr>
            <w:r>
              <w:rPr>
                <w:rFonts w:ascii="宋体" w:hAnsi="宋体" w:cs="宋体" w:eastAsia="宋体" w:hint="default"/>
                <w:b/>
                <w:bCs/>
                <w:sz w:val="18"/>
                <w:szCs w:val="18"/>
              </w:rPr>
              <w:t>本期发生额（万元）</w:t>
            </w:r>
            <w:r>
              <w:rPr>
                <w:rFonts w:ascii="宋体" w:hAnsi="宋体" w:cs="宋体" w:eastAsia="宋体" w:hint="default"/>
                <w:sz w:val="18"/>
                <w:szCs w:val="18"/>
              </w:rPr>
            </w:r>
          </w:p>
        </w:tc>
        <w:tc>
          <w:tcPr>
            <w:tcW w:w="309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上期发生额（万元）</w:t>
            </w:r>
            <w:r>
              <w:rPr>
                <w:rFonts w:ascii="宋体" w:hAnsi="宋体" w:cs="宋体" w:eastAsia="宋体" w:hint="default"/>
                <w:sz w:val="18"/>
                <w:szCs w:val="18"/>
              </w:rPr>
            </w:r>
          </w:p>
        </w:tc>
      </w:tr>
      <w:tr>
        <w:trPr>
          <w:trHeight w:val="369" w:hRule="exact"/>
        </w:trPr>
        <w:tc>
          <w:tcPr>
            <w:tcW w:w="304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5"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3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4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954.10</w:t>
            </w:r>
            <w:r>
              <w:rPr>
                <w:rFonts w:ascii="Times New Roman"/>
                <w:sz w:val="18"/>
              </w:rPr>
            </w:r>
          </w:p>
        </w:tc>
        <w:tc>
          <w:tcPr>
            <w:tcW w:w="3092"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976.17</w:t>
            </w:r>
            <w:r>
              <w:rPr>
                <w:rFonts w:ascii="Times New Roman"/>
                <w:sz w:val="18"/>
              </w:rPr>
            </w:r>
          </w:p>
        </w:tc>
      </w:tr>
    </w:tbl>
    <w:p>
      <w:pPr>
        <w:spacing w:line="240" w:lineRule="auto" w:before="6"/>
        <w:rPr>
          <w:rFonts w:ascii="宋体" w:hAnsi="宋体" w:cs="宋体" w:eastAsia="宋体" w:hint="default"/>
          <w:sz w:val="11"/>
          <w:szCs w:val="11"/>
        </w:rPr>
      </w:pPr>
    </w:p>
    <w:p>
      <w:pPr>
        <w:pStyle w:val="BodyText"/>
        <w:spacing w:line="240" w:lineRule="auto" w:before="44"/>
        <w:ind w:right="1117"/>
        <w:jc w:val="left"/>
      </w:pPr>
      <w:bookmarkStart w:name="7.关联方应收应付款项" w:id="265"/>
      <w:bookmarkEnd w:id="265"/>
      <w:r>
        <w:rPr/>
      </w:r>
      <w:r>
        <w:rPr>
          <w:rFonts w:ascii="Times New Roman" w:hAnsi="Times New Roman" w:cs="Times New Roman" w:eastAsia="Times New Roman" w:hint="default"/>
        </w:rPr>
        <w:t>7.</w:t>
      </w:r>
      <w:r>
        <w:rPr/>
        <w:t>关联方应收应付款项</w:t>
      </w:r>
    </w:p>
    <w:p>
      <w:pPr>
        <w:spacing w:line="240" w:lineRule="auto" w:before="6"/>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）应收关联方款项</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060" w:bottom="1160" w:left="0" w:right="0"/>
        </w:sectPr>
      </w:pPr>
    </w:p>
    <w:p>
      <w:pPr>
        <w:spacing w:line="240" w:lineRule="auto" w:before="2"/>
        <w:rPr>
          <w:rFonts w:ascii="宋体" w:hAnsi="宋体" w:cs="宋体" w:eastAsia="宋体" w:hint="default"/>
          <w:sz w:val="20"/>
          <w:szCs w:val="20"/>
        </w:rPr>
      </w:pPr>
    </w:p>
    <w:p>
      <w:pPr>
        <w:pStyle w:val="Heading6"/>
        <w:tabs>
          <w:tab w:pos="4119" w:val="left" w:leader="none"/>
        </w:tabs>
        <w:spacing w:line="240" w:lineRule="auto"/>
        <w:ind w:left="1768" w:right="-18"/>
        <w:jc w:val="left"/>
        <w:rPr>
          <w:b w:val="0"/>
          <w:bCs w:val="0"/>
        </w:rPr>
      </w:pPr>
      <w:r>
        <w:rPr>
          <w:w w:val="95"/>
        </w:rPr>
        <w:t>项目名称</w:t>
        <w:tab/>
      </w:r>
      <w:r>
        <w:rPr/>
        <w:t>关联方</w:t>
      </w:r>
      <w:r>
        <w:rPr>
          <w:b w:val="0"/>
          <w:bCs w:val="0"/>
        </w:rPr>
      </w:r>
    </w:p>
    <w:p>
      <w:pPr>
        <w:pStyle w:val="Heading6"/>
        <w:tabs>
          <w:tab w:pos="2451" w:val="left" w:leader="none"/>
        </w:tabs>
        <w:spacing w:line="240" w:lineRule="auto" w:before="44"/>
        <w:ind w:right="54"/>
        <w:jc w:val="center"/>
        <w:rPr>
          <w:b w:val="0"/>
          <w:bCs w:val="0"/>
        </w:rPr>
      </w:pPr>
      <w:r>
        <w:rPr>
          <w:b w:val="0"/>
          <w:bCs w:val="0"/>
          <w:w w:val="95"/>
        </w:rPr>
        <w:br w:type="column"/>
      </w:r>
      <w:r>
        <w:rPr>
          <w:w w:val="95"/>
        </w:rPr>
        <w:t>期末金额</w:t>
        <w:tab/>
      </w:r>
      <w:r>
        <w:rPr/>
        <w:t>期初金额</w:t>
      </w:r>
      <w:r>
        <w:rPr>
          <w:b w:val="0"/>
          <w:bCs w:val="0"/>
        </w:rPr>
      </w:r>
    </w:p>
    <w:p>
      <w:pPr>
        <w:spacing w:line="240" w:lineRule="auto" w:before="7"/>
        <w:rPr>
          <w:rFonts w:ascii="宋体" w:hAnsi="宋体" w:cs="宋体" w:eastAsia="宋体" w:hint="default"/>
          <w:b/>
          <w:bCs/>
          <w:sz w:val="15"/>
          <w:szCs w:val="15"/>
        </w:rPr>
      </w:pPr>
    </w:p>
    <w:p>
      <w:pPr>
        <w:pStyle w:val="Heading6"/>
        <w:tabs>
          <w:tab w:pos="1215" w:val="left" w:leader="none"/>
          <w:tab w:pos="2480" w:val="left" w:leader="none"/>
          <w:tab w:pos="3717" w:val="left" w:leader="none"/>
        </w:tabs>
        <w:spacing w:line="240" w:lineRule="auto"/>
        <w:ind w:right="5"/>
        <w:jc w:val="center"/>
        <w:rPr>
          <w:b w:val="0"/>
          <w:bCs w:val="0"/>
        </w:rPr>
      </w:pPr>
      <w:r>
        <w:rPr>
          <w:w w:val="95"/>
        </w:rPr>
        <w:t>账面余额</w:t>
        <w:tab/>
        <w:t>坏账准备</w:t>
        <w:tab/>
        <w:t>账面余额</w:t>
        <w:tab/>
      </w:r>
      <w:r>
        <w:rPr/>
        <w:t>坏账准备</w:t>
      </w:r>
      <w:r>
        <w:rPr>
          <w:b w:val="0"/>
          <w:bCs w:val="0"/>
        </w:rPr>
      </w:r>
    </w:p>
    <w:p>
      <w:pPr>
        <w:spacing w:after="0" w:line="240" w:lineRule="auto"/>
        <w:jc w:val="center"/>
        <w:sectPr>
          <w:type w:val="continuous"/>
          <w:pgSz w:w="11910" w:h="16840"/>
          <w:pgMar w:top="780" w:bottom="840" w:left="0" w:right="0"/>
          <w:cols w:num="2" w:equalWidth="0">
            <w:col w:w="4664" w:space="40"/>
            <w:col w:w="7206"/>
          </w:cols>
        </w:sectPr>
      </w:pPr>
    </w:p>
    <w:p>
      <w:pPr>
        <w:spacing w:line="240" w:lineRule="auto" w:before="9"/>
        <w:rPr>
          <w:rFonts w:ascii="宋体" w:hAnsi="宋体" w:cs="宋体" w:eastAsia="宋体" w:hint="default"/>
          <w:b/>
          <w:bCs/>
          <w:sz w:val="6"/>
          <w:szCs w:val="6"/>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1638;height:2" coordorigin="5,5" coordsize="1638,2">
              <v:shape style="position:absolute;left:5;top:5;width:1638;height:2" coordorigin="5,5" coordsize="1638,0" path="m5,5l1642,5e" filled="false" stroked="true" strokeweight=".48pt" strokecolor="#000000">
                <v:path arrowok="t"/>
              </v:shape>
            </v:group>
            <v:group style="position:absolute;left:1642;top:5;width:10;height:2" coordorigin="1642,5" coordsize="10,2">
              <v:shape style="position:absolute;left:1642;top:5;width:10;height:2" coordorigin="1642,5" coordsize="10,0" path="m1642,5l1652,5e" filled="false" stroked="true" strokeweight=".48pt" strokecolor="#000000">
                <v:path arrowok="t"/>
              </v:shape>
            </v:group>
            <v:group style="position:absolute;left:1652;top:5;width:2878;height:2" coordorigin="1652,5" coordsize="2878,2">
              <v:shape style="position:absolute;left:1652;top:5;width:2878;height:2" coordorigin="1652,5" coordsize="2878,0" path="m1652,5l4530,5e" filled="false" stroked="true" strokeweight=".48pt" strokecolor="#000000">
                <v:path arrowok="t"/>
              </v:shape>
            </v:group>
            <v:group style="position:absolute;left:4530;top:5;width:10;height:2" coordorigin="4530,5" coordsize="10,2">
              <v:shape style="position:absolute;left:4530;top:5;width:10;height:2" coordorigin="4530,5" coordsize="10,0" path="m4530,5l4539,5e" filled="false" stroked="true" strokeweight=".48pt" strokecolor="#000000">
                <v:path arrowok="t"/>
              </v:shape>
            </v:group>
            <v:group style="position:absolute;left:4539;top:5;width:1206;height:2" coordorigin="4539,5" coordsize="1206,2">
              <v:shape style="position:absolute;left:4539;top:5;width:1206;height:2" coordorigin="4539,5" coordsize="1206,0" path="m4539,5l5745,5e" filled="false" stroked="true" strokeweight=".48pt" strokecolor="#000000">
                <v:path arrowok="t"/>
              </v:shape>
            </v:group>
            <v:group style="position:absolute;left:5745;top:5;width:10;height:2" coordorigin="5745,5" coordsize="10,2">
              <v:shape style="position:absolute;left:5745;top:5;width:10;height:2" coordorigin="5745,5" coordsize="10,0" path="m5745,5l5755,5e" filled="false" stroked="true" strokeweight=".48pt" strokecolor="#000000">
                <v:path arrowok="t"/>
              </v:shape>
            </v:group>
            <v:group style="position:absolute;left:5755;top:5;width:1207;height:2" coordorigin="5755,5" coordsize="1207,2">
              <v:shape style="position:absolute;left:5755;top:5;width:1207;height:2" coordorigin="5755,5" coordsize="1207,0" path="m5755,5l6961,5e" filled="false" stroked="true" strokeweight=".48pt" strokecolor="#000000">
                <v:path arrowok="t"/>
              </v:shape>
            </v:group>
            <v:group style="position:absolute;left:6961;top:5;width:10;height:2" coordorigin="6961,5" coordsize="10,2">
              <v:shape style="position:absolute;left:6961;top:5;width:10;height:2" coordorigin="6961,5" coordsize="10,0" path="m6961,5l6971,5e" filled="false" stroked="true" strokeweight=".48pt" strokecolor="#000000">
                <v:path arrowok="t"/>
              </v:shape>
            </v:group>
            <v:group style="position:absolute;left:6971;top:5;width:1306;height:2" coordorigin="6971,5" coordsize="1306,2">
              <v:shape style="position:absolute;left:6971;top:5;width:1306;height:2" coordorigin="6971,5" coordsize="1306,0" path="m6971,5l8276,5e" filled="false" stroked="true" strokeweight=".48pt" strokecolor="#000000">
                <v:path arrowok="t"/>
              </v:shape>
            </v:group>
            <v:group style="position:absolute;left:8276;top:5;width:10;height:2" coordorigin="8276,5" coordsize="10,2">
              <v:shape style="position:absolute;left:8276;top:5;width:10;height:2" coordorigin="8276,5" coordsize="10,0" path="m8276,5l8286,5e" filled="false" stroked="true" strokeweight=".48pt" strokecolor="#000000">
                <v:path arrowok="t"/>
              </v:shape>
            </v:group>
            <v:group style="position:absolute;left:8286;top:5;width:1150;height:2" coordorigin="8286,5" coordsize="1150,2">
              <v:shape style="position:absolute;left:8286;top:5;width:1150;height:2" coordorigin="8286,5" coordsize="1150,0" path="m8286,5l943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4"/>
          <w:szCs w:val="4"/>
        </w:rPr>
      </w:pPr>
    </w:p>
    <w:p>
      <w:pPr>
        <w:pStyle w:val="BodyText"/>
        <w:tabs>
          <w:tab w:pos="2960" w:val="left" w:leader="none"/>
          <w:tab w:pos="8528" w:val="left" w:leader="none"/>
          <w:tab w:pos="9913" w:val="left" w:leader="none"/>
        </w:tabs>
        <w:spacing w:line="240" w:lineRule="auto" w:before="44"/>
        <w:ind w:left="1418" w:right="1117"/>
        <w:jc w:val="left"/>
        <w:rPr>
          <w:rFonts w:ascii="Times New Roman" w:hAnsi="Times New Roman" w:cs="Times New Roman" w:eastAsia="Times New Roman" w:hint="default"/>
        </w:rPr>
      </w:pPr>
      <w:r>
        <w:rPr/>
        <w:t>应收账款</w:t>
        <w:tab/>
        <w:t>人民东方出版传媒有限公司</w:t>
        <w:tab/>
      </w:r>
      <w:r>
        <w:rPr>
          <w:rFonts w:ascii="Times New Roman" w:hAnsi="Times New Roman" w:cs="Times New Roman" w:eastAsia="Times New Roman" w:hint="default"/>
          <w:spacing w:val="-1"/>
        </w:rPr>
        <w:t>3,433,104.55</w:t>
        <w:tab/>
      </w:r>
      <w:r>
        <w:rPr>
          <w:rFonts w:ascii="Times New Roman" w:hAnsi="Times New Roman" w:cs="Times New Roman" w:eastAsia="Times New Roman" w:hint="default"/>
        </w:rPr>
        <w:t>34,331.05</w:t>
      </w:r>
    </w:p>
    <w:p>
      <w:pPr>
        <w:spacing w:line="240" w:lineRule="auto" w:before="9"/>
        <w:rPr>
          <w:rFonts w:ascii="Times New Roman" w:hAnsi="Times New Roman" w:cs="Times New Roman" w:eastAsia="Times New Roman" w:hint="default"/>
          <w:sz w:val="12"/>
          <w:szCs w:val="12"/>
        </w:rPr>
      </w:pPr>
    </w:p>
    <w:p>
      <w:pPr>
        <w:pStyle w:val="BodyText"/>
        <w:tabs>
          <w:tab w:pos="8528" w:val="left" w:leader="none"/>
          <w:tab w:pos="9913" w:val="left" w:leader="none"/>
        </w:tabs>
        <w:spacing w:line="240" w:lineRule="auto" w:before="44"/>
        <w:ind w:left="1418" w:right="1117"/>
        <w:jc w:val="left"/>
        <w:rPr>
          <w:rFonts w:ascii="Times New Roman" w:hAnsi="Times New Roman" w:cs="Times New Roman" w:eastAsia="Times New Roman" w:hint="default"/>
        </w:rPr>
      </w:pPr>
      <w:r>
        <w:rPr/>
        <w:t>应收账款合计</w:t>
        <w:tab/>
      </w:r>
      <w:r>
        <w:rPr>
          <w:rFonts w:ascii="Times New Roman" w:hAnsi="Times New Roman" w:cs="Times New Roman" w:eastAsia="Times New Roman" w:hint="default"/>
        </w:rPr>
      </w:r>
      <w:r>
        <w:rPr>
          <w:rFonts w:ascii="Times New Roman" w:hAnsi="Times New Roman" w:cs="Times New Roman" w:eastAsia="Times New Roman" w:hint="default"/>
          <w:spacing w:val="-1"/>
          <w:u w:val="thick" w:color="000000"/>
        </w:rPr>
        <w:t>3,433,104.55</w:t>
      </w:r>
      <w:r>
        <w:rPr>
          <w:rFonts w:ascii="Times New Roman" w:hAnsi="Times New Roman" w:cs="Times New Roman" w:eastAsia="Times New Roman" w:hint="default"/>
          <w:spacing w:val="-1"/>
        </w:rPr>
        <w:tab/>
      </w:r>
      <w:r>
        <w:rPr>
          <w:rFonts w:ascii="Times New Roman" w:hAnsi="Times New Roman" w:cs="Times New Roman" w:eastAsia="Times New Roman" w:hint="default"/>
          <w:u w:val="thick" w:color="000000"/>
        </w:rPr>
        <w:t>34,331.05</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type w:val="continuous"/>
          <w:pgSz w:w="11910" w:h="16840"/>
          <w:pgMar w:top="780" w:bottom="840" w:left="0" w:right="0"/>
        </w:sect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1418" w:right="-20"/>
        <w:jc w:val="left"/>
      </w:pPr>
      <w:r>
        <w:rPr/>
        <w:t>预付款项</w:t>
      </w:r>
    </w:p>
    <w:p>
      <w:pPr>
        <w:pStyle w:val="BodyText"/>
        <w:spacing w:line="240" w:lineRule="auto" w:before="44"/>
        <w:ind w:left="782" w:right="-17"/>
        <w:jc w:val="left"/>
      </w:pPr>
      <w:r>
        <w:rPr>
          <w:spacing w:val="-2"/>
        </w:rPr>
        <w:br w:type="column"/>
      </w:r>
      <w:r>
        <w:rPr>
          <w:spacing w:val="-2"/>
        </w:rPr>
        <w:t>华育今典（天津）版权服务合伙企业</w:t>
      </w:r>
    </w:p>
    <w:p>
      <w:pPr>
        <w:pStyle w:val="BodyText"/>
        <w:spacing w:line="240" w:lineRule="auto" w:before="124"/>
        <w:ind w:left="893" w:right="-17"/>
        <w:jc w:val="left"/>
      </w:pPr>
      <w:r>
        <w:rPr/>
        <w:t>（有限合伙）</w:t>
      </w:r>
    </w:p>
    <w:p>
      <w:pPr>
        <w:spacing w:line="240" w:lineRule="auto" w:before="5"/>
        <w:rPr>
          <w:rFonts w:ascii="宋体" w:hAnsi="宋体" w:cs="宋体" w:eastAsia="宋体" w:hint="default"/>
          <w:sz w:val="20"/>
          <w:szCs w:val="20"/>
        </w:rPr>
      </w:pPr>
      <w:r>
        <w:rPr/>
        <w:br w:type="column"/>
      </w:r>
      <w:r>
        <w:rPr>
          <w:rFonts w:ascii="宋体"/>
          <w:sz w:val="20"/>
        </w:rPr>
      </w:r>
    </w:p>
    <w:p>
      <w:pPr>
        <w:pStyle w:val="BodyText"/>
        <w:tabs>
          <w:tab w:pos="2810" w:val="left" w:leader="none"/>
        </w:tabs>
        <w:spacing w:line="240" w:lineRule="auto"/>
        <w:ind w:left="280" w:right="0"/>
        <w:jc w:val="left"/>
        <w:rPr>
          <w:rFonts w:ascii="Times New Roman" w:hAnsi="Times New Roman" w:cs="Times New Roman" w:eastAsia="Times New Roman" w:hint="default"/>
        </w:rPr>
      </w:pPr>
      <w:r>
        <w:rPr>
          <w:rFonts w:ascii="Times New Roman"/>
        </w:rPr>
        <w:t>704,185.43</w:t>
        <w:tab/>
        <w:t>712,562.82</w:t>
      </w:r>
    </w:p>
    <w:p>
      <w:pPr>
        <w:spacing w:after="0" w:line="240" w:lineRule="auto"/>
        <w:jc w:val="left"/>
        <w:rPr>
          <w:rFonts w:ascii="Times New Roman" w:hAnsi="Times New Roman" w:cs="Times New Roman" w:eastAsia="Times New Roman" w:hint="default"/>
        </w:rPr>
        <w:sectPr>
          <w:type w:val="continuous"/>
          <w:pgSz w:w="11910" w:h="16840"/>
          <w:pgMar w:top="780" w:bottom="840" w:left="0" w:right="0"/>
          <w:cols w:num="3" w:equalWidth="0">
            <w:col w:w="2139" w:space="40"/>
            <w:col w:w="3634" w:space="40"/>
            <w:col w:w="6057"/>
          </w:cols>
        </w:sectPr>
      </w:pPr>
    </w:p>
    <w:p>
      <w:pPr>
        <w:spacing w:line="240" w:lineRule="auto" w:before="10"/>
        <w:rPr>
          <w:rFonts w:ascii="Times New Roman" w:hAnsi="Times New Roman" w:cs="Times New Roman" w:eastAsia="Times New Roman" w:hint="default"/>
          <w:sz w:val="13"/>
          <w:szCs w:val="13"/>
        </w:rPr>
      </w:pPr>
    </w:p>
    <w:tbl>
      <w:tblPr>
        <w:tblW w:w="0" w:type="auto"/>
        <w:jc w:val="left"/>
        <w:tblInd w:w="1383" w:type="dxa"/>
        <w:tblLayout w:type="fixed"/>
        <w:tblCellMar>
          <w:top w:w="0" w:type="dxa"/>
          <w:left w:w="0" w:type="dxa"/>
          <w:bottom w:w="0" w:type="dxa"/>
          <w:right w:w="0" w:type="dxa"/>
        </w:tblCellMar>
        <w:tblLook w:val="01E0"/>
      </w:tblPr>
      <w:tblGrid>
        <w:gridCol w:w="1436"/>
        <w:gridCol w:w="2987"/>
        <w:gridCol w:w="1429"/>
        <w:gridCol w:w="1175"/>
        <w:gridCol w:w="1306"/>
        <w:gridCol w:w="953"/>
      </w:tblGrid>
      <w:tr>
        <w:trPr>
          <w:trHeight w:val="415"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预付款项合计</w:t>
            </w:r>
          </w:p>
        </w:tc>
        <w:tc>
          <w:tcPr>
            <w:tcW w:w="2987"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704,185.43</w:t>
            </w:r>
            <w:r>
              <w:rPr>
                <w:rFonts w:ascii="Times New Roman"/>
                <w:sz w:val="18"/>
              </w:rPr>
            </w:r>
          </w:p>
        </w:tc>
        <w:tc>
          <w:tcPr>
            <w:tcW w:w="11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712,562.82</w:t>
            </w:r>
            <w:r>
              <w:rPr>
                <w:rFonts w:ascii="Times New Roman"/>
                <w:sz w:val="18"/>
              </w:rPr>
            </w:r>
          </w:p>
        </w:tc>
        <w:tc>
          <w:tcPr>
            <w:tcW w:w="953" w:type="dxa"/>
            <w:tcBorders>
              <w:top w:val="nil" w:sz="6" w:space="0" w:color="auto"/>
              <w:left w:val="nil" w:sz="6" w:space="0" w:color="auto"/>
              <w:bottom w:val="nil" w:sz="6" w:space="0" w:color="auto"/>
              <w:right w:val="nil" w:sz="6" w:space="0" w:color="auto"/>
            </w:tcBorders>
          </w:tcPr>
          <w:p>
            <w:pPr/>
          </w:p>
        </w:tc>
      </w:tr>
      <w:tr>
        <w:trPr>
          <w:trHeight w:val="440"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1"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1429"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0"/>
              <w:jc w:val="right"/>
              <w:rPr>
                <w:rFonts w:ascii="Times New Roman" w:hAnsi="Times New Roman" w:cs="Times New Roman" w:eastAsia="Times New Roman" w:hint="default"/>
                <w:sz w:val="18"/>
                <w:szCs w:val="18"/>
              </w:rPr>
            </w:pPr>
            <w:r>
              <w:rPr>
                <w:rFonts w:ascii="Times New Roman"/>
                <w:sz w:val="18"/>
              </w:rPr>
              <w:t>138,783.91</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1,387.84</w:t>
            </w:r>
          </w:p>
        </w:tc>
      </w:tr>
      <w:tr>
        <w:trPr>
          <w:trHeight w:val="440"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1"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429"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0"/>
              <w:jc w:val="right"/>
              <w:rPr>
                <w:rFonts w:ascii="Times New Roman" w:hAnsi="Times New Roman" w:cs="Times New Roman" w:eastAsia="Times New Roman" w:hint="default"/>
                <w:sz w:val="18"/>
                <w:szCs w:val="18"/>
              </w:rPr>
            </w:pPr>
            <w:r>
              <w:rPr>
                <w:rFonts w:ascii="Times New Roman"/>
                <w:sz w:val="18"/>
              </w:rPr>
              <w:t>3,767.63</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188.3815</w:t>
            </w:r>
          </w:p>
        </w:tc>
      </w:tr>
      <w:tr>
        <w:trPr>
          <w:trHeight w:val="440"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1" w:right="0"/>
              <w:jc w:val="left"/>
              <w:rPr>
                <w:rFonts w:ascii="宋体" w:hAnsi="宋体" w:cs="宋体" w:eastAsia="宋体" w:hint="default"/>
                <w:sz w:val="18"/>
                <w:szCs w:val="18"/>
              </w:rPr>
            </w:pPr>
            <w:r>
              <w:rPr>
                <w:rFonts w:ascii="宋体" w:hAnsi="宋体" w:cs="宋体" w:eastAsia="宋体" w:hint="default"/>
                <w:sz w:val="18"/>
                <w:szCs w:val="18"/>
              </w:rPr>
              <w:t>人民天舟（北京）出版有限公司</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89"/>
              <w:jc w:val="right"/>
              <w:rPr>
                <w:rFonts w:ascii="Times New Roman" w:hAnsi="Times New Roman" w:cs="Times New Roman" w:eastAsia="Times New Roman" w:hint="default"/>
                <w:sz w:val="18"/>
                <w:szCs w:val="18"/>
              </w:rPr>
            </w:pPr>
            <w:r>
              <w:rPr>
                <w:rFonts w:ascii="Times New Roman"/>
                <w:sz w:val="18"/>
              </w:rPr>
              <w:t>4,659.91</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0"/>
              <w:jc w:val="right"/>
              <w:rPr>
                <w:rFonts w:ascii="Times New Roman" w:hAnsi="Times New Roman" w:cs="Times New Roman" w:eastAsia="Times New Roman" w:hint="default"/>
                <w:sz w:val="18"/>
                <w:szCs w:val="18"/>
              </w:rPr>
            </w:pPr>
            <w:r>
              <w:rPr>
                <w:rFonts w:ascii="Times New Roman"/>
                <w:sz w:val="18"/>
              </w:rPr>
              <w:t>46.60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0"/>
              <w:jc w:val="right"/>
              <w:rPr>
                <w:rFonts w:ascii="Times New Roman" w:hAnsi="Times New Roman" w:cs="Times New Roman" w:eastAsia="Times New Roman" w:hint="default"/>
                <w:sz w:val="18"/>
                <w:szCs w:val="18"/>
              </w:rPr>
            </w:pPr>
            <w:r>
              <w:rPr>
                <w:rFonts w:ascii="Times New Roman"/>
                <w:sz w:val="18"/>
              </w:rPr>
              <w:t>2,068.00</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20.68</w:t>
            </w:r>
          </w:p>
        </w:tc>
      </w:tr>
      <w:tr>
        <w:trPr>
          <w:trHeight w:val="441"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1"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9"/>
              <w:jc w:val="right"/>
              <w:rPr>
                <w:rFonts w:ascii="Times New Roman" w:hAnsi="Times New Roman" w:cs="Times New Roman" w:eastAsia="Times New Roman" w:hint="default"/>
                <w:sz w:val="18"/>
                <w:szCs w:val="18"/>
              </w:rPr>
            </w:pPr>
            <w:r>
              <w:rPr>
                <w:rFonts w:ascii="Times New Roman"/>
                <w:sz w:val="18"/>
              </w:rPr>
              <w:t>20,240.00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0"/>
              <w:jc w:val="right"/>
              <w:rPr>
                <w:rFonts w:ascii="Times New Roman" w:hAnsi="Times New Roman" w:cs="Times New Roman" w:eastAsia="Times New Roman" w:hint="default"/>
                <w:sz w:val="18"/>
                <w:szCs w:val="18"/>
              </w:rPr>
            </w:pPr>
            <w:r>
              <w:rPr>
                <w:rFonts w:ascii="Times New Roman"/>
                <w:sz w:val="18"/>
              </w:rPr>
              <w:t>6,072.00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0"/>
              <w:jc w:val="right"/>
              <w:rPr>
                <w:rFonts w:ascii="Times New Roman" w:hAnsi="Times New Roman" w:cs="Times New Roman" w:eastAsia="Times New Roman" w:hint="default"/>
                <w:sz w:val="18"/>
                <w:szCs w:val="18"/>
              </w:rPr>
            </w:pPr>
            <w:r>
              <w:rPr>
                <w:rFonts w:ascii="Times New Roman"/>
                <w:sz w:val="18"/>
              </w:rPr>
              <w:t>20,240.00</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t>1,012.00</w:t>
            </w:r>
          </w:p>
        </w:tc>
      </w:tr>
      <w:tr>
        <w:trPr>
          <w:trHeight w:val="415" w:hRule="exact"/>
        </w:trPr>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其他应收款合计</w:t>
            </w:r>
          </w:p>
        </w:tc>
        <w:tc>
          <w:tcPr>
            <w:tcW w:w="2987"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9"/>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24,899.91</w:t>
            </w:r>
            <w:r>
              <w:rPr>
                <w:rFonts w:ascii="Times New Roman"/>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50"/>
              <w:jc w:val="right"/>
              <w:rPr>
                <w:rFonts w:ascii="Times New Roman" w:hAnsi="Times New Roman" w:cs="Times New Roman" w:eastAsia="Times New Roman" w:hint="default"/>
                <w:sz w:val="18"/>
                <w:szCs w:val="18"/>
              </w:rPr>
            </w:pPr>
            <w:r>
              <w:rPr>
                <w:rFonts w:ascii="Times New Roman"/>
                <w:sz w:val="18"/>
              </w:rPr>
            </w:r>
            <w:r>
              <w:rPr>
                <w:rFonts w:ascii="Times New Roman"/>
                <w:spacing w:val="-1"/>
                <w:w w:val="95"/>
                <w:sz w:val="18"/>
                <w:u w:val="thick" w:color="000000"/>
              </w:rPr>
              <w:t>6,118.60</w:t>
            </w:r>
            <w:r>
              <w:rPr>
                <w:rFonts w:ascii="Times New Roman"/>
                <w:spacing w:val="-1"/>
                <w:w w:val="95"/>
                <w:sz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40"/>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164,859.54</w:t>
            </w:r>
            <w:r>
              <w:rPr>
                <w:rFonts w:ascii="Times New Roman"/>
                <w:sz w:val="18"/>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2,608.90</w:t>
            </w:r>
            <w:r>
              <w:rPr>
                <w:rFonts w:ascii="Times New Roman"/>
                <w:sz w:val="18"/>
              </w:rPr>
            </w:r>
          </w:p>
        </w:tc>
      </w:tr>
    </w:tbl>
    <w:p>
      <w:pPr>
        <w:spacing w:line="240" w:lineRule="auto" w:before="2"/>
        <w:rPr>
          <w:rFonts w:ascii="Times New Roman" w:hAnsi="Times New Roman" w:cs="Times New Roman" w:eastAsia="Times New Roman" w:hint="default"/>
          <w:sz w:val="25"/>
          <w:szCs w:val="25"/>
        </w:rPr>
      </w:pPr>
    </w:p>
    <w:p>
      <w:pPr>
        <w:pStyle w:val="BodyText"/>
        <w:spacing w:line="240" w:lineRule="auto" w:before="44"/>
        <w:ind w:right="1117"/>
        <w:jc w:val="left"/>
      </w:pPr>
      <w:r>
        <w:rPr/>
        <w:t>（</w:t>
      </w:r>
      <w:r>
        <w:rPr>
          <w:rFonts w:ascii="Times New Roman" w:hAnsi="Times New Roman" w:cs="Times New Roman" w:eastAsia="Times New Roman" w:hint="default"/>
        </w:rPr>
        <w:t>2</w:t>
      </w:r>
      <w:r>
        <w:rPr/>
        <w:t>）应付关联方款项</w:t>
      </w:r>
    </w:p>
    <w:p>
      <w:pPr>
        <w:spacing w:after="0" w:line="240" w:lineRule="auto"/>
        <w:jc w:val="left"/>
        <w:sectPr>
          <w:type w:val="continuous"/>
          <w:pgSz w:w="11910" w:h="16840"/>
          <w:pgMar w:top="780" w:bottom="84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1702"/>
        <w:gridCol w:w="4176"/>
        <w:gridCol w:w="1869"/>
        <w:gridCol w:w="1685"/>
      </w:tblGrid>
      <w:tr>
        <w:trPr>
          <w:trHeight w:val="272"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180" w:lineRule="exact"/>
              <w:ind w:left="60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176"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69" w:type="dxa"/>
            <w:tcBorders>
              <w:top w:val="nil" w:sz="6" w:space="0" w:color="auto"/>
              <w:left w:val="nil" w:sz="6" w:space="0" w:color="auto"/>
              <w:bottom w:val="single" w:sz="4" w:space="0" w:color="000000"/>
              <w:right w:val="nil" w:sz="6" w:space="0" w:color="auto"/>
            </w:tcBorders>
          </w:tcPr>
          <w:p>
            <w:pPr>
              <w:pStyle w:val="TableParagraph"/>
              <w:spacing w:line="180" w:lineRule="exact"/>
              <w:ind w:left="421"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685" w:type="dxa"/>
            <w:tcBorders>
              <w:top w:val="nil" w:sz="6" w:space="0" w:color="auto"/>
              <w:left w:val="nil" w:sz="6" w:space="0" w:color="auto"/>
              <w:bottom w:val="single" w:sz="4" w:space="0" w:color="000000"/>
              <w:right w:val="nil" w:sz="6" w:space="0" w:color="auto"/>
            </w:tcBorders>
          </w:tcPr>
          <w:p>
            <w:pPr>
              <w:pStyle w:val="TableParagraph"/>
              <w:spacing w:line="180" w:lineRule="exact"/>
              <w:ind w:left="395"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493"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7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33" w:right="0"/>
              <w:jc w:val="left"/>
              <w:rPr>
                <w:rFonts w:ascii="宋体" w:hAnsi="宋体" w:cs="宋体" w:eastAsia="宋体" w:hint="default"/>
                <w:sz w:val="18"/>
                <w:szCs w:val="18"/>
              </w:rPr>
            </w:pPr>
            <w:r>
              <w:rPr>
                <w:rFonts w:ascii="宋体" w:hAnsi="宋体" w:cs="宋体" w:eastAsia="宋体" w:hint="default"/>
                <w:sz w:val="18"/>
                <w:szCs w:val="18"/>
              </w:rPr>
              <w:t>人民东方出版传媒有限公司</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362"/>
              <w:jc w:val="right"/>
              <w:rPr>
                <w:rFonts w:ascii="Times New Roman" w:hAnsi="Times New Roman" w:cs="Times New Roman" w:eastAsia="Times New Roman" w:hint="default"/>
                <w:sz w:val="18"/>
                <w:szCs w:val="18"/>
              </w:rPr>
            </w:pPr>
            <w:r>
              <w:rPr>
                <w:rFonts w:ascii="Times New Roman"/>
                <w:spacing w:val="-1"/>
                <w:sz w:val="18"/>
              </w:rPr>
              <w:t>6,310,066.36</w:t>
            </w: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93"/>
              <w:jc w:val="right"/>
              <w:rPr>
                <w:rFonts w:ascii="Times New Roman" w:hAnsi="Times New Roman" w:cs="Times New Roman" w:eastAsia="Times New Roman" w:hint="default"/>
                <w:sz w:val="18"/>
                <w:szCs w:val="18"/>
              </w:rPr>
            </w:pPr>
            <w:r>
              <w:rPr>
                <w:rFonts w:ascii="Times New Roman"/>
                <w:spacing w:val="-1"/>
                <w:sz w:val="18"/>
              </w:rPr>
              <w:t>26,009,788.07</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海南元游信息技术有限公司</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pacing w:val="-1"/>
                <w:sz w:val="18"/>
              </w:rPr>
              <w:t>77,412,413.65</w:t>
            </w:r>
          </w:p>
        </w:tc>
        <w:tc>
          <w:tcPr>
            <w:tcW w:w="1685" w:type="dxa"/>
            <w:tcBorders>
              <w:top w:val="nil" w:sz="6" w:space="0" w:color="auto"/>
              <w:left w:val="nil" w:sz="6" w:space="0" w:color="auto"/>
              <w:bottom w:val="nil" w:sz="6" w:space="0" w:color="auto"/>
              <w:right w:val="nil" w:sz="6" w:space="0" w:color="auto"/>
            </w:tcBorders>
          </w:tcPr>
          <w:p>
            <w:pP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应付账款合计</w:t>
            </w:r>
          </w:p>
        </w:tc>
        <w:tc>
          <w:tcPr>
            <w:tcW w:w="4176"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83,722,480.01</w:t>
            </w:r>
            <w:r>
              <w:rPr>
                <w:rFonts w:ascii="Times New Roman"/>
                <w:spacing w:val="-1"/>
                <w:sz w:val="18"/>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26,009,788.07</w:t>
            </w:r>
            <w:r>
              <w:rPr>
                <w:rFonts w:ascii="Times New Roman"/>
                <w:spacing w:val="-1"/>
                <w:sz w:val="18"/>
              </w:rPr>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pacing w:val="-1"/>
                <w:sz w:val="18"/>
              </w:rPr>
              <w:t>23,158,484.23</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8"/>
                <w:szCs w:val="18"/>
              </w:rPr>
            </w:pPr>
            <w:r>
              <w:rPr>
                <w:rFonts w:ascii="Times New Roman"/>
                <w:spacing w:val="-1"/>
                <w:sz w:val="18"/>
              </w:rPr>
              <w:t>46,316,968.46</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pacing w:val="-1"/>
                <w:sz w:val="18"/>
              </w:rPr>
              <w:t>22,260,117.26</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8"/>
                <w:szCs w:val="18"/>
              </w:rPr>
            </w:pPr>
            <w:r>
              <w:rPr>
                <w:rFonts w:ascii="Times New Roman"/>
                <w:spacing w:val="-1"/>
                <w:sz w:val="18"/>
              </w:rPr>
              <w:t>44,520,234.52</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2"/>
              <w:jc w:val="right"/>
              <w:rPr>
                <w:rFonts w:ascii="Times New Roman" w:hAnsi="Times New Roman" w:cs="Times New Roman" w:eastAsia="Times New Roman" w:hint="default"/>
                <w:sz w:val="18"/>
                <w:szCs w:val="18"/>
              </w:rPr>
            </w:pPr>
            <w:r>
              <w:rPr>
                <w:rFonts w:ascii="Times New Roman"/>
                <w:spacing w:val="-1"/>
                <w:sz w:val="18"/>
              </w:rPr>
              <w:t>15,896,578.18</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3"/>
              <w:jc w:val="right"/>
              <w:rPr>
                <w:rFonts w:ascii="Times New Roman" w:hAnsi="Times New Roman" w:cs="Times New Roman" w:eastAsia="Times New Roman" w:hint="default"/>
                <w:sz w:val="18"/>
                <w:szCs w:val="18"/>
              </w:rPr>
            </w:pPr>
            <w:r>
              <w:rPr>
                <w:rFonts w:ascii="Times New Roman"/>
                <w:spacing w:val="-1"/>
                <w:sz w:val="18"/>
              </w:rPr>
              <w:t>31,793,156.36</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pacing w:val="-1"/>
                <w:sz w:val="18"/>
              </w:rPr>
              <w:t>14,412,732.47</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8"/>
                <w:szCs w:val="18"/>
              </w:rPr>
            </w:pPr>
            <w:r>
              <w:rPr>
                <w:rFonts w:ascii="Times New Roman"/>
                <w:spacing w:val="-1"/>
                <w:sz w:val="18"/>
              </w:rPr>
              <w:t>28,825,464.95</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pacing w:val="-1"/>
                <w:sz w:val="18"/>
              </w:rPr>
              <w:t>13,950,890.38</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8"/>
                <w:szCs w:val="18"/>
              </w:rPr>
            </w:pPr>
            <w:r>
              <w:rPr>
                <w:rFonts w:ascii="Times New Roman"/>
                <w:spacing w:val="-1"/>
                <w:sz w:val="18"/>
              </w:rPr>
              <w:t>27,901,780.75</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2"/>
              <w:jc w:val="right"/>
              <w:rPr>
                <w:rFonts w:ascii="Times New Roman" w:hAnsi="Times New Roman" w:cs="Times New Roman" w:eastAsia="Times New Roman" w:hint="default"/>
                <w:sz w:val="18"/>
                <w:szCs w:val="18"/>
              </w:rPr>
            </w:pPr>
            <w:r>
              <w:rPr>
                <w:rFonts w:ascii="Times New Roman"/>
                <w:spacing w:val="-1"/>
                <w:sz w:val="18"/>
              </w:rPr>
              <w:t>1,465,542.29</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2"/>
              <w:jc w:val="right"/>
              <w:rPr>
                <w:rFonts w:ascii="Times New Roman" w:hAnsi="Times New Roman" w:cs="Times New Roman" w:eastAsia="Times New Roman" w:hint="default"/>
                <w:sz w:val="18"/>
                <w:szCs w:val="18"/>
              </w:rPr>
            </w:pPr>
            <w:r>
              <w:rPr>
                <w:rFonts w:ascii="Times New Roman"/>
                <w:sz w:val="18"/>
              </w:rPr>
              <w:t>802,012.61</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其他应付款合计</w:t>
            </w:r>
          </w:p>
        </w:tc>
        <w:tc>
          <w:tcPr>
            <w:tcW w:w="4176"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91,144,344.81</w:t>
            </w:r>
            <w:r>
              <w:rPr>
                <w:rFonts w:ascii="Times New Roman"/>
                <w:spacing w:val="-1"/>
                <w:sz w:val="18"/>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180,159,617.65</w:t>
            </w:r>
            <w:r>
              <w:rPr>
                <w:rFonts w:ascii="Times New Roman"/>
                <w:spacing w:val="-1"/>
                <w:sz w:val="18"/>
              </w:rPr>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袁雄贵</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pacing w:val="-1"/>
                <w:sz w:val="18"/>
              </w:rPr>
              <w:t>4,019,724.80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8"/>
                <w:szCs w:val="18"/>
              </w:rPr>
            </w:pPr>
            <w:r>
              <w:rPr>
                <w:rFonts w:ascii="Times New Roman"/>
                <w:spacing w:val="-1"/>
                <w:sz w:val="18"/>
              </w:rPr>
              <w:t>4,019,724.80</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李道龙</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2"/>
              <w:jc w:val="right"/>
              <w:rPr>
                <w:rFonts w:ascii="Times New Roman" w:hAnsi="Times New Roman" w:cs="Times New Roman" w:eastAsia="Times New Roman" w:hint="default"/>
                <w:sz w:val="18"/>
                <w:szCs w:val="18"/>
              </w:rPr>
            </w:pPr>
            <w:r>
              <w:rPr>
                <w:rFonts w:ascii="Times New Roman"/>
                <w:spacing w:val="-1"/>
                <w:sz w:val="18"/>
              </w:rPr>
              <w:t>1,752,249.60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3"/>
              <w:jc w:val="right"/>
              <w:rPr>
                <w:rFonts w:ascii="Times New Roman" w:hAnsi="Times New Roman" w:cs="Times New Roman" w:eastAsia="Times New Roman" w:hint="default"/>
                <w:sz w:val="18"/>
                <w:szCs w:val="18"/>
              </w:rPr>
            </w:pPr>
            <w:r>
              <w:rPr>
                <w:rFonts w:ascii="Times New Roman"/>
                <w:spacing w:val="-1"/>
                <w:sz w:val="18"/>
              </w:rPr>
              <w:t>1,752,249.60</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成仁风</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pacing w:val="-1"/>
                <w:sz w:val="18"/>
              </w:rPr>
              <w:t>1,640,669.20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8"/>
                <w:szCs w:val="18"/>
              </w:rPr>
            </w:pPr>
            <w:r>
              <w:rPr>
                <w:rFonts w:ascii="Times New Roman"/>
                <w:spacing w:val="-1"/>
                <w:sz w:val="18"/>
              </w:rPr>
              <w:t>1,640,669.20</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申徐洲</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pacing w:val="-1"/>
                <w:sz w:val="18"/>
              </w:rPr>
              <w:t>1,134,526.40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3"/>
              <w:jc w:val="right"/>
              <w:rPr>
                <w:rFonts w:ascii="Times New Roman" w:hAnsi="Times New Roman" w:cs="Times New Roman" w:eastAsia="Times New Roman" w:hint="default"/>
                <w:sz w:val="18"/>
                <w:szCs w:val="18"/>
              </w:rPr>
            </w:pPr>
            <w:r>
              <w:rPr>
                <w:rFonts w:ascii="Times New Roman"/>
                <w:spacing w:val="-1"/>
                <w:sz w:val="18"/>
              </w:rPr>
              <w:t>1,134,526.40</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樟树市悦玩投资管理中心（有限合伙）</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2"/>
              <w:jc w:val="right"/>
              <w:rPr>
                <w:rFonts w:ascii="Times New Roman" w:hAnsi="Times New Roman" w:cs="Times New Roman" w:eastAsia="Times New Roman" w:hint="default"/>
                <w:sz w:val="18"/>
                <w:szCs w:val="18"/>
              </w:rPr>
            </w:pPr>
            <w:r>
              <w:rPr>
                <w:rFonts w:ascii="Times New Roman"/>
                <w:spacing w:val="-1"/>
                <w:sz w:val="18"/>
              </w:rPr>
              <w:t>1,407,747.00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3"/>
              <w:jc w:val="right"/>
              <w:rPr>
                <w:rFonts w:ascii="Times New Roman" w:hAnsi="Times New Roman" w:cs="Times New Roman" w:eastAsia="Times New Roman" w:hint="default"/>
                <w:sz w:val="18"/>
                <w:szCs w:val="18"/>
              </w:rPr>
            </w:pPr>
            <w:r>
              <w:rPr>
                <w:rFonts w:ascii="Times New Roman"/>
                <w:spacing w:val="-1"/>
                <w:sz w:val="18"/>
              </w:rPr>
              <w:t>1,407,747.00</w:t>
            </w:r>
          </w:p>
        </w:tc>
      </w:tr>
      <w:tr>
        <w:trPr>
          <w:trHeight w:val="441"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33" w:right="0"/>
              <w:jc w:val="left"/>
              <w:rPr>
                <w:rFonts w:ascii="宋体" w:hAnsi="宋体" w:cs="宋体" w:eastAsia="宋体" w:hint="default"/>
                <w:sz w:val="18"/>
                <w:szCs w:val="18"/>
              </w:rPr>
            </w:pPr>
            <w:r>
              <w:rPr>
                <w:rFonts w:ascii="宋体" w:hAnsi="宋体" w:cs="宋体" w:eastAsia="宋体" w:hint="default"/>
                <w:sz w:val="18"/>
                <w:szCs w:val="18"/>
              </w:rPr>
              <w:t>李冰</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z w:val="18"/>
              </w:rPr>
              <w:t>988,354.80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z w:val="18"/>
              </w:rPr>
              <w:t>988,354.80</w:t>
            </w:r>
          </w:p>
        </w:tc>
      </w:tr>
      <w:tr>
        <w:trPr>
          <w:trHeight w:val="44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3" w:right="0"/>
              <w:jc w:val="left"/>
              <w:rPr>
                <w:rFonts w:ascii="宋体" w:hAnsi="宋体" w:cs="宋体" w:eastAsia="宋体" w:hint="default"/>
                <w:sz w:val="18"/>
                <w:szCs w:val="18"/>
              </w:rPr>
            </w:pPr>
            <w:r>
              <w:rPr>
                <w:rFonts w:ascii="宋体" w:hAnsi="宋体" w:cs="宋体" w:eastAsia="宋体" w:hint="default"/>
                <w:sz w:val="18"/>
                <w:szCs w:val="18"/>
              </w:rPr>
              <w:t>新余高新区和也投资管理中心（有限合伙）</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2"/>
              <w:jc w:val="right"/>
              <w:rPr>
                <w:rFonts w:ascii="Times New Roman" w:hAnsi="Times New Roman" w:cs="Times New Roman" w:eastAsia="Times New Roman" w:hint="default"/>
                <w:sz w:val="18"/>
                <w:szCs w:val="18"/>
              </w:rPr>
            </w:pPr>
            <w:r>
              <w:rPr>
                <w:rFonts w:ascii="Times New Roman"/>
                <w:sz w:val="18"/>
              </w:rPr>
              <w:t>103,515.50</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2"/>
              <w:jc w:val="right"/>
              <w:rPr>
                <w:rFonts w:ascii="Times New Roman" w:hAnsi="Times New Roman" w:cs="Times New Roman" w:eastAsia="Times New Roman" w:hint="default"/>
                <w:sz w:val="18"/>
                <w:szCs w:val="18"/>
              </w:rPr>
            </w:pPr>
            <w:r>
              <w:rPr>
                <w:rFonts w:ascii="Times New Roman"/>
                <w:sz w:val="18"/>
              </w:rPr>
              <w:t>103,515.50</w:t>
            </w:r>
          </w:p>
        </w:tc>
      </w:tr>
      <w:tr>
        <w:trPr>
          <w:trHeight w:val="315"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长期应付款合计</w:t>
            </w:r>
          </w:p>
        </w:tc>
        <w:tc>
          <w:tcPr>
            <w:tcW w:w="4176"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11,046,787.30</w:t>
            </w:r>
            <w:r>
              <w:rPr>
                <w:rFonts w:ascii="Times New Roman"/>
                <w:spacing w:val="-1"/>
                <w:sz w:val="18"/>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11,046,787.30</w:t>
            </w:r>
            <w:r>
              <w:rPr>
                <w:rFonts w:ascii="Times New Roman"/>
                <w:spacing w:val="-1"/>
                <w:sz w:val="18"/>
              </w:rPr>
            </w:r>
          </w:p>
        </w:tc>
      </w:tr>
    </w:tbl>
    <w:p>
      <w:pPr>
        <w:spacing w:line="240" w:lineRule="auto" w:before="7"/>
        <w:rPr>
          <w:rFonts w:ascii="宋体" w:hAnsi="宋体" w:cs="宋体" w:eastAsia="宋体" w:hint="default"/>
          <w:sz w:val="11"/>
          <w:szCs w:val="11"/>
        </w:rPr>
      </w:pPr>
    </w:p>
    <w:p>
      <w:pPr>
        <w:pStyle w:val="BodyText"/>
        <w:spacing w:line="496" w:lineRule="auto" w:before="44"/>
        <w:ind w:right="7588"/>
        <w:jc w:val="left"/>
      </w:pPr>
      <w:bookmarkStart w:name="8.关联方承诺事项" w:id="266"/>
      <w:bookmarkEnd w:id="266"/>
      <w:r>
        <w:rPr/>
      </w:r>
      <w:r>
        <w:rPr>
          <w:rFonts w:ascii="Times New Roman" w:hAnsi="Times New Roman" w:cs="Times New Roman" w:eastAsia="Times New Roman" w:hint="default"/>
        </w:rPr>
        <w:t>8.</w:t>
      </w:r>
      <w:r>
        <w:rPr/>
        <w:t>关联方承诺事项 本公司本期无关联方承诺事项。</w:t>
      </w:r>
    </w:p>
    <w:p>
      <w:pPr>
        <w:spacing w:line="240" w:lineRule="auto" w:before="4"/>
        <w:rPr>
          <w:rFonts w:ascii="宋体" w:hAnsi="宋体" w:cs="宋体" w:eastAsia="宋体" w:hint="default"/>
          <w:sz w:val="13"/>
          <w:szCs w:val="13"/>
        </w:rPr>
      </w:pPr>
    </w:p>
    <w:p>
      <w:pPr>
        <w:spacing w:line="547" w:lineRule="auto" w:before="0"/>
        <w:ind w:left="1838" w:right="5008" w:firstLine="62"/>
        <w:jc w:val="left"/>
        <w:rPr>
          <w:rFonts w:ascii="黑体" w:hAnsi="黑体" w:cs="黑体" w:eastAsia="黑体" w:hint="default"/>
          <w:sz w:val="24"/>
          <w:szCs w:val="24"/>
        </w:rPr>
      </w:pPr>
      <w:bookmarkStart w:name="十二、股份支付" w:id="267"/>
      <w:bookmarkEnd w:id="267"/>
      <w:r>
        <w:rPr/>
      </w:r>
      <w:r>
        <w:rPr>
          <w:rFonts w:ascii="黑体" w:hAnsi="黑体" w:cs="黑体" w:eastAsia="黑体" w:hint="default"/>
          <w:b/>
          <w:bCs/>
          <w:sz w:val="24"/>
          <w:szCs w:val="24"/>
        </w:rPr>
        <w:t>十二、股份支付</w:t>
      </w:r>
      <w:r>
        <w:rPr>
          <w:rFonts w:ascii="黑体" w:hAnsi="黑体" w:cs="黑体" w:eastAsia="黑体" w:hint="default"/>
          <w:b/>
          <w:bCs/>
          <w:w w:val="99"/>
          <w:sz w:val="24"/>
          <w:szCs w:val="24"/>
        </w:rPr>
        <w:t> </w:t>
      </w:r>
      <w:r>
        <w:rPr>
          <w:rFonts w:ascii="宋体" w:hAnsi="宋体" w:cs="宋体" w:eastAsia="宋体" w:hint="default"/>
          <w:sz w:val="21"/>
          <w:szCs w:val="21"/>
        </w:rPr>
        <w:t>截至资产负债表日，本公司无需披露的股份支付情况。 </w:t>
      </w:r>
      <w:bookmarkStart w:name="十三、承诺及或有事项" w:id="268"/>
      <w:bookmarkEnd w:id="268"/>
      <w:r>
        <w:rPr>
          <w:rFonts w:ascii="宋体" w:hAnsi="宋体" w:cs="宋体" w:eastAsia="宋体" w:hint="default"/>
          <w:sz w:val="21"/>
          <w:szCs w:val="21"/>
        </w:rPr>
      </w:r>
      <w:r>
        <w:rPr>
          <w:rFonts w:ascii="黑体" w:hAnsi="黑体" w:cs="黑体" w:eastAsia="黑体" w:hint="default"/>
          <w:b/>
          <w:bCs/>
          <w:sz w:val="24"/>
          <w:szCs w:val="24"/>
        </w:rPr>
        <w:t>十三、承诺及或有事项</w:t>
      </w:r>
      <w:r>
        <w:rPr>
          <w:rFonts w:ascii="黑体" w:hAnsi="黑体" w:cs="黑体" w:eastAsia="黑体" w:hint="default"/>
          <w:sz w:val="24"/>
          <w:szCs w:val="24"/>
        </w:rPr>
      </w:r>
    </w:p>
    <w:p>
      <w:pPr>
        <w:pStyle w:val="BodyText"/>
        <w:spacing w:line="240" w:lineRule="auto" w:before="121"/>
        <w:ind w:right="1117"/>
        <w:jc w:val="left"/>
      </w:pPr>
      <w:r>
        <w:rPr>
          <w:rFonts w:ascii="Times New Roman" w:hAnsi="Times New Roman" w:cs="Times New Roman" w:eastAsia="Times New Roman" w:hint="default"/>
        </w:rPr>
        <w:t>1.</w:t>
      </w:r>
      <w:r>
        <w:rPr/>
        <w:t>重要承诺事项</w:t>
      </w:r>
    </w:p>
    <w:p>
      <w:pPr>
        <w:spacing w:line="240" w:lineRule="auto" w:before="5"/>
        <w:rPr>
          <w:rFonts w:ascii="宋体" w:hAnsi="宋体" w:cs="宋体" w:eastAsia="宋体" w:hint="default"/>
          <w:sz w:val="20"/>
          <w:szCs w:val="20"/>
        </w:rPr>
      </w:pPr>
    </w:p>
    <w:p>
      <w:pPr>
        <w:pStyle w:val="BodyText"/>
        <w:spacing w:line="348" w:lineRule="auto"/>
        <w:ind w:left="1418" w:right="1269" w:firstLine="360"/>
        <w:jc w:val="both"/>
      </w:pPr>
      <w:r>
        <w:rPr/>
        <w:t>（</w:t>
      </w:r>
      <w:r>
        <w:rPr>
          <w:rFonts w:ascii="Times New Roman" w:hAnsi="Times New Roman" w:cs="Times New Roman" w:eastAsia="Times New Roman" w:hint="default"/>
        </w:rPr>
        <w:t>1</w:t>
      </w:r>
      <w:r>
        <w:rPr/>
        <w:t>）公司之子公司武汉中南天舟文化传媒有限公司注册资本为</w:t>
      </w:r>
      <w:r>
        <w:rPr>
          <w:rFonts w:ascii="Times New Roman" w:hAnsi="Times New Roman" w:cs="Times New Roman" w:eastAsia="Times New Roman" w:hint="default"/>
        </w:rPr>
        <w:t>500.00</w:t>
      </w:r>
      <w:r>
        <w:rPr/>
        <w:t>万元，公司认缴注册资本</w:t>
      </w:r>
      <w:r>
        <w:rPr>
          <w:rFonts w:ascii="Times New Roman" w:hAnsi="Times New Roman" w:cs="Times New Roman" w:eastAsia="Times New Roman" w:hint="default"/>
        </w:rPr>
        <w:t>200.00</w:t>
      </w:r>
      <w:r>
        <w:rPr/>
        <w:t>万元，截至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日已实缴</w:t>
      </w:r>
      <w:r>
        <w:rPr>
          <w:rFonts w:ascii="Times New Roman" w:hAnsi="Times New Roman" w:cs="Times New Roman" w:eastAsia="Times New Roman" w:hint="default"/>
        </w:rPr>
        <w:t>80.00</w:t>
      </w:r>
      <w:r>
        <w:rPr/>
        <w:t>万元，根据武汉中南天舟文化传媒有限公司章程约定剩余注册资本公司承诺将于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月</w:t>
      </w:r>
      <w:r>
        <w:rPr>
          <w:rFonts w:ascii="Times New Roman" w:hAnsi="Times New Roman" w:cs="Times New Roman" w:eastAsia="Times New Roman" w:hint="default"/>
        </w:rPr>
        <w:t>1</w:t>
      </w:r>
      <w:r>
        <w:rPr/>
        <w:t>日前缴足。</w:t>
      </w:r>
    </w:p>
    <w:p>
      <w:pPr>
        <w:spacing w:line="240" w:lineRule="auto" w:before="7"/>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2</w:t>
      </w:r>
      <w:r>
        <w:rPr/>
        <w:t>）公司之子公司广州游爱下设的子公司霍尔果斯游爱网络技术有限公司，注册资本</w:t>
      </w:r>
      <w:r>
        <w:rPr>
          <w:rFonts w:ascii="Times New Roman" w:hAnsi="Times New Roman" w:cs="Times New Roman" w:eastAsia="Times New Roman" w:hint="default"/>
        </w:rPr>
        <w:t>1,000.00</w:t>
      </w:r>
      <w:r>
        <w:rPr/>
        <w:t>万元，广州游爱认</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45" w:lineRule="auto"/>
        <w:ind w:left="1418" w:right="1258"/>
        <w:jc w:val="left"/>
      </w:pPr>
      <w:r>
        <w:rPr>
          <w:spacing w:val="-1"/>
        </w:rPr>
        <w:t>缴注册资本</w:t>
      </w:r>
      <w:r>
        <w:rPr>
          <w:rFonts w:ascii="Times New Roman" w:hAnsi="Times New Roman" w:cs="Times New Roman" w:eastAsia="Times New Roman" w:hint="default"/>
          <w:spacing w:val="-1"/>
        </w:rPr>
        <w:t>1,000.00</w:t>
      </w:r>
      <w:r>
        <w:rPr>
          <w:spacing w:val="-1"/>
        </w:rPr>
        <w:t>万元，截至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日尚未实际出资，根据霍尔果斯游爱网络技术有限公司章程约定剩余注册</w:t>
      </w:r>
      <w:r>
        <w:rPr/>
        <w:t> 资本公司承诺将于</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日前缴足。</w:t>
      </w:r>
    </w:p>
    <w:p>
      <w:pPr>
        <w:spacing w:line="240" w:lineRule="auto" w:before="9"/>
        <w:rPr>
          <w:rFonts w:ascii="宋体" w:hAnsi="宋体" w:cs="宋体" w:eastAsia="宋体" w:hint="default"/>
          <w:sz w:val="13"/>
          <w:szCs w:val="13"/>
        </w:rPr>
      </w:pPr>
    </w:p>
    <w:p>
      <w:pPr>
        <w:pStyle w:val="BodyText"/>
        <w:spacing w:line="348" w:lineRule="auto"/>
        <w:ind w:left="1418" w:right="1272" w:firstLine="360"/>
        <w:jc w:val="both"/>
      </w:pPr>
      <w:r>
        <w:rPr>
          <w:spacing w:val="-2"/>
        </w:rPr>
        <w:t>（</w:t>
      </w:r>
      <w:r>
        <w:rPr>
          <w:rFonts w:ascii="Times New Roman" w:hAnsi="Times New Roman" w:cs="Times New Roman" w:eastAsia="Times New Roman" w:hint="default"/>
          <w:spacing w:val="-2"/>
        </w:rPr>
        <w:t>3</w:t>
      </w:r>
      <w:r>
        <w:rPr>
          <w:spacing w:val="-2"/>
        </w:rPr>
        <w:t>）根据公司子公司人民今典股东会决议，将公司注册资本由</w:t>
      </w:r>
      <w:r>
        <w:rPr>
          <w:rFonts w:ascii="Times New Roman" w:hAnsi="Times New Roman" w:cs="Times New Roman" w:eastAsia="Times New Roman" w:hint="default"/>
          <w:spacing w:val="-2"/>
        </w:rPr>
        <w:t>4,500.00</w:t>
      </w:r>
      <w:r>
        <w:rPr>
          <w:spacing w:val="-2"/>
        </w:rPr>
        <w:t>万元增加至</w:t>
      </w:r>
      <w:r>
        <w:rPr>
          <w:rFonts w:ascii="Times New Roman" w:hAnsi="Times New Roman" w:cs="Times New Roman" w:eastAsia="Times New Roman" w:hint="default"/>
          <w:spacing w:val="-2"/>
        </w:rPr>
        <w:t>5,000.00</w:t>
      </w:r>
      <w:r>
        <w:rPr>
          <w:spacing w:val="-2"/>
        </w:rPr>
        <w:t>万元，增资后各股东持</w:t>
      </w:r>
      <w:r>
        <w:rPr/>
        <w:t> 股比例不变，本公司认缴</w:t>
      </w:r>
      <w:r>
        <w:rPr>
          <w:rFonts w:ascii="Times New Roman" w:hAnsi="Times New Roman" w:cs="Times New Roman" w:eastAsia="Times New Roman" w:hint="default"/>
        </w:rPr>
        <w:t>255.00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日尚未实际出资，根据人民今典公司章程约定剩余注册资本</w:t>
      </w:r>
      <w:r>
        <w:rPr>
          <w:spacing w:val="-21"/>
        </w:rPr>
        <w:t> </w:t>
      </w:r>
      <w:r>
        <w:rPr>
          <w:spacing w:val="-21"/>
        </w:rPr>
      </w:r>
      <w:r>
        <w:rPr/>
        <w:t>公司承诺将于</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日缴足。</w:t>
      </w:r>
    </w:p>
    <w:p>
      <w:pPr>
        <w:spacing w:line="240" w:lineRule="auto" w:before="7"/>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4</w:t>
      </w:r>
      <w:r>
        <w:rPr/>
        <w:t>）公司之子公司广州游爱下设的子公司游爱之光（上海）信息科技有限公司，注册资本</w:t>
      </w:r>
      <w:r>
        <w:rPr>
          <w:spacing w:val="-74"/>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30"/>
        </w:rPr>
        <w:t> </w:t>
      </w:r>
      <w:r>
        <w:rPr/>
        <w:t>万元，广州游</w:t>
      </w:r>
    </w:p>
    <w:p>
      <w:pPr>
        <w:pStyle w:val="BodyText"/>
        <w:spacing w:line="240" w:lineRule="auto" w:before="111"/>
        <w:ind w:left="1418" w:right="0"/>
        <w:jc w:val="both"/>
      </w:pPr>
      <w:r>
        <w:rPr/>
        <w:t>爱认缴注册资本</w:t>
      </w:r>
      <w:r>
        <w:rPr>
          <w:spacing w:val="-52"/>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7"/>
        </w:rPr>
        <w:t> </w:t>
      </w:r>
      <w:r>
        <w:rPr>
          <w:spacing w:val="-3"/>
        </w:rPr>
        <w:t>万元，截至</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日尚未实际出资，根据游爱之光（上海）信息科技有限公司章程</w:t>
      </w:r>
    </w:p>
    <w:p>
      <w:pPr>
        <w:pStyle w:val="BodyText"/>
        <w:spacing w:line="240" w:lineRule="auto" w:before="109"/>
        <w:ind w:left="1418" w:right="0"/>
        <w:jc w:val="both"/>
      </w:pPr>
      <w:r>
        <w:rPr/>
        <w:t>约定剩余注册资本公司承诺将于</w:t>
      </w:r>
      <w:r>
        <w:rPr>
          <w:spacing w:val="-46"/>
        </w:rPr>
        <w:t> </w:t>
      </w:r>
      <w:r>
        <w:rPr>
          <w:rFonts w:ascii="Times New Roman" w:hAnsi="Times New Roman" w:cs="Times New Roman" w:eastAsia="Times New Roman" w:hint="default"/>
        </w:rPr>
        <w:t>2025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日前缴足。</w:t>
      </w:r>
    </w:p>
    <w:p>
      <w:pPr>
        <w:spacing w:line="240" w:lineRule="auto" w:before="5"/>
        <w:rPr>
          <w:rFonts w:ascii="宋体" w:hAnsi="宋体" w:cs="宋体" w:eastAsia="宋体" w:hint="default"/>
          <w:sz w:val="12"/>
          <w:szCs w:val="12"/>
        </w:rPr>
      </w:pPr>
    </w:p>
    <w:p>
      <w:pPr>
        <w:pStyle w:val="BodyText"/>
        <w:spacing w:line="240" w:lineRule="auto"/>
        <w:ind w:right="1117"/>
        <w:jc w:val="left"/>
      </w:pPr>
      <w:r>
        <w:rPr>
          <w:spacing w:val="-2"/>
        </w:rPr>
        <w:t>（</w:t>
      </w:r>
      <w:r>
        <w:rPr>
          <w:rFonts w:ascii="Times New Roman" w:hAnsi="Times New Roman" w:cs="Times New Roman" w:eastAsia="Times New Roman" w:hint="default"/>
          <w:spacing w:val="-2"/>
        </w:rPr>
        <w:t>5</w:t>
      </w:r>
      <w:r>
        <w:rPr>
          <w:spacing w:val="-2"/>
        </w:rPr>
        <w:t>）公司之子公司广州游爱下设的子公司广州暴游信息技术有限公司，注册资本</w:t>
      </w:r>
      <w:r>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4"/>
        </w:rPr>
        <w:t> </w:t>
      </w:r>
      <w:r>
        <w:rPr>
          <w:spacing w:val="-2"/>
        </w:rPr>
        <w:t>万元，广州游爱认缴注</w:t>
      </w:r>
    </w:p>
    <w:p>
      <w:pPr>
        <w:pStyle w:val="BodyText"/>
        <w:spacing w:line="240" w:lineRule="auto" w:before="111"/>
        <w:ind w:left="1418" w:right="0"/>
        <w:jc w:val="both"/>
      </w:pPr>
      <w:r>
        <w:rPr/>
        <w:t>册资本</w:t>
      </w:r>
      <w:r>
        <w:rPr>
          <w:spacing w:val="-38"/>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7"/>
        </w:rPr>
        <w:t> </w:t>
      </w:r>
      <w:r>
        <w:rPr/>
        <w:t>万元，截至</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日实际出资</w:t>
      </w:r>
      <w:r>
        <w:rPr>
          <w:spacing w:val="-39"/>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7"/>
        </w:rPr>
        <w:t> </w:t>
      </w:r>
      <w:r>
        <w:rPr/>
        <w:t>万元，根据广州暴游信息技术有限公司章程约定剩余</w:t>
      </w:r>
    </w:p>
    <w:p>
      <w:pPr>
        <w:pStyle w:val="BodyText"/>
        <w:spacing w:line="240" w:lineRule="auto" w:before="111"/>
        <w:ind w:left="1418" w:right="0"/>
        <w:jc w:val="both"/>
      </w:pPr>
      <w:r>
        <w:rPr/>
        <w:t>注册资本公司承诺将于</w:t>
      </w:r>
      <w:r>
        <w:rPr>
          <w:spacing w:val="-46"/>
        </w:rPr>
        <w:t> </w:t>
      </w:r>
      <w:r>
        <w:rPr>
          <w:rFonts w:ascii="Times New Roman" w:hAnsi="Times New Roman" w:cs="Times New Roman" w:eastAsia="Times New Roman" w:hint="default"/>
        </w:rPr>
        <w:t>2020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日前缴足。</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6</w:t>
      </w:r>
      <w:r>
        <w:rPr/>
        <w:t>）公司之子公司广州游爱下设的子公司广州游爱互娱网络技术有限公司，注册资本 </w:t>
      </w:r>
      <w:r>
        <w:rPr>
          <w:rFonts w:ascii="Times New Roman" w:hAnsi="Times New Roman" w:cs="Times New Roman" w:eastAsia="Times New Roman" w:hint="default"/>
        </w:rPr>
        <w:t>10,000.00</w:t>
      </w:r>
      <w:r>
        <w:rPr>
          <w:rFonts w:ascii="Times New Roman" w:hAnsi="Times New Roman" w:cs="Times New Roman" w:eastAsia="Times New Roman" w:hint="default"/>
          <w:spacing w:val="-14"/>
        </w:rPr>
        <w:t> </w:t>
      </w:r>
      <w:r>
        <w:rPr/>
        <w:t>万元，广州游爱</w:t>
      </w:r>
    </w:p>
    <w:p>
      <w:pPr>
        <w:pStyle w:val="BodyText"/>
        <w:spacing w:line="240" w:lineRule="auto" w:before="111"/>
        <w:ind w:left="1418" w:right="0"/>
        <w:jc w:val="both"/>
      </w:pPr>
      <w:r>
        <w:rPr/>
        <w:t>认缴注册资本</w:t>
      </w:r>
      <w:r>
        <w:rPr>
          <w:spacing w:val="-42"/>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3"/>
        </w:rPr>
        <w:t> </w:t>
      </w:r>
      <w:r>
        <w:rPr/>
        <w:t>万元，截至</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日尚未实际出资，根据广州游爱互娱网络技术有限公司章程约定</w:t>
      </w:r>
    </w:p>
    <w:p>
      <w:pPr>
        <w:pStyle w:val="BodyText"/>
        <w:spacing w:line="240" w:lineRule="auto" w:before="111"/>
        <w:ind w:left="1418" w:right="0"/>
        <w:jc w:val="both"/>
      </w:pPr>
      <w:r>
        <w:rPr/>
        <w:t>剩余注册资本公司承诺将于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日前缴足。</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7</w:t>
      </w:r>
      <w:r>
        <w:rPr/>
        <w:t>）公司之子公司广州游爱下设的孙公司上海昊玩网络科技有限公司，注册资本 </w:t>
      </w:r>
      <w:r>
        <w:rPr>
          <w:rFonts w:ascii="Times New Roman" w:hAnsi="Times New Roman" w:cs="Times New Roman" w:eastAsia="Times New Roman" w:hint="default"/>
        </w:rPr>
        <w:t>100.00</w:t>
      </w:r>
      <w:r>
        <w:rPr>
          <w:rFonts w:ascii="Times New Roman" w:hAnsi="Times New Roman" w:cs="Times New Roman" w:eastAsia="Times New Roman" w:hint="default"/>
          <w:spacing w:val="33"/>
        </w:rPr>
        <w:t> </w:t>
      </w:r>
      <w:r>
        <w:rPr/>
        <w:t>万元，广州游爱认缴注</w:t>
      </w:r>
    </w:p>
    <w:p>
      <w:pPr>
        <w:pStyle w:val="BodyText"/>
        <w:spacing w:line="240" w:lineRule="auto" w:before="111"/>
        <w:ind w:left="1418" w:right="0"/>
        <w:jc w:val="both"/>
      </w:pPr>
      <w:r>
        <w:rPr/>
        <w:t>册资本</w:t>
      </w:r>
      <w:r>
        <w:rPr>
          <w:spacing w:val="-3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万元，截至</w:t>
      </w:r>
      <w:r>
        <w:rPr>
          <w:spacing w:val="-3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日尚未实际出资，根据上海昊玩网络科技有限公司章程约定剩余注册资本</w:t>
      </w:r>
    </w:p>
    <w:p>
      <w:pPr>
        <w:pStyle w:val="BodyText"/>
        <w:spacing w:line="240" w:lineRule="auto" w:before="111"/>
        <w:ind w:left="1418" w:right="0"/>
        <w:jc w:val="both"/>
      </w:pPr>
      <w:r>
        <w:rPr/>
        <w:t>公司承诺将于</w:t>
      </w:r>
      <w:r>
        <w:rPr>
          <w:spacing w:val="-46"/>
        </w:rPr>
        <w:t> </w:t>
      </w:r>
      <w:r>
        <w:rPr>
          <w:rFonts w:ascii="Times New Roman" w:hAnsi="Times New Roman" w:cs="Times New Roman" w:eastAsia="Times New Roman" w:hint="default"/>
        </w:rPr>
        <w:t>2040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日前缴足。</w:t>
      </w:r>
    </w:p>
    <w:p>
      <w:pPr>
        <w:spacing w:line="240" w:lineRule="auto" w:before="6"/>
        <w:rPr>
          <w:rFonts w:ascii="宋体" w:hAnsi="宋体" w:cs="宋体" w:eastAsia="宋体" w:hint="default"/>
          <w:sz w:val="20"/>
          <w:szCs w:val="20"/>
        </w:rPr>
      </w:pPr>
    </w:p>
    <w:p>
      <w:pPr>
        <w:pStyle w:val="BodyText"/>
        <w:spacing w:line="345" w:lineRule="auto"/>
        <w:ind w:left="1418" w:right="1117" w:firstLine="360"/>
        <w:jc w:val="left"/>
      </w:pPr>
      <w:r>
        <w:rPr>
          <w:spacing w:val="-2"/>
        </w:rPr>
        <w:t>（</w:t>
      </w:r>
      <w:r>
        <w:rPr>
          <w:rFonts w:ascii="Times New Roman" w:hAnsi="Times New Roman" w:cs="Times New Roman" w:eastAsia="Times New Roman" w:hint="default"/>
          <w:spacing w:val="-2"/>
        </w:rPr>
        <w:t>8</w:t>
      </w:r>
      <w:r>
        <w:rPr>
          <w:spacing w:val="-2"/>
        </w:rPr>
        <w:t>）公司之子公司广州游爱下设的子公司上海跨合企业管理中心对外投资公司上海跨创企业管理有限公司，注册</w:t>
      </w:r>
      <w:r>
        <w:rPr/>
        <w:t> 资本</w:t>
      </w:r>
      <w:r>
        <w:rPr>
          <w:spacing w:val="-49"/>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4"/>
        </w:rPr>
        <w:t> </w:t>
      </w:r>
      <w:r>
        <w:rPr/>
        <w:t>万元，广州游爱认缴注册资本</w:t>
      </w:r>
      <w:r>
        <w:rPr>
          <w:spacing w:val="-49"/>
        </w:rPr>
        <w:t> </w:t>
      </w:r>
      <w:r>
        <w:rPr>
          <w:rFonts w:ascii="Times New Roman" w:hAnsi="Times New Roman" w:cs="Times New Roman" w:eastAsia="Times New Roman" w:hint="default"/>
        </w:rPr>
        <w:t>45.00</w:t>
      </w:r>
      <w:r>
        <w:rPr>
          <w:rFonts w:ascii="Times New Roman" w:hAnsi="Times New Roman" w:cs="Times New Roman" w:eastAsia="Times New Roman" w:hint="default"/>
          <w:spacing w:val="-3"/>
        </w:rPr>
        <w:t> </w:t>
      </w:r>
      <w:r>
        <w:rPr/>
        <w:t>万元，占注册资本</w:t>
      </w:r>
      <w:r>
        <w:rPr>
          <w:spacing w:val="-49"/>
        </w:rPr>
        <w:t> </w:t>
      </w:r>
      <w:r>
        <w:rPr>
          <w:rFonts w:ascii="Times New Roman" w:hAnsi="Times New Roman" w:cs="Times New Roman" w:eastAsia="Times New Roman" w:hint="default"/>
        </w:rPr>
        <w:t>15%</w:t>
      </w:r>
      <w:r>
        <w:rPr/>
        <w:t>，应缴出资额</w:t>
      </w:r>
      <w:r>
        <w:rPr>
          <w:spacing w:val="-49"/>
        </w:rPr>
        <w:t> </w:t>
      </w:r>
      <w:r>
        <w:rPr>
          <w:rFonts w:ascii="Times New Roman" w:hAnsi="Times New Roman" w:cs="Times New Roman" w:eastAsia="Times New Roman" w:hint="default"/>
        </w:rPr>
        <w:t>375.00</w:t>
      </w:r>
      <w:r>
        <w:rPr>
          <w:rFonts w:ascii="Times New Roman" w:hAnsi="Times New Roman" w:cs="Times New Roman" w:eastAsia="Times New Roman" w:hint="default"/>
          <w:spacing w:val="-4"/>
        </w:rPr>
        <w:t> </w:t>
      </w:r>
      <w:r>
        <w:rPr/>
        <w:t>万元，截至</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pStyle w:val="BodyText"/>
        <w:spacing w:line="345" w:lineRule="auto" w:before="23"/>
        <w:ind w:left="1418" w:right="1259"/>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日实际出资</w:t>
      </w:r>
      <w:r>
        <w:rPr>
          <w:spacing w:val="-39"/>
        </w:rPr>
        <w:t> </w:t>
      </w:r>
      <w:r>
        <w:rPr>
          <w:rFonts w:ascii="Times New Roman" w:hAnsi="Times New Roman" w:cs="Times New Roman" w:eastAsia="Times New Roman" w:hint="default"/>
        </w:rPr>
        <w:t>257.89</w:t>
      </w:r>
      <w:r>
        <w:rPr>
          <w:rFonts w:ascii="Times New Roman" w:hAnsi="Times New Roman" w:cs="Times New Roman" w:eastAsia="Times New Roman" w:hint="default"/>
          <w:spacing w:val="6"/>
        </w:rPr>
        <w:t> </w:t>
      </w:r>
      <w:r>
        <w:rPr/>
        <w:t>万元，根据上海跨创企业管理有限公司章程约定剩余注册资本公司承诺将于</w:t>
      </w:r>
      <w:r>
        <w:rPr>
          <w:spacing w:val="-38"/>
        </w:rPr>
        <w:t> </w:t>
      </w:r>
      <w:r>
        <w:rPr>
          <w:rFonts w:ascii="Times New Roman" w:hAnsi="Times New Roman" w:cs="Times New Roman" w:eastAsia="Times New Roman" w:hint="default"/>
        </w:rPr>
        <w:t>2026 </w:t>
      </w:r>
      <w:r>
        <w:rPr/>
        <w:t>年</w:t>
      </w:r>
      <w:r>
        <w:rPr>
          <w:spacing w:val="-3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3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 前缴足。</w:t>
      </w:r>
    </w:p>
    <w:p>
      <w:pPr>
        <w:spacing w:line="240" w:lineRule="auto" w:before="5"/>
        <w:rPr>
          <w:rFonts w:ascii="宋体" w:hAnsi="宋体" w:cs="宋体" w:eastAsia="宋体" w:hint="default"/>
          <w:sz w:val="15"/>
          <w:szCs w:val="15"/>
        </w:rPr>
      </w:pPr>
    </w:p>
    <w:p>
      <w:pPr>
        <w:pStyle w:val="BodyText"/>
        <w:spacing w:line="240" w:lineRule="auto"/>
        <w:ind w:right="1117"/>
        <w:jc w:val="left"/>
      </w:pPr>
      <w:r>
        <w:rPr/>
        <w:t>（</w:t>
      </w:r>
      <w:r>
        <w:rPr>
          <w:rFonts w:ascii="Times New Roman" w:hAnsi="Times New Roman" w:cs="Times New Roman" w:eastAsia="Times New Roman" w:hint="default"/>
        </w:rPr>
        <w:t>9</w:t>
      </w:r>
      <w:r>
        <w:rPr>
          <w:spacing w:val="-15"/>
        </w:rPr>
        <w:t>）</w:t>
      </w:r>
      <w:r>
        <w:rPr/>
        <w:t>公司投资之标的宁波梅山保税港区合思益远投资合伙企</w:t>
      </w:r>
      <w:r>
        <w:rPr>
          <w:spacing w:val="-15"/>
        </w:rPr>
        <w:t>业</w:t>
      </w:r>
      <w:r>
        <w:rPr/>
        <w:t>（有限合伙</w:t>
      </w:r>
      <w:r>
        <w:rPr>
          <w:spacing w:val="-90"/>
        </w:rPr>
        <w:t>）</w:t>
      </w:r>
      <w:r>
        <w:rPr>
          <w:spacing w:val="-15"/>
        </w:rPr>
        <w:t>，</w:t>
      </w:r>
      <w:r>
        <w:rPr/>
        <w:t>其总规模</w:t>
      </w:r>
      <w:r>
        <w:rPr>
          <w:spacing w:val="-45"/>
        </w:rPr>
        <w:t> </w:t>
      </w:r>
      <w:r>
        <w:rPr>
          <w:rFonts w:ascii="Times New Roman" w:hAnsi="Times New Roman" w:cs="Times New Roman" w:eastAsia="Times New Roman" w:hint="default"/>
        </w:rPr>
        <w:t>30,300.00</w:t>
      </w:r>
      <w:r>
        <w:rPr>
          <w:rFonts w:ascii="Times New Roman" w:hAnsi="Times New Roman" w:cs="Times New Roman" w:eastAsia="Times New Roman" w:hint="default"/>
          <w:spacing w:val="-1"/>
        </w:rPr>
        <w:t> </w:t>
      </w:r>
      <w:r>
        <w:rPr/>
        <w:t>万</w:t>
      </w:r>
      <w:r>
        <w:rPr>
          <w:spacing w:val="-15"/>
        </w:rPr>
        <w:t>元</w:t>
      </w:r>
      <w:r>
        <w:rPr/>
        <w:t>（最终规模</w:t>
      </w:r>
    </w:p>
    <w:p>
      <w:pPr>
        <w:pStyle w:val="BodyText"/>
        <w:spacing w:line="240" w:lineRule="auto" w:before="111"/>
        <w:ind w:left="1418" w:right="0"/>
        <w:jc w:val="both"/>
        <w:rPr>
          <w:rFonts w:ascii="Times New Roman" w:hAnsi="Times New Roman" w:cs="Times New Roman" w:eastAsia="Times New Roman" w:hint="default"/>
        </w:rPr>
      </w:pPr>
      <w:r>
        <w:rPr/>
        <w:t>以实际募集金额为准</w:t>
      </w:r>
      <w:r>
        <w:rPr>
          <w:spacing w:val="-90"/>
        </w:rPr>
        <w:t>）</w:t>
      </w:r>
      <w:r>
        <w:rPr>
          <w:spacing w:val="-22"/>
        </w:rPr>
        <w:t>，</w:t>
      </w:r>
      <w:r>
        <w:rPr/>
        <w:t>首期出资额合计</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8"/>
        </w:rPr>
        <w:t>1</w:t>
      </w:r>
      <w:r>
        <w:rPr>
          <w:rFonts w:ascii="Times New Roman" w:hAnsi="Times New Roman" w:cs="Times New Roman" w:eastAsia="Times New Roman" w:hint="default"/>
        </w:rPr>
        <w:t>10.00 </w:t>
      </w:r>
      <w:r>
        <w:rPr/>
        <w:t>万元</w:t>
      </w:r>
      <w:r>
        <w:rPr>
          <w:spacing w:val="-22"/>
        </w:rPr>
        <w:t>，</w:t>
      </w:r>
      <w:r>
        <w:rPr/>
        <w:t>其中</w:t>
      </w:r>
      <w:r>
        <w:rPr>
          <w:spacing w:val="-22"/>
        </w:rPr>
        <w:t>，</w:t>
      </w:r>
      <w:r>
        <w:rPr/>
        <w:t>公司认缴首期出资额的</w:t>
      </w:r>
      <w:r>
        <w:rPr>
          <w:spacing w:val="-46"/>
        </w:rPr>
        <w:t> </w:t>
      </w:r>
      <w:r>
        <w:rPr>
          <w:rFonts w:ascii="Times New Roman" w:hAnsi="Times New Roman" w:cs="Times New Roman" w:eastAsia="Times New Roman" w:hint="default"/>
        </w:rPr>
        <w:t>6,000.00</w:t>
      </w:r>
      <w:r>
        <w:rPr>
          <w:rFonts w:ascii="Times New Roman" w:hAnsi="Times New Roman" w:cs="Times New Roman" w:eastAsia="Times New Roman" w:hint="default"/>
          <w:spacing w:val="-1"/>
        </w:rPr>
        <w:t> </w:t>
      </w:r>
      <w:r>
        <w:rPr/>
        <w:t>万元</w:t>
      </w:r>
      <w:r>
        <w:rPr>
          <w:spacing w:val="-22"/>
        </w:rPr>
        <w:t>，</w:t>
      </w:r>
      <w:r>
        <w:rPr/>
        <w:t>截至</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p>
    <w:p>
      <w:pPr>
        <w:pStyle w:val="BodyText"/>
        <w:spacing w:line="240" w:lineRule="auto" w:before="111"/>
        <w:ind w:left="1418" w:right="0"/>
        <w:jc w:val="both"/>
      </w:pP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日实际出资</w:t>
      </w:r>
      <w:r>
        <w:rPr>
          <w:spacing w:val="-46"/>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t>万元，余款缴纳时间与其他股东协商确定。</w:t>
      </w:r>
    </w:p>
    <w:p>
      <w:pPr>
        <w:spacing w:line="240" w:lineRule="auto" w:before="5"/>
        <w:rPr>
          <w:rFonts w:ascii="宋体" w:hAnsi="宋体" w:cs="宋体" w:eastAsia="宋体" w:hint="default"/>
          <w:sz w:val="20"/>
          <w:szCs w:val="20"/>
        </w:rPr>
      </w:pPr>
    </w:p>
    <w:p>
      <w:pPr>
        <w:pStyle w:val="BodyText"/>
        <w:spacing w:line="496" w:lineRule="auto"/>
        <w:ind w:right="6148"/>
        <w:jc w:val="left"/>
      </w:pPr>
      <w:r>
        <w:rPr>
          <w:rFonts w:ascii="Times New Roman" w:hAnsi="Times New Roman" w:cs="Times New Roman" w:eastAsia="Times New Roman" w:hint="default"/>
        </w:rPr>
        <w:t>2.</w:t>
      </w:r>
      <w:r>
        <w:rPr/>
        <w:t>或有事项 截至资产负债表日，本公司无需披露的或有事项。</w:t>
      </w:r>
    </w:p>
    <w:p>
      <w:pPr>
        <w:spacing w:line="240" w:lineRule="auto" w:before="4"/>
        <w:rPr>
          <w:rFonts w:ascii="宋体" w:hAnsi="宋体" w:cs="宋体" w:eastAsia="宋体" w:hint="default"/>
          <w:sz w:val="13"/>
          <w:szCs w:val="13"/>
        </w:rPr>
      </w:pPr>
    </w:p>
    <w:p>
      <w:pPr>
        <w:pStyle w:val="Heading2"/>
        <w:spacing w:line="240" w:lineRule="auto"/>
        <w:ind w:left="1400" w:right="6613"/>
        <w:jc w:val="center"/>
        <w:rPr>
          <w:rFonts w:ascii="黑体" w:hAnsi="黑体" w:cs="黑体" w:eastAsia="黑体" w:hint="default"/>
          <w:b w:val="0"/>
          <w:bCs w:val="0"/>
        </w:rPr>
      </w:pPr>
      <w:bookmarkStart w:name="十四、资产负债表日后事项" w:id="269"/>
      <w:bookmarkEnd w:id="269"/>
      <w:r>
        <w:rPr>
          <w:b w:val="0"/>
          <w:bCs w:val="0"/>
        </w:rPr>
      </w:r>
      <w:r>
        <w:rPr>
          <w:rFonts w:ascii="黑体" w:hAnsi="黑体" w:cs="黑体" w:eastAsia="黑体" w:hint="default"/>
        </w:rPr>
        <w:t>十四、资产负债表日后事项</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right="111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日，本公司第三届董事会第十七次会议审议通过公司</w:t>
      </w:r>
      <w:r>
        <w:rPr>
          <w:spacing w:val="-3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年度利润分配预案，以公司未</w:t>
      </w:r>
    </w:p>
    <w:p>
      <w:pPr>
        <w:pStyle w:val="BodyText"/>
        <w:spacing w:line="240" w:lineRule="auto" w:before="111"/>
        <w:ind w:left="1418" w:right="0"/>
        <w:jc w:val="both"/>
      </w:pPr>
      <w:r>
        <w:rPr/>
        <w:t>来实施分配方案时股权登记日的总股本为基数</w:t>
      </w:r>
      <w:r>
        <w:rPr>
          <w:spacing w:val="-4"/>
        </w:rPr>
        <w:t>，</w:t>
      </w:r>
      <w:r>
        <w:rPr/>
        <w:t>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r>
        <w:rPr>
          <w:spacing w:val="1"/>
        </w:rPr>
        <w:t>派</w:t>
      </w:r>
      <w:r>
        <w:rPr/>
        <w:t>发现金股利人民币</w:t>
      </w:r>
      <w:r>
        <w:rPr>
          <w:spacing w:val="-46"/>
        </w:rPr>
        <w:t> </w:t>
      </w:r>
      <w:r>
        <w:rPr>
          <w:rFonts w:ascii="Times New Roman" w:hAnsi="Times New Roman" w:cs="Times New Roman" w:eastAsia="Times New Roman" w:hint="default"/>
        </w:rPr>
        <w:t>0.16</w:t>
      </w:r>
      <w:r>
        <w:rPr>
          <w:rFonts w:ascii="Times New Roman" w:hAnsi="Times New Roman" w:cs="Times New Roman" w:eastAsia="Times New Roman" w:hint="default"/>
          <w:spacing w:val="-1"/>
        </w:rPr>
        <w:t> </w:t>
      </w:r>
      <w:r>
        <w:rPr>
          <w:spacing w:val="-4"/>
        </w:rPr>
        <w:t>元</w:t>
      </w:r>
      <w:r>
        <w:rPr/>
        <w:t>（含税</w:t>
      </w:r>
      <w:r>
        <w:rPr>
          <w:spacing w:val="-90"/>
        </w:rPr>
        <w:t>）</w:t>
      </w:r>
      <w:r>
        <w:rPr>
          <w:spacing w:val="-4"/>
        </w:rPr>
        <w:t>，</w:t>
      </w:r>
      <w:r>
        <w:rPr/>
        <w:t>公司通过回</w:t>
      </w:r>
    </w:p>
    <w:p>
      <w:pPr>
        <w:pStyle w:val="BodyText"/>
        <w:spacing w:line="357" w:lineRule="auto" w:before="111"/>
        <w:ind w:left="1418" w:right="1271"/>
        <w:jc w:val="both"/>
      </w:pPr>
      <w:r>
        <w:rPr/>
        <w:t>购专户持有的股份不享有参与利润分配的权利。该分配预案待公司</w:t>
      </w:r>
      <w:r>
        <w:rPr>
          <w:spacing w:val="-7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年度股东大会通过后实施，公司不排除今后仍 将进行股份回购操作，股东大会审议上述利润分配预案后至权益分派实施公告确定的股权登记日前公司股本发生的变</w:t>
      </w:r>
      <w:r>
        <w:rPr>
          <w:spacing w:val="-63"/>
        </w:rPr>
        <w:t> </w:t>
      </w:r>
      <w:r>
        <w:rPr>
          <w:spacing w:val="-63"/>
        </w:rPr>
      </w:r>
      <w:r>
        <w:rPr/>
        <w:t>动的，将按照分配总额不变的原则对各分配比例进行调整。</w:t>
      </w:r>
    </w:p>
    <w:p>
      <w:pPr>
        <w:spacing w:after="0" w:line="357" w:lineRule="auto"/>
        <w:jc w:val="both"/>
        <w:sectPr>
          <w:pgSz w:w="11910" w:h="16840"/>
          <w:pgMar w:header="877" w:footer="979" w:top="1060" w:bottom="1160" w:left="0" w:right="0"/>
        </w:sectPr>
      </w:pPr>
    </w:p>
    <w:p>
      <w:pPr>
        <w:spacing w:line="240" w:lineRule="auto" w:before="1"/>
        <w:rPr>
          <w:rFonts w:ascii="宋体" w:hAnsi="宋体" w:cs="宋体" w:eastAsia="宋体" w:hint="default"/>
          <w:sz w:val="27"/>
          <w:szCs w:val="27"/>
        </w:rPr>
      </w:pPr>
    </w:p>
    <w:p>
      <w:pPr>
        <w:pStyle w:val="Heading2"/>
        <w:spacing w:line="240" w:lineRule="auto" w:before="26"/>
        <w:ind w:left="1901" w:right="1117"/>
        <w:jc w:val="left"/>
        <w:rPr>
          <w:rFonts w:ascii="黑体" w:hAnsi="黑体" w:cs="黑体" w:eastAsia="黑体" w:hint="default"/>
          <w:b w:val="0"/>
          <w:bCs w:val="0"/>
        </w:rPr>
      </w:pPr>
      <w:bookmarkStart w:name="十五、其他重要事项" w:id="270"/>
      <w:bookmarkEnd w:id="270"/>
      <w:r>
        <w:rPr>
          <w:b w:val="0"/>
          <w:bCs w:val="0"/>
        </w:rPr>
      </w:r>
      <w:r>
        <w:rPr>
          <w:rFonts w:ascii="黑体" w:hAnsi="黑体" w:cs="黑体" w:eastAsia="黑体" w:hint="default"/>
        </w:rPr>
        <w:t>十五、其他重要事项</w:t>
      </w:r>
      <w:r>
        <w:rPr>
          <w:rFonts w:ascii="黑体" w:hAnsi="黑体" w:cs="黑体" w:eastAsia="黑体" w:hint="default"/>
          <w:b w:val="0"/>
          <w:bCs w:val="0"/>
        </w:rPr>
      </w:r>
    </w:p>
    <w:p>
      <w:pPr>
        <w:spacing w:line="240" w:lineRule="auto" w:before="7"/>
        <w:rPr>
          <w:rFonts w:ascii="黑体" w:hAnsi="黑体" w:cs="黑体" w:eastAsia="黑体" w:hint="default"/>
          <w:b/>
          <w:bCs/>
          <w:sz w:val="31"/>
          <w:szCs w:val="31"/>
        </w:rPr>
      </w:pPr>
    </w:p>
    <w:p>
      <w:pPr>
        <w:pStyle w:val="BodyText"/>
        <w:spacing w:line="491" w:lineRule="auto"/>
        <w:ind w:right="2908"/>
        <w:jc w:val="left"/>
      </w:pPr>
      <w:r>
        <w:rPr>
          <w:rFonts w:ascii="Times New Roman" w:hAnsi="Times New Roman" w:cs="Times New Roman" w:eastAsia="Times New Roman" w:hint="default"/>
        </w:rPr>
        <w:t>1.</w:t>
      </w:r>
      <w:r>
        <w:rPr/>
        <w:t>分部报告 本公司本期与上期收入及利润以各子公司业务情况为依据划分为出版发行与网络游戏分部：</w:t>
      </w:r>
    </w:p>
    <w:p>
      <w:pPr>
        <w:spacing w:line="240" w:lineRule="auto" w:before="3"/>
        <w:rPr>
          <w:rFonts w:ascii="宋体" w:hAnsi="宋体" w:cs="宋体" w:eastAsia="宋体" w:hint="default"/>
          <w:sz w:val="14"/>
          <w:szCs w:val="14"/>
        </w:rPr>
      </w:pPr>
    </w:p>
    <w:tbl>
      <w:tblPr>
        <w:tblW w:w="0" w:type="auto"/>
        <w:jc w:val="left"/>
        <w:tblInd w:w="1310" w:type="dxa"/>
        <w:tblLayout w:type="fixed"/>
        <w:tblCellMar>
          <w:top w:w="0" w:type="dxa"/>
          <w:left w:w="0" w:type="dxa"/>
          <w:bottom w:w="0" w:type="dxa"/>
          <w:right w:w="0" w:type="dxa"/>
        </w:tblCellMar>
        <w:tblLook w:val="01E0"/>
      </w:tblPr>
      <w:tblGrid>
        <w:gridCol w:w="3168"/>
        <w:gridCol w:w="1647"/>
        <w:gridCol w:w="1579"/>
        <w:gridCol w:w="1507"/>
        <w:gridCol w:w="1531"/>
      </w:tblGrid>
      <w:tr>
        <w:trPr>
          <w:trHeight w:val="205" w:hRule="exact"/>
        </w:trPr>
        <w:tc>
          <w:tcPr>
            <w:tcW w:w="9431"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584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23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47"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301" w:hRule="exact"/>
        </w:trPr>
        <w:tc>
          <w:tcPr>
            <w:tcW w:w="3168" w:type="dxa"/>
            <w:tcBorders>
              <w:top w:val="nil" w:sz="6" w:space="0" w:color="auto"/>
              <w:left w:val="nil" w:sz="6" w:space="0" w:color="auto"/>
              <w:bottom w:val="single" w:sz="8" w:space="0" w:color="000000"/>
              <w:right w:val="nil" w:sz="6" w:space="0" w:color="auto"/>
            </w:tcBorders>
          </w:tcPr>
          <w:p>
            <w:pPr/>
          </w:p>
        </w:tc>
        <w:tc>
          <w:tcPr>
            <w:tcW w:w="1647" w:type="dxa"/>
            <w:tcBorders>
              <w:top w:val="nil" w:sz="6" w:space="0" w:color="auto"/>
              <w:left w:val="nil" w:sz="6" w:space="0" w:color="auto"/>
              <w:bottom w:val="single" w:sz="8" w:space="0" w:color="000000"/>
              <w:right w:val="nil" w:sz="6" w:space="0" w:color="auto"/>
            </w:tcBorders>
          </w:tcPr>
          <w:p>
            <w:pPr>
              <w:pStyle w:val="TableParagraph"/>
              <w:spacing w:line="205" w:lineRule="exact"/>
              <w:ind w:left="433" w:right="0"/>
              <w:jc w:val="left"/>
              <w:rPr>
                <w:rFonts w:ascii="宋体" w:hAnsi="宋体" w:cs="宋体" w:eastAsia="宋体" w:hint="default"/>
                <w:sz w:val="18"/>
                <w:szCs w:val="18"/>
              </w:rPr>
            </w:pPr>
            <w:r>
              <w:rPr>
                <w:rFonts w:ascii="宋体" w:hAnsi="宋体" w:cs="宋体" w:eastAsia="宋体" w:hint="default"/>
                <w:b/>
                <w:bCs/>
                <w:sz w:val="18"/>
                <w:szCs w:val="18"/>
              </w:rPr>
              <w:t>出版发行</w:t>
            </w:r>
            <w:r>
              <w:rPr>
                <w:rFonts w:ascii="宋体" w:hAnsi="宋体" w:cs="宋体" w:eastAsia="宋体" w:hint="default"/>
                <w:sz w:val="18"/>
                <w:szCs w:val="18"/>
              </w:rPr>
            </w:r>
          </w:p>
        </w:tc>
        <w:tc>
          <w:tcPr>
            <w:tcW w:w="1579" w:type="dxa"/>
            <w:tcBorders>
              <w:top w:val="nil" w:sz="6" w:space="0" w:color="auto"/>
              <w:left w:val="nil" w:sz="6" w:space="0" w:color="auto"/>
              <w:bottom w:val="single" w:sz="8" w:space="0" w:color="000000"/>
              <w:right w:val="nil" w:sz="6" w:space="0" w:color="auto"/>
            </w:tcBorders>
          </w:tcPr>
          <w:p>
            <w:pPr>
              <w:pStyle w:val="TableParagraph"/>
              <w:spacing w:line="205" w:lineRule="exact"/>
              <w:ind w:left="376" w:right="0"/>
              <w:jc w:val="left"/>
              <w:rPr>
                <w:rFonts w:ascii="宋体" w:hAnsi="宋体" w:cs="宋体" w:eastAsia="宋体" w:hint="default"/>
                <w:sz w:val="18"/>
                <w:szCs w:val="18"/>
              </w:rPr>
            </w:pPr>
            <w:r>
              <w:rPr>
                <w:rFonts w:ascii="宋体" w:hAnsi="宋体" w:cs="宋体" w:eastAsia="宋体" w:hint="default"/>
                <w:b/>
                <w:bCs/>
                <w:sz w:val="18"/>
                <w:szCs w:val="18"/>
              </w:rPr>
              <w:t>网络游戏</w:t>
            </w:r>
            <w:r>
              <w:rPr>
                <w:rFonts w:ascii="宋体" w:hAnsi="宋体" w:cs="宋体" w:eastAsia="宋体" w:hint="default"/>
                <w:sz w:val="18"/>
                <w:szCs w:val="18"/>
              </w:rPr>
            </w:r>
          </w:p>
        </w:tc>
        <w:tc>
          <w:tcPr>
            <w:tcW w:w="1507" w:type="dxa"/>
            <w:tcBorders>
              <w:top w:val="nil" w:sz="6" w:space="0" w:color="auto"/>
              <w:left w:val="nil" w:sz="6" w:space="0" w:color="auto"/>
              <w:bottom w:val="single" w:sz="8" w:space="0" w:color="000000"/>
              <w:right w:val="nil" w:sz="6" w:space="0" w:color="auto"/>
            </w:tcBorders>
          </w:tcPr>
          <w:p>
            <w:pPr>
              <w:pStyle w:val="TableParagraph"/>
              <w:spacing w:line="205" w:lineRule="exact"/>
              <w:ind w:right="102"/>
              <w:jc w:val="center"/>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531" w:type="dxa"/>
            <w:tcBorders>
              <w:top w:val="nil" w:sz="6" w:space="0" w:color="auto"/>
              <w:left w:val="nil" w:sz="6" w:space="0" w:color="auto"/>
              <w:bottom w:val="single" w:sz="8" w:space="0" w:color="000000"/>
              <w:right w:val="nil" w:sz="6" w:space="0" w:color="auto"/>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99" w:hRule="exact"/>
        </w:trPr>
        <w:tc>
          <w:tcPr>
            <w:tcW w:w="316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一、对外交易收入</w:t>
            </w:r>
          </w:p>
        </w:tc>
        <w:tc>
          <w:tcPr>
            <w:tcW w:w="1647"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160"/>
              <w:jc w:val="right"/>
              <w:rPr>
                <w:rFonts w:ascii="Times New Roman" w:hAnsi="Times New Roman" w:cs="Times New Roman" w:eastAsia="Times New Roman" w:hint="default"/>
                <w:sz w:val="18"/>
                <w:szCs w:val="18"/>
              </w:rPr>
            </w:pPr>
            <w:r>
              <w:rPr>
                <w:rFonts w:ascii="Times New Roman"/>
                <w:spacing w:val="-1"/>
                <w:sz w:val="18"/>
              </w:rPr>
              <w:t>433,514,635.58</w:t>
            </w:r>
          </w:p>
        </w:tc>
        <w:tc>
          <w:tcPr>
            <w:tcW w:w="1579"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156"/>
              <w:jc w:val="right"/>
              <w:rPr>
                <w:rFonts w:ascii="Times New Roman" w:hAnsi="Times New Roman" w:cs="Times New Roman" w:eastAsia="Times New Roman" w:hint="default"/>
                <w:sz w:val="18"/>
                <w:szCs w:val="18"/>
              </w:rPr>
            </w:pPr>
            <w:r>
              <w:rPr>
                <w:rFonts w:ascii="Times New Roman"/>
                <w:spacing w:val="-1"/>
                <w:sz w:val="18"/>
              </w:rPr>
              <w:t>502,509,083.67</w:t>
            </w:r>
          </w:p>
        </w:tc>
        <w:tc>
          <w:tcPr>
            <w:tcW w:w="1507" w:type="dxa"/>
            <w:tcBorders>
              <w:top w:val="single" w:sz="8" w:space="0" w:color="000000"/>
              <w:left w:val="nil" w:sz="6" w:space="0" w:color="auto"/>
              <w:bottom w:val="nil" w:sz="6" w:space="0" w:color="auto"/>
              <w:right w:val="nil" w:sz="6" w:space="0" w:color="auto"/>
            </w:tcBorders>
          </w:tcPr>
          <w:p>
            <w:pPr/>
          </w:p>
        </w:tc>
        <w:tc>
          <w:tcPr>
            <w:tcW w:w="1531"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936,023,719.25</w:t>
            </w:r>
            <w:r>
              <w:rPr>
                <w:rFonts w:ascii="Times New Roman"/>
                <w:spacing w:val="-1"/>
                <w:sz w:val="18"/>
              </w:rPr>
            </w:r>
          </w:p>
        </w:tc>
      </w:tr>
      <w:tr>
        <w:trPr>
          <w:trHeight w:val="435"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二、分部间交易收入</w:t>
            </w:r>
          </w:p>
        </w:tc>
        <w:tc>
          <w:tcPr>
            <w:tcW w:w="1647"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445"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三、对联营和合营企业的投资收益</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8"/>
              <w:jc w:val="right"/>
              <w:rPr>
                <w:rFonts w:ascii="Times New Roman" w:hAnsi="Times New Roman" w:cs="Times New Roman" w:eastAsia="Times New Roman" w:hint="default"/>
                <w:sz w:val="18"/>
                <w:szCs w:val="18"/>
              </w:rPr>
            </w:pPr>
            <w:r>
              <w:rPr>
                <w:rFonts w:ascii="Times New Roman"/>
                <w:spacing w:val="-1"/>
                <w:sz w:val="18"/>
              </w:rPr>
              <w:t>-6,231,211.01</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6"/>
              <w:jc w:val="right"/>
              <w:rPr>
                <w:rFonts w:ascii="Times New Roman" w:hAnsi="Times New Roman" w:cs="Times New Roman" w:eastAsia="Times New Roman" w:hint="default"/>
                <w:sz w:val="18"/>
                <w:szCs w:val="18"/>
              </w:rPr>
            </w:pPr>
            <w:r>
              <w:rPr>
                <w:rFonts w:ascii="Times New Roman"/>
                <w:spacing w:val="-1"/>
                <w:sz w:val="18"/>
              </w:rPr>
              <w:t>29,025,919.19</w:t>
            </w:r>
          </w:p>
        </w:tc>
        <w:tc>
          <w:tcPr>
            <w:tcW w:w="15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22,794,708.18</w:t>
            </w:r>
            <w:r>
              <w:rPr>
                <w:rFonts w:ascii="Times New Roman"/>
                <w:spacing w:val="-1"/>
                <w:sz w:val="18"/>
              </w:rPr>
            </w:r>
          </w:p>
        </w:tc>
      </w:tr>
      <w:tr>
        <w:trPr>
          <w:trHeight w:val="44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8"/>
                <w:szCs w:val="18"/>
              </w:rPr>
            </w:pPr>
            <w:r>
              <w:rPr>
                <w:rFonts w:ascii="Times New Roman"/>
                <w:spacing w:val="-1"/>
                <w:sz w:val="18"/>
              </w:rPr>
              <w:t>29,763,637.47</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76,453,221.78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0"/>
              <w:jc w:val="right"/>
              <w:rPr>
                <w:rFonts w:ascii="Times New Roman" w:hAnsi="Times New Roman" w:cs="Times New Roman" w:eastAsia="Times New Roman" w:hint="default"/>
                <w:sz w:val="18"/>
                <w:szCs w:val="18"/>
              </w:rPr>
            </w:pPr>
            <w:r>
              <w:rPr>
                <w:rFonts w:ascii="Times New Roman"/>
                <w:w w:val="95"/>
                <w:sz w:val="18"/>
              </w:rPr>
              <w:t>-250,000.00</w:t>
            </w:r>
            <w:r>
              <w:rPr>
                <w:rFonts w:ascii="Times New Roman"/>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105,966,859.25</w:t>
            </w:r>
            <w:r>
              <w:rPr>
                <w:rFonts w:ascii="Times New Roman"/>
                <w:spacing w:val="-1"/>
                <w:sz w:val="18"/>
              </w:rPr>
            </w:r>
          </w:p>
        </w:tc>
      </w:tr>
      <w:tr>
        <w:trPr>
          <w:trHeight w:val="44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五、折旧费和摊销费</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8"/>
                <w:szCs w:val="18"/>
              </w:rPr>
            </w:pPr>
            <w:r>
              <w:rPr>
                <w:rFonts w:ascii="Times New Roman"/>
                <w:spacing w:val="-1"/>
                <w:sz w:val="18"/>
              </w:rPr>
              <w:t>12,956,896.24</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10,072,783.82</w:t>
            </w:r>
          </w:p>
        </w:tc>
        <w:tc>
          <w:tcPr>
            <w:tcW w:w="15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23,029,680.06</w:t>
            </w:r>
            <w:r>
              <w:rPr>
                <w:rFonts w:ascii="Times New Roman"/>
                <w:spacing w:val="-1"/>
                <w:sz w:val="18"/>
              </w:rPr>
            </w:r>
          </w:p>
        </w:tc>
      </w:tr>
      <w:tr>
        <w:trPr>
          <w:trHeight w:val="44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六、利润总额（亏损总额）</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8"/>
              <w:jc w:val="right"/>
              <w:rPr>
                <w:rFonts w:ascii="Times New Roman" w:hAnsi="Times New Roman" w:cs="Times New Roman" w:eastAsia="Times New Roman" w:hint="default"/>
                <w:sz w:val="18"/>
                <w:szCs w:val="18"/>
              </w:rPr>
            </w:pPr>
            <w:r>
              <w:rPr>
                <w:rFonts w:ascii="Times New Roman"/>
                <w:spacing w:val="-1"/>
                <w:sz w:val="18"/>
              </w:rPr>
              <w:t>16,943,216.33</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6"/>
              <w:jc w:val="right"/>
              <w:rPr>
                <w:rFonts w:ascii="Times New Roman" w:hAnsi="Times New Roman" w:cs="Times New Roman" w:eastAsia="Times New Roman" w:hint="default"/>
                <w:sz w:val="18"/>
                <w:szCs w:val="18"/>
              </w:rPr>
            </w:pPr>
            <w:r>
              <w:rPr>
                <w:rFonts w:ascii="Times New Roman"/>
                <w:spacing w:val="-1"/>
                <w:sz w:val="18"/>
              </w:rPr>
              <w:t>157,179,646.70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0"/>
              <w:jc w:val="right"/>
              <w:rPr>
                <w:rFonts w:ascii="Times New Roman" w:hAnsi="Times New Roman" w:cs="Times New Roman" w:eastAsia="Times New Roman" w:hint="default"/>
                <w:sz w:val="18"/>
                <w:szCs w:val="18"/>
              </w:rPr>
            </w:pPr>
            <w:r>
              <w:rPr>
                <w:rFonts w:ascii="Times New Roman"/>
                <w:sz w:val="18"/>
              </w:rPr>
              <w:t>250,000.00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174,372,863.03</w:t>
            </w:r>
            <w:r>
              <w:rPr>
                <w:rFonts w:ascii="Times New Roman"/>
                <w:spacing w:val="-1"/>
                <w:sz w:val="18"/>
              </w:rPr>
            </w:r>
          </w:p>
        </w:tc>
      </w:tr>
      <w:tr>
        <w:trPr>
          <w:trHeight w:val="44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8"/>
                <w:szCs w:val="18"/>
              </w:rPr>
            </w:pPr>
            <w:r>
              <w:rPr>
                <w:rFonts w:ascii="Times New Roman"/>
                <w:spacing w:val="-1"/>
                <w:sz w:val="18"/>
              </w:rPr>
              <w:t>11,545,389.04</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25,286,168.78</w:t>
            </w:r>
          </w:p>
        </w:tc>
        <w:tc>
          <w:tcPr>
            <w:tcW w:w="15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36,831,557.82</w:t>
            </w:r>
            <w:r>
              <w:rPr>
                <w:rFonts w:ascii="Times New Roman"/>
                <w:spacing w:val="-1"/>
                <w:sz w:val="18"/>
              </w:rPr>
            </w:r>
          </w:p>
        </w:tc>
      </w:tr>
      <w:tr>
        <w:trPr>
          <w:trHeight w:val="44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八、净利润（净亏损）</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8"/>
                <w:szCs w:val="18"/>
              </w:rPr>
            </w:pPr>
            <w:r>
              <w:rPr>
                <w:rFonts w:ascii="Times New Roman"/>
                <w:spacing w:val="-1"/>
                <w:sz w:val="18"/>
              </w:rPr>
              <w:t>5,397,827.29</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131,893,477.92</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0"/>
              <w:jc w:val="right"/>
              <w:rPr>
                <w:rFonts w:ascii="Times New Roman" w:hAnsi="Times New Roman" w:cs="Times New Roman" w:eastAsia="Times New Roman" w:hint="default"/>
                <w:sz w:val="18"/>
                <w:szCs w:val="18"/>
              </w:rPr>
            </w:pPr>
            <w:r>
              <w:rPr>
                <w:rFonts w:ascii="Times New Roman"/>
                <w:sz w:val="18"/>
              </w:rPr>
              <w:t>250,000.00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137,541,305.21</w:t>
            </w:r>
            <w:r>
              <w:rPr>
                <w:rFonts w:ascii="Times New Roman"/>
                <w:spacing w:val="-1"/>
                <w:sz w:val="18"/>
              </w:rPr>
            </w:r>
          </w:p>
        </w:tc>
      </w:tr>
      <w:tr>
        <w:trPr>
          <w:trHeight w:val="44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0"/>
              <w:jc w:val="right"/>
              <w:rPr>
                <w:rFonts w:ascii="Times New Roman" w:hAnsi="Times New Roman" w:cs="Times New Roman" w:eastAsia="Times New Roman" w:hint="default"/>
                <w:sz w:val="18"/>
                <w:szCs w:val="18"/>
              </w:rPr>
            </w:pPr>
            <w:r>
              <w:rPr>
                <w:rFonts w:ascii="Times New Roman"/>
                <w:spacing w:val="-1"/>
                <w:sz w:val="18"/>
              </w:rPr>
              <w:t>1,359,341,971.75</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7"/>
              <w:jc w:val="right"/>
              <w:rPr>
                <w:rFonts w:ascii="Times New Roman" w:hAnsi="Times New Roman" w:cs="Times New Roman" w:eastAsia="Times New Roman" w:hint="default"/>
                <w:sz w:val="18"/>
                <w:szCs w:val="18"/>
              </w:rPr>
            </w:pPr>
            <w:r>
              <w:rPr>
                <w:rFonts w:ascii="Times New Roman"/>
                <w:spacing w:val="-1"/>
                <w:sz w:val="18"/>
              </w:rPr>
              <w:t>3,549,164,625.31</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1"/>
              <w:jc w:val="right"/>
              <w:rPr>
                <w:rFonts w:ascii="Times New Roman" w:hAnsi="Times New Roman" w:cs="Times New Roman" w:eastAsia="Times New Roman" w:hint="default"/>
                <w:sz w:val="18"/>
                <w:szCs w:val="18"/>
              </w:rPr>
            </w:pPr>
            <w:r>
              <w:rPr>
                <w:rFonts w:ascii="Times New Roman"/>
                <w:spacing w:val="-1"/>
                <w:sz w:val="18"/>
              </w:rPr>
              <w:t>-134,750,000.00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4,773,756,597.06</w:t>
            </w:r>
            <w:r>
              <w:rPr>
                <w:rFonts w:ascii="Times New Roman"/>
                <w:spacing w:val="-1"/>
                <w:sz w:val="18"/>
              </w:rPr>
            </w:r>
          </w:p>
        </w:tc>
      </w:tr>
      <w:tr>
        <w:trPr>
          <w:trHeight w:val="441"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0"/>
              <w:jc w:val="right"/>
              <w:rPr>
                <w:rFonts w:ascii="Times New Roman" w:hAnsi="Times New Roman" w:cs="Times New Roman" w:eastAsia="Times New Roman" w:hint="default"/>
                <w:sz w:val="18"/>
                <w:szCs w:val="18"/>
              </w:rPr>
            </w:pPr>
            <w:r>
              <w:rPr>
                <w:rFonts w:ascii="Times New Roman"/>
                <w:spacing w:val="-1"/>
                <w:sz w:val="18"/>
              </w:rPr>
              <w:t>431,144,020.81</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6"/>
              <w:jc w:val="right"/>
              <w:rPr>
                <w:rFonts w:ascii="Times New Roman" w:hAnsi="Times New Roman" w:cs="Times New Roman" w:eastAsia="Times New Roman" w:hint="default"/>
                <w:sz w:val="18"/>
                <w:szCs w:val="18"/>
              </w:rPr>
            </w:pPr>
            <w:r>
              <w:rPr>
                <w:rFonts w:ascii="Times New Roman"/>
                <w:spacing w:val="-1"/>
                <w:sz w:val="18"/>
              </w:rPr>
              <w:t>203,193,572.65</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1"/>
              <w:jc w:val="right"/>
              <w:rPr>
                <w:rFonts w:ascii="Times New Roman" w:hAnsi="Times New Roman" w:cs="Times New Roman" w:eastAsia="Times New Roman" w:hint="default"/>
                <w:sz w:val="18"/>
                <w:szCs w:val="18"/>
              </w:rPr>
            </w:pPr>
            <w:r>
              <w:rPr>
                <w:rFonts w:ascii="Times New Roman"/>
                <w:spacing w:val="-1"/>
                <w:sz w:val="18"/>
              </w:rPr>
              <w:t>-135,000,000.00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499,337,593.46</w:t>
            </w:r>
            <w:r>
              <w:rPr>
                <w:rFonts w:ascii="Times New Roman"/>
                <w:spacing w:val="-1"/>
                <w:sz w:val="18"/>
              </w:rPr>
            </w:r>
          </w:p>
        </w:tc>
      </w:tr>
      <w:tr>
        <w:trPr>
          <w:trHeight w:val="435"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十一、其他重要的非现金项目</w:t>
            </w:r>
          </w:p>
        </w:tc>
        <w:tc>
          <w:tcPr>
            <w:tcW w:w="1647"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r>
      <w:tr>
        <w:trPr>
          <w:trHeight w:val="80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348" w:lineRule="auto" w:before="74"/>
              <w:ind w:left="108" w:right="2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折旧费和摊销费以外的其他非现金 费用</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29,763,637.47</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1"/>
                <w:sz w:val="18"/>
              </w:rPr>
              <w:t>76,453,221.78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w w:val="95"/>
                <w:sz w:val="18"/>
              </w:rPr>
              <w:t>-250,000.00</w:t>
            </w:r>
            <w:r>
              <w:rPr>
                <w:rFonts w:ascii="Times New Roman"/>
                <w:sz w:val="18"/>
              </w:rPr>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105,966,859.25</w:t>
            </w:r>
            <w:r>
              <w:rPr>
                <w:rFonts w:ascii="Times New Roman"/>
                <w:spacing w:val="-1"/>
                <w:sz w:val="18"/>
              </w:rPr>
            </w:r>
          </w:p>
        </w:tc>
      </w:tr>
      <w:tr>
        <w:trPr>
          <w:trHeight w:val="80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345" w:lineRule="auto" w:before="74"/>
              <w:ind w:left="108" w:right="2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对联营企业和合营企业的长期股权 投资</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199,540,975.18</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1"/>
                <w:sz w:val="18"/>
              </w:rPr>
              <w:t>56,368,616.35</w:t>
            </w:r>
          </w:p>
        </w:tc>
        <w:tc>
          <w:tcPr>
            <w:tcW w:w="15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255,909,591.53</w:t>
            </w:r>
            <w:r>
              <w:rPr>
                <w:rFonts w:ascii="Times New Roman"/>
                <w:spacing w:val="-1"/>
                <w:sz w:val="18"/>
              </w:rPr>
            </w:r>
          </w:p>
        </w:tc>
      </w:tr>
      <w:tr>
        <w:trPr>
          <w:trHeight w:val="67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长期股权投资以外的其他非流动资</w:t>
            </w:r>
          </w:p>
          <w:p>
            <w:pPr>
              <w:pStyle w:val="TableParagraph"/>
              <w:spacing w:line="240" w:lineRule="auto" w:before="111"/>
              <w:ind w:left="108" w:right="0"/>
              <w:jc w:val="left"/>
              <w:rPr>
                <w:rFonts w:ascii="宋体" w:hAnsi="宋体" w:cs="宋体" w:eastAsia="宋体" w:hint="default"/>
                <w:sz w:val="18"/>
                <w:szCs w:val="18"/>
              </w:rPr>
            </w:pPr>
            <w:r>
              <w:rPr>
                <w:rFonts w:ascii="宋体" w:hAnsi="宋体" w:cs="宋体" w:eastAsia="宋体" w:hint="default"/>
                <w:sz w:val="18"/>
                <w:szCs w:val="18"/>
              </w:rPr>
              <w:t>产增加额</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-13,899,079.48</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1"/>
                <w:sz w:val="18"/>
              </w:rPr>
              <w:t>-81,928,159.77</w:t>
            </w:r>
          </w:p>
        </w:tc>
        <w:tc>
          <w:tcPr>
            <w:tcW w:w="1507"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-95,827,239.25</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1117"/>
        <w:jc w:val="left"/>
      </w:pPr>
      <w:r>
        <w:rPr/>
        <w:t>接上表：</w:t>
      </w:r>
    </w:p>
    <w:p>
      <w:pPr>
        <w:spacing w:line="240" w:lineRule="auto" w:before="2"/>
        <w:rPr>
          <w:rFonts w:ascii="宋体" w:hAnsi="宋体" w:cs="宋体" w:eastAsia="宋体" w:hint="default"/>
          <w:sz w:val="21"/>
          <w:szCs w:val="21"/>
        </w:rPr>
      </w:pPr>
    </w:p>
    <w:p>
      <w:pPr>
        <w:pStyle w:val="Heading6"/>
        <w:spacing w:line="228" w:lineRule="exact" w:before="44"/>
        <w:ind w:left="7079" w:right="1117"/>
        <w:jc w:val="left"/>
        <w:rPr>
          <w:b w:val="0"/>
          <w:bCs w:val="0"/>
        </w:rPr>
      </w:pPr>
      <w:r>
        <w:rPr/>
        <w:t>上期发生额</w:t>
      </w:r>
      <w:r>
        <w:rPr>
          <w:b w:val="0"/>
          <w:bCs w:val="0"/>
        </w:rPr>
      </w:r>
    </w:p>
    <w:p>
      <w:pPr>
        <w:pStyle w:val="Heading6"/>
        <w:spacing w:line="220" w:lineRule="exact"/>
        <w:ind w:left="2545" w:right="1117"/>
        <w:jc w:val="left"/>
        <w:rPr>
          <w:b w:val="0"/>
          <w:bCs w:val="0"/>
        </w:rPr>
      </w:pPr>
      <w:r>
        <w:rPr/>
        <w:t>项</w:t>
      </w:r>
      <w:r>
        <w:rPr>
          <w:spacing w:val="90"/>
        </w:rPr>
        <w:t> </w:t>
      </w:r>
      <w:r>
        <w:rPr/>
        <w:t>目</w:t>
      </w:r>
      <w:r>
        <w:rPr>
          <w:b w:val="0"/>
          <w:bCs w:val="0"/>
        </w:rPr>
      </w:r>
    </w:p>
    <w:p>
      <w:pPr>
        <w:pStyle w:val="Heading6"/>
        <w:tabs>
          <w:tab w:pos="6294" w:val="left" w:leader="none"/>
          <w:tab w:pos="8049" w:val="left" w:leader="none"/>
          <w:tab w:pos="9695" w:val="left" w:leader="none"/>
        </w:tabs>
        <w:spacing w:line="228" w:lineRule="exact"/>
        <w:ind w:left="4733" w:right="1117"/>
        <w:jc w:val="left"/>
        <w:rPr>
          <w:b w:val="0"/>
          <w:bCs w:val="0"/>
        </w:rPr>
      </w:pPr>
      <w:r>
        <w:rPr>
          <w:w w:val="95"/>
        </w:rPr>
        <w:t>出版发行</w:t>
        <w:tab/>
        <w:t>网络游戏</w:t>
        <w:tab/>
        <w:t>抵销</w:t>
        <w:tab/>
      </w:r>
      <w:r>
        <w:rPr/>
        <w:t>合计</w:t>
      </w:r>
      <w:r>
        <w:rPr>
          <w:b w:val="0"/>
          <w:bCs w:val="0"/>
        </w:rPr>
      </w:r>
    </w:p>
    <w:p>
      <w:pPr>
        <w:spacing w:line="240" w:lineRule="auto" w:before="9"/>
        <w:rPr>
          <w:rFonts w:ascii="宋体" w:hAnsi="宋体" w:cs="宋体" w:eastAsia="宋体" w:hint="default"/>
          <w:b/>
          <w:bCs/>
          <w:sz w:val="6"/>
          <w:szCs w:val="6"/>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3013;height:2" coordorigin="5,5" coordsize="3013,2">
              <v:shape style="position:absolute;left:5;top:5;width:3013;height:2" coordorigin="5,5" coordsize="3013,0" path="m5,5l3017,5e" filled="false" stroked="true" strokeweight=".48pt" strokecolor="#000000">
                <v:path arrowok="t"/>
              </v:shape>
            </v:group>
            <v:group style="position:absolute;left:3017;top:5;width:10;height:2" coordorigin="3017,5" coordsize="10,2">
              <v:shape style="position:absolute;left:3017;top:5;width:10;height:2" coordorigin="3017,5" coordsize="10,0" path="m3017,5l3027,5e" filled="false" stroked="true" strokeweight=".48pt" strokecolor="#000000">
                <v:path arrowok="t"/>
              </v:shape>
            </v:group>
            <v:group style="position:absolute;left:3027;top:5;width:1534;height:2" coordorigin="3027,5" coordsize="1534,2">
              <v:shape style="position:absolute;left:3027;top:5;width:1534;height:2" coordorigin="3027,5" coordsize="1534,0" path="m3027,5l4561,5e" filled="false" stroked="true" strokeweight=".48pt" strokecolor="#000000">
                <v:path arrowok="t"/>
              </v:shape>
            </v:group>
            <v:group style="position:absolute;left:4561;top:5;width:10;height:2" coordorigin="4561,5" coordsize="10,2">
              <v:shape style="position:absolute;left:4561;top:5;width:10;height:2" coordorigin="4561,5" coordsize="10,0" path="m4561,5l4570,5e" filled="false" stroked="true" strokeweight=".48pt" strokecolor="#000000">
                <v:path arrowok="t"/>
              </v:shape>
            </v:group>
            <v:group style="position:absolute;left:4570;top:5;width:1572;height:2" coordorigin="4570,5" coordsize="1572,2">
              <v:shape style="position:absolute;left:4570;top:5;width:1572;height:2" coordorigin="4570,5" coordsize="1572,0" path="m4570,5l6142,5e" filled="false" stroked="true" strokeweight=".48pt" strokecolor="#000000">
                <v:path arrowok="t"/>
              </v:shape>
            </v:group>
            <v:group style="position:absolute;left:6142;top:5;width:10;height:2" coordorigin="6142,5" coordsize="10,2">
              <v:shape style="position:absolute;left:6142;top:5;width:10;height:2" coordorigin="6142,5" coordsize="10,0" path="m6142,5l6152,5e" filled="false" stroked="true" strokeweight=".48pt" strokecolor="#000000">
                <v:path arrowok="t"/>
              </v:shape>
            </v:group>
            <v:group style="position:absolute;left:6152;top:5;width:1556;height:2" coordorigin="6152,5" coordsize="1556,2">
              <v:shape style="position:absolute;left:6152;top:5;width:1556;height:2" coordorigin="6152,5" coordsize="1556,0" path="m6152,5l7708,5e" filled="false" stroked="true" strokeweight=".48pt" strokecolor="#000000">
                <v:path arrowok="t"/>
              </v:shape>
            </v:group>
            <v:group style="position:absolute;left:7708;top:5;width:10;height:2" coordorigin="7708,5" coordsize="10,2">
              <v:shape style="position:absolute;left:7708;top:5;width:10;height:2" coordorigin="7708,5" coordsize="10,0" path="m7708,5l7717,5e" filled="false" stroked="true" strokeweight=".48pt" strokecolor="#000000">
                <v:path arrowok="t"/>
              </v:shape>
            </v:group>
            <v:group style="position:absolute;left:7717;top:5;width:1719;height:2" coordorigin="7717,5" coordsize="1719,2">
              <v:shape style="position:absolute;left:7717;top:5;width:1719;height:2" coordorigin="7717,5" coordsize="1719,0" path="m7717,5l9436,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4"/>
          <w:szCs w:val="4"/>
        </w:rPr>
      </w:pPr>
    </w:p>
    <w:p>
      <w:pPr>
        <w:pStyle w:val="BodyText"/>
        <w:tabs>
          <w:tab w:pos="4633" w:val="left" w:leader="none"/>
          <w:tab w:pos="6214" w:val="left" w:leader="none"/>
          <w:tab w:pos="9508" w:val="left" w:leader="none"/>
        </w:tabs>
        <w:spacing w:line="240" w:lineRule="auto" w:before="44"/>
        <w:ind w:left="1418" w:right="1117"/>
        <w:jc w:val="left"/>
        <w:rPr>
          <w:rFonts w:ascii="Times New Roman" w:hAnsi="Times New Roman" w:cs="Times New Roman" w:eastAsia="Times New Roman" w:hint="default"/>
        </w:rPr>
      </w:pPr>
      <w:r>
        <w:rPr/>
        <w:t>一、对外交易收入</w:t>
        <w:tab/>
      </w:r>
      <w:r>
        <w:rPr>
          <w:rFonts w:ascii="Times New Roman" w:hAnsi="Times New Roman" w:cs="Times New Roman" w:eastAsia="Times New Roman" w:hint="default"/>
          <w:spacing w:val="-1"/>
        </w:rPr>
        <w:t>434,188,218.87</w:t>
        <w:tab/>
        <w:t>345,751,421.07</w:t>
        <w:tab/>
      </w:r>
      <w:r>
        <w:rPr>
          <w:rFonts w:ascii="Times New Roman" w:hAnsi="Times New Roman" w:cs="Times New Roman" w:eastAsia="Times New Roman" w:hint="default"/>
          <w:spacing w:val="-1"/>
          <w:u w:val="thick" w:color="000000"/>
        </w:rPr>
        <w:t>779,939,639.94</w:t>
      </w:r>
      <w:r>
        <w:rPr>
          <w:rFonts w:ascii="Times New Roman" w:hAnsi="Times New Roman" w:cs="Times New Roman" w:eastAsia="Times New Roman" w:hint="default"/>
          <w:spacing w:val="-1"/>
        </w:rPr>
      </w:r>
    </w:p>
    <w:p>
      <w:pPr>
        <w:spacing w:line="240" w:lineRule="auto" w:before="9"/>
        <w:rPr>
          <w:rFonts w:ascii="Times New Roman" w:hAnsi="Times New Roman" w:cs="Times New Roman" w:eastAsia="Times New Roman" w:hint="default"/>
          <w:sz w:val="12"/>
          <w:szCs w:val="12"/>
        </w:rPr>
      </w:pPr>
    </w:p>
    <w:p>
      <w:pPr>
        <w:pStyle w:val="BodyText"/>
        <w:spacing w:line="240" w:lineRule="auto" w:before="44"/>
        <w:ind w:left="1418" w:right="1117"/>
        <w:jc w:val="left"/>
      </w:pPr>
      <w:r>
        <w:rPr/>
        <w:t>二、分部间交易收入</w:t>
      </w:r>
    </w:p>
    <w:p>
      <w:pPr>
        <w:spacing w:line="240" w:lineRule="auto" w:before="4"/>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77" w:footer="979" w:top="1060" w:bottom="1160" w:left="0" w:right="0"/>
        </w:sectPr>
      </w:pPr>
    </w:p>
    <w:p>
      <w:pPr>
        <w:pStyle w:val="BodyText"/>
        <w:spacing w:line="408" w:lineRule="auto" w:before="44"/>
        <w:ind w:left="1418" w:right="-20"/>
        <w:jc w:val="left"/>
      </w:pPr>
      <w:r>
        <w:rPr/>
        <w:t>三、对联营和合营企业的投资 收益</w:t>
      </w:r>
    </w:p>
    <w:p>
      <w:pPr>
        <w:spacing w:line="240" w:lineRule="auto" w:before="11"/>
        <w:rPr>
          <w:rFonts w:ascii="宋体" w:hAnsi="宋体" w:cs="宋体" w:eastAsia="宋体" w:hint="default"/>
          <w:sz w:val="21"/>
          <w:szCs w:val="21"/>
        </w:rPr>
      </w:pPr>
      <w:r>
        <w:rPr/>
        <w:br w:type="column"/>
      </w:r>
      <w:r>
        <w:rPr>
          <w:rFonts w:ascii="宋体"/>
          <w:sz w:val="21"/>
        </w:rPr>
      </w:r>
    </w:p>
    <w:p>
      <w:pPr>
        <w:pStyle w:val="BodyText"/>
        <w:tabs>
          <w:tab w:pos="2670" w:val="left" w:leader="none"/>
          <w:tab w:pos="5830" w:val="left" w:leader="none"/>
        </w:tabs>
        <w:spacing w:line="240" w:lineRule="auto"/>
        <w:ind w:left="955" w:right="0"/>
        <w:jc w:val="left"/>
        <w:rPr>
          <w:rFonts w:ascii="Times New Roman" w:hAnsi="Times New Roman" w:cs="Times New Roman" w:eastAsia="Times New Roman" w:hint="default"/>
        </w:rPr>
      </w:pPr>
      <w:r>
        <w:rPr>
          <w:rFonts w:ascii="Times New Roman"/>
          <w:spacing w:val="-1"/>
        </w:rPr>
        <w:t>-2,727,813.81</w:t>
        <w:tab/>
      </w:r>
      <w:r>
        <w:rPr>
          <w:rFonts w:ascii="Times New Roman"/>
          <w:w w:val="95"/>
        </w:rPr>
        <w:t>-332,415.27</w:t>
        <w:tab/>
      </w:r>
      <w:r>
        <w:rPr>
          <w:rFonts w:ascii="Times New Roman"/>
          <w:spacing w:val="-1"/>
          <w:u w:val="thick" w:color="000000"/>
        </w:rPr>
        <w:t>-3,060,229.08</w:t>
      </w:r>
      <w:r>
        <w:rPr>
          <w:rFonts w:ascii="Times New Roman"/>
          <w:spacing w:val="-1"/>
        </w:rPr>
      </w:r>
    </w:p>
    <w:p>
      <w:pPr>
        <w:spacing w:after="0" w:line="240" w:lineRule="auto"/>
        <w:jc w:val="left"/>
        <w:rPr>
          <w:rFonts w:ascii="Times New Roman" w:hAnsi="Times New Roman" w:cs="Times New Roman" w:eastAsia="Times New Roman" w:hint="default"/>
        </w:rPr>
        <w:sectPr>
          <w:type w:val="continuous"/>
          <w:pgSz w:w="11910" w:h="16840"/>
          <w:pgMar w:top="780" w:bottom="840" w:left="0" w:right="0"/>
          <w:cols w:num="2" w:equalWidth="0">
            <w:col w:w="3759" w:space="40"/>
            <w:col w:w="8111"/>
          </w:cols>
        </w:sectPr>
      </w:pPr>
    </w:p>
    <w:p>
      <w:pPr>
        <w:pStyle w:val="BodyText"/>
        <w:tabs>
          <w:tab w:pos="4723" w:val="left" w:leader="none"/>
          <w:tab w:pos="6394" w:val="left" w:leader="none"/>
          <w:tab w:pos="9598" w:val="left" w:leader="none"/>
        </w:tabs>
        <w:spacing w:line="240" w:lineRule="auto" w:before="79"/>
        <w:ind w:left="1418" w:right="1117"/>
        <w:jc w:val="left"/>
        <w:rPr>
          <w:rFonts w:ascii="Times New Roman" w:hAnsi="Times New Roman" w:cs="Times New Roman" w:eastAsia="Times New Roman" w:hint="default"/>
        </w:rPr>
      </w:pPr>
      <w:r>
        <w:rPr/>
        <w:t>四、资产减值损失</w:t>
        <w:tab/>
      </w:r>
      <w:r>
        <w:rPr>
          <w:rFonts w:ascii="Times New Roman" w:hAnsi="Times New Roman" w:cs="Times New Roman" w:eastAsia="Times New Roman" w:hint="default"/>
          <w:spacing w:val="-1"/>
        </w:rPr>
        <w:t>15,810,491.55</w:t>
        <w:tab/>
        <w:t>1,765,733.64</w:t>
        <w:tab/>
      </w:r>
      <w:r>
        <w:rPr>
          <w:rFonts w:ascii="Times New Roman" w:hAnsi="Times New Roman" w:cs="Times New Roman" w:eastAsia="Times New Roman" w:hint="default"/>
          <w:spacing w:val="-1"/>
          <w:u w:val="thick" w:color="000000"/>
        </w:rPr>
        <w:t>17,576,225.19</w:t>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type w:val="continuous"/>
          <w:pgSz w:w="11910" w:h="16840"/>
          <w:pgMar w:top="780" w:bottom="84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pStyle w:val="Heading6"/>
        <w:spacing w:line="228" w:lineRule="exact" w:before="44"/>
        <w:ind w:left="7079" w:right="1117"/>
        <w:jc w:val="left"/>
        <w:rPr>
          <w:b w:val="0"/>
          <w:bCs w:val="0"/>
        </w:rPr>
      </w:pPr>
      <w:r>
        <w:rPr/>
        <w:t>上期发生额</w:t>
      </w:r>
      <w:r>
        <w:rPr>
          <w:b w:val="0"/>
          <w:bCs w:val="0"/>
        </w:rPr>
      </w:r>
    </w:p>
    <w:p>
      <w:pPr>
        <w:pStyle w:val="Heading6"/>
        <w:spacing w:line="220" w:lineRule="exact"/>
        <w:ind w:left="2545" w:right="1117"/>
        <w:jc w:val="left"/>
        <w:rPr>
          <w:b w:val="0"/>
          <w:bCs w:val="0"/>
        </w:rPr>
      </w:pPr>
      <w:r>
        <w:rPr/>
        <w:t>项</w:t>
      </w:r>
      <w:r>
        <w:rPr>
          <w:spacing w:val="90"/>
        </w:rPr>
        <w:t> </w:t>
      </w:r>
      <w:r>
        <w:rPr/>
        <w:t>目</w:t>
      </w:r>
      <w:r>
        <w:rPr>
          <w:b w:val="0"/>
          <w:bCs w:val="0"/>
        </w:rPr>
      </w:r>
    </w:p>
    <w:p>
      <w:pPr>
        <w:pStyle w:val="Heading6"/>
        <w:tabs>
          <w:tab w:pos="6294" w:val="left" w:leader="none"/>
          <w:tab w:pos="8049" w:val="left" w:leader="none"/>
          <w:tab w:pos="9695" w:val="left" w:leader="none"/>
        </w:tabs>
        <w:spacing w:line="228" w:lineRule="exact"/>
        <w:ind w:left="4733" w:right="1117"/>
        <w:jc w:val="left"/>
        <w:rPr>
          <w:b w:val="0"/>
          <w:bCs w:val="0"/>
        </w:rPr>
      </w:pPr>
      <w:r>
        <w:rPr>
          <w:w w:val="95"/>
        </w:rPr>
        <w:t>出版发行</w:t>
        <w:tab/>
        <w:t>网络游戏</w:t>
        <w:tab/>
        <w:t>抵销</w:t>
        <w:tab/>
      </w:r>
      <w:r>
        <w:rPr/>
        <w:t>合计</w:t>
      </w:r>
      <w:r>
        <w:rPr>
          <w:b w:val="0"/>
          <w:bCs w:val="0"/>
        </w:rPr>
      </w:r>
    </w:p>
    <w:p>
      <w:pPr>
        <w:spacing w:line="240" w:lineRule="auto" w:before="8"/>
        <w:rPr>
          <w:rFonts w:ascii="宋体" w:hAnsi="宋体" w:cs="宋体" w:eastAsia="宋体" w:hint="default"/>
          <w:b/>
          <w:bCs/>
          <w:sz w:val="6"/>
          <w:szCs w:val="6"/>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3013;height:2" coordorigin="5,5" coordsize="3013,2">
              <v:shape style="position:absolute;left:5;top:5;width:3013;height:2" coordorigin="5,5" coordsize="3013,0" path="m5,5l3017,5e" filled="false" stroked="true" strokeweight=".48pt" strokecolor="#000000">
                <v:path arrowok="t"/>
              </v:shape>
            </v:group>
            <v:group style="position:absolute;left:3017;top:5;width:10;height:2" coordorigin="3017,5" coordsize="10,2">
              <v:shape style="position:absolute;left:3017;top:5;width:10;height:2" coordorigin="3017,5" coordsize="10,0" path="m3017,5l3027,5e" filled="false" stroked="true" strokeweight=".48pt" strokecolor="#000000">
                <v:path arrowok="t"/>
              </v:shape>
            </v:group>
            <v:group style="position:absolute;left:3027;top:5;width:1534;height:2" coordorigin="3027,5" coordsize="1534,2">
              <v:shape style="position:absolute;left:3027;top:5;width:1534;height:2" coordorigin="3027,5" coordsize="1534,0" path="m3027,5l4561,5e" filled="false" stroked="true" strokeweight=".48pt" strokecolor="#000000">
                <v:path arrowok="t"/>
              </v:shape>
            </v:group>
            <v:group style="position:absolute;left:4561;top:5;width:10;height:2" coordorigin="4561,5" coordsize="10,2">
              <v:shape style="position:absolute;left:4561;top:5;width:10;height:2" coordorigin="4561,5" coordsize="10,0" path="m4561,5l4570,5e" filled="false" stroked="true" strokeweight=".48pt" strokecolor="#000000">
                <v:path arrowok="t"/>
              </v:shape>
            </v:group>
            <v:group style="position:absolute;left:4570;top:5;width:1572;height:2" coordorigin="4570,5" coordsize="1572,2">
              <v:shape style="position:absolute;left:4570;top:5;width:1572;height:2" coordorigin="4570,5" coordsize="1572,0" path="m4570,5l6142,5e" filled="false" stroked="true" strokeweight=".48pt" strokecolor="#000000">
                <v:path arrowok="t"/>
              </v:shape>
            </v:group>
            <v:group style="position:absolute;left:6142;top:5;width:10;height:2" coordorigin="6142,5" coordsize="10,2">
              <v:shape style="position:absolute;left:6142;top:5;width:10;height:2" coordorigin="6142,5" coordsize="10,0" path="m6142,5l6152,5e" filled="false" stroked="true" strokeweight=".48pt" strokecolor="#000000">
                <v:path arrowok="t"/>
              </v:shape>
            </v:group>
            <v:group style="position:absolute;left:6152;top:5;width:1556;height:2" coordorigin="6152,5" coordsize="1556,2">
              <v:shape style="position:absolute;left:6152;top:5;width:1556;height:2" coordorigin="6152,5" coordsize="1556,0" path="m6152,5l7708,5e" filled="false" stroked="true" strokeweight=".48pt" strokecolor="#000000">
                <v:path arrowok="t"/>
              </v:shape>
            </v:group>
            <v:group style="position:absolute;left:7708;top:5;width:10;height:2" coordorigin="7708,5" coordsize="10,2">
              <v:shape style="position:absolute;left:7708;top:5;width:10;height:2" coordorigin="7708,5" coordsize="10,0" path="m7708,5l7717,5e" filled="false" stroked="true" strokeweight=".48pt" strokecolor="#000000">
                <v:path arrowok="t"/>
              </v:shape>
            </v:group>
            <v:group style="position:absolute;left:7717;top:5;width:1719;height:2" coordorigin="7717,5" coordsize="1719,2">
              <v:shape style="position:absolute;left:7717;top:5;width:1719;height:2" coordorigin="7717,5" coordsize="1719,0" path="m7717,5l9436,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4"/>
          <w:szCs w:val="4"/>
        </w:rPr>
      </w:pPr>
    </w:p>
    <w:tbl>
      <w:tblPr>
        <w:tblW w:w="0" w:type="auto"/>
        <w:jc w:val="left"/>
        <w:tblInd w:w="1383" w:type="dxa"/>
        <w:tblLayout w:type="fixed"/>
        <w:tblCellMar>
          <w:top w:w="0" w:type="dxa"/>
          <w:left w:w="0" w:type="dxa"/>
          <w:bottom w:w="0" w:type="dxa"/>
          <w:right w:w="0" w:type="dxa"/>
        </w:tblCellMar>
        <w:tblLook w:val="01E0"/>
      </w:tblPr>
      <w:tblGrid>
        <w:gridCol w:w="2902"/>
        <w:gridCol w:w="1633"/>
        <w:gridCol w:w="1611"/>
        <w:gridCol w:w="1609"/>
        <w:gridCol w:w="1529"/>
      </w:tblGrid>
      <w:tr>
        <w:trPr>
          <w:trHeight w:val="415"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五、折旧费和摊销费</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8"/>
              <w:jc w:val="right"/>
              <w:rPr>
                <w:rFonts w:ascii="Times New Roman" w:hAnsi="Times New Roman" w:cs="Times New Roman" w:eastAsia="Times New Roman" w:hint="default"/>
                <w:sz w:val="18"/>
                <w:szCs w:val="18"/>
              </w:rPr>
            </w:pPr>
            <w:r>
              <w:rPr>
                <w:rFonts w:ascii="Times New Roman"/>
                <w:spacing w:val="-1"/>
                <w:sz w:val="18"/>
              </w:rPr>
              <w:t>9,167,498.88</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88"/>
              <w:jc w:val="right"/>
              <w:rPr>
                <w:rFonts w:ascii="Times New Roman" w:hAnsi="Times New Roman" w:cs="Times New Roman" w:eastAsia="Times New Roman" w:hint="default"/>
                <w:sz w:val="18"/>
                <w:szCs w:val="18"/>
              </w:rPr>
            </w:pPr>
            <w:r>
              <w:rPr>
                <w:rFonts w:ascii="Times New Roman"/>
                <w:spacing w:val="-1"/>
                <w:sz w:val="18"/>
              </w:rPr>
              <w:t>5,440,460.30</w:t>
            </w: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14,607,959.18</w:t>
            </w:r>
            <w:r>
              <w:rPr>
                <w:rFonts w:ascii="Times New Roman"/>
                <w:spacing w:val="-1"/>
                <w:sz w:val="18"/>
              </w:rPr>
            </w:r>
          </w:p>
        </w:tc>
      </w:tr>
      <w:tr>
        <w:trPr>
          <w:trHeight w:val="440"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六、利润总额（亏损总额）</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8"/>
              <w:jc w:val="right"/>
              <w:rPr>
                <w:rFonts w:ascii="Times New Roman" w:hAnsi="Times New Roman" w:cs="Times New Roman" w:eastAsia="Times New Roman" w:hint="default"/>
                <w:sz w:val="18"/>
                <w:szCs w:val="18"/>
              </w:rPr>
            </w:pPr>
            <w:r>
              <w:rPr>
                <w:rFonts w:ascii="Times New Roman"/>
                <w:spacing w:val="-1"/>
                <w:sz w:val="18"/>
              </w:rPr>
              <w:t>73,438,115.34</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8"/>
              <w:jc w:val="right"/>
              <w:rPr>
                <w:rFonts w:ascii="Times New Roman" w:hAnsi="Times New Roman" w:cs="Times New Roman" w:eastAsia="Times New Roman" w:hint="default"/>
                <w:sz w:val="18"/>
                <w:szCs w:val="18"/>
              </w:rPr>
            </w:pPr>
            <w:r>
              <w:rPr>
                <w:rFonts w:ascii="Times New Roman"/>
                <w:spacing w:val="-1"/>
                <w:sz w:val="18"/>
              </w:rPr>
              <w:t>229,352,978.49</w:t>
            </w: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302,791,093.83</w:t>
            </w:r>
            <w:r>
              <w:rPr>
                <w:rFonts w:ascii="Times New Roman"/>
                <w:spacing w:val="-1"/>
                <w:sz w:val="18"/>
              </w:rPr>
            </w:r>
          </w:p>
        </w:tc>
      </w:tr>
      <w:tr>
        <w:trPr>
          <w:trHeight w:val="440"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8"/>
                <w:szCs w:val="18"/>
              </w:rPr>
            </w:pPr>
            <w:r>
              <w:rPr>
                <w:rFonts w:ascii="Times New Roman"/>
                <w:spacing w:val="-1"/>
                <w:sz w:val="18"/>
              </w:rPr>
              <w:t>20,919,329.00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8"/>
              <w:jc w:val="right"/>
              <w:rPr>
                <w:rFonts w:ascii="Times New Roman" w:hAnsi="Times New Roman" w:cs="Times New Roman" w:eastAsia="Times New Roman" w:hint="default"/>
                <w:sz w:val="18"/>
                <w:szCs w:val="18"/>
              </w:rPr>
            </w:pPr>
            <w:r>
              <w:rPr>
                <w:rFonts w:ascii="Times New Roman"/>
                <w:spacing w:val="-1"/>
                <w:sz w:val="18"/>
              </w:rPr>
              <w:t>25,402,182.02</w:t>
            </w: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46,321,511.02</w:t>
            </w:r>
            <w:r>
              <w:rPr>
                <w:rFonts w:ascii="Times New Roman"/>
                <w:spacing w:val="-1"/>
                <w:sz w:val="18"/>
              </w:rPr>
            </w:r>
          </w:p>
        </w:tc>
      </w:tr>
      <w:tr>
        <w:trPr>
          <w:trHeight w:val="440"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八、净利润（净亏损）</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8"/>
                <w:szCs w:val="18"/>
              </w:rPr>
            </w:pPr>
            <w:r>
              <w:rPr>
                <w:rFonts w:ascii="Times New Roman"/>
                <w:spacing w:val="-1"/>
                <w:sz w:val="18"/>
              </w:rPr>
              <w:t>52,518,786.34</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8"/>
              <w:jc w:val="right"/>
              <w:rPr>
                <w:rFonts w:ascii="Times New Roman" w:hAnsi="Times New Roman" w:cs="Times New Roman" w:eastAsia="Times New Roman" w:hint="default"/>
                <w:sz w:val="18"/>
                <w:szCs w:val="18"/>
              </w:rPr>
            </w:pPr>
            <w:r>
              <w:rPr>
                <w:rFonts w:ascii="Times New Roman"/>
                <w:spacing w:val="-1"/>
                <w:sz w:val="18"/>
              </w:rPr>
              <w:t>203,950,796.47</w:t>
            </w: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256,469,582.81</w:t>
            </w:r>
            <w:r>
              <w:rPr>
                <w:rFonts w:ascii="Times New Roman"/>
                <w:spacing w:val="-1"/>
                <w:sz w:val="18"/>
              </w:rPr>
            </w:r>
          </w:p>
        </w:tc>
      </w:tr>
      <w:tr>
        <w:trPr>
          <w:trHeight w:val="440"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59"/>
              <w:jc w:val="right"/>
              <w:rPr>
                <w:rFonts w:ascii="Times New Roman" w:hAnsi="Times New Roman" w:cs="Times New Roman" w:eastAsia="Times New Roman" w:hint="default"/>
                <w:sz w:val="18"/>
                <w:szCs w:val="18"/>
              </w:rPr>
            </w:pPr>
            <w:r>
              <w:rPr>
                <w:rFonts w:ascii="Times New Roman"/>
                <w:spacing w:val="-1"/>
                <w:sz w:val="18"/>
              </w:rPr>
              <w:t>1,756,852,948.10</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0"/>
              <w:jc w:val="right"/>
              <w:rPr>
                <w:rFonts w:ascii="Times New Roman" w:hAnsi="Times New Roman" w:cs="Times New Roman" w:eastAsia="Times New Roman" w:hint="default"/>
                <w:sz w:val="18"/>
                <w:szCs w:val="18"/>
              </w:rPr>
            </w:pPr>
            <w:r>
              <w:rPr>
                <w:rFonts w:ascii="Times New Roman"/>
                <w:spacing w:val="-1"/>
                <w:sz w:val="18"/>
              </w:rPr>
              <w:t>3,439,715,390.63</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1"/>
              <w:jc w:val="center"/>
              <w:rPr>
                <w:rFonts w:ascii="Times New Roman" w:hAnsi="Times New Roman" w:cs="Times New Roman" w:eastAsia="Times New Roman" w:hint="default"/>
                <w:sz w:val="18"/>
                <w:szCs w:val="18"/>
              </w:rPr>
            </w:pPr>
            <w:r>
              <w:rPr>
                <w:rFonts w:ascii="Times New Roman"/>
                <w:sz w:val="18"/>
              </w:rPr>
              <w:t>-251,716,948.39</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4,944,851,390.34</w:t>
            </w:r>
            <w:r>
              <w:rPr>
                <w:rFonts w:ascii="Times New Roman"/>
                <w:spacing w:val="-1"/>
                <w:sz w:val="18"/>
              </w:rPr>
            </w:r>
          </w:p>
        </w:tc>
      </w:tr>
      <w:tr>
        <w:trPr>
          <w:trHeight w:val="440"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58"/>
              <w:jc w:val="right"/>
              <w:rPr>
                <w:rFonts w:ascii="Times New Roman" w:hAnsi="Times New Roman" w:cs="Times New Roman" w:eastAsia="Times New Roman" w:hint="default"/>
                <w:sz w:val="18"/>
                <w:szCs w:val="18"/>
              </w:rPr>
            </w:pPr>
            <w:r>
              <w:rPr>
                <w:rFonts w:ascii="Times New Roman"/>
                <w:spacing w:val="-1"/>
                <w:sz w:val="18"/>
              </w:rPr>
              <w:t>664,230,991.36</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88"/>
              <w:jc w:val="right"/>
              <w:rPr>
                <w:rFonts w:ascii="Times New Roman" w:hAnsi="Times New Roman" w:cs="Times New Roman" w:eastAsia="Times New Roman" w:hint="default"/>
                <w:sz w:val="18"/>
                <w:szCs w:val="18"/>
              </w:rPr>
            </w:pPr>
            <w:r>
              <w:rPr>
                <w:rFonts w:ascii="Times New Roman"/>
                <w:spacing w:val="-1"/>
                <w:sz w:val="18"/>
              </w:rPr>
              <w:t>95,502,960.68</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1"/>
              <w:jc w:val="center"/>
              <w:rPr>
                <w:rFonts w:ascii="Times New Roman" w:hAnsi="Times New Roman" w:cs="Times New Roman" w:eastAsia="Times New Roman" w:hint="default"/>
                <w:sz w:val="18"/>
                <w:szCs w:val="18"/>
              </w:rPr>
            </w:pPr>
            <w:r>
              <w:rPr>
                <w:rFonts w:ascii="Times New Roman"/>
                <w:sz w:val="18"/>
              </w:rPr>
              <w:t>-251,716,948.39</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508,017,003.65</w:t>
            </w:r>
            <w:r>
              <w:rPr>
                <w:rFonts w:ascii="Times New Roman"/>
                <w:spacing w:val="-1"/>
                <w:sz w:val="18"/>
              </w:rPr>
            </w:r>
          </w:p>
        </w:tc>
      </w:tr>
      <w:tr>
        <w:trPr>
          <w:trHeight w:val="435"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十一、其他重要的非现金项目</w:t>
            </w:r>
          </w:p>
        </w:tc>
        <w:tc>
          <w:tcPr>
            <w:tcW w:w="1633"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19"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折旧费和摊销费以外的其他非现</w:t>
            </w:r>
          </w:p>
        </w:tc>
        <w:tc>
          <w:tcPr>
            <w:tcW w:w="1633"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176" w:hRule="exact"/>
        </w:trPr>
        <w:tc>
          <w:tcPr>
            <w:tcW w:w="2902"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184" w:lineRule="exact"/>
              <w:ind w:right="158"/>
              <w:jc w:val="right"/>
              <w:rPr>
                <w:rFonts w:ascii="Times New Roman" w:hAnsi="Times New Roman" w:cs="Times New Roman" w:eastAsia="Times New Roman" w:hint="default"/>
                <w:sz w:val="18"/>
                <w:szCs w:val="18"/>
              </w:rPr>
            </w:pPr>
            <w:r>
              <w:rPr>
                <w:rFonts w:ascii="Times New Roman"/>
                <w:spacing w:val="-1"/>
                <w:sz w:val="18"/>
              </w:rPr>
              <w:t>15,810,491.55</w:t>
            </w:r>
          </w:p>
        </w:tc>
        <w:tc>
          <w:tcPr>
            <w:tcW w:w="1611" w:type="dxa"/>
            <w:tcBorders>
              <w:top w:val="nil" w:sz="6" w:space="0" w:color="auto"/>
              <w:left w:val="nil" w:sz="6" w:space="0" w:color="auto"/>
              <w:bottom w:val="nil" w:sz="6" w:space="0" w:color="auto"/>
              <w:right w:val="nil" w:sz="6" w:space="0" w:color="auto"/>
            </w:tcBorders>
          </w:tcPr>
          <w:p>
            <w:pPr>
              <w:pStyle w:val="TableParagraph"/>
              <w:spacing w:line="184" w:lineRule="exact"/>
              <w:ind w:right="188"/>
              <w:jc w:val="right"/>
              <w:rPr>
                <w:rFonts w:ascii="Times New Roman" w:hAnsi="Times New Roman" w:cs="Times New Roman" w:eastAsia="Times New Roman" w:hint="default"/>
                <w:sz w:val="18"/>
                <w:szCs w:val="18"/>
              </w:rPr>
            </w:pPr>
            <w:r>
              <w:rPr>
                <w:rFonts w:ascii="Times New Roman"/>
                <w:spacing w:val="-1"/>
                <w:sz w:val="18"/>
              </w:rPr>
              <w:t>1,765,733.64</w:t>
            </w: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17,576,225.19</w:t>
            </w:r>
            <w:r>
              <w:rPr>
                <w:rFonts w:ascii="Times New Roman"/>
                <w:spacing w:val="-1"/>
                <w:sz w:val="18"/>
              </w:rPr>
            </w:r>
          </w:p>
        </w:tc>
      </w:tr>
      <w:tr>
        <w:trPr>
          <w:trHeight w:val="305"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176" w:lineRule="exact"/>
              <w:ind w:left="35" w:right="0"/>
              <w:jc w:val="left"/>
              <w:rPr>
                <w:rFonts w:ascii="宋体" w:hAnsi="宋体" w:cs="宋体" w:eastAsia="宋体" w:hint="default"/>
                <w:sz w:val="18"/>
                <w:szCs w:val="18"/>
              </w:rPr>
            </w:pPr>
            <w:r>
              <w:rPr>
                <w:rFonts w:ascii="宋体" w:hAnsi="宋体" w:cs="宋体" w:eastAsia="宋体" w:hint="default"/>
                <w:sz w:val="18"/>
                <w:szCs w:val="18"/>
              </w:rPr>
              <w:t>金费用</w:t>
            </w:r>
          </w:p>
        </w:tc>
        <w:tc>
          <w:tcPr>
            <w:tcW w:w="1633"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19"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对联营企业和合营企业的长期股</w:t>
            </w:r>
          </w:p>
        </w:tc>
        <w:tc>
          <w:tcPr>
            <w:tcW w:w="1633"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175" w:hRule="exact"/>
        </w:trPr>
        <w:tc>
          <w:tcPr>
            <w:tcW w:w="2902"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184" w:lineRule="exact"/>
              <w:ind w:right="158"/>
              <w:jc w:val="right"/>
              <w:rPr>
                <w:rFonts w:ascii="Times New Roman" w:hAnsi="Times New Roman" w:cs="Times New Roman" w:eastAsia="Times New Roman" w:hint="default"/>
                <w:sz w:val="18"/>
                <w:szCs w:val="18"/>
              </w:rPr>
            </w:pPr>
            <w:r>
              <w:rPr>
                <w:rFonts w:ascii="Times New Roman"/>
                <w:spacing w:val="-1"/>
                <w:sz w:val="18"/>
              </w:rPr>
              <w:t>170,272,186.19</w:t>
            </w:r>
          </w:p>
        </w:tc>
        <w:tc>
          <w:tcPr>
            <w:tcW w:w="1611" w:type="dxa"/>
            <w:tcBorders>
              <w:top w:val="nil" w:sz="6" w:space="0" w:color="auto"/>
              <w:left w:val="nil" w:sz="6" w:space="0" w:color="auto"/>
              <w:bottom w:val="nil" w:sz="6" w:space="0" w:color="auto"/>
              <w:right w:val="nil" w:sz="6" w:space="0" w:color="auto"/>
            </w:tcBorders>
          </w:tcPr>
          <w:p>
            <w:pPr>
              <w:pStyle w:val="TableParagraph"/>
              <w:spacing w:line="184" w:lineRule="exact"/>
              <w:ind w:right="188"/>
              <w:jc w:val="right"/>
              <w:rPr>
                <w:rFonts w:ascii="Times New Roman" w:hAnsi="Times New Roman" w:cs="Times New Roman" w:eastAsia="Times New Roman" w:hint="default"/>
                <w:sz w:val="18"/>
                <w:szCs w:val="18"/>
              </w:rPr>
            </w:pPr>
            <w:r>
              <w:rPr>
                <w:rFonts w:ascii="Times New Roman"/>
                <w:spacing w:val="-1"/>
                <w:sz w:val="18"/>
              </w:rPr>
              <w:t>2,542,735.90</w:t>
            </w: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172,814,922.09</w:t>
            </w:r>
            <w:r>
              <w:rPr>
                <w:rFonts w:ascii="Times New Roman"/>
                <w:spacing w:val="-1"/>
                <w:sz w:val="18"/>
              </w:rPr>
            </w:r>
          </w:p>
        </w:tc>
      </w:tr>
      <w:tr>
        <w:trPr>
          <w:trHeight w:val="305"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宋体" w:hAnsi="宋体" w:cs="宋体" w:eastAsia="宋体" w:hint="default"/>
                <w:sz w:val="18"/>
                <w:szCs w:val="18"/>
              </w:rPr>
            </w:pPr>
            <w:r>
              <w:rPr>
                <w:rFonts w:ascii="宋体" w:hAnsi="宋体" w:cs="宋体" w:eastAsia="宋体" w:hint="default"/>
                <w:sz w:val="18"/>
                <w:szCs w:val="18"/>
              </w:rPr>
              <w:t>权投资</w:t>
            </w:r>
          </w:p>
        </w:tc>
        <w:tc>
          <w:tcPr>
            <w:tcW w:w="1633"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320"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长期股权投资以外的其他非流动</w:t>
            </w:r>
          </w:p>
        </w:tc>
        <w:tc>
          <w:tcPr>
            <w:tcW w:w="1633"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r>
        <w:trPr>
          <w:trHeight w:val="175" w:hRule="exact"/>
        </w:trPr>
        <w:tc>
          <w:tcPr>
            <w:tcW w:w="2902"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184" w:lineRule="exact"/>
              <w:ind w:right="158"/>
              <w:jc w:val="right"/>
              <w:rPr>
                <w:rFonts w:ascii="Times New Roman" w:hAnsi="Times New Roman" w:cs="Times New Roman" w:eastAsia="Times New Roman" w:hint="default"/>
                <w:sz w:val="18"/>
                <w:szCs w:val="18"/>
              </w:rPr>
            </w:pPr>
            <w:r>
              <w:rPr>
                <w:rFonts w:ascii="Times New Roman"/>
                <w:spacing w:val="-1"/>
                <w:sz w:val="18"/>
              </w:rPr>
              <w:t>199,269,412.37</w:t>
            </w:r>
          </w:p>
        </w:tc>
        <w:tc>
          <w:tcPr>
            <w:tcW w:w="1611" w:type="dxa"/>
            <w:tcBorders>
              <w:top w:val="nil" w:sz="6" w:space="0" w:color="auto"/>
              <w:left w:val="nil" w:sz="6" w:space="0" w:color="auto"/>
              <w:bottom w:val="nil" w:sz="6" w:space="0" w:color="auto"/>
              <w:right w:val="nil" w:sz="6" w:space="0" w:color="auto"/>
            </w:tcBorders>
          </w:tcPr>
          <w:p>
            <w:pPr>
              <w:pStyle w:val="TableParagraph"/>
              <w:spacing w:line="184" w:lineRule="exact"/>
              <w:ind w:right="190"/>
              <w:jc w:val="right"/>
              <w:rPr>
                <w:rFonts w:ascii="Times New Roman" w:hAnsi="Times New Roman" w:cs="Times New Roman" w:eastAsia="Times New Roman" w:hint="default"/>
                <w:sz w:val="18"/>
                <w:szCs w:val="18"/>
              </w:rPr>
            </w:pPr>
            <w:r>
              <w:rPr>
                <w:rFonts w:ascii="Times New Roman"/>
                <w:spacing w:val="-1"/>
                <w:sz w:val="18"/>
              </w:rPr>
              <w:t>1,455,136,831.67</w:t>
            </w: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Style w:val="TableParagraph"/>
              <w:spacing w:line="184" w:lineRule="exact"/>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1,654,406,244.04</w:t>
            </w:r>
            <w:r>
              <w:rPr>
                <w:rFonts w:ascii="Times New Roman"/>
                <w:spacing w:val="-1"/>
                <w:sz w:val="18"/>
              </w:rPr>
            </w:r>
          </w:p>
        </w:tc>
      </w:tr>
      <w:tr>
        <w:trPr>
          <w:trHeight w:val="275"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175" w:lineRule="exact"/>
              <w:ind w:left="35" w:right="0"/>
              <w:jc w:val="left"/>
              <w:rPr>
                <w:rFonts w:ascii="宋体" w:hAnsi="宋体" w:cs="宋体" w:eastAsia="宋体" w:hint="default"/>
                <w:sz w:val="18"/>
                <w:szCs w:val="18"/>
              </w:rPr>
            </w:pPr>
            <w:r>
              <w:rPr>
                <w:rFonts w:ascii="宋体" w:hAnsi="宋体" w:cs="宋体" w:eastAsia="宋体" w:hint="default"/>
                <w:sz w:val="18"/>
                <w:szCs w:val="18"/>
              </w:rPr>
              <w:t>资产增加额</w:t>
            </w:r>
          </w:p>
        </w:tc>
        <w:tc>
          <w:tcPr>
            <w:tcW w:w="1633"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2.  </w:t>
      </w:r>
      <w:r>
        <w:rPr/>
        <w:t>诉讼事项</w:t>
      </w:r>
    </w:p>
    <w:p>
      <w:pPr>
        <w:spacing w:line="240" w:lineRule="auto" w:before="7"/>
        <w:rPr>
          <w:rFonts w:ascii="宋体" w:hAnsi="宋体" w:cs="宋体" w:eastAsia="宋体" w:hint="default"/>
          <w:sz w:val="20"/>
          <w:szCs w:val="20"/>
        </w:rPr>
      </w:pPr>
    </w:p>
    <w:p>
      <w:pPr>
        <w:pStyle w:val="BodyText"/>
        <w:spacing w:line="240" w:lineRule="auto"/>
        <w:ind w:right="0"/>
        <w:jc w:val="left"/>
      </w:pPr>
      <w:r>
        <w:rPr/>
        <w:t>本公司之子公司广州游爱于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日向广州知识产权法院起诉深圳时代首游互动科技有限公司拖欠分成金、</w:t>
      </w:r>
    </w:p>
    <w:p>
      <w:pPr>
        <w:pStyle w:val="BodyText"/>
        <w:spacing w:line="240" w:lineRule="auto" w:before="111"/>
        <w:ind w:left="1418" w:right="1117"/>
        <w:jc w:val="left"/>
      </w:pPr>
      <w:r>
        <w:rPr/>
        <w:t>违约金及相关诉讼费用合计</w:t>
      </w:r>
      <w:r>
        <w:rPr>
          <w:spacing w:val="-52"/>
        </w:rPr>
        <w:t> </w:t>
      </w:r>
      <w:r>
        <w:rPr>
          <w:rFonts w:ascii="Times New Roman" w:hAnsi="Times New Roman" w:cs="Times New Roman" w:eastAsia="Times New Roman" w:hint="default"/>
        </w:rPr>
        <w:t>316.92</w:t>
      </w:r>
      <w:r>
        <w:rPr>
          <w:rFonts w:ascii="Times New Roman" w:hAnsi="Times New Roman" w:cs="Times New Roman" w:eastAsia="Times New Roman" w:hint="default"/>
          <w:spacing w:val="-7"/>
        </w:rPr>
        <w:t> </w:t>
      </w:r>
      <w:r>
        <w:rPr/>
        <w:t>万元。之后深圳时代首游互动科技有限公司提出反诉，要求广州游爱返还其版权金</w:t>
      </w:r>
    </w:p>
    <w:p>
      <w:pPr>
        <w:pStyle w:val="BodyText"/>
        <w:spacing w:line="240" w:lineRule="auto" w:before="111"/>
        <w:ind w:left="1418" w:right="1117"/>
        <w:jc w:val="left"/>
      </w:pPr>
      <w:r>
        <w:rPr/>
        <w:t>和赔偿款等合计</w:t>
      </w:r>
      <w:r>
        <w:rPr>
          <w:spacing w:val="-46"/>
        </w:rPr>
        <w:t> </w:t>
      </w:r>
      <w:r>
        <w:rPr>
          <w:rFonts w:ascii="Times New Roman" w:hAnsi="Times New Roman" w:cs="Times New Roman" w:eastAsia="Times New Roman" w:hint="default"/>
        </w:rPr>
        <w:t>548.63</w:t>
      </w:r>
      <w:r>
        <w:rPr>
          <w:rFonts w:ascii="Times New Roman" w:hAnsi="Times New Roman" w:cs="Times New Roman" w:eastAsia="Times New Roman" w:hint="default"/>
          <w:spacing w:val="-1"/>
        </w:rPr>
        <w:t> </w:t>
      </w:r>
      <w:r>
        <w:rPr/>
        <w:t>万元。该案已于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号开庭审理，截至财务报表批准报出日尚未做出判决。</w:t>
      </w:r>
    </w:p>
    <w:p>
      <w:pPr>
        <w:spacing w:line="240" w:lineRule="auto" w:before="13"/>
        <w:rPr>
          <w:rFonts w:ascii="宋体" w:hAnsi="宋体" w:cs="宋体" w:eastAsia="宋体" w:hint="default"/>
          <w:sz w:val="26"/>
          <w:szCs w:val="26"/>
        </w:rPr>
      </w:pPr>
    </w:p>
    <w:p>
      <w:pPr>
        <w:pStyle w:val="Heading2"/>
        <w:spacing w:line="240" w:lineRule="auto"/>
        <w:ind w:left="1901" w:right="1117"/>
        <w:jc w:val="left"/>
        <w:rPr>
          <w:rFonts w:ascii="黑体" w:hAnsi="黑体" w:cs="黑体" w:eastAsia="黑体" w:hint="default"/>
          <w:b w:val="0"/>
          <w:bCs w:val="0"/>
        </w:rPr>
      </w:pPr>
      <w:bookmarkStart w:name="十六、母公司财务报表项目注释" w:id="271"/>
      <w:bookmarkEnd w:id="271"/>
      <w:r>
        <w:rPr>
          <w:b w:val="0"/>
          <w:bCs w:val="0"/>
        </w:rPr>
      </w:r>
      <w:r>
        <w:rPr>
          <w:rFonts w:ascii="黑体" w:hAnsi="黑体" w:cs="黑体" w:eastAsia="黑体" w:hint="default"/>
        </w:rPr>
        <w:t>十六、母公司财务报表项目注释</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right="1117"/>
        <w:jc w:val="left"/>
      </w:pPr>
      <w:bookmarkStart w:name="1.应收账款" w:id="272"/>
      <w:bookmarkEnd w:id="272"/>
      <w:r>
        <w:rPr/>
      </w:r>
      <w:r>
        <w:rPr>
          <w:rFonts w:ascii="Times New Roman" w:hAnsi="Times New Roman" w:cs="Times New Roman" w:eastAsia="Times New Roman" w:hint="default"/>
        </w:rPr>
        <w:t>1.</w:t>
      </w:r>
      <w:r>
        <w:rPr/>
        <w:t>应收账款</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8"/>
        <w:rPr>
          <w:rFonts w:ascii="宋体" w:hAnsi="宋体" w:cs="宋体" w:eastAsia="宋体" w:hint="default"/>
          <w:sz w:val="29"/>
          <w:szCs w:val="29"/>
        </w:rPr>
      </w:pPr>
    </w:p>
    <w:tbl>
      <w:tblPr>
        <w:tblW w:w="0" w:type="auto"/>
        <w:jc w:val="left"/>
        <w:tblInd w:w="1310" w:type="dxa"/>
        <w:tblLayout w:type="fixed"/>
        <w:tblCellMar>
          <w:top w:w="0" w:type="dxa"/>
          <w:left w:w="0" w:type="dxa"/>
          <w:bottom w:w="0" w:type="dxa"/>
          <w:right w:w="0" w:type="dxa"/>
        </w:tblCellMar>
        <w:tblLook w:val="01E0"/>
      </w:tblPr>
      <w:tblGrid>
        <w:gridCol w:w="3470"/>
        <w:gridCol w:w="1327"/>
        <w:gridCol w:w="1089"/>
        <w:gridCol w:w="1013"/>
        <w:gridCol w:w="1154"/>
        <w:gridCol w:w="1378"/>
      </w:tblGrid>
      <w:tr>
        <w:trPr>
          <w:trHeight w:val="305" w:hRule="exact"/>
        </w:trPr>
        <w:tc>
          <w:tcPr>
            <w:tcW w:w="347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150" w:lineRule="exact"/>
              <w:ind w:right="59"/>
              <w:jc w:val="right"/>
              <w:rPr>
                <w:rFonts w:ascii="宋体" w:hAnsi="宋体" w:cs="宋体" w:eastAsia="宋体" w:hint="default"/>
                <w:sz w:val="15"/>
                <w:szCs w:val="15"/>
              </w:rPr>
            </w:pPr>
            <w:r>
              <w:rPr>
                <w:rFonts w:ascii="宋体" w:hAnsi="宋体" w:cs="宋体" w:eastAsia="宋体" w:hint="default"/>
                <w:b/>
                <w:bCs/>
                <w:w w:val="95"/>
                <w:sz w:val="15"/>
                <w:szCs w:val="15"/>
              </w:rPr>
              <w:t>期末余额</w:t>
            </w:r>
            <w:r>
              <w:rPr>
                <w:rFonts w:ascii="宋体" w:hAnsi="宋体" w:cs="宋体" w:eastAsia="宋体" w:hint="default"/>
                <w:sz w:val="15"/>
                <w:szCs w:val="15"/>
              </w:rPr>
            </w:r>
          </w:p>
        </w:tc>
        <w:tc>
          <w:tcPr>
            <w:tcW w:w="115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45"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72" w:right="0"/>
              <w:jc w:val="center"/>
              <w:rPr>
                <w:rFonts w:ascii="宋体" w:hAnsi="宋体" w:cs="宋体" w:eastAsia="宋体" w:hint="default"/>
                <w:sz w:val="15"/>
                <w:szCs w:val="15"/>
              </w:rPr>
            </w:pPr>
            <w:r>
              <w:rPr>
                <w:rFonts w:ascii="宋体" w:hAnsi="宋体" w:cs="宋体" w:eastAsia="宋体" w:hint="default"/>
                <w:b/>
                <w:bCs/>
                <w:sz w:val="15"/>
                <w:szCs w:val="15"/>
              </w:rPr>
              <w:t>类</w:t>
            </w:r>
            <w:r>
              <w:rPr>
                <w:rFonts w:ascii="宋体" w:hAnsi="宋体" w:cs="宋体" w:eastAsia="宋体" w:hint="default"/>
                <w:b/>
                <w:bCs/>
                <w:spacing w:val="72"/>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tc>
        <w:tc>
          <w:tcPr>
            <w:tcW w:w="24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45" w:right="0"/>
              <w:jc w:val="center"/>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21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right="45"/>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378" w:type="dxa"/>
            <w:tcBorders>
              <w:top w:val="nil" w:sz="6" w:space="0" w:color="auto"/>
              <w:left w:val="nil" w:sz="6" w:space="0" w:color="auto"/>
              <w:bottom w:val="nil" w:sz="6" w:space="0" w:color="auto"/>
              <w:right w:val="nil" w:sz="6" w:space="0" w:color="auto"/>
            </w:tcBorders>
          </w:tcPr>
          <w:p>
            <w:pPr/>
          </w:p>
        </w:tc>
      </w:tr>
      <w:tr>
        <w:trPr>
          <w:trHeight w:val="230" w:hRule="exact"/>
        </w:trPr>
        <w:tc>
          <w:tcPr>
            <w:tcW w:w="347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190" w:lineRule="exact"/>
              <w:ind w:left="427" w:right="0"/>
              <w:jc w:val="left"/>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r>
      <w:tr>
        <w:trPr>
          <w:trHeight w:val="291" w:hRule="exact"/>
        </w:trPr>
        <w:tc>
          <w:tcPr>
            <w:tcW w:w="3470" w:type="dxa"/>
            <w:tcBorders>
              <w:top w:val="nil" w:sz="6" w:space="0" w:color="auto"/>
              <w:left w:val="nil" w:sz="6" w:space="0" w:color="auto"/>
              <w:bottom w:val="single" w:sz="8" w:space="0" w:color="000000"/>
              <w:right w:val="nil" w:sz="6" w:space="0" w:color="auto"/>
            </w:tcBorders>
          </w:tcPr>
          <w:p>
            <w:pPr/>
          </w:p>
        </w:tc>
        <w:tc>
          <w:tcPr>
            <w:tcW w:w="1327" w:type="dxa"/>
            <w:tcBorders>
              <w:top w:val="nil" w:sz="6" w:space="0" w:color="auto"/>
              <w:left w:val="nil" w:sz="6" w:space="0" w:color="auto"/>
              <w:bottom w:val="single" w:sz="8" w:space="0" w:color="000000"/>
              <w:right w:val="nil" w:sz="6" w:space="0" w:color="auto"/>
            </w:tcBorders>
          </w:tcPr>
          <w:p>
            <w:pPr>
              <w:pStyle w:val="TableParagraph"/>
              <w:spacing w:line="190" w:lineRule="exact"/>
              <w:ind w:left="174"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089" w:type="dxa"/>
            <w:tcBorders>
              <w:top w:val="nil" w:sz="6" w:space="0" w:color="auto"/>
              <w:left w:val="nil" w:sz="6" w:space="0" w:color="auto"/>
              <w:bottom w:val="single" w:sz="8" w:space="0" w:color="000000"/>
              <w:right w:val="nil" w:sz="6" w:space="0" w:color="auto"/>
            </w:tcBorders>
          </w:tcPr>
          <w:p>
            <w:pPr>
              <w:pStyle w:val="TableParagraph"/>
              <w:spacing w:line="201" w:lineRule="exact"/>
              <w:ind w:right="118"/>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13" w:type="dxa"/>
            <w:tcBorders>
              <w:top w:val="nil" w:sz="6" w:space="0" w:color="auto"/>
              <w:left w:val="nil" w:sz="6" w:space="0" w:color="auto"/>
              <w:bottom w:val="single" w:sz="8" w:space="0" w:color="000000"/>
              <w:right w:val="nil" w:sz="6" w:space="0" w:color="auto"/>
            </w:tcBorders>
          </w:tcPr>
          <w:p>
            <w:pPr>
              <w:pStyle w:val="TableParagraph"/>
              <w:spacing w:line="190" w:lineRule="exact"/>
              <w:ind w:left="292"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154" w:type="dxa"/>
            <w:tcBorders>
              <w:top w:val="nil" w:sz="6" w:space="0" w:color="auto"/>
              <w:left w:val="nil" w:sz="6" w:space="0" w:color="auto"/>
              <w:bottom w:val="single" w:sz="8" w:space="0" w:color="000000"/>
              <w:right w:val="nil" w:sz="6" w:space="0" w:color="auto"/>
            </w:tcBorders>
          </w:tcPr>
          <w:p>
            <w:pPr>
              <w:pStyle w:val="TableParagraph"/>
              <w:spacing w:line="201" w:lineRule="exact"/>
              <w:ind w:left="108" w:right="-8"/>
              <w:jc w:val="center"/>
              <w:rPr>
                <w:rFonts w:ascii="宋体" w:hAnsi="宋体" w:cs="宋体" w:eastAsia="宋体" w:hint="default"/>
                <w:sz w:val="15"/>
                <w:szCs w:val="15"/>
              </w:rPr>
            </w:pPr>
            <w:r>
              <w:rPr>
                <w:rFonts w:ascii="宋体" w:hAnsi="宋体" w:cs="宋体" w:eastAsia="宋体" w:hint="default"/>
                <w:b/>
                <w:bCs/>
                <w:w w:val="95"/>
                <w:sz w:val="15"/>
                <w:szCs w:val="15"/>
              </w:rPr>
              <w:t>计提比例（</w:t>
            </w:r>
            <w:r>
              <w:rPr>
                <w:rFonts w:ascii="Times New Roman" w:hAnsi="Times New Roman" w:cs="Times New Roman" w:eastAsia="Times New Roman" w:hint="default"/>
                <w:b/>
                <w:bCs/>
                <w:w w:val="95"/>
                <w:sz w:val="15"/>
                <w:szCs w:val="15"/>
              </w:rPr>
              <w:t>%</w:t>
            </w:r>
            <w:r>
              <w:rPr>
                <w:rFonts w:ascii="宋体" w:hAnsi="宋体" w:cs="宋体" w:eastAsia="宋体" w:hint="default"/>
                <w:b/>
                <w:bCs/>
                <w:w w:val="95"/>
                <w:sz w:val="15"/>
                <w:szCs w:val="15"/>
              </w:rPr>
              <w:t>）</w:t>
            </w:r>
            <w:r>
              <w:rPr>
                <w:rFonts w:ascii="宋体" w:hAnsi="宋体" w:cs="宋体" w:eastAsia="宋体" w:hint="default"/>
                <w:sz w:val="15"/>
                <w:szCs w:val="15"/>
              </w:rPr>
            </w:r>
          </w:p>
        </w:tc>
        <w:tc>
          <w:tcPr>
            <w:tcW w:w="1378" w:type="dxa"/>
            <w:tcBorders>
              <w:top w:val="nil" w:sz="6" w:space="0" w:color="auto"/>
              <w:left w:val="nil" w:sz="6" w:space="0" w:color="auto"/>
              <w:bottom w:val="single" w:sz="8" w:space="0" w:color="000000"/>
              <w:right w:val="nil" w:sz="6" w:space="0" w:color="auto"/>
            </w:tcBorders>
          </w:tcPr>
          <w:p>
            <w:pPr/>
          </w:p>
        </w:tc>
      </w:tr>
      <w:tr>
        <w:trPr>
          <w:trHeight w:val="504" w:hRule="exact"/>
        </w:trPr>
        <w:tc>
          <w:tcPr>
            <w:tcW w:w="3470"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单项金额重大并单独计提坏账准备的应收账款</w:t>
            </w:r>
          </w:p>
        </w:tc>
        <w:tc>
          <w:tcPr>
            <w:tcW w:w="1327" w:type="dxa"/>
            <w:tcBorders>
              <w:top w:val="single" w:sz="8" w:space="0" w:color="000000"/>
              <w:left w:val="nil" w:sz="6" w:space="0" w:color="auto"/>
              <w:bottom w:val="nil" w:sz="6" w:space="0" w:color="auto"/>
              <w:right w:val="nil" w:sz="6" w:space="0" w:color="auto"/>
            </w:tcBorders>
          </w:tcPr>
          <w:p>
            <w:pPr/>
          </w:p>
        </w:tc>
        <w:tc>
          <w:tcPr>
            <w:tcW w:w="1089" w:type="dxa"/>
            <w:tcBorders>
              <w:top w:val="single" w:sz="8" w:space="0" w:color="000000"/>
              <w:left w:val="nil" w:sz="6" w:space="0" w:color="auto"/>
              <w:bottom w:val="nil" w:sz="6" w:space="0" w:color="auto"/>
              <w:right w:val="nil" w:sz="6" w:space="0" w:color="auto"/>
            </w:tcBorders>
          </w:tcPr>
          <w:p>
            <w:pPr/>
          </w:p>
        </w:tc>
        <w:tc>
          <w:tcPr>
            <w:tcW w:w="1013" w:type="dxa"/>
            <w:tcBorders>
              <w:top w:val="single" w:sz="8" w:space="0" w:color="000000"/>
              <w:left w:val="nil" w:sz="6" w:space="0" w:color="auto"/>
              <w:bottom w:val="nil" w:sz="6" w:space="0" w:color="auto"/>
              <w:right w:val="nil" w:sz="6" w:space="0" w:color="auto"/>
            </w:tcBorders>
          </w:tcPr>
          <w:p>
            <w:pPr/>
          </w:p>
        </w:tc>
        <w:tc>
          <w:tcPr>
            <w:tcW w:w="1154" w:type="dxa"/>
            <w:tcBorders>
              <w:top w:val="single" w:sz="8" w:space="0" w:color="000000"/>
              <w:left w:val="nil" w:sz="6" w:space="0" w:color="auto"/>
              <w:bottom w:val="nil" w:sz="6" w:space="0" w:color="auto"/>
              <w:right w:val="nil" w:sz="6" w:space="0" w:color="auto"/>
            </w:tcBorders>
          </w:tcPr>
          <w:p>
            <w:pPr/>
          </w:p>
        </w:tc>
        <w:tc>
          <w:tcPr>
            <w:tcW w:w="1378" w:type="dxa"/>
            <w:tcBorders>
              <w:top w:val="single" w:sz="8" w:space="0" w:color="000000"/>
              <w:left w:val="nil" w:sz="6" w:space="0" w:color="auto"/>
              <w:bottom w:val="nil" w:sz="6" w:space="0" w:color="auto"/>
              <w:right w:val="nil" w:sz="6" w:space="0" w:color="auto"/>
            </w:tcBorders>
          </w:tcPr>
          <w:p>
            <w:pPr/>
          </w:p>
        </w:tc>
      </w:tr>
      <w:tr>
        <w:trPr>
          <w:trHeight w:val="444"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8"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53" w:right="0"/>
              <w:jc w:val="center"/>
              <w:rPr>
                <w:rFonts w:ascii="Times New Roman" w:hAnsi="Times New Roman" w:cs="Times New Roman" w:eastAsia="Times New Roman" w:hint="default"/>
                <w:sz w:val="15"/>
                <w:szCs w:val="15"/>
              </w:rPr>
            </w:pPr>
            <w:r>
              <w:rPr>
                <w:rFonts w:ascii="Times New Roman"/>
                <w:sz w:val="15"/>
              </w:rPr>
              <w:t>12,209,611.00</w:t>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23"/>
              <w:jc w:val="center"/>
              <w:rPr>
                <w:rFonts w:ascii="Times New Roman" w:hAnsi="Times New Roman" w:cs="Times New Roman" w:eastAsia="Times New Roman" w:hint="default"/>
                <w:sz w:val="15"/>
                <w:szCs w:val="15"/>
              </w:rPr>
            </w:pPr>
            <w:r>
              <w:rPr>
                <w:rFonts w:ascii="Times New Roman"/>
                <w:sz w:val="15"/>
              </w:rPr>
              <w:t>100.00</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140,368.05</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1.15</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05" w:right="0"/>
              <w:jc w:val="left"/>
              <w:rPr>
                <w:rFonts w:ascii="Times New Roman" w:hAnsi="Times New Roman" w:cs="Times New Roman" w:eastAsia="Times New Roman" w:hint="default"/>
                <w:sz w:val="15"/>
                <w:szCs w:val="15"/>
              </w:rPr>
            </w:pPr>
            <w:r>
              <w:rPr>
                <w:rFonts w:ascii="Times New Roman"/>
                <w:sz w:val="15"/>
              </w:rPr>
              <w:t>12,069,242.95</w:t>
            </w:r>
          </w:p>
        </w:tc>
      </w:tr>
      <w:tr>
        <w:trPr>
          <w:trHeight w:val="436"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单项金额不重大但单独计提坏账准备的应收账款</w:t>
            </w:r>
          </w:p>
        </w:tc>
        <w:tc>
          <w:tcPr>
            <w:tcW w:w="1327" w:type="dxa"/>
            <w:tcBorders>
              <w:top w:val="nil" w:sz="6" w:space="0" w:color="auto"/>
              <w:left w:val="nil" w:sz="6" w:space="0" w:color="auto"/>
              <w:bottom w:val="nil" w:sz="6" w:space="0" w:color="auto"/>
              <w:right w:val="nil" w:sz="6" w:space="0" w:color="auto"/>
            </w:tcBorders>
          </w:tcPr>
          <w:p>
            <w:pPr/>
          </w:p>
        </w:tc>
        <w:tc>
          <w:tcPr>
            <w:tcW w:w="1089"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03"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73"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53"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12,209,611.00</w:t>
            </w:r>
            <w:r>
              <w:rPr>
                <w:rFonts w:ascii="Times New Roman"/>
                <w:sz w:val="15"/>
              </w:rPr>
            </w:r>
          </w:p>
        </w:tc>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24"/>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140,368.05</w:t>
            </w:r>
            <w:r>
              <w:rPr>
                <w:rFonts w:ascii="Times New Roman"/>
                <w:spacing w:val="-1"/>
                <w:sz w:val="15"/>
              </w:rPr>
            </w:r>
          </w:p>
        </w:tc>
        <w:tc>
          <w:tcPr>
            <w:tcW w:w="1154"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05"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12,069,242.95</w:t>
            </w:r>
            <w:r>
              <w:rPr>
                <w:rFonts w:ascii="Times New Roman"/>
                <w:sz w:val="15"/>
              </w:rPr>
            </w:r>
          </w:p>
        </w:tc>
      </w:tr>
    </w:tbl>
    <w:p>
      <w:pPr>
        <w:spacing w:after="0" w:line="240" w:lineRule="auto"/>
        <w:jc w:val="left"/>
        <w:rPr>
          <w:rFonts w:ascii="Times New Roman" w:hAnsi="Times New Roman" w:cs="Times New Roman" w:eastAsia="Times New Roman" w:hint="default"/>
          <w:sz w:val="15"/>
          <w:szCs w:val="15"/>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t>接下表：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310" w:type="dxa"/>
        <w:tblLayout w:type="fixed"/>
        <w:tblCellMar>
          <w:top w:w="0" w:type="dxa"/>
          <w:left w:w="0" w:type="dxa"/>
          <w:bottom w:w="0" w:type="dxa"/>
          <w:right w:w="0" w:type="dxa"/>
        </w:tblCellMar>
        <w:tblLook w:val="01E0"/>
      </w:tblPr>
      <w:tblGrid>
        <w:gridCol w:w="3461"/>
        <w:gridCol w:w="1440"/>
        <w:gridCol w:w="790"/>
        <w:gridCol w:w="884"/>
        <w:gridCol w:w="974"/>
        <w:gridCol w:w="1247"/>
      </w:tblGrid>
      <w:tr>
        <w:trPr>
          <w:trHeight w:val="305" w:hRule="exact"/>
        </w:trPr>
        <w:tc>
          <w:tcPr>
            <w:tcW w:w="346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Style w:val="TableParagraph"/>
              <w:spacing w:line="150" w:lineRule="exact"/>
              <w:ind w:right="77"/>
              <w:jc w:val="right"/>
              <w:rPr>
                <w:rFonts w:ascii="宋体" w:hAnsi="宋体" w:cs="宋体" w:eastAsia="宋体" w:hint="default"/>
                <w:sz w:val="15"/>
                <w:szCs w:val="15"/>
              </w:rPr>
            </w:pPr>
            <w:r>
              <w:rPr>
                <w:rFonts w:ascii="宋体" w:hAnsi="宋体" w:cs="宋体" w:eastAsia="宋体" w:hint="default"/>
                <w:b/>
                <w:bCs/>
                <w:w w:val="95"/>
                <w:sz w:val="15"/>
                <w:szCs w:val="15"/>
              </w:rPr>
              <w:t>期初余额</w:t>
            </w:r>
            <w:r>
              <w:rPr>
                <w:rFonts w:ascii="宋体" w:hAnsi="宋体" w:cs="宋体" w:eastAsia="宋体" w:hint="default"/>
                <w:sz w:val="15"/>
                <w:szCs w:val="15"/>
              </w:rPr>
            </w:r>
          </w:p>
        </w:tc>
        <w:tc>
          <w:tcPr>
            <w:tcW w:w="97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r>
      <w:tr>
        <w:trPr>
          <w:trHeight w:val="345"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1" w:right="0"/>
              <w:jc w:val="center"/>
              <w:rPr>
                <w:rFonts w:ascii="宋体" w:hAnsi="宋体" w:cs="宋体" w:eastAsia="宋体" w:hint="default"/>
                <w:sz w:val="15"/>
                <w:szCs w:val="15"/>
              </w:rPr>
            </w:pPr>
            <w:r>
              <w:rPr>
                <w:rFonts w:ascii="宋体" w:hAnsi="宋体" w:cs="宋体" w:eastAsia="宋体" w:hint="default"/>
                <w:b/>
                <w:bCs/>
                <w:sz w:val="15"/>
                <w:szCs w:val="15"/>
              </w:rPr>
              <w:t>类</w:t>
            </w:r>
            <w:r>
              <w:rPr>
                <w:rFonts w:ascii="宋体" w:hAnsi="宋体" w:cs="宋体" w:eastAsia="宋体" w:hint="default"/>
                <w:b/>
                <w:bCs/>
                <w:spacing w:val="72"/>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47" w:right="-1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90" w:type="dxa"/>
            <w:tcBorders>
              <w:top w:val="nil" w:sz="6" w:space="0" w:color="auto"/>
              <w:left w:val="nil" w:sz="6" w:space="0" w:color="auto"/>
              <w:bottom w:val="nil" w:sz="6" w:space="0" w:color="auto"/>
              <w:right w:val="nil" w:sz="6" w:space="0" w:color="auto"/>
            </w:tcBorders>
          </w:tcPr>
          <w:p>
            <w:pPr/>
          </w:p>
        </w:tc>
        <w:tc>
          <w:tcPr>
            <w:tcW w:w="18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672"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247" w:type="dxa"/>
            <w:tcBorders>
              <w:top w:val="nil" w:sz="6" w:space="0" w:color="auto"/>
              <w:left w:val="nil" w:sz="6" w:space="0" w:color="auto"/>
              <w:bottom w:val="nil" w:sz="6" w:space="0" w:color="auto"/>
              <w:right w:val="nil" w:sz="6" w:space="0" w:color="auto"/>
            </w:tcBorders>
          </w:tcPr>
          <w:p>
            <w:pPr/>
          </w:p>
        </w:tc>
      </w:tr>
      <w:tr>
        <w:trPr>
          <w:trHeight w:val="231" w:hRule="exact"/>
        </w:trPr>
        <w:tc>
          <w:tcPr>
            <w:tcW w:w="346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190" w:lineRule="exact"/>
              <w:ind w:left="159" w:right="0"/>
              <w:jc w:val="center"/>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r>
      <w:tr>
        <w:trPr>
          <w:trHeight w:val="290" w:hRule="exact"/>
        </w:trPr>
        <w:tc>
          <w:tcPr>
            <w:tcW w:w="3461" w:type="dxa"/>
            <w:tcBorders>
              <w:top w:val="nil" w:sz="6" w:space="0" w:color="auto"/>
              <w:left w:val="nil" w:sz="6" w:space="0" w:color="auto"/>
              <w:bottom w:val="single" w:sz="8" w:space="0" w:color="000000"/>
              <w:right w:val="nil" w:sz="6" w:space="0" w:color="auto"/>
            </w:tcBorders>
          </w:tcPr>
          <w:p>
            <w:pPr/>
          </w:p>
        </w:tc>
        <w:tc>
          <w:tcPr>
            <w:tcW w:w="1440" w:type="dxa"/>
            <w:tcBorders>
              <w:top w:val="nil" w:sz="6" w:space="0" w:color="auto"/>
              <w:left w:val="nil" w:sz="6" w:space="0" w:color="auto"/>
              <w:bottom w:val="single" w:sz="8" w:space="0" w:color="000000"/>
              <w:right w:val="nil" w:sz="6" w:space="0" w:color="auto"/>
            </w:tcBorders>
          </w:tcPr>
          <w:p>
            <w:pPr>
              <w:pStyle w:val="TableParagraph"/>
              <w:spacing w:line="190" w:lineRule="exact"/>
              <w:ind w:left="17"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90" w:type="dxa"/>
            <w:tcBorders>
              <w:top w:val="nil" w:sz="6" w:space="0" w:color="auto"/>
              <w:left w:val="nil" w:sz="6" w:space="0" w:color="auto"/>
              <w:bottom w:val="single" w:sz="8" w:space="0" w:color="000000"/>
              <w:right w:val="nil" w:sz="6" w:space="0" w:color="auto"/>
            </w:tcBorders>
          </w:tcPr>
          <w:p>
            <w:pPr>
              <w:pStyle w:val="TableParagraph"/>
              <w:spacing w:line="202" w:lineRule="exact"/>
              <w:ind w:left="-10" w:right="99"/>
              <w:jc w:val="center"/>
              <w:rPr>
                <w:rFonts w:ascii="宋体" w:hAnsi="宋体" w:cs="宋体" w:eastAsia="宋体" w:hint="default"/>
                <w:sz w:val="15"/>
                <w:szCs w:val="15"/>
              </w:rPr>
            </w:pPr>
            <w:r>
              <w:rPr>
                <w:rFonts w:ascii="宋体" w:hAnsi="宋体" w:cs="宋体" w:eastAsia="宋体" w:hint="default"/>
                <w:b/>
                <w:bCs/>
                <w:spacing w:val="-11"/>
                <w:sz w:val="15"/>
                <w:szCs w:val="15"/>
              </w:rPr>
              <w:t>比例（</w:t>
            </w:r>
            <w:r>
              <w:rPr>
                <w:rFonts w:ascii="Times New Roman" w:hAnsi="Times New Roman" w:cs="Times New Roman" w:eastAsia="Times New Roman" w:hint="default"/>
                <w:b/>
                <w:bCs/>
                <w:spacing w:val="-11"/>
                <w:sz w:val="15"/>
                <w:szCs w:val="15"/>
              </w:rPr>
              <w:t>%</w:t>
            </w:r>
            <w:r>
              <w:rPr>
                <w:rFonts w:ascii="宋体" w:hAnsi="宋体" w:cs="宋体" w:eastAsia="宋体" w:hint="default"/>
                <w:b/>
                <w:bCs/>
                <w:spacing w:val="-11"/>
                <w:sz w:val="15"/>
                <w:szCs w:val="15"/>
              </w:rPr>
              <w:t>）</w:t>
            </w:r>
            <w:r>
              <w:rPr>
                <w:rFonts w:ascii="宋体" w:hAnsi="宋体" w:cs="宋体" w:eastAsia="宋体" w:hint="default"/>
                <w:spacing w:val="-11"/>
                <w:sz w:val="15"/>
                <w:szCs w:val="15"/>
              </w:rPr>
            </w:r>
          </w:p>
        </w:tc>
        <w:tc>
          <w:tcPr>
            <w:tcW w:w="884" w:type="dxa"/>
            <w:tcBorders>
              <w:top w:val="nil" w:sz="6" w:space="0" w:color="auto"/>
              <w:left w:val="nil" w:sz="6" w:space="0" w:color="auto"/>
              <w:bottom w:val="single" w:sz="8" w:space="0" w:color="000000"/>
              <w:right w:val="nil" w:sz="6" w:space="0" w:color="auto"/>
            </w:tcBorders>
          </w:tcPr>
          <w:p>
            <w:pPr>
              <w:pStyle w:val="TableParagraph"/>
              <w:spacing w:line="190" w:lineRule="exact"/>
              <w:ind w:left="257"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2220" w:type="dxa"/>
            <w:gridSpan w:val="2"/>
            <w:tcBorders>
              <w:top w:val="nil" w:sz="6" w:space="0" w:color="auto"/>
              <w:left w:val="nil" w:sz="6" w:space="0" w:color="auto"/>
              <w:bottom w:val="single" w:sz="8" w:space="0" w:color="000000"/>
              <w:right w:val="nil" w:sz="6" w:space="0" w:color="auto"/>
            </w:tcBorders>
          </w:tcPr>
          <w:p>
            <w:pPr>
              <w:pStyle w:val="TableParagraph"/>
              <w:spacing w:line="202" w:lineRule="exact"/>
              <w:ind w:left="107" w:right="0"/>
              <w:jc w:val="left"/>
              <w:rPr>
                <w:rFonts w:ascii="宋体" w:hAnsi="宋体" w:cs="宋体" w:eastAsia="宋体" w:hint="default"/>
                <w:sz w:val="15"/>
                <w:szCs w:val="15"/>
              </w:rPr>
            </w:pPr>
            <w:r>
              <w:rPr>
                <w:rFonts w:ascii="宋体" w:hAnsi="宋体" w:cs="宋体" w:eastAsia="宋体" w:hint="default"/>
                <w:b/>
                <w:bCs/>
                <w:spacing w:val="1"/>
                <w:w w:val="99"/>
                <w:sz w:val="15"/>
                <w:szCs w:val="15"/>
              </w:rPr>
              <w:t>计</w:t>
            </w:r>
            <w:r>
              <w:rPr>
                <w:rFonts w:ascii="宋体" w:hAnsi="宋体" w:cs="宋体" w:eastAsia="宋体" w:hint="default"/>
                <w:b/>
                <w:bCs/>
                <w:w w:val="99"/>
                <w:sz w:val="15"/>
                <w:szCs w:val="15"/>
              </w:rPr>
              <w:t>提</w:t>
            </w:r>
            <w:r>
              <w:rPr>
                <w:rFonts w:ascii="宋体" w:hAnsi="宋体" w:cs="宋体" w:eastAsia="宋体" w:hint="default"/>
                <w:b/>
                <w:bCs/>
                <w:spacing w:val="1"/>
                <w:w w:val="99"/>
                <w:sz w:val="15"/>
                <w:szCs w:val="15"/>
              </w:rPr>
              <w:t>比</w:t>
            </w:r>
            <w:r>
              <w:rPr>
                <w:rFonts w:ascii="宋体" w:hAnsi="宋体" w:cs="宋体" w:eastAsia="宋体" w:hint="default"/>
                <w:b/>
                <w:bCs/>
                <w:spacing w:val="-60"/>
                <w:w w:val="99"/>
                <w:sz w:val="15"/>
                <w:szCs w:val="15"/>
              </w:rPr>
              <w:t>例</w:t>
            </w:r>
            <w:r>
              <w:rPr>
                <w:rFonts w:ascii="宋体" w:hAnsi="宋体" w:cs="宋体" w:eastAsia="宋体" w:hint="default"/>
                <w:b/>
                <w:bCs/>
                <w:spacing w:val="1"/>
                <w:w w:val="99"/>
                <w:sz w:val="15"/>
                <w:szCs w:val="15"/>
              </w:rPr>
              <w:t>（</w:t>
            </w:r>
            <w:r>
              <w:rPr>
                <w:rFonts w:ascii="Times New Roman" w:hAnsi="Times New Roman" w:cs="Times New Roman" w:eastAsia="Times New Roman" w:hint="default"/>
                <w:b/>
                <w:bCs/>
                <w:spacing w:val="-2"/>
                <w:sz w:val="15"/>
                <w:szCs w:val="15"/>
              </w:rPr>
              <w:t>%</w:t>
            </w:r>
            <w:r>
              <w:rPr>
                <w:rFonts w:ascii="宋体" w:hAnsi="宋体" w:cs="宋体" w:eastAsia="宋体" w:hint="default"/>
                <w:b/>
                <w:bCs/>
                <w:w w:val="99"/>
                <w:sz w:val="15"/>
                <w:szCs w:val="15"/>
              </w:rPr>
              <w:t>）</w:t>
            </w:r>
            <w:r>
              <w:rPr>
                <w:rFonts w:ascii="宋体" w:hAnsi="宋体" w:cs="宋体" w:eastAsia="宋体" w:hint="default"/>
                <w:sz w:val="15"/>
                <w:szCs w:val="15"/>
              </w:rPr>
            </w:r>
          </w:p>
        </w:tc>
      </w:tr>
      <w:tr>
        <w:trPr>
          <w:trHeight w:val="505" w:hRule="exact"/>
        </w:trPr>
        <w:tc>
          <w:tcPr>
            <w:tcW w:w="3461"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单项金额重大并单独计提坏账准备的应收账款</w:t>
            </w:r>
          </w:p>
        </w:tc>
        <w:tc>
          <w:tcPr>
            <w:tcW w:w="1440" w:type="dxa"/>
            <w:tcBorders>
              <w:top w:val="single" w:sz="8" w:space="0" w:color="000000"/>
              <w:left w:val="nil" w:sz="6" w:space="0" w:color="auto"/>
              <w:bottom w:val="nil" w:sz="6" w:space="0" w:color="auto"/>
              <w:right w:val="nil" w:sz="6" w:space="0" w:color="auto"/>
            </w:tcBorders>
          </w:tcPr>
          <w:p>
            <w:pPr/>
          </w:p>
        </w:tc>
        <w:tc>
          <w:tcPr>
            <w:tcW w:w="790" w:type="dxa"/>
            <w:tcBorders>
              <w:top w:val="single" w:sz="8" w:space="0" w:color="000000"/>
              <w:left w:val="nil" w:sz="6" w:space="0" w:color="auto"/>
              <w:bottom w:val="nil" w:sz="6" w:space="0" w:color="auto"/>
              <w:right w:val="nil" w:sz="6" w:space="0" w:color="auto"/>
            </w:tcBorders>
          </w:tcPr>
          <w:p>
            <w:pPr/>
          </w:p>
        </w:tc>
        <w:tc>
          <w:tcPr>
            <w:tcW w:w="884" w:type="dxa"/>
            <w:tcBorders>
              <w:top w:val="single" w:sz="8" w:space="0" w:color="000000"/>
              <w:left w:val="nil" w:sz="6" w:space="0" w:color="auto"/>
              <w:bottom w:val="nil" w:sz="6" w:space="0" w:color="auto"/>
              <w:right w:val="nil" w:sz="6" w:space="0" w:color="auto"/>
            </w:tcBorders>
          </w:tcPr>
          <w:p>
            <w:pPr/>
          </w:p>
        </w:tc>
        <w:tc>
          <w:tcPr>
            <w:tcW w:w="974" w:type="dxa"/>
            <w:tcBorders>
              <w:top w:val="single" w:sz="8" w:space="0" w:color="000000"/>
              <w:left w:val="nil" w:sz="6" w:space="0" w:color="auto"/>
              <w:bottom w:val="nil" w:sz="6" w:space="0" w:color="auto"/>
              <w:right w:val="nil" w:sz="6" w:space="0" w:color="auto"/>
            </w:tcBorders>
          </w:tcPr>
          <w:p>
            <w:pPr/>
          </w:p>
        </w:tc>
        <w:tc>
          <w:tcPr>
            <w:tcW w:w="1247" w:type="dxa"/>
            <w:tcBorders>
              <w:top w:val="single" w:sz="8" w:space="0" w:color="000000"/>
              <w:left w:val="nil" w:sz="6" w:space="0" w:color="auto"/>
              <w:bottom w:val="nil" w:sz="6" w:space="0" w:color="auto"/>
              <w:right w:val="nil" w:sz="6" w:space="0" w:color="auto"/>
            </w:tcBorders>
          </w:tcPr>
          <w:p>
            <w:pPr/>
          </w:p>
        </w:tc>
      </w:tr>
      <w:tr>
        <w:trPr>
          <w:trHeight w:val="444"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按信用风险特征组合计提坏账准备的应收账款</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53" w:right="0"/>
              <w:jc w:val="left"/>
              <w:rPr>
                <w:rFonts w:ascii="Times New Roman" w:hAnsi="Times New Roman" w:cs="Times New Roman" w:eastAsia="Times New Roman" w:hint="default"/>
                <w:sz w:val="15"/>
                <w:szCs w:val="15"/>
              </w:rPr>
            </w:pPr>
            <w:r>
              <w:rPr>
                <w:rFonts w:ascii="Times New Roman"/>
                <w:sz w:val="15"/>
              </w:rPr>
              <w:t>10,825,661.33</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3"/>
              <w:jc w:val="center"/>
              <w:rPr>
                <w:rFonts w:ascii="Times New Roman" w:hAnsi="Times New Roman" w:cs="Times New Roman" w:eastAsia="Times New Roman" w:hint="default"/>
                <w:sz w:val="15"/>
                <w:szCs w:val="15"/>
              </w:rPr>
            </w:pPr>
            <w:r>
              <w:rPr>
                <w:rFonts w:ascii="Times New Roman"/>
                <w:sz w:val="15"/>
              </w:rPr>
              <w:t>100.00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268,973.77</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35" w:right="0"/>
              <w:jc w:val="left"/>
              <w:rPr>
                <w:rFonts w:ascii="Times New Roman" w:hAnsi="Times New Roman" w:cs="Times New Roman" w:eastAsia="Times New Roman" w:hint="default"/>
                <w:sz w:val="15"/>
                <w:szCs w:val="15"/>
              </w:rPr>
            </w:pPr>
            <w:r>
              <w:rPr>
                <w:rFonts w:ascii="Times New Roman"/>
                <w:sz w:val="15"/>
              </w:rPr>
              <w:t>2.48</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64" w:right="0"/>
              <w:jc w:val="center"/>
              <w:rPr>
                <w:rFonts w:ascii="Times New Roman" w:hAnsi="Times New Roman" w:cs="Times New Roman" w:eastAsia="Times New Roman" w:hint="default"/>
                <w:sz w:val="15"/>
                <w:szCs w:val="15"/>
              </w:rPr>
            </w:pPr>
            <w:r>
              <w:rPr>
                <w:rFonts w:ascii="Times New Roman"/>
                <w:sz w:val="15"/>
              </w:rPr>
              <w:t>10,556,687.56</w:t>
            </w:r>
          </w:p>
        </w:tc>
      </w:tr>
      <w:tr>
        <w:trPr>
          <w:trHeight w:val="436"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单项金额不重大但单独计提坏账准备的应收账款</w:t>
            </w:r>
          </w:p>
        </w:tc>
        <w:tc>
          <w:tcPr>
            <w:tcW w:w="1440"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r>
      <w:tr>
        <w:trPr>
          <w:trHeight w:val="303"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2"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53"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10,825,661.33</w:t>
            </w:r>
            <w:r>
              <w:rPr>
                <w:rFonts w:ascii="Times New Roman"/>
                <w:sz w:val="15"/>
              </w:rPr>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84"/>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268,973.77</w:t>
            </w:r>
            <w:r>
              <w:rPr>
                <w:rFonts w:ascii="Times New Roman"/>
                <w:spacing w:val="-1"/>
                <w:sz w:val="15"/>
              </w:rPr>
            </w:r>
          </w:p>
        </w:tc>
        <w:tc>
          <w:tcPr>
            <w:tcW w:w="97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64"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10,556,687.56</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2</w:t>
      </w:r>
      <w:r>
        <w:rPr/>
        <w:t>）组合中，按账龄分析法计提坏账准备的应收账款</w:t>
      </w:r>
    </w:p>
    <w:p>
      <w:pPr>
        <w:spacing w:line="240" w:lineRule="auto" w:before="4"/>
        <w:rPr>
          <w:rFonts w:ascii="宋体" w:hAnsi="宋体" w:cs="宋体" w:eastAsia="宋体" w:hint="default"/>
          <w:sz w:val="23"/>
          <w:szCs w:val="23"/>
        </w:rPr>
      </w:pPr>
    </w:p>
    <w:p>
      <w:pPr>
        <w:tabs>
          <w:tab w:pos="8494" w:val="left" w:leader="none"/>
        </w:tabs>
        <w:spacing w:before="59"/>
        <w:ind w:left="4601" w:right="1117" w:firstLine="0"/>
        <w:jc w:val="left"/>
        <w:rPr>
          <w:rFonts w:ascii="宋体" w:hAnsi="宋体" w:cs="宋体" w:eastAsia="宋体" w:hint="default"/>
          <w:sz w:val="13"/>
          <w:szCs w:val="13"/>
        </w:rPr>
      </w:pPr>
      <w:r>
        <w:rPr>
          <w:rFonts w:ascii="宋体" w:hAnsi="宋体" w:cs="宋体" w:eastAsia="宋体" w:hint="default"/>
          <w:b/>
          <w:bCs/>
          <w:w w:val="95"/>
          <w:sz w:val="13"/>
          <w:szCs w:val="13"/>
        </w:rPr>
        <w:t>期末余额</w:t>
        <w:tab/>
      </w:r>
      <w:r>
        <w:rPr>
          <w:rFonts w:ascii="宋体" w:hAnsi="宋体" w:cs="宋体" w:eastAsia="宋体" w:hint="default"/>
          <w:b/>
          <w:bCs/>
          <w:sz w:val="13"/>
          <w:szCs w:val="13"/>
        </w:rPr>
        <w:t>期初余额</w:t>
      </w:r>
      <w:r>
        <w:rPr>
          <w:rFonts w:ascii="宋体" w:hAnsi="宋体" w:cs="宋体" w:eastAsia="宋体" w:hint="default"/>
          <w:sz w:val="13"/>
          <w:szCs w:val="13"/>
        </w:rPr>
      </w:r>
    </w:p>
    <w:p>
      <w:pPr>
        <w:spacing w:line="240" w:lineRule="auto" w:before="8"/>
        <w:rPr>
          <w:rFonts w:ascii="宋体" w:hAnsi="宋体" w:cs="宋体" w:eastAsia="宋体" w:hint="default"/>
          <w:b/>
          <w:bCs/>
          <w:sz w:val="11"/>
          <w:szCs w:val="11"/>
        </w:rPr>
      </w:pPr>
    </w:p>
    <w:tbl>
      <w:tblPr>
        <w:tblW w:w="0" w:type="auto"/>
        <w:jc w:val="left"/>
        <w:tblInd w:w="1310" w:type="dxa"/>
        <w:tblLayout w:type="fixed"/>
        <w:tblCellMar>
          <w:top w:w="0" w:type="dxa"/>
          <w:left w:w="0" w:type="dxa"/>
          <w:bottom w:w="0" w:type="dxa"/>
          <w:right w:w="0" w:type="dxa"/>
        </w:tblCellMar>
        <w:tblLook w:val="01E0"/>
      </w:tblPr>
      <w:tblGrid>
        <w:gridCol w:w="1668"/>
        <w:gridCol w:w="1148"/>
        <w:gridCol w:w="766"/>
        <w:gridCol w:w="998"/>
        <w:gridCol w:w="936"/>
        <w:gridCol w:w="1069"/>
        <w:gridCol w:w="934"/>
        <w:gridCol w:w="958"/>
        <w:gridCol w:w="952"/>
      </w:tblGrid>
      <w:tr>
        <w:trPr>
          <w:trHeight w:val="490"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2"/>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46"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50"/>
              <w:jc w:val="righ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4"/>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b/>
                <w:bCs/>
                <w:spacing w:val="-9"/>
                <w:sz w:val="15"/>
                <w:szCs w:val="15"/>
              </w:rPr>
              <w:t>比例（</w:t>
            </w:r>
            <w:r>
              <w:rPr>
                <w:rFonts w:ascii="Times New Roman" w:hAnsi="Times New Roman" w:cs="Times New Roman" w:eastAsia="Times New Roman" w:hint="default"/>
                <w:b/>
                <w:bCs/>
                <w:spacing w:val="-9"/>
                <w:sz w:val="15"/>
                <w:szCs w:val="15"/>
              </w:rPr>
              <w:t>%</w:t>
            </w:r>
            <w:r>
              <w:rPr>
                <w:rFonts w:ascii="宋体" w:hAnsi="宋体" w:cs="宋体" w:eastAsia="宋体" w:hint="default"/>
                <w:b/>
                <w:bCs/>
                <w:spacing w:val="-9"/>
                <w:sz w:val="15"/>
                <w:szCs w:val="15"/>
              </w:rPr>
              <w:t>）</w:t>
            </w:r>
            <w:r>
              <w:rPr>
                <w:rFonts w:ascii="宋体" w:hAnsi="宋体" w:cs="宋体" w:eastAsia="宋体" w:hint="default"/>
                <w:spacing w:val="-9"/>
                <w:sz w:val="15"/>
                <w:szCs w:val="15"/>
              </w:rPr>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2"/>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r>
      <w:tr>
        <w:trPr>
          <w:trHeight w:val="256" w:hRule="exact"/>
        </w:trPr>
        <w:tc>
          <w:tcPr>
            <w:tcW w:w="1668" w:type="dxa"/>
            <w:tcBorders>
              <w:top w:val="nil" w:sz="6" w:space="0" w:color="auto"/>
              <w:left w:val="nil" w:sz="6" w:space="0" w:color="auto"/>
              <w:bottom w:val="single" w:sz="4" w:space="0" w:color="000000"/>
              <w:right w:val="nil" w:sz="6" w:space="0" w:color="auto"/>
            </w:tcBorders>
          </w:tcPr>
          <w:p>
            <w:pPr/>
          </w:p>
        </w:tc>
        <w:tc>
          <w:tcPr>
            <w:tcW w:w="1148" w:type="dxa"/>
            <w:tcBorders>
              <w:top w:val="nil" w:sz="6" w:space="0" w:color="auto"/>
              <w:left w:val="nil" w:sz="6" w:space="0" w:color="auto"/>
              <w:bottom w:val="single" w:sz="4" w:space="0" w:color="000000"/>
              <w:right w:val="nil" w:sz="6" w:space="0" w:color="auto"/>
            </w:tcBorders>
          </w:tcPr>
          <w:p>
            <w:pPr/>
          </w:p>
        </w:tc>
        <w:tc>
          <w:tcPr>
            <w:tcW w:w="766" w:type="dxa"/>
            <w:tcBorders>
              <w:top w:val="nil" w:sz="6" w:space="0" w:color="auto"/>
              <w:left w:val="nil" w:sz="6" w:space="0" w:color="auto"/>
              <w:bottom w:val="single" w:sz="4" w:space="0" w:color="000000"/>
              <w:right w:val="nil" w:sz="6" w:space="0" w:color="auto"/>
            </w:tcBorders>
          </w:tcPr>
          <w:p>
            <w:pPr>
              <w:pStyle w:val="TableParagraph"/>
              <w:spacing w:line="172" w:lineRule="exact"/>
              <w:ind w:right="178"/>
              <w:jc w:val="right"/>
              <w:rPr>
                <w:rFonts w:ascii="宋体" w:hAnsi="宋体" w:cs="宋体" w:eastAsia="宋体" w:hint="default"/>
                <w:sz w:val="15"/>
                <w:szCs w:val="15"/>
              </w:rPr>
            </w:pPr>
            <w:r>
              <w:rPr>
                <w:rFonts w:ascii="宋体" w:hAnsi="宋体" w:cs="宋体" w:eastAsia="宋体" w:hint="default"/>
                <w:b/>
                <w:bCs/>
                <w:spacing w:val="-1"/>
                <w:sz w:val="15"/>
                <w:szCs w:val="15"/>
              </w:rPr>
              <w:t>（</w:t>
            </w:r>
            <w:r>
              <w:rPr>
                <w:rFonts w:ascii="Times New Roman" w:hAnsi="Times New Roman" w:cs="Times New Roman" w:eastAsia="Times New Roman"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tc>
        <w:tc>
          <w:tcPr>
            <w:tcW w:w="998" w:type="dxa"/>
            <w:tcBorders>
              <w:top w:val="nil" w:sz="6" w:space="0" w:color="auto"/>
              <w:left w:val="nil" w:sz="6" w:space="0" w:color="auto"/>
              <w:bottom w:val="single" w:sz="4" w:space="0" w:color="000000"/>
              <w:right w:val="nil" w:sz="6" w:space="0" w:color="auto"/>
            </w:tcBorders>
          </w:tcPr>
          <w:p>
            <w:pPr/>
          </w:p>
        </w:tc>
        <w:tc>
          <w:tcPr>
            <w:tcW w:w="936" w:type="dxa"/>
            <w:tcBorders>
              <w:top w:val="nil" w:sz="6" w:space="0" w:color="auto"/>
              <w:left w:val="nil" w:sz="6" w:space="0" w:color="auto"/>
              <w:bottom w:val="single" w:sz="4" w:space="0" w:color="000000"/>
              <w:right w:val="nil" w:sz="6" w:space="0" w:color="auto"/>
            </w:tcBorders>
          </w:tcPr>
          <w:p>
            <w:pPr>
              <w:pStyle w:val="TableParagraph"/>
              <w:spacing w:line="172" w:lineRule="exact"/>
              <w:ind w:right="75"/>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69" w:type="dxa"/>
            <w:tcBorders>
              <w:top w:val="nil" w:sz="6" w:space="0" w:color="auto"/>
              <w:left w:val="nil" w:sz="6" w:space="0" w:color="auto"/>
              <w:bottom w:val="single" w:sz="4" w:space="0" w:color="000000"/>
              <w:right w:val="nil" w:sz="6" w:space="0" w:color="auto"/>
            </w:tcBorders>
          </w:tcPr>
          <w:p>
            <w:pPr/>
          </w:p>
        </w:tc>
        <w:tc>
          <w:tcPr>
            <w:tcW w:w="934"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952" w:type="dxa"/>
            <w:tcBorders>
              <w:top w:val="nil" w:sz="6" w:space="0" w:color="auto"/>
              <w:left w:val="nil" w:sz="6" w:space="0" w:color="auto"/>
              <w:bottom w:val="single" w:sz="4" w:space="0" w:color="000000"/>
              <w:right w:val="nil" w:sz="6" w:space="0" w:color="auto"/>
            </w:tcBorders>
          </w:tcPr>
          <w:p>
            <w:pPr>
              <w:pStyle w:val="TableParagraph"/>
              <w:spacing w:line="172" w:lineRule="exact"/>
              <w:ind w:right="43"/>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94" w:hRule="exact"/>
        </w:trPr>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1"/>
                <w:szCs w:val="11"/>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34"/>
              <w:jc w:val="right"/>
              <w:rPr>
                <w:rFonts w:ascii="Times New Roman" w:hAnsi="Times New Roman" w:cs="Times New Roman" w:eastAsia="Times New Roman" w:hint="default"/>
                <w:sz w:val="13"/>
                <w:szCs w:val="13"/>
              </w:rPr>
            </w:pPr>
            <w:r>
              <w:rPr>
                <w:rFonts w:ascii="Times New Roman"/>
                <w:spacing w:val="-1"/>
                <w:sz w:val="13"/>
              </w:rPr>
              <w:t>11,752,812.62</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57"/>
              <w:jc w:val="right"/>
              <w:rPr>
                <w:rFonts w:ascii="Times New Roman" w:hAnsi="Times New Roman" w:cs="Times New Roman" w:eastAsia="Times New Roman" w:hint="default"/>
                <w:sz w:val="13"/>
                <w:szCs w:val="13"/>
              </w:rPr>
            </w:pPr>
            <w:r>
              <w:rPr>
                <w:rFonts w:ascii="Times New Roman"/>
                <w:w w:val="95"/>
                <w:sz w:val="13"/>
              </w:rPr>
              <w:t>96.26</w:t>
            </w:r>
            <w:r>
              <w:rPr>
                <w:rFonts w:ascii="Times New Roman"/>
                <w:sz w:val="13"/>
              </w:rPr>
            </w: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28"/>
              <w:jc w:val="right"/>
              <w:rPr>
                <w:rFonts w:ascii="Times New Roman" w:hAnsi="Times New Roman" w:cs="Times New Roman" w:eastAsia="Times New Roman" w:hint="default"/>
                <w:sz w:val="13"/>
                <w:szCs w:val="13"/>
              </w:rPr>
            </w:pPr>
            <w:r>
              <w:rPr>
                <w:rFonts w:ascii="Times New Roman"/>
                <w:spacing w:val="-1"/>
                <w:sz w:val="13"/>
              </w:rPr>
              <w:t>117,528.13</w:t>
            </w:r>
          </w:p>
        </w:tc>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right="75"/>
              <w:jc w:val="center"/>
              <w:rPr>
                <w:rFonts w:ascii="Times New Roman" w:hAnsi="Times New Roman" w:cs="Times New Roman" w:eastAsia="Times New Roman" w:hint="default"/>
                <w:sz w:val="15"/>
                <w:szCs w:val="15"/>
              </w:rPr>
            </w:pPr>
            <w:r>
              <w:rPr>
                <w:rFonts w:ascii="Times New Roman"/>
                <w:sz w:val="15"/>
              </w:rPr>
              <w:t>1.00</w:t>
            </w: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10,261,010.16</w:t>
            </w:r>
            <w:r>
              <w:rPr>
                <w:rFonts w:ascii="Times New Roman"/>
                <w:sz w:val="13"/>
              </w:rPr>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80"/>
              <w:jc w:val="center"/>
              <w:rPr>
                <w:rFonts w:ascii="Times New Roman" w:hAnsi="Times New Roman" w:cs="Times New Roman" w:eastAsia="Times New Roman" w:hint="default"/>
                <w:sz w:val="13"/>
                <w:szCs w:val="13"/>
              </w:rPr>
            </w:pPr>
            <w:r>
              <w:rPr>
                <w:rFonts w:ascii="Times New Roman"/>
                <w:sz w:val="13"/>
              </w:rPr>
              <w:t>94.79</w:t>
            </w: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2"/>
              <w:jc w:val="right"/>
              <w:rPr>
                <w:rFonts w:ascii="Times New Roman" w:hAnsi="Times New Roman" w:cs="Times New Roman" w:eastAsia="Times New Roman" w:hint="default"/>
                <w:sz w:val="13"/>
                <w:szCs w:val="13"/>
              </w:rPr>
            </w:pPr>
            <w:r>
              <w:rPr>
                <w:rFonts w:ascii="Times New Roman"/>
                <w:w w:val="95"/>
                <w:sz w:val="13"/>
              </w:rPr>
              <w:t>102,610.10</w:t>
            </w:r>
            <w:r>
              <w:rPr>
                <w:rFonts w:ascii="Times New Roman"/>
                <w:sz w:val="13"/>
              </w:rPr>
            </w:r>
          </w:p>
        </w:tc>
        <w:tc>
          <w:tcPr>
            <w:tcW w:w="95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right="42"/>
              <w:jc w:val="center"/>
              <w:rPr>
                <w:rFonts w:ascii="Times New Roman" w:hAnsi="Times New Roman" w:cs="Times New Roman" w:eastAsia="Times New Roman" w:hint="default"/>
                <w:sz w:val="15"/>
                <w:szCs w:val="15"/>
              </w:rPr>
            </w:pPr>
            <w:r>
              <w:rPr>
                <w:rFonts w:ascii="Times New Roman"/>
                <w:sz w:val="15"/>
              </w:rPr>
              <w:t>1.00</w:t>
            </w:r>
          </w:p>
        </w:tc>
      </w:tr>
      <w:tr>
        <w:trPr>
          <w:trHeight w:val="440"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35"/>
              <w:jc w:val="right"/>
              <w:rPr>
                <w:rFonts w:ascii="Times New Roman" w:hAnsi="Times New Roman" w:cs="Times New Roman" w:eastAsia="Times New Roman" w:hint="default"/>
                <w:sz w:val="13"/>
                <w:szCs w:val="13"/>
              </w:rPr>
            </w:pPr>
            <w:r>
              <w:rPr>
                <w:rFonts w:ascii="Times New Roman"/>
                <w:w w:val="95"/>
                <w:sz w:val="13"/>
              </w:rPr>
              <w:t>456,798.38</w:t>
            </w:r>
            <w:r>
              <w:rPr>
                <w:rFonts w:ascii="Times New Roman"/>
                <w:sz w:val="13"/>
              </w:rPr>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9"/>
              <w:jc w:val="right"/>
              <w:rPr>
                <w:rFonts w:ascii="Times New Roman" w:hAnsi="Times New Roman" w:cs="Times New Roman" w:eastAsia="Times New Roman" w:hint="default"/>
                <w:sz w:val="13"/>
                <w:szCs w:val="13"/>
              </w:rPr>
            </w:pPr>
            <w:r>
              <w:rPr>
                <w:rFonts w:ascii="Times New Roman"/>
                <w:w w:val="95"/>
                <w:sz w:val="13"/>
              </w:rPr>
              <w:t>3.74</w:t>
            </w:r>
            <w:r>
              <w:rPr>
                <w:rFonts w:ascii="Times New Roman"/>
                <w:sz w:val="13"/>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28"/>
              <w:jc w:val="right"/>
              <w:rPr>
                <w:rFonts w:ascii="Times New Roman" w:hAnsi="Times New Roman" w:cs="Times New Roman" w:eastAsia="Times New Roman" w:hint="default"/>
                <w:sz w:val="13"/>
                <w:szCs w:val="13"/>
              </w:rPr>
            </w:pPr>
            <w:r>
              <w:rPr>
                <w:rFonts w:ascii="Times New Roman"/>
                <w:w w:val="95"/>
                <w:sz w:val="13"/>
              </w:rPr>
              <w:t>22,839.92</w:t>
            </w:r>
            <w:r>
              <w:rPr>
                <w:rFonts w:ascii="Times New Roman"/>
                <w:sz w:val="13"/>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5"/>
              <w:jc w:val="center"/>
              <w:rPr>
                <w:rFonts w:ascii="Times New Roman" w:hAnsi="Times New Roman" w:cs="Times New Roman" w:eastAsia="Times New Roman" w:hint="default"/>
                <w:sz w:val="15"/>
                <w:szCs w:val="15"/>
              </w:rPr>
            </w:pPr>
            <w:r>
              <w:rPr>
                <w:rFonts w:ascii="Times New Roman"/>
                <w:sz w:val="15"/>
              </w:rPr>
              <w:t>5.00</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419,250.00</w:t>
            </w:r>
            <w:r>
              <w:rPr>
                <w:rFonts w:ascii="Times New Roman"/>
                <w:sz w:val="13"/>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80"/>
              <w:jc w:val="center"/>
              <w:rPr>
                <w:rFonts w:ascii="Times New Roman" w:hAnsi="Times New Roman" w:cs="Times New Roman" w:eastAsia="Times New Roman" w:hint="default"/>
                <w:sz w:val="13"/>
                <w:szCs w:val="13"/>
              </w:rPr>
            </w:pPr>
            <w:r>
              <w:rPr>
                <w:rFonts w:ascii="Times New Roman"/>
                <w:sz w:val="13"/>
              </w:rPr>
              <w:t>3.87</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152"/>
              <w:jc w:val="right"/>
              <w:rPr>
                <w:rFonts w:ascii="Times New Roman" w:hAnsi="Times New Roman" w:cs="Times New Roman" w:eastAsia="Times New Roman" w:hint="default"/>
                <w:sz w:val="13"/>
                <w:szCs w:val="13"/>
              </w:rPr>
            </w:pPr>
            <w:r>
              <w:rPr>
                <w:rFonts w:ascii="Times New Roman"/>
                <w:w w:val="95"/>
                <w:sz w:val="13"/>
              </w:rPr>
              <w:t>20,962.50</w:t>
            </w:r>
            <w:r>
              <w:rPr>
                <w:rFonts w:ascii="Times New Roman"/>
                <w:sz w:val="13"/>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2"/>
              <w:jc w:val="center"/>
              <w:rPr>
                <w:rFonts w:ascii="Times New Roman" w:hAnsi="Times New Roman" w:cs="Times New Roman" w:eastAsia="Times New Roman" w:hint="default"/>
                <w:sz w:val="15"/>
                <w:szCs w:val="15"/>
              </w:rPr>
            </w:pPr>
            <w:r>
              <w:rPr>
                <w:rFonts w:ascii="Times New Roman"/>
                <w:sz w:val="15"/>
              </w:rPr>
              <w:t>5.00</w:t>
            </w:r>
          </w:p>
        </w:tc>
      </w:tr>
      <w:tr>
        <w:trPr>
          <w:trHeight w:val="449"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148"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5"/>
                <w:sz w:val="13"/>
              </w:rPr>
              <w:t>145,401.17</w:t>
            </w:r>
            <w:r>
              <w:rPr>
                <w:rFonts w:ascii="Times New Roman"/>
                <w:sz w:val="13"/>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80"/>
              <w:jc w:val="center"/>
              <w:rPr>
                <w:rFonts w:ascii="Times New Roman" w:hAnsi="Times New Roman" w:cs="Times New Roman" w:eastAsia="Times New Roman" w:hint="default"/>
                <w:sz w:val="13"/>
                <w:szCs w:val="13"/>
              </w:rPr>
            </w:pPr>
            <w:r>
              <w:rPr>
                <w:rFonts w:ascii="Times New Roman"/>
                <w:sz w:val="13"/>
              </w:rPr>
              <w:t>1.34</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240" w:lineRule="auto"/>
              <w:ind w:right="152"/>
              <w:jc w:val="right"/>
              <w:rPr>
                <w:rFonts w:ascii="Times New Roman" w:hAnsi="Times New Roman" w:cs="Times New Roman" w:eastAsia="Times New Roman" w:hint="default"/>
                <w:sz w:val="13"/>
                <w:szCs w:val="13"/>
              </w:rPr>
            </w:pPr>
            <w:r>
              <w:rPr>
                <w:rFonts w:ascii="Times New Roman"/>
                <w:w w:val="95"/>
                <w:sz w:val="13"/>
              </w:rPr>
              <w:t>145,401.17</w:t>
            </w:r>
            <w:r>
              <w:rPr>
                <w:rFonts w:ascii="Times New Roman"/>
                <w:sz w:val="13"/>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1"/>
              <w:jc w:val="center"/>
              <w:rPr>
                <w:rFonts w:ascii="Times New Roman" w:hAnsi="Times New Roman" w:cs="Times New Roman" w:eastAsia="Times New Roman" w:hint="default"/>
                <w:sz w:val="15"/>
                <w:szCs w:val="15"/>
              </w:rPr>
            </w:pPr>
            <w:r>
              <w:rPr>
                <w:rFonts w:ascii="Times New Roman"/>
                <w:sz w:val="15"/>
              </w:rPr>
              <w:t>100.00</w:t>
            </w:r>
          </w:p>
        </w:tc>
      </w:tr>
      <w:tr>
        <w:trPr>
          <w:trHeight w:val="404" w:hRule="exact"/>
        </w:trPr>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2"/>
                <w:szCs w:val="12"/>
              </w:rPr>
            </w:pPr>
          </w:p>
          <w:p>
            <w:pPr>
              <w:pStyle w:val="TableParagraph"/>
              <w:spacing w:line="240" w:lineRule="auto"/>
              <w:ind w:right="134"/>
              <w:jc w:val="right"/>
              <w:rPr>
                <w:rFonts w:ascii="Times New Roman" w:hAnsi="Times New Roman" w:cs="Times New Roman" w:eastAsia="Times New Roman" w:hint="default"/>
                <w:sz w:val="13"/>
                <w:szCs w:val="13"/>
              </w:rPr>
            </w:pPr>
            <w:r>
              <w:rPr>
                <w:rFonts w:ascii="Times New Roman"/>
                <w:w w:val="99"/>
                <w:sz w:val="13"/>
              </w:rPr>
            </w:r>
            <w:r>
              <w:rPr>
                <w:rFonts w:ascii="Times New Roman"/>
                <w:spacing w:val="-1"/>
                <w:sz w:val="13"/>
                <w:u w:val="thick" w:color="000000"/>
              </w:rPr>
              <w:t>12,209,611.00</w:t>
            </w:r>
            <w:r>
              <w:rPr>
                <w:rFonts w:ascii="Times New Roman"/>
                <w:spacing w:val="-1"/>
                <w:sz w:val="13"/>
              </w:rPr>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2"/>
                <w:szCs w:val="12"/>
              </w:rPr>
            </w:pPr>
          </w:p>
          <w:p>
            <w:pPr>
              <w:pStyle w:val="TableParagraph"/>
              <w:spacing w:line="240" w:lineRule="auto"/>
              <w:ind w:right="4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100</w:t>
            </w:r>
            <w:r>
              <w:rPr>
                <w:rFonts w:ascii="Times New Roman"/>
                <w:sz w:val="13"/>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2"/>
                <w:szCs w:val="12"/>
              </w:rPr>
            </w:pPr>
          </w:p>
          <w:p>
            <w:pPr>
              <w:pStyle w:val="TableParagraph"/>
              <w:spacing w:line="240" w:lineRule="auto"/>
              <w:ind w:right="127"/>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double" w:color="000000"/>
              </w:rPr>
              <w:t>140,368.05</w:t>
            </w:r>
            <w:r>
              <w:rPr>
                <w:rFonts w:ascii="Times New Roman"/>
                <w:w w:val="95"/>
                <w:sz w:val="13"/>
              </w:rPr>
            </w:r>
            <w:r>
              <w:rPr>
                <w:rFonts w:ascii="Times New Roman"/>
                <w:sz w:val="13"/>
              </w:rPr>
            </w:r>
          </w:p>
        </w:tc>
        <w:tc>
          <w:tcPr>
            <w:tcW w:w="936"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07"/>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double" w:color="000000"/>
              </w:rPr>
              <w:t>10,825,661.33</w:t>
            </w:r>
            <w:r>
              <w:rPr>
                <w:rFonts w:ascii="Times New Roman"/>
                <w:w w:val="95"/>
                <w:sz w:val="13"/>
              </w:rPr>
            </w:r>
            <w:r>
              <w:rPr>
                <w:rFonts w:ascii="Times New Roman"/>
                <w:sz w:val="13"/>
              </w:rPr>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79"/>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double" w:color="000000"/>
              </w:rPr>
              <w:t>100</w:t>
            </w:r>
            <w:r>
              <w:rPr>
                <w:rFonts w:ascii="Times New Roman"/>
                <w:sz w:val="13"/>
              </w:rPr>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52"/>
              <w:jc w:val="right"/>
              <w:rPr>
                <w:rFonts w:ascii="Times New Roman" w:hAnsi="Times New Roman" w:cs="Times New Roman" w:eastAsia="Times New Roman" w:hint="default"/>
                <w:sz w:val="13"/>
                <w:szCs w:val="13"/>
              </w:rPr>
            </w:pPr>
            <w:r>
              <w:rPr>
                <w:rFonts w:ascii="Times New Roman"/>
                <w:w w:val="99"/>
                <w:sz w:val="13"/>
              </w:rPr>
            </w:r>
            <w:r>
              <w:rPr>
                <w:rFonts w:ascii="Times New Roman"/>
                <w:w w:val="95"/>
                <w:sz w:val="13"/>
                <w:u w:val="double" w:color="000000"/>
              </w:rPr>
              <w:t>268,973.77</w:t>
            </w:r>
            <w:r>
              <w:rPr>
                <w:rFonts w:ascii="Times New Roman"/>
                <w:w w:val="95"/>
                <w:sz w:val="13"/>
              </w:rPr>
            </w:r>
            <w:r>
              <w:rPr>
                <w:rFonts w:ascii="Times New Roman"/>
                <w:sz w:val="13"/>
              </w:rPr>
            </w:r>
          </w:p>
        </w:tc>
        <w:tc>
          <w:tcPr>
            <w:tcW w:w="952"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b/>
          <w:bCs/>
          <w:sz w:val="22"/>
          <w:szCs w:val="22"/>
        </w:rPr>
      </w:pPr>
    </w:p>
    <w:p>
      <w:pPr>
        <w:pStyle w:val="BodyText"/>
        <w:spacing w:line="240" w:lineRule="auto" w:before="44"/>
        <w:ind w:right="1117"/>
        <w:jc w:val="left"/>
      </w:pPr>
      <w:r>
        <w:rPr/>
        <w:t>（</w:t>
      </w:r>
      <w:r>
        <w:rPr>
          <w:rFonts w:ascii="Times New Roman" w:hAnsi="Times New Roman" w:cs="Times New Roman" w:eastAsia="Times New Roman" w:hint="default"/>
        </w:rPr>
        <w:t>3</w:t>
      </w:r>
      <w:r>
        <w:rPr/>
        <w:t>）本期计提、收回或转回的坏账准备情况</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805"/>
        <w:gridCol w:w="4626"/>
      </w:tblGrid>
      <w:tr>
        <w:trPr>
          <w:trHeight w:val="271" w:hRule="exact"/>
        </w:trPr>
        <w:tc>
          <w:tcPr>
            <w:tcW w:w="4805" w:type="dxa"/>
            <w:tcBorders>
              <w:top w:val="nil" w:sz="6" w:space="0" w:color="auto"/>
              <w:left w:val="nil" w:sz="6" w:space="0" w:color="auto"/>
              <w:bottom w:val="single" w:sz="4" w:space="0" w:color="000000"/>
              <w:right w:val="nil" w:sz="6" w:space="0" w:color="auto"/>
            </w:tcBorders>
          </w:tcPr>
          <w:p>
            <w:pPr>
              <w:pStyle w:val="TableParagraph"/>
              <w:spacing w:line="180" w:lineRule="exact"/>
              <w:ind w:right="88"/>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626" w:type="dxa"/>
            <w:tcBorders>
              <w:top w:val="nil" w:sz="6" w:space="0" w:color="auto"/>
              <w:left w:val="nil" w:sz="6" w:space="0" w:color="auto"/>
              <w:bottom w:val="single" w:sz="4" w:space="0" w:color="000000"/>
              <w:right w:val="nil" w:sz="6" w:space="0" w:color="auto"/>
            </w:tcBorders>
          </w:tcPr>
          <w:p>
            <w:pPr>
              <w:pStyle w:val="TableParagraph"/>
              <w:spacing w:line="180" w:lineRule="exact"/>
              <w:ind w:right="8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89" w:hRule="exact"/>
        </w:trPr>
        <w:tc>
          <w:tcPr>
            <w:tcW w:w="480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626"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86"/>
              <w:jc w:val="center"/>
              <w:rPr>
                <w:rFonts w:ascii="Times New Roman" w:hAnsi="Times New Roman" w:cs="Times New Roman" w:eastAsia="Times New Roman" w:hint="default"/>
                <w:sz w:val="18"/>
                <w:szCs w:val="18"/>
              </w:rPr>
            </w:pPr>
            <w:r>
              <w:rPr>
                <w:rFonts w:ascii="Times New Roman"/>
                <w:sz w:val="18"/>
              </w:rPr>
              <w:t>-128,605.72</w:t>
            </w:r>
          </w:p>
        </w:tc>
      </w:tr>
      <w:tr>
        <w:trPr>
          <w:trHeight w:val="310" w:hRule="exact"/>
        </w:trPr>
        <w:tc>
          <w:tcPr>
            <w:tcW w:w="48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46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4</w:t>
      </w:r>
      <w:r>
        <w:rPr/>
        <w:t>）本期无实际核销的应收账款。</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5</w:t>
      </w:r>
      <w:r>
        <w:rPr/>
        <w:t>）期末应收账款金额前五名情况</w:t>
      </w:r>
    </w:p>
    <w:p>
      <w:pPr>
        <w:spacing w:line="240" w:lineRule="auto" w:before="9"/>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3571"/>
        <w:gridCol w:w="1762"/>
        <w:gridCol w:w="2158"/>
        <w:gridCol w:w="1940"/>
      </w:tblGrid>
      <w:tr>
        <w:trPr>
          <w:trHeight w:val="637" w:hRule="exact"/>
        </w:trPr>
        <w:tc>
          <w:tcPr>
            <w:tcW w:w="3571"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right="314"/>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62"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right="209"/>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158" w:type="dxa"/>
            <w:tcBorders>
              <w:top w:val="nil" w:sz="6" w:space="0" w:color="auto"/>
              <w:left w:val="nil" w:sz="6" w:space="0" w:color="auto"/>
              <w:bottom w:val="single" w:sz="8" w:space="0" w:color="000000"/>
              <w:right w:val="nil" w:sz="6" w:space="0" w:color="auto"/>
            </w:tcBorders>
          </w:tcPr>
          <w:p>
            <w:pPr>
              <w:pStyle w:val="TableParagraph"/>
              <w:spacing w:line="180" w:lineRule="exact"/>
              <w:ind w:left="114" w:right="0"/>
              <w:jc w:val="center"/>
              <w:rPr>
                <w:rFonts w:ascii="宋体" w:hAnsi="宋体" w:cs="宋体" w:eastAsia="宋体" w:hint="default"/>
                <w:sz w:val="18"/>
                <w:szCs w:val="18"/>
              </w:rPr>
            </w:pPr>
            <w:r>
              <w:rPr>
                <w:rFonts w:ascii="宋体" w:hAnsi="宋体" w:cs="宋体" w:eastAsia="宋体" w:hint="default"/>
                <w:b/>
                <w:bCs/>
                <w:sz w:val="18"/>
                <w:szCs w:val="18"/>
              </w:rPr>
              <w:t>占应收账款总额的比</w:t>
            </w:r>
            <w:r>
              <w:rPr>
                <w:rFonts w:ascii="宋体" w:hAnsi="宋体" w:cs="宋体" w:eastAsia="宋体" w:hint="default"/>
                <w:sz w:val="18"/>
                <w:szCs w:val="18"/>
              </w:rPr>
            </w:r>
          </w:p>
          <w:p>
            <w:pPr>
              <w:pStyle w:val="TableParagraph"/>
              <w:spacing w:line="240" w:lineRule="auto" w:before="125"/>
              <w:ind w:left="24" w:right="0"/>
              <w:jc w:val="center"/>
              <w:rPr>
                <w:rFonts w:ascii="宋体" w:hAnsi="宋体" w:cs="宋体" w:eastAsia="宋体"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208"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498" w:hRule="exact"/>
        </w:trPr>
        <w:tc>
          <w:tcPr>
            <w:tcW w:w="357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198" w:right="0"/>
              <w:jc w:val="left"/>
              <w:rPr>
                <w:rFonts w:ascii="宋体" w:hAnsi="宋体" w:cs="宋体" w:eastAsia="宋体" w:hint="default"/>
                <w:sz w:val="18"/>
                <w:szCs w:val="18"/>
              </w:rPr>
            </w:pPr>
            <w:r>
              <w:rPr>
                <w:rFonts w:ascii="宋体" w:hAnsi="宋体" w:cs="宋体" w:eastAsia="宋体" w:hint="default"/>
                <w:sz w:val="18"/>
                <w:szCs w:val="18"/>
              </w:rPr>
              <w:t>湖南省新华书店有限责任公司</w:t>
            </w:r>
          </w:p>
        </w:tc>
        <w:tc>
          <w:tcPr>
            <w:tcW w:w="1762"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right="321"/>
              <w:jc w:val="right"/>
              <w:rPr>
                <w:rFonts w:ascii="Times New Roman" w:hAnsi="Times New Roman" w:cs="Times New Roman" w:eastAsia="Times New Roman" w:hint="default"/>
                <w:sz w:val="18"/>
                <w:szCs w:val="18"/>
              </w:rPr>
            </w:pPr>
            <w:r>
              <w:rPr>
                <w:rFonts w:ascii="Times New Roman"/>
                <w:spacing w:val="-1"/>
                <w:sz w:val="18"/>
              </w:rPr>
              <w:t>3,962,263.46</w:t>
            </w:r>
          </w:p>
        </w:tc>
        <w:tc>
          <w:tcPr>
            <w:tcW w:w="2158"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25" w:right="0"/>
              <w:jc w:val="center"/>
              <w:rPr>
                <w:rFonts w:ascii="Times New Roman" w:hAnsi="Times New Roman" w:cs="Times New Roman" w:eastAsia="Times New Roman" w:hint="default"/>
                <w:sz w:val="18"/>
                <w:szCs w:val="18"/>
              </w:rPr>
            </w:pPr>
            <w:r>
              <w:rPr>
                <w:rFonts w:ascii="Times New Roman"/>
                <w:sz w:val="18"/>
              </w:rPr>
              <w:t>32.45</w:t>
            </w:r>
          </w:p>
        </w:tc>
        <w:tc>
          <w:tcPr>
            <w:tcW w:w="1940" w:type="dxa"/>
            <w:tcBorders>
              <w:top w:val="single" w:sz="8" w:space="0" w:color="000000"/>
              <w:left w:val="nil" w:sz="6" w:space="0" w:color="auto"/>
              <w:bottom w:val="nil" w:sz="6" w:space="0" w:color="auto"/>
              <w:right w:val="nil" w:sz="6" w:space="0" w:color="auto"/>
            </w:tcBorders>
          </w:tcPr>
          <w:p>
            <w:pPr>
              <w:pStyle w:val="TableParagraph"/>
              <w:spacing w:line="240" w:lineRule="auto" w:before="160"/>
              <w:ind w:left="716" w:right="0"/>
              <w:jc w:val="left"/>
              <w:rPr>
                <w:rFonts w:ascii="Times New Roman" w:hAnsi="Times New Roman" w:cs="Times New Roman" w:eastAsia="Times New Roman" w:hint="default"/>
                <w:sz w:val="18"/>
                <w:szCs w:val="18"/>
              </w:rPr>
            </w:pPr>
            <w:r>
              <w:rPr>
                <w:rFonts w:ascii="Times New Roman"/>
                <w:sz w:val="18"/>
              </w:rPr>
              <w:t>39,622.68</w:t>
            </w:r>
          </w:p>
        </w:tc>
      </w:tr>
      <w:tr>
        <w:trPr>
          <w:trHeight w:val="796"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369" w:lineRule="auto" w:before="69"/>
              <w:ind w:left="108" w:right="492" w:firstLine="90"/>
              <w:jc w:val="left"/>
              <w:rPr>
                <w:rFonts w:ascii="宋体" w:hAnsi="宋体" w:cs="宋体" w:eastAsia="宋体" w:hint="default"/>
                <w:sz w:val="18"/>
                <w:szCs w:val="18"/>
              </w:rPr>
            </w:pPr>
            <w:r>
              <w:rPr>
                <w:rFonts w:ascii="宋体" w:hAnsi="宋体" w:cs="宋体" w:eastAsia="宋体" w:hint="default"/>
                <w:sz w:val="18"/>
                <w:szCs w:val="18"/>
              </w:rPr>
              <w:t>中南出版传媒集团股份有限公司湖南 教育出版社分公司</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21"/>
              <w:jc w:val="right"/>
              <w:rPr>
                <w:rFonts w:ascii="Times New Roman" w:hAnsi="Times New Roman" w:cs="Times New Roman" w:eastAsia="Times New Roman" w:hint="default"/>
                <w:sz w:val="18"/>
                <w:szCs w:val="18"/>
              </w:rPr>
            </w:pPr>
            <w:r>
              <w:rPr>
                <w:rFonts w:ascii="Times New Roman"/>
                <w:spacing w:val="-1"/>
                <w:sz w:val="18"/>
              </w:rPr>
              <w:t>3,944,957.40</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5" w:right="0"/>
              <w:jc w:val="center"/>
              <w:rPr>
                <w:rFonts w:ascii="Times New Roman" w:hAnsi="Times New Roman" w:cs="Times New Roman" w:eastAsia="Times New Roman" w:hint="default"/>
                <w:sz w:val="18"/>
                <w:szCs w:val="18"/>
              </w:rPr>
            </w:pPr>
            <w:r>
              <w:rPr>
                <w:rFonts w:ascii="Times New Roman"/>
                <w:sz w:val="18"/>
              </w:rPr>
              <w:t>32.31</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16" w:right="0"/>
              <w:jc w:val="left"/>
              <w:rPr>
                <w:rFonts w:ascii="Times New Roman" w:hAnsi="Times New Roman" w:cs="Times New Roman" w:eastAsia="Times New Roman" w:hint="default"/>
                <w:sz w:val="18"/>
                <w:szCs w:val="18"/>
              </w:rPr>
            </w:pPr>
            <w:r>
              <w:rPr>
                <w:rFonts w:ascii="Times New Roman"/>
                <w:sz w:val="18"/>
              </w:rPr>
              <w:t>39,449.62</w:t>
            </w:r>
          </w:p>
        </w:tc>
      </w:tr>
      <w:tr>
        <w:trPr>
          <w:trHeight w:val="445"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8" w:right="0"/>
              <w:jc w:val="left"/>
              <w:rPr>
                <w:rFonts w:ascii="宋体" w:hAnsi="宋体" w:cs="宋体" w:eastAsia="宋体" w:hint="default"/>
                <w:sz w:val="18"/>
                <w:szCs w:val="18"/>
              </w:rPr>
            </w:pPr>
            <w:r>
              <w:rPr>
                <w:rFonts w:ascii="宋体" w:hAnsi="宋体" w:cs="宋体" w:eastAsia="宋体" w:hint="default"/>
                <w:sz w:val="18"/>
                <w:szCs w:val="18"/>
              </w:rPr>
              <w:t>湖南省新闻出版广电局</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21"/>
              <w:jc w:val="right"/>
              <w:rPr>
                <w:rFonts w:ascii="Times New Roman" w:hAnsi="Times New Roman" w:cs="Times New Roman" w:eastAsia="Times New Roman" w:hint="default"/>
                <w:sz w:val="18"/>
                <w:szCs w:val="18"/>
              </w:rPr>
            </w:pPr>
            <w:r>
              <w:rPr>
                <w:rFonts w:ascii="Times New Roman"/>
                <w:spacing w:val="-1"/>
                <w:sz w:val="18"/>
              </w:rPr>
              <w:t>1,154,900.00</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15" w:right="0"/>
              <w:jc w:val="center"/>
              <w:rPr>
                <w:rFonts w:ascii="Times New Roman" w:hAnsi="Times New Roman" w:cs="Times New Roman" w:eastAsia="Times New Roman" w:hint="default"/>
                <w:sz w:val="18"/>
                <w:szCs w:val="18"/>
              </w:rPr>
            </w:pPr>
            <w:r>
              <w:rPr>
                <w:rFonts w:ascii="Times New Roman"/>
                <w:sz w:val="18"/>
              </w:rPr>
              <w:t>9.46</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723" w:right="0"/>
              <w:jc w:val="left"/>
              <w:rPr>
                <w:rFonts w:ascii="Times New Roman" w:hAnsi="Times New Roman" w:cs="Times New Roman" w:eastAsia="Times New Roman" w:hint="default"/>
                <w:sz w:val="18"/>
                <w:szCs w:val="18"/>
              </w:rPr>
            </w:pPr>
            <w:r>
              <w:rPr>
                <w:rFonts w:ascii="Times New Roman"/>
                <w:sz w:val="18"/>
              </w:rPr>
              <w:t>11,549.00</w:t>
            </w:r>
          </w:p>
        </w:tc>
      </w:tr>
      <w:tr>
        <w:trPr>
          <w:trHeight w:val="315" w:hRule="exact"/>
        </w:trPr>
        <w:tc>
          <w:tcPr>
            <w:tcW w:w="357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8" w:right="0"/>
              <w:jc w:val="left"/>
              <w:rPr>
                <w:rFonts w:ascii="宋体" w:hAnsi="宋体" w:cs="宋体" w:eastAsia="宋体" w:hint="default"/>
                <w:sz w:val="18"/>
                <w:szCs w:val="18"/>
              </w:rPr>
            </w:pPr>
            <w:r>
              <w:rPr>
                <w:rFonts w:ascii="宋体" w:hAnsi="宋体" w:cs="宋体" w:eastAsia="宋体" w:hint="default"/>
                <w:sz w:val="18"/>
                <w:szCs w:val="18"/>
              </w:rPr>
              <w:t>武汉中南天舟文化传媒有限公司</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1"/>
              <w:jc w:val="right"/>
              <w:rPr>
                <w:rFonts w:ascii="Times New Roman" w:hAnsi="Times New Roman" w:cs="Times New Roman" w:eastAsia="Times New Roman" w:hint="default"/>
                <w:sz w:val="18"/>
                <w:szCs w:val="18"/>
              </w:rPr>
            </w:pPr>
            <w:r>
              <w:rPr>
                <w:rFonts w:ascii="Times New Roman"/>
                <w:sz w:val="18"/>
              </w:rPr>
              <w:t>557,652.80</w:t>
            </w: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15" w:right="0"/>
              <w:jc w:val="center"/>
              <w:rPr>
                <w:rFonts w:ascii="Times New Roman" w:hAnsi="Times New Roman" w:cs="Times New Roman" w:eastAsia="Times New Roman" w:hint="default"/>
                <w:sz w:val="18"/>
                <w:szCs w:val="18"/>
              </w:rPr>
            </w:pPr>
            <w:r>
              <w:rPr>
                <w:rFonts w:ascii="Times New Roman"/>
                <w:sz w:val="18"/>
              </w:rPr>
              <w:t>4.57</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6" w:right="0"/>
              <w:jc w:val="left"/>
              <w:rPr>
                <w:rFonts w:ascii="Times New Roman" w:hAnsi="Times New Roman" w:cs="Times New Roman" w:eastAsia="Times New Roman" w:hint="default"/>
                <w:sz w:val="18"/>
                <w:szCs w:val="18"/>
              </w:rPr>
            </w:pPr>
            <w:r>
              <w:rPr>
                <w:rFonts w:ascii="Times New Roman"/>
                <w:sz w:val="18"/>
              </w:rPr>
              <w:t>5,576.53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3167"/>
        <w:gridCol w:w="2167"/>
        <w:gridCol w:w="2157"/>
        <w:gridCol w:w="1940"/>
      </w:tblGrid>
      <w:tr>
        <w:trPr>
          <w:trHeight w:val="637" w:hRule="exact"/>
        </w:trPr>
        <w:tc>
          <w:tcPr>
            <w:tcW w:w="3167"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8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67"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19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157" w:type="dxa"/>
            <w:tcBorders>
              <w:top w:val="nil" w:sz="6" w:space="0" w:color="auto"/>
              <w:left w:val="nil" w:sz="6" w:space="0" w:color="auto"/>
              <w:bottom w:val="single" w:sz="8" w:space="0" w:color="000000"/>
              <w:right w:val="nil" w:sz="6" w:space="0" w:color="auto"/>
            </w:tcBorders>
          </w:tcPr>
          <w:p>
            <w:pPr>
              <w:pStyle w:val="TableParagraph"/>
              <w:spacing w:line="180" w:lineRule="exact"/>
              <w:ind w:left="114" w:right="0"/>
              <w:jc w:val="center"/>
              <w:rPr>
                <w:rFonts w:ascii="宋体" w:hAnsi="宋体" w:cs="宋体" w:eastAsia="宋体" w:hint="default"/>
                <w:sz w:val="18"/>
                <w:szCs w:val="18"/>
              </w:rPr>
            </w:pPr>
            <w:r>
              <w:rPr>
                <w:rFonts w:ascii="宋体" w:hAnsi="宋体" w:cs="宋体" w:eastAsia="宋体" w:hint="default"/>
                <w:b/>
                <w:bCs/>
                <w:sz w:val="18"/>
                <w:szCs w:val="18"/>
              </w:rPr>
              <w:t>占应收账款总额的比</w:t>
            </w:r>
            <w:r>
              <w:rPr>
                <w:rFonts w:ascii="宋体" w:hAnsi="宋体" w:cs="宋体" w:eastAsia="宋体" w:hint="default"/>
                <w:sz w:val="18"/>
                <w:szCs w:val="18"/>
              </w:rPr>
            </w:r>
          </w:p>
          <w:p>
            <w:pPr>
              <w:pStyle w:val="TableParagraph"/>
              <w:spacing w:line="240" w:lineRule="auto" w:before="124"/>
              <w:ind w:left="23" w:right="0"/>
              <w:jc w:val="center"/>
              <w:rPr>
                <w:rFonts w:ascii="宋体" w:hAnsi="宋体" w:cs="宋体" w:eastAsia="宋体"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208"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498" w:hRule="exact"/>
        </w:trPr>
        <w:tc>
          <w:tcPr>
            <w:tcW w:w="3167"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98" w:right="0"/>
              <w:jc w:val="left"/>
              <w:rPr>
                <w:rFonts w:ascii="宋体" w:hAnsi="宋体" w:cs="宋体" w:eastAsia="宋体" w:hint="default"/>
                <w:sz w:val="18"/>
                <w:szCs w:val="18"/>
              </w:rPr>
            </w:pPr>
            <w:r>
              <w:rPr>
                <w:rFonts w:ascii="宋体" w:hAnsi="宋体" w:cs="宋体" w:eastAsia="宋体" w:hint="default"/>
                <w:sz w:val="18"/>
                <w:szCs w:val="18"/>
              </w:rPr>
              <w:t>北京北方天舟文化有限公司</w:t>
            </w:r>
          </w:p>
        </w:tc>
        <w:tc>
          <w:tcPr>
            <w:tcW w:w="2167" w:type="dxa"/>
            <w:tcBorders>
              <w:top w:val="single" w:sz="8" w:space="0" w:color="000000"/>
              <w:left w:val="nil" w:sz="6" w:space="0" w:color="auto"/>
              <w:bottom w:val="nil" w:sz="6" w:space="0" w:color="auto"/>
              <w:right w:val="nil" w:sz="6" w:space="0" w:color="auto"/>
            </w:tcBorders>
          </w:tcPr>
          <w:p>
            <w:pPr>
              <w:pStyle w:val="TableParagraph"/>
              <w:spacing w:line="240" w:lineRule="auto" w:before="159"/>
              <w:ind w:right="322"/>
              <w:jc w:val="right"/>
              <w:rPr>
                <w:rFonts w:ascii="Times New Roman" w:hAnsi="Times New Roman" w:cs="Times New Roman" w:eastAsia="Times New Roman" w:hint="default"/>
                <w:sz w:val="18"/>
                <w:szCs w:val="18"/>
              </w:rPr>
            </w:pPr>
            <w:r>
              <w:rPr>
                <w:rFonts w:ascii="Times New Roman"/>
                <w:sz w:val="18"/>
              </w:rPr>
              <w:t>524,886.09</w:t>
            </w:r>
          </w:p>
        </w:tc>
        <w:tc>
          <w:tcPr>
            <w:tcW w:w="2157" w:type="dxa"/>
            <w:tcBorders>
              <w:top w:val="single" w:sz="8" w:space="0" w:color="000000"/>
              <w:left w:val="nil" w:sz="6" w:space="0" w:color="auto"/>
              <w:bottom w:val="nil" w:sz="6" w:space="0" w:color="auto"/>
              <w:right w:val="nil" w:sz="6" w:space="0" w:color="auto"/>
            </w:tcBorders>
          </w:tcPr>
          <w:p>
            <w:pPr>
              <w:pStyle w:val="TableParagraph"/>
              <w:spacing w:line="240" w:lineRule="auto" w:before="159"/>
              <w:ind w:left="114" w:right="0"/>
              <w:jc w:val="center"/>
              <w:rPr>
                <w:rFonts w:ascii="Times New Roman" w:hAnsi="Times New Roman" w:cs="Times New Roman" w:eastAsia="Times New Roman" w:hint="default"/>
                <w:sz w:val="18"/>
                <w:szCs w:val="18"/>
              </w:rPr>
            </w:pPr>
            <w:r>
              <w:rPr>
                <w:rFonts w:ascii="Times New Roman"/>
                <w:sz w:val="18"/>
              </w:rPr>
              <w:t>4.30</w:t>
            </w:r>
          </w:p>
        </w:tc>
        <w:tc>
          <w:tcPr>
            <w:tcW w:w="1940" w:type="dxa"/>
            <w:tcBorders>
              <w:top w:val="single" w:sz="8" w:space="0" w:color="000000"/>
              <w:left w:val="nil" w:sz="6" w:space="0" w:color="auto"/>
              <w:bottom w:val="nil" w:sz="6" w:space="0" w:color="auto"/>
              <w:right w:val="nil" w:sz="6" w:space="0" w:color="auto"/>
            </w:tcBorders>
          </w:tcPr>
          <w:p>
            <w:pPr>
              <w:pStyle w:val="TableParagraph"/>
              <w:spacing w:line="240" w:lineRule="auto" w:before="159"/>
              <w:ind w:left="806" w:right="0"/>
              <w:jc w:val="left"/>
              <w:rPr>
                <w:rFonts w:ascii="Times New Roman" w:hAnsi="Times New Roman" w:cs="Times New Roman" w:eastAsia="Times New Roman" w:hint="default"/>
                <w:sz w:val="18"/>
                <w:szCs w:val="18"/>
              </w:rPr>
            </w:pPr>
            <w:r>
              <w:rPr>
                <w:rFonts w:ascii="Times New Roman"/>
                <w:sz w:val="18"/>
              </w:rPr>
              <w:t>5,248.86</w:t>
            </w:r>
          </w:p>
        </w:tc>
      </w:tr>
      <w:tr>
        <w:trPr>
          <w:trHeight w:val="315" w:hRule="exact"/>
        </w:trPr>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10,144,659.75</w:t>
            </w:r>
            <w:r>
              <w:rPr>
                <w:rFonts w:ascii="Times New Roman"/>
                <w:spacing w:val="-1"/>
                <w:sz w:val="18"/>
              </w:rPr>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83.09</w:t>
            </w:r>
            <w:r>
              <w:rPr>
                <w:rFonts w:ascii="Times New Roman"/>
                <w:sz w:val="18"/>
              </w:rPr>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2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101,446.69</w:t>
            </w:r>
            <w:r>
              <w:rPr>
                <w:rFonts w:ascii="Times New Roman"/>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6</w:t>
      </w:r>
      <w:r>
        <w:rPr/>
        <w:t>）本期无因金融资产转移而终止确认的应收账款。</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7</w:t>
      </w:r>
      <w:r>
        <w:rPr/>
        <w:t>）期末无因应收账款转移而继续涉入形成的资产、负债。</w:t>
      </w:r>
    </w:p>
    <w:p>
      <w:pPr>
        <w:spacing w:line="240" w:lineRule="auto" w:before="5"/>
        <w:rPr>
          <w:rFonts w:ascii="宋体" w:hAnsi="宋体" w:cs="宋体" w:eastAsia="宋体" w:hint="default"/>
          <w:sz w:val="20"/>
          <w:szCs w:val="20"/>
        </w:rPr>
      </w:pPr>
    </w:p>
    <w:p>
      <w:pPr>
        <w:pStyle w:val="BodyText"/>
        <w:spacing w:line="240" w:lineRule="auto"/>
        <w:ind w:right="1117"/>
        <w:jc w:val="left"/>
      </w:pPr>
      <w:bookmarkStart w:name="2.其他应收款" w:id="273"/>
      <w:bookmarkEnd w:id="273"/>
      <w:r>
        <w:rPr/>
      </w:r>
      <w:r>
        <w:rPr>
          <w:rFonts w:ascii="Times New Roman" w:hAnsi="Times New Roman" w:cs="Times New Roman" w:eastAsia="Times New Roman" w:hint="default"/>
        </w:rPr>
        <w:t>2.</w:t>
      </w:r>
      <w:r>
        <w:rPr/>
        <w:t>其他应收款</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1</w:t>
      </w:r>
      <w:r>
        <w:rPr/>
        <w:t>）分类列示</w:t>
      </w:r>
    </w:p>
    <w:p>
      <w:pPr>
        <w:spacing w:line="240" w:lineRule="auto" w:before="8"/>
        <w:rPr>
          <w:rFonts w:ascii="宋体" w:hAnsi="宋体" w:cs="宋体" w:eastAsia="宋体" w:hint="default"/>
          <w:sz w:val="29"/>
          <w:szCs w:val="29"/>
        </w:rPr>
      </w:pPr>
    </w:p>
    <w:tbl>
      <w:tblPr>
        <w:tblW w:w="0" w:type="auto"/>
        <w:jc w:val="left"/>
        <w:tblInd w:w="1310" w:type="dxa"/>
        <w:tblLayout w:type="fixed"/>
        <w:tblCellMar>
          <w:top w:w="0" w:type="dxa"/>
          <w:left w:w="0" w:type="dxa"/>
          <w:bottom w:w="0" w:type="dxa"/>
          <w:right w:w="0" w:type="dxa"/>
        </w:tblCellMar>
        <w:tblLook w:val="01E0"/>
      </w:tblPr>
      <w:tblGrid>
        <w:gridCol w:w="3591"/>
        <w:gridCol w:w="1474"/>
        <w:gridCol w:w="899"/>
        <w:gridCol w:w="1041"/>
        <w:gridCol w:w="1060"/>
        <w:gridCol w:w="1365"/>
      </w:tblGrid>
      <w:tr>
        <w:trPr>
          <w:trHeight w:val="305" w:hRule="exact"/>
        </w:trPr>
        <w:tc>
          <w:tcPr>
            <w:tcW w:w="359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Style w:val="TableParagraph"/>
              <w:spacing w:line="150" w:lineRule="exact"/>
              <w:ind w:right="134"/>
              <w:jc w:val="right"/>
              <w:rPr>
                <w:rFonts w:ascii="宋体" w:hAnsi="宋体" w:cs="宋体" w:eastAsia="宋体" w:hint="default"/>
                <w:sz w:val="15"/>
                <w:szCs w:val="15"/>
              </w:rPr>
            </w:pPr>
            <w:r>
              <w:rPr>
                <w:rFonts w:ascii="宋体" w:hAnsi="宋体" w:cs="宋体" w:eastAsia="宋体" w:hint="default"/>
                <w:b/>
                <w:bCs/>
                <w:w w:val="95"/>
                <w:sz w:val="15"/>
                <w:szCs w:val="15"/>
              </w:rPr>
              <w:t>期末余额</w:t>
            </w:r>
            <w:r>
              <w:rPr>
                <w:rFonts w:ascii="宋体" w:hAnsi="宋体" w:cs="宋体" w:eastAsia="宋体" w:hint="default"/>
                <w:sz w:val="15"/>
                <w:szCs w:val="15"/>
              </w:rPr>
            </w:r>
          </w:p>
        </w:tc>
        <w:tc>
          <w:tcPr>
            <w:tcW w:w="106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r>
      <w:tr>
        <w:trPr>
          <w:trHeight w:val="345"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7" w:right="0"/>
              <w:jc w:val="center"/>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85" w:right="-14"/>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899" w:type="dxa"/>
            <w:tcBorders>
              <w:top w:val="nil" w:sz="6" w:space="0" w:color="auto"/>
              <w:left w:val="nil" w:sz="6" w:space="0" w:color="auto"/>
              <w:bottom w:val="nil" w:sz="6" w:space="0" w:color="auto"/>
              <w:right w:val="nil" w:sz="6" w:space="0" w:color="auto"/>
            </w:tcBorders>
          </w:tcPr>
          <w:p>
            <w:pPr/>
          </w:p>
        </w:tc>
        <w:tc>
          <w:tcPr>
            <w:tcW w:w="21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25" w:right="0"/>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365" w:type="dxa"/>
            <w:tcBorders>
              <w:top w:val="nil" w:sz="6" w:space="0" w:color="auto"/>
              <w:left w:val="nil" w:sz="6" w:space="0" w:color="auto"/>
              <w:bottom w:val="nil" w:sz="6" w:space="0" w:color="auto"/>
              <w:right w:val="nil" w:sz="6" w:space="0" w:color="auto"/>
            </w:tcBorders>
          </w:tcPr>
          <w:p>
            <w:pPr/>
          </w:p>
        </w:tc>
      </w:tr>
      <w:tr>
        <w:trPr>
          <w:trHeight w:val="230" w:hRule="exact"/>
        </w:trPr>
        <w:tc>
          <w:tcPr>
            <w:tcW w:w="3591"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190" w:lineRule="exact"/>
              <w:ind w:left="140" w:right="0"/>
              <w:jc w:val="center"/>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r>
      <w:tr>
        <w:trPr>
          <w:trHeight w:val="290" w:hRule="exact"/>
        </w:trPr>
        <w:tc>
          <w:tcPr>
            <w:tcW w:w="3591" w:type="dxa"/>
            <w:tcBorders>
              <w:top w:val="nil" w:sz="6" w:space="0" w:color="auto"/>
              <w:left w:val="nil" w:sz="6" w:space="0" w:color="auto"/>
              <w:bottom w:val="single" w:sz="8" w:space="0" w:color="000000"/>
              <w:right w:val="nil" w:sz="6" w:space="0" w:color="auto"/>
            </w:tcBorders>
          </w:tcPr>
          <w:p>
            <w:pPr/>
          </w:p>
        </w:tc>
        <w:tc>
          <w:tcPr>
            <w:tcW w:w="1474" w:type="dxa"/>
            <w:tcBorders>
              <w:top w:val="nil" w:sz="6" w:space="0" w:color="auto"/>
              <w:left w:val="nil" w:sz="6" w:space="0" w:color="auto"/>
              <w:bottom w:val="single" w:sz="8" w:space="0" w:color="000000"/>
              <w:right w:val="nil" w:sz="6" w:space="0" w:color="auto"/>
            </w:tcBorders>
          </w:tcPr>
          <w:p>
            <w:pPr>
              <w:pStyle w:val="TableParagraph"/>
              <w:spacing w:line="190" w:lineRule="exact"/>
              <w:ind w:right="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899" w:type="dxa"/>
            <w:tcBorders>
              <w:top w:val="nil" w:sz="6" w:space="0" w:color="auto"/>
              <w:left w:val="nil" w:sz="6" w:space="0" w:color="auto"/>
              <w:bottom w:val="single" w:sz="8" w:space="0" w:color="000000"/>
              <w:right w:val="nil" w:sz="6" w:space="0" w:color="auto"/>
            </w:tcBorders>
          </w:tcPr>
          <w:p>
            <w:pPr>
              <w:pStyle w:val="TableParagraph"/>
              <w:spacing w:line="202" w:lineRule="exact"/>
              <w:ind w:left="-14"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41" w:type="dxa"/>
            <w:tcBorders>
              <w:top w:val="nil" w:sz="6" w:space="0" w:color="auto"/>
              <w:left w:val="nil" w:sz="6" w:space="0" w:color="auto"/>
              <w:bottom w:val="single" w:sz="8" w:space="0" w:color="000000"/>
              <w:right w:val="nil" w:sz="6" w:space="0" w:color="auto"/>
            </w:tcBorders>
          </w:tcPr>
          <w:p>
            <w:pPr>
              <w:pStyle w:val="TableParagraph"/>
              <w:spacing w:line="190" w:lineRule="exact"/>
              <w:ind w:left="319"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2425" w:type="dxa"/>
            <w:gridSpan w:val="2"/>
            <w:tcBorders>
              <w:top w:val="nil" w:sz="6" w:space="0" w:color="auto"/>
              <w:left w:val="nil" w:sz="6" w:space="0" w:color="auto"/>
              <w:bottom w:val="single" w:sz="8" w:space="0" w:color="000000"/>
              <w:right w:val="nil" w:sz="6" w:space="0" w:color="auto"/>
            </w:tcBorders>
          </w:tcPr>
          <w:p>
            <w:pPr>
              <w:pStyle w:val="TableParagraph"/>
              <w:spacing w:line="20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505" w:hRule="exact"/>
        </w:trPr>
        <w:tc>
          <w:tcPr>
            <w:tcW w:w="3591"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1"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单项金额重大并单独计提坏账准备的其他应收款</w:t>
            </w:r>
          </w:p>
        </w:tc>
        <w:tc>
          <w:tcPr>
            <w:tcW w:w="1474" w:type="dxa"/>
            <w:tcBorders>
              <w:top w:val="single" w:sz="8" w:space="0" w:color="000000"/>
              <w:left w:val="nil" w:sz="6" w:space="0" w:color="auto"/>
              <w:bottom w:val="nil" w:sz="6" w:space="0" w:color="auto"/>
              <w:right w:val="nil" w:sz="6" w:space="0" w:color="auto"/>
            </w:tcBorders>
          </w:tcPr>
          <w:p>
            <w:pPr/>
          </w:p>
        </w:tc>
        <w:tc>
          <w:tcPr>
            <w:tcW w:w="899" w:type="dxa"/>
            <w:tcBorders>
              <w:top w:val="single" w:sz="8" w:space="0" w:color="000000"/>
              <w:left w:val="nil" w:sz="6" w:space="0" w:color="auto"/>
              <w:bottom w:val="nil" w:sz="6" w:space="0" w:color="auto"/>
              <w:right w:val="nil" w:sz="6" w:space="0" w:color="auto"/>
            </w:tcBorders>
          </w:tcPr>
          <w:p>
            <w:pPr/>
          </w:p>
        </w:tc>
        <w:tc>
          <w:tcPr>
            <w:tcW w:w="1041" w:type="dxa"/>
            <w:tcBorders>
              <w:top w:val="single" w:sz="8" w:space="0" w:color="000000"/>
              <w:left w:val="nil" w:sz="6" w:space="0" w:color="auto"/>
              <w:bottom w:val="nil" w:sz="6" w:space="0" w:color="auto"/>
              <w:right w:val="nil" w:sz="6" w:space="0" w:color="auto"/>
            </w:tcBorders>
          </w:tcPr>
          <w:p>
            <w:pPr/>
          </w:p>
        </w:tc>
        <w:tc>
          <w:tcPr>
            <w:tcW w:w="1060" w:type="dxa"/>
            <w:tcBorders>
              <w:top w:val="single" w:sz="8" w:space="0" w:color="000000"/>
              <w:left w:val="nil" w:sz="6" w:space="0" w:color="auto"/>
              <w:bottom w:val="nil" w:sz="6" w:space="0" w:color="auto"/>
              <w:right w:val="nil" w:sz="6" w:space="0" w:color="auto"/>
            </w:tcBorders>
          </w:tcPr>
          <w:p>
            <w:pPr/>
          </w:p>
        </w:tc>
        <w:tc>
          <w:tcPr>
            <w:tcW w:w="1365" w:type="dxa"/>
            <w:tcBorders>
              <w:top w:val="single" w:sz="8" w:space="0" w:color="000000"/>
              <w:left w:val="nil" w:sz="6" w:space="0" w:color="auto"/>
              <w:bottom w:val="nil" w:sz="6" w:space="0" w:color="auto"/>
              <w:right w:val="nil" w:sz="6" w:space="0" w:color="auto"/>
            </w:tcBorders>
          </w:tcPr>
          <w:p>
            <w:pPr/>
          </w:p>
        </w:tc>
      </w:tr>
      <w:tr>
        <w:trPr>
          <w:trHeight w:val="444"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1"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按信用风险特征组合计提坏账准备的其他应收款</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80" w:right="0"/>
              <w:jc w:val="left"/>
              <w:rPr>
                <w:rFonts w:ascii="Times New Roman" w:hAnsi="Times New Roman" w:cs="Times New Roman" w:eastAsia="Times New Roman" w:hint="default"/>
                <w:sz w:val="15"/>
                <w:szCs w:val="15"/>
              </w:rPr>
            </w:pPr>
            <w:r>
              <w:rPr>
                <w:rFonts w:ascii="Times New Roman"/>
                <w:sz w:val="15"/>
              </w:rPr>
              <w:t>109,524,615.41</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24" w:right="0"/>
              <w:jc w:val="left"/>
              <w:rPr>
                <w:rFonts w:ascii="Times New Roman" w:hAnsi="Times New Roman" w:cs="Times New Roman" w:eastAsia="Times New Roman" w:hint="default"/>
                <w:sz w:val="15"/>
                <w:szCs w:val="15"/>
              </w:rPr>
            </w:pPr>
            <w:r>
              <w:rPr>
                <w:rFonts w:ascii="Times New Roman"/>
                <w:sz w:val="15"/>
              </w:rPr>
              <w:t>100.00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pacing w:val="-1"/>
                <w:sz w:val="15"/>
              </w:rPr>
              <w:t>6,014,562.60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63" w:right="0"/>
              <w:jc w:val="left"/>
              <w:rPr>
                <w:rFonts w:ascii="Times New Roman" w:hAnsi="Times New Roman" w:cs="Times New Roman" w:eastAsia="Times New Roman" w:hint="default"/>
                <w:sz w:val="15"/>
                <w:szCs w:val="15"/>
              </w:rPr>
            </w:pPr>
            <w:r>
              <w:rPr>
                <w:rFonts w:ascii="Times New Roman"/>
                <w:sz w:val="15"/>
              </w:rPr>
              <w:t>5.49</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38" w:right="0"/>
              <w:jc w:val="center"/>
              <w:rPr>
                <w:rFonts w:ascii="Times New Roman" w:hAnsi="Times New Roman" w:cs="Times New Roman" w:eastAsia="Times New Roman" w:hint="default"/>
                <w:sz w:val="15"/>
                <w:szCs w:val="15"/>
              </w:rPr>
            </w:pPr>
            <w:r>
              <w:rPr>
                <w:rFonts w:ascii="Times New Roman"/>
                <w:sz w:val="15"/>
              </w:rPr>
              <w:t>103,510,052.81</w:t>
            </w:r>
          </w:p>
        </w:tc>
      </w:tr>
      <w:tr>
        <w:trPr>
          <w:trHeight w:val="436"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1"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单项金额不重大但单独计提坏账准备的其他应收款</w:t>
            </w:r>
          </w:p>
        </w:tc>
        <w:tc>
          <w:tcPr>
            <w:tcW w:w="1474"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r>
      <w:tr>
        <w:trPr>
          <w:trHeight w:val="304"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4"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80"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109,524,615.41</w:t>
            </w:r>
            <w:r>
              <w:rPr>
                <w:rFonts w:ascii="Times New Roman"/>
                <w:sz w:val="15"/>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18"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91"/>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6,014,562.60</w:t>
            </w:r>
            <w:r>
              <w:rPr>
                <w:rFonts w:ascii="Times New Roman"/>
                <w:spacing w:val="-1"/>
                <w:sz w:val="15"/>
              </w:rPr>
            </w:r>
          </w:p>
        </w:tc>
        <w:tc>
          <w:tcPr>
            <w:tcW w:w="1060"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38"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103,510,052.81</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接下表：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310" w:type="dxa"/>
        <w:tblLayout w:type="fixed"/>
        <w:tblCellMar>
          <w:top w:w="0" w:type="dxa"/>
          <w:left w:w="0" w:type="dxa"/>
          <w:bottom w:w="0" w:type="dxa"/>
          <w:right w:w="0" w:type="dxa"/>
        </w:tblCellMar>
        <w:tblLook w:val="01E0"/>
      </w:tblPr>
      <w:tblGrid>
        <w:gridCol w:w="3678"/>
        <w:gridCol w:w="1576"/>
        <w:gridCol w:w="849"/>
        <w:gridCol w:w="994"/>
        <w:gridCol w:w="1062"/>
        <w:gridCol w:w="1271"/>
      </w:tblGrid>
      <w:tr>
        <w:trPr>
          <w:trHeight w:val="305" w:hRule="exact"/>
        </w:trPr>
        <w:tc>
          <w:tcPr>
            <w:tcW w:w="367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150" w:lineRule="exact"/>
              <w:ind w:left="141" w:right="0"/>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06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r>
      <w:tr>
        <w:trPr>
          <w:trHeight w:val="345"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33" w:right="0"/>
              <w:jc w:val="center"/>
              <w:rPr>
                <w:rFonts w:ascii="宋体" w:hAnsi="宋体" w:cs="宋体" w:eastAsia="宋体" w:hint="default"/>
                <w:sz w:val="15"/>
                <w:szCs w:val="15"/>
              </w:rPr>
            </w:pPr>
            <w:r>
              <w:rPr>
                <w:rFonts w:ascii="宋体" w:hAnsi="宋体" w:cs="宋体" w:eastAsia="宋体" w:hint="default"/>
                <w:b/>
                <w:bCs/>
                <w:sz w:val="15"/>
                <w:szCs w:val="15"/>
              </w:rPr>
              <w:t>类</w:t>
            </w:r>
            <w:r>
              <w:rPr>
                <w:rFonts w:ascii="宋体" w:hAnsi="宋体" w:cs="宋体" w:eastAsia="宋体" w:hint="default"/>
                <w:b/>
                <w:bCs/>
                <w:spacing w:val="72"/>
                <w:sz w:val="15"/>
                <w:szCs w:val="15"/>
              </w:rPr>
              <w:t> </w:t>
            </w:r>
            <w:r>
              <w:rPr>
                <w:rFonts w:ascii="宋体" w:hAnsi="宋体" w:cs="宋体" w:eastAsia="宋体" w:hint="default"/>
                <w:b/>
                <w:bCs/>
                <w:sz w:val="15"/>
                <w:szCs w:val="15"/>
              </w:rPr>
              <w:t>别</w:t>
            </w:r>
            <w:r>
              <w:rPr>
                <w:rFonts w:ascii="宋体" w:hAnsi="宋体" w:cs="宋体" w:eastAsia="宋体" w:hint="default"/>
                <w:sz w:val="15"/>
                <w:szCs w:val="15"/>
              </w:rPr>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90" w:right="-17"/>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849" w:type="dxa"/>
            <w:tcBorders>
              <w:top w:val="nil" w:sz="6" w:space="0" w:color="auto"/>
              <w:left w:val="nil" w:sz="6" w:space="0" w:color="auto"/>
              <w:bottom w:val="nil" w:sz="6" w:space="0" w:color="auto"/>
              <w:right w:val="nil" w:sz="6" w:space="0" w:color="auto"/>
            </w:tcBorders>
          </w:tcPr>
          <w:p>
            <w:pPr/>
          </w:p>
        </w:tc>
        <w:tc>
          <w:tcPr>
            <w:tcW w:w="20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271" w:type="dxa"/>
            <w:tcBorders>
              <w:top w:val="nil" w:sz="6" w:space="0" w:color="auto"/>
              <w:left w:val="nil" w:sz="6" w:space="0" w:color="auto"/>
              <w:bottom w:val="nil" w:sz="6" w:space="0" w:color="auto"/>
              <w:right w:val="nil" w:sz="6" w:space="0" w:color="auto"/>
            </w:tcBorders>
          </w:tcPr>
          <w:p>
            <w:pPr/>
          </w:p>
        </w:tc>
      </w:tr>
      <w:tr>
        <w:trPr>
          <w:trHeight w:val="230" w:hRule="exact"/>
        </w:trPr>
        <w:tc>
          <w:tcPr>
            <w:tcW w:w="367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190" w:lineRule="exact"/>
              <w:ind w:left="109" w:right="0"/>
              <w:jc w:val="center"/>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r>
      <w:tr>
        <w:trPr>
          <w:trHeight w:val="290" w:hRule="exact"/>
        </w:trPr>
        <w:tc>
          <w:tcPr>
            <w:tcW w:w="3678" w:type="dxa"/>
            <w:tcBorders>
              <w:top w:val="nil" w:sz="6" w:space="0" w:color="auto"/>
              <w:left w:val="nil" w:sz="6" w:space="0" w:color="auto"/>
              <w:bottom w:val="single" w:sz="8" w:space="0" w:color="000000"/>
              <w:right w:val="nil" w:sz="6" w:space="0" w:color="auto"/>
            </w:tcBorders>
          </w:tcPr>
          <w:p>
            <w:pPr/>
          </w:p>
        </w:tc>
        <w:tc>
          <w:tcPr>
            <w:tcW w:w="1576" w:type="dxa"/>
            <w:tcBorders>
              <w:top w:val="nil" w:sz="6" w:space="0" w:color="auto"/>
              <w:left w:val="nil" w:sz="6" w:space="0" w:color="auto"/>
              <w:bottom w:val="single" w:sz="8" w:space="0" w:color="000000"/>
              <w:right w:val="nil" w:sz="6" w:space="0" w:color="auto"/>
            </w:tcBorders>
          </w:tcPr>
          <w:p>
            <w:pPr>
              <w:pStyle w:val="TableParagraph"/>
              <w:spacing w:line="190" w:lineRule="exact"/>
              <w:ind w:left="109"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849" w:type="dxa"/>
            <w:tcBorders>
              <w:top w:val="nil" w:sz="6" w:space="0" w:color="auto"/>
              <w:left w:val="nil" w:sz="6" w:space="0" w:color="auto"/>
              <w:bottom w:val="single" w:sz="8" w:space="0" w:color="000000"/>
              <w:right w:val="nil" w:sz="6" w:space="0" w:color="auto"/>
            </w:tcBorders>
          </w:tcPr>
          <w:p>
            <w:pPr>
              <w:pStyle w:val="TableParagraph"/>
              <w:spacing w:line="202" w:lineRule="exact"/>
              <w:ind w:left="-17" w:right="112"/>
              <w:jc w:val="center"/>
              <w:rPr>
                <w:rFonts w:ascii="宋体" w:hAnsi="宋体" w:cs="宋体" w:eastAsia="宋体" w:hint="default"/>
                <w:sz w:val="15"/>
                <w:szCs w:val="15"/>
              </w:rPr>
            </w:pPr>
            <w:r>
              <w:rPr>
                <w:rFonts w:ascii="宋体" w:hAnsi="宋体" w:cs="宋体" w:eastAsia="宋体" w:hint="default"/>
                <w:b/>
                <w:bCs/>
                <w:w w:val="95"/>
                <w:sz w:val="15"/>
                <w:szCs w:val="15"/>
              </w:rPr>
              <w:t>比例（</w:t>
            </w:r>
            <w:r>
              <w:rPr>
                <w:rFonts w:ascii="Times New Roman" w:hAnsi="Times New Roman" w:cs="Times New Roman" w:eastAsia="Times New Roman" w:hint="default"/>
                <w:b/>
                <w:bCs/>
                <w:w w:val="95"/>
                <w:sz w:val="15"/>
                <w:szCs w:val="15"/>
              </w:rPr>
              <w:t>%</w:t>
            </w:r>
            <w:r>
              <w:rPr>
                <w:rFonts w:ascii="宋体" w:hAnsi="宋体" w:cs="宋体" w:eastAsia="宋体" w:hint="default"/>
                <w:b/>
                <w:bCs/>
                <w:w w:val="95"/>
                <w:sz w:val="15"/>
                <w:szCs w:val="15"/>
              </w:rPr>
              <w:t>）</w:t>
            </w:r>
            <w:r>
              <w:rPr>
                <w:rFonts w:ascii="宋体" w:hAnsi="宋体" w:cs="宋体" w:eastAsia="宋体" w:hint="default"/>
                <w:sz w:val="15"/>
                <w:szCs w:val="15"/>
              </w:rPr>
            </w:r>
          </w:p>
        </w:tc>
        <w:tc>
          <w:tcPr>
            <w:tcW w:w="994" w:type="dxa"/>
            <w:tcBorders>
              <w:top w:val="nil" w:sz="6" w:space="0" w:color="auto"/>
              <w:left w:val="nil" w:sz="6" w:space="0" w:color="auto"/>
              <w:bottom w:val="single" w:sz="8" w:space="0" w:color="000000"/>
              <w:right w:val="nil" w:sz="6" w:space="0" w:color="auto"/>
            </w:tcBorders>
          </w:tcPr>
          <w:p>
            <w:pPr>
              <w:pStyle w:val="TableParagraph"/>
              <w:spacing w:line="190" w:lineRule="exact"/>
              <w:ind w:right="55"/>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2333" w:type="dxa"/>
            <w:gridSpan w:val="2"/>
            <w:tcBorders>
              <w:top w:val="nil" w:sz="6" w:space="0" w:color="auto"/>
              <w:left w:val="nil" w:sz="6" w:space="0" w:color="auto"/>
              <w:bottom w:val="single" w:sz="8" w:space="0" w:color="000000"/>
              <w:right w:val="nil" w:sz="6" w:space="0" w:color="auto"/>
            </w:tcBorders>
          </w:tcPr>
          <w:p>
            <w:pPr>
              <w:pStyle w:val="TableParagraph"/>
              <w:spacing w:line="202" w:lineRule="exact"/>
              <w:ind w:left="92" w:right="0"/>
              <w:jc w:val="left"/>
              <w:rPr>
                <w:rFonts w:ascii="宋体" w:hAnsi="宋体" w:cs="宋体" w:eastAsia="宋体" w:hint="default"/>
                <w:sz w:val="15"/>
                <w:szCs w:val="15"/>
              </w:rPr>
            </w:pPr>
            <w:r>
              <w:rPr>
                <w:rFonts w:ascii="宋体" w:hAnsi="宋体" w:cs="宋体" w:eastAsia="宋体" w:hint="default"/>
                <w:b/>
                <w:bCs/>
                <w:sz w:val="15"/>
                <w:szCs w:val="15"/>
              </w:rPr>
              <w:t>计提比例（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505" w:hRule="exact"/>
        </w:trPr>
        <w:tc>
          <w:tcPr>
            <w:tcW w:w="3678"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9"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单项金额重大并单独计提坏账准备的其他应收款</w:t>
            </w:r>
          </w:p>
        </w:tc>
        <w:tc>
          <w:tcPr>
            <w:tcW w:w="1576" w:type="dxa"/>
            <w:tcBorders>
              <w:top w:val="single" w:sz="8" w:space="0" w:color="000000"/>
              <w:left w:val="nil" w:sz="6" w:space="0" w:color="auto"/>
              <w:bottom w:val="nil" w:sz="6" w:space="0" w:color="auto"/>
              <w:right w:val="nil" w:sz="6" w:space="0" w:color="auto"/>
            </w:tcBorders>
          </w:tcPr>
          <w:p>
            <w:pPr/>
          </w:p>
        </w:tc>
        <w:tc>
          <w:tcPr>
            <w:tcW w:w="849" w:type="dxa"/>
            <w:tcBorders>
              <w:top w:val="single" w:sz="8" w:space="0" w:color="000000"/>
              <w:left w:val="nil" w:sz="6" w:space="0" w:color="auto"/>
              <w:bottom w:val="nil" w:sz="6" w:space="0" w:color="auto"/>
              <w:right w:val="nil" w:sz="6" w:space="0" w:color="auto"/>
            </w:tcBorders>
          </w:tcPr>
          <w:p>
            <w:pPr/>
          </w:p>
        </w:tc>
        <w:tc>
          <w:tcPr>
            <w:tcW w:w="994" w:type="dxa"/>
            <w:tcBorders>
              <w:top w:val="single" w:sz="8" w:space="0" w:color="000000"/>
              <w:left w:val="nil" w:sz="6" w:space="0" w:color="auto"/>
              <w:bottom w:val="nil" w:sz="6" w:space="0" w:color="auto"/>
              <w:right w:val="nil" w:sz="6" w:space="0" w:color="auto"/>
            </w:tcBorders>
          </w:tcPr>
          <w:p>
            <w:pPr/>
          </w:p>
        </w:tc>
        <w:tc>
          <w:tcPr>
            <w:tcW w:w="1062" w:type="dxa"/>
            <w:tcBorders>
              <w:top w:val="single" w:sz="8" w:space="0" w:color="000000"/>
              <w:left w:val="nil" w:sz="6" w:space="0" w:color="auto"/>
              <w:bottom w:val="nil" w:sz="6" w:space="0" w:color="auto"/>
              <w:right w:val="nil" w:sz="6" w:space="0" w:color="auto"/>
            </w:tcBorders>
          </w:tcPr>
          <w:p>
            <w:pPr/>
          </w:p>
        </w:tc>
        <w:tc>
          <w:tcPr>
            <w:tcW w:w="1271" w:type="dxa"/>
            <w:tcBorders>
              <w:top w:val="single" w:sz="8" w:space="0" w:color="000000"/>
              <w:left w:val="nil" w:sz="6" w:space="0" w:color="auto"/>
              <w:bottom w:val="nil" w:sz="6" w:space="0" w:color="auto"/>
              <w:right w:val="nil" w:sz="6" w:space="0" w:color="auto"/>
            </w:tcBorders>
          </w:tcPr>
          <w:p>
            <w:pPr/>
          </w:p>
        </w:tc>
      </w:tr>
      <w:tr>
        <w:trPr>
          <w:trHeight w:val="444"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9"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按信用风险特征组合计提坏账准备的其他应收款</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79" w:right="0"/>
              <w:jc w:val="left"/>
              <w:rPr>
                <w:rFonts w:ascii="Times New Roman" w:hAnsi="Times New Roman" w:cs="Times New Roman" w:eastAsia="Times New Roman" w:hint="default"/>
                <w:sz w:val="15"/>
                <w:szCs w:val="15"/>
              </w:rPr>
            </w:pPr>
            <w:r>
              <w:rPr>
                <w:rFonts w:ascii="Times New Roman"/>
                <w:sz w:val="15"/>
              </w:rPr>
              <w:t>46,720,014.64</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6"/>
              <w:jc w:val="center"/>
              <w:rPr>
                <w:rFonts w:ascii="Times New Roman" w:hAnsi="Times New Roman" w:cs="Times New Roman" w:eastAsia="Times New Roman" w:hint="default"/>
                <w:sz w:val="15"/>
                <w:szCs w:val="15"/>
              </w:rPr>
            </w:pPr>
            <w:r>
              <w:rPr>
                <w:rFonts w:ascii="Times New Roman"/>
                <w:sz w:val="15"/>
              </w:rPr>
              <w:t>100.00</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2" w:right="0"/>
              <w:jc w:val="center"/>
              <w:rPr>
                <w:rFonts w:ascii="Times New Roman" w:hAnsi="Times New Roman" w:cs="Times New Roman" w:eastAsia="Times New Roman" w:hint="default"/>
                <w:sz w:val="15"/>
                <w:szCs w:val="15"/>
              </w:rPr>
            </w:pPr>
            <w:r>
              <w:rPr>
                <w:rFonts w:ascii="Times New Roman"/>
                <w:sz w:val="15"/>
              </w:rPr>
              <w:t>4,725,826.68</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23" w:right="0"/>
              <w:jc w:val="left"/>
              <w:rPr>
                <w:rFonts w:ascii="Times New Roman" w:hAnsi="Times New Roman" w:cs="Times New Roman" w:eastAsia="Times New Roman" w:hint="default"/>
                <w:sz w:val="15"/>
                <w:szCs w:val="15"/>
              </w:rPr>
            </w:pPr>
            <w:r>
              <w:rPr>
                <w:rFonts w:ascii="Times New Roman"/>
                <w:sz w:val="15"/>
              </w:rPr>
              <w:t>10.12</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91" w:right="0"/>
              <w:jc w:val="center"/>
              <w:rPr>
                <w:rFonts w:ascii="Times New Roman" w:hAnsi="Times New Roman" w:cs="Times New Roman" w:eastAsia="Times New Roman" w:hint="default"/>
                <w:sz w:val="15"/>
                <w:szCs w:val="15"/>
              </w:rPr>
            </w:pPr>
            <w:r>
              <w:rPr>
                <w:rFonts w:ascii="Times New Roman"/>
                <w:sz w:val="15"/>
              </w:rPr>
              <w:t>41,994,187.96</w:t>
            </w:r>
          </w:p>
        </w:tc>
      </w:tr>
      <w:tr>
        <w:trPr>
          <w:trHeight w:val="436"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9"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单项金额不重大但单独计提坏账准备的其他应收款</w:t>
            </w:r>
          </w:p>
        </w:tc>
        <w:tc>
          <w:tcPr>
            <w:tcW w:w="1576" w:type="dxa"/>
            <w:tcBorders>
              <w:top w:val="nil" w:sz="6" w:space="0" w:color="auto"/>
              <w:left w:val="nil" w:sz="6" w:space="0" w:color="auto"/>
              <w:bottom w:val="nil" w:sz="6" w:space="0" w:color="auto"/>
              <w:right w:val="nil" w:sz="6" w:space="0" w:color="auto"/>
            </w:tcBorders>
          </w:tcPr>
          <w:p>
            <w:pPr/>
          </w:p>
        </w:tc>
        <w:tc>
          <w:tcPr>
            <w:tcW w:w="849"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r>
      <w:tr>
        <w:trPr>
          <w:trHeight w:val="303"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4"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479"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46,720,014.64</w:t>
            </w:r>
            <w:r>
              <w:rPr>
                <w:rFonts w:ascii="Times New Roman"/>
                <w:sz w:val="15"/>
              </w:rPr>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97"/>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100</w:t>
            </w:r>
            <w:r>
              <w:rPr>
                <w:rFonts w:ascii="Times New Roman"/>
                <w:sz w:val="15"/>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2"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4,725,826.68</w:t>
            </w:r>
            <w:r>
              <w:rPr>
                <w:rFonts w:ascii="Times New Roman"/>
                <w:sz w:val="15"/>
              </w:rPr>
            </w:r>
          </w:p>
        </w:tc>
        <w:tc>
          <w:tcPr>
            <w:tcW w:w="106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91"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41,994,187.96</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2</w:t>
      </w:r>
      <w:r>
        <w:rPr/>
        <w:t>）组合中，按账龄分析法计提坏账准备的其他应收款</w:t>
      </w:r>
    </w:p>
    <w:p>
      <w:pPr>
        <w:spacing w:line="240" w:lineRule="auto" w:before="4"/>
        <w:rPr>
          <w:rFonts w:ascii="宋体" w:hAnsi="宋体" w:cs="宋体" w:eastAsia="宋体" w:hint="default"/>
          <w:sz w:val="23"/>
          <w:szCs w:val="23"/>
        </w:rPr>
      </w:pPr>
    </w:p>
    <w:p>
      <w:pPr>
        <w:tabs>
          <w:tab w:pos="8510" w:val="left" w:leader="none"/>
        </w:tabs>
        <w:spacing w:before="59"/>
        <w:ind w:left="4613" w:right="1117" w:firstLine="0"/>
        <w:jc w:val="left"/>
        <w:rPr>
          <w:rFonts w:ascii="宋体" w:hAnsi="宋体" w:cs="宋体" w:eastAsia="宋体" w:hint="default"/>
          <w:sz w:val="13"/>
          <w:szCs w:val="13"/>
        </w:rPr>
      </w:pPr>
      <w:r>
        <w:rPr>
          <w:rFonts w:ascii="宋体" w:hAnsi="宋体" w:cs="宋体" w:eastAsia="宋体" w:hint="default"/>
          <w:b/>
          <w:bCs/>
          <w:w w:val="95"/>
          <w:sz w:val="13"/>
          <w:szCs w:val="13"/>
        </w:rPr>
        <w:t>期末余额</w:t>
        <w:tab/>
      </w:r>
      <w:r>
        <w:rPr>
          <w:rFonts w:ascii="宋体" w:hAnsi="宋体" w:cs="宋体" w:eastAsia="宋体" w:hint="default"/>
          <w:b/>
          <w:bCs/>
          <w:sz w:val="13"/>
          <w:szCs w:val="13"/>
        </w:rPr>
        <w:t>期初余额</w:t>
      </w:r>
      <w:r>
        <w:rPr>
          <w:rFonts w:ascii="宋体" w:hAnsi="宋体" w:cs="宋体" w:eastAsia="宋体" w:hint="default"/>
          <w:sz w:val="13"/>
          <w:szCs w:val="13"/>
        </w:rPr>
      </w:r>
    </w:p>
    <w:p>
      <w:pPr>
        <w:spacing w:line="240" w:lineRule="auto" w:before="9"/>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77" w:footer="979" w:top="1060" w:bottom="1160" w:left="0" w:right="0"/>
        </w:sectPr>
      </w:pPr>
    </w:p>
    <w:p>
      <w:pPr>
        <w:spacing w:before="53"/>
        <w:ind w:left="1884" w:right="1484" w:firstLine="0"/>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2"/>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p>
      <w:pPr>
        <w:spacing w:before="24"/>
        <w:ind w:left="0" w:right="0" w:firstLine="0"/>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p>
      <w:pPr>
        <w:spacing w:before="94"/>
        <w:ind w:left="496" w:right="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比例</w:t>
      </w:r>
      <w:r>
        <w:rPr>
          <w:rFonts w:ascii="宋体" w:hAnsi="宋体" w:cs="宋体" w:eastAsia="宋体" w:hint="default"/>
          <w:sz w:val="15"/>
          <w:szCs w:val="15"/>
        </w:rPr>
      </w:r>
    </w:p>
    <w:p>
      <w:pPr>
        <w:spacing w:line="240" w:lineRule="auto" w:before="7"/>
        <w:rPr>
          <w:rFonts w:ascii="宋体" w:hAnsi="宋体" w:cs="宋体" w:eastAsia="宋体" w:hint="default"/>
          <w:b/>
          <w:bCs/>
          <w:sz w:val="12"/>
          <w:szCs w:val="12"/>
        </w:rPr>
      </w:pPr>
    </w:p>
    <w:p>
      <w:pPr>
        <w:spacing w:before="0"/>
        <w:ind w:left="421" w:right="0" w:firstLine="0"/>
        <w:jc w:val="left"/>
        <w:rPr>
          <w:rFonts w:ascii="宋体" w:hAnsi="宋体" w:cs="宋体" w:eastAsia="宋体" w:hint="default"/>
          <w:sz w:val="15"/>
          <w:szCs w:val="15"/>
        </w:rPr>
      </w:pPr>
      <w:r>
        <w:rPr>
          <w:rFonts w:ascii="宋体" w:hAnsi="宋体" w:cs="宋体" w:eastAsia="宋体" w:hint="default"/>
          <w:b/>
          <w:bCs/>
          <w:w w:val="95"/>
          <w:sz w:val="15"/>
          <w:szCs w:val="15"/>
        </w:rPr>
        <w:t>（</w:t>
      </w:r>
      <w:r>
        <w:rPr>
          <w:rFonts w:ascii="Times New Roman" w:hAnsi="Times New Roman" w:cs="Times New Roman" w:eastAsia="Times New Roman" w:hint="default"/>
          <w:b/>
          <w:bCs/>
          <w:w w:val="95"/>
          <w:sz w:val="15"/>
          <w:szCs w:val="15"/>
        </w:rPr>
        <w:t>%</w:t>
      </w:r>
      <w:r>
        <w:rPr>
          <w:rFonts w:ascii="宋体" w:hAnsi="宋体" w:cs="宋体" w:eastAsia="宋体" w:hint="default"/>
          <w:b/>
          <w:bCs/>
          <w:w w:val="95"/>
          <w:sz w:val="15"/>
          <w:szCs w:val="15"/>
        </w:rPr>
        <w:t>）</w:t>
      </w:r>
      <w:r>
        <w:rPr>
          <w:rFonts w:ascii="宋体" w:hAnsi="宋体" w:cs="宋体" w:eastAsia="宋体" w:hint="default"/>
          <w:sz w:val="15"/>
          <w:szCs w:val="15"/>
        </w:rPr>
      </w:r>
    </w:p>
    <w:p>
      <w:pPr>
        <w:spacing w:line="240" w:lineRule="auto" w:before="13"/>
        <w:rPr>
          <w:rFonts w:ascii="宋体" w:hAnsi="宋体" w:cs="宋体" w:eastAsia="宋体" w:hint="default"/>
          <w:b/>
          <w:bCs/>
          <w:sz w:val="20"/>
          <w:szCs w:val="20"/>
        </w:rPr>
      </w:pPr>
      <w:r>
        <w:rPr/>
        <w:br w:type="column"/>
      </w:r>
      <w:r>
        <w:rPr>
          <w:rFonts w:ascii="宋体"/>
          <w:b/>
          <w:sz w:val="20"/>
        </w:rPr>
      </w:r>
    </w:p>
    <w:p>
      <w:pPr>
        <w:spacing w:before="0"/>
        <w:ind w:left="316" w:right="-20"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before="94"/>
        <w:ind w:left="296" w:right="-2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计提比例</w:t>
      </w:r>
      <w:r>
        <w:rPr>
          <w:rFonts w:ascii="宋体" w:hAnsi="宋体" w:cs="宋体" w:eastAsia="宋体" w:hint="default"/>
          <w:sz w:val="15"/>
          <w:szCs w:val="15"/>
        </w:rPr>
      </w:r>
    </w:p>
    <w:p>
      <w:pPr>
        <w:spacing w:line="240" w:lineRule="auto" w:before="7"/>
        <w:rPr>
          <w:rFonts w:ascii="宋体" w:hAnsi="宋体" w:cs="宋体" w:eastAsia="宋体" w:hint="default"/>
          <w:b/>
          <w:bCs/>
          <w:sz w:val="12"/>
          <w:szCs w:val="12"/>
        </w:rPr>
      </w:pPr>
    </w:p>
    <w:p>
      <w:pPr>
        <w:spacing w:before="0"/>
        <w:ind w:left="371" w:right="-20"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13"/>
        <w:rPr>
          <w:rFonts w:ascii="宋体" w:hAnsi="宋体" w:cs="宋体" w:eastAsia="宋体" w:hint="default"/>
          <w:b/>
          <w:bCs/>
          <w:sz w:val="20"/>
          <w:szCs w:val="20"/>
        </w:rPr>
      </w:pPr>
      <w:r>
        <w:rPr/>
        <w:br w:type="column"/>
      </w:r>
      <w:r>
        <w:rPr>
          <w:rFonts w:ascii="宋体"/>
          <w:b/>
          <w:sz w:val="20"/>
        </w:rPr>
      </w:r>
    </w:p>
    <w:p>
      <w:pPr>
        <w:spacing w:before="0"/>
        <w:ind w:left="416" w:right="-20" w:firstLine="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p>
      <w:pPr>
        <w:spacing w:before="94"/>
        <w:ind w:left="493" w:right="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比例</w:t>
      </w:r>
      <w:r>
        <w:rPr>
          <w:rFonts w:ascii="宋体" w:hAnsi="宋体" w:cs="宋体" w:eastAsia="宋体" w:hint="default"/>
          <w:sz w:val="15"/>
          <w:szCs w:val="15"/>
        </w:rPr>
      </w:r>
    </w:p>
    <w:p>
      <w:pPr>
        <w:spacing w:line="240" w:lineRule="auto" w:before="7"/>
        <w:rPr>
          <w:rFonts w:ascii="宋体" w:hAnsi="宋体" w:cs="宋体" w:eastAsia="宋体" w:hint="default"/>
          <w:b/>
          <w:bCs/>
          <w:sz w:val="12"/>
          <w:szCs w:val="12"/>
        </w:rPr>
      </w:pPr>
    </w:p>
    <w:p>
      <w:pPr>
        <w:spacing w:before="0"/>
        <w:ind w:left="417" w:right="0" w:firstLine="0"/>
        <w:jc w:val="left"/>
        <w:rPr>
          <w:rFonts w:ascii="宋体" w:hAnsi="宋体" w:cs="宋体" w:eastAsia="宋体" w:hint="default"/>
          <w:sz w:val="15"/>
          <w:szCs w:val="15"/>
        </w:rPr>
      </w:pPr>
      <w:r>
        <w:rPr>
          <w:rFonts w:ascii="宋体" w:hAnsi="宋体" w:cs="宋体" w:eastAsia="宋体" w:hint="default"/>
          <w:b/>
          <w:bCs/>
          <w:w w:val="95"/>
          <w:sz w:val="15"/>
          <w:szCs w:val="15"/>
        </w:rPr>
        <w:t>（</w:t>
      </w:r>
      <w:r>
        <w:rPr>
          <w:rFonts w:ascii="Times New Roman" w:hAnsi="Times New Roman" w:cs="Times New Roman" w:eastAsia="Times New Roman" w:hint="default"/>
          <w:b/>
          <w:bCs/>
          <w:w w:val="95"/>
          <w:sz w:val="15"/>
          <w:szCs w:val="15"/>
        </w:rPr>
        <w:t>%</w:t>
      </w:r>
      <w:r>
        <w:rPr>
          <w:rFonts w:ascii="宋体" w:hAnsi="宋体" w:cs="宋体" w:eastAsia="宋体" w:hint="default"/>
          <w:b/>
          <w:bCs/>
          <w:w w:val="95"/>
          <w:sz w:val="15"/>
          <w:szCs w:val="15"/>
        </w:rPr>
        <w:t>）</w:t>
      </w:r>
      <w:r>
        <w:rPr>
          <w:rFonts w:ascii="宋体" w:hAnsi="宋体" w:cs="宋体" w:eastAsia="宋体" w:hint="default"/>
          <w:sz w:val="15"/>
          <w:szCs w:val="15"/>
        </w:rPr>
      </w:r>
    </w:p>
    <w:p>
      <w:pPr>
        <w:spacing w:line="240" w:lineRule="auto" w:before="13"/>
        <w:rPr>
          <w:rFonts w:ascii="宋体" w:hAnsi="宋体" w:cs="宋体" w:eastAsia="宋体" w:hint="default"/>
          <w:b/>
          <w:bCs/>
          <w:sz w:val="20"/>
          <w:szCs w:val="20"/>
        </w:rPr>
      </w:pPr>
      <w:r>
        <w:rPr/>
        <w:br w:type="column"/>
      </w:r>
      <w:r>
        <w:rPr>
          <w:rFonts w:ascii="宋体"/>
          <w:b/>
          <w:sz w:val="20"/>
        </w:rPr>
      </w:r>
    </w:p>
    <w:p>
      <w:pPr>
        <w:spacing w:before="0"/>
        <w:ind w:left="346" w:right="-20"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before="94"/>
        <w:ind w:left="344" w:right="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计提比例</w:t>
      </w:r>
      <w:r>
        <w:rPr>
          <w:rFonts w:ascii="宋体" w:hAnsi="宋体" w:cs="宋体" w:eastAsia="宋体" w:hint="default"/>
          <w:sz w:val="15"/>
          <w:szCs w:val="15"/>
        </w:rPr>
      </w:r>
    </w:p>
    <w:p>
      <w:pPr>
        <w:spacing w:line="240" w:lineRule="auto" w:before="7"/>
        <w:rPr>
          <w:rFonts w:ascii="宋体" w:hAnsi="宋体" w:cs="宋体" w:eastAsia="宋体" w:hint="default"/>
          <w:b/>
          <w:bCs/>
          <w:sz w:val="12"/>
          <w:szCs w:val="12"/>
        </w:rPr>
      </w:pPr>
    </w:p>
    <w:p>
      <w:pPr>
        <w:spacing w:before="0"/>
        <w:ind w:left="419" w:right="0"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780" w:bottom="840" w:left="0" w:right="0"/>
          <w:cols w:num="8" w:equalWidth="0">
            <w:col w:w="3857" w:space="40"/>
            <w:col w:w="872" w:space="40"/>
            <w:col w:w="919" w:space="40"/>
            <w:col w:w="899" w:space="40"/>
            <w:col w:w="1019" w:space="40"/>
            <w:col w:w="868" w:space="40"/>
            <w:col w:w="949" w:space="40"/>
            <w:col w:w="2247"/>
          </w:cols>
        </w:sectPr>
      </w:pPr>
    </w:p>
    <w:p>
      <w:pPr>
        <w:spacing w:line="240" w:lineRule="auto" w:before="1"/>
        <w:rPr>
          <w:rFonts w:ascii="宋体" w:hAnsi="宋体" w:cs="宋体" w:eastAsia="宋体" w:hint="default"/>
          <w:b/>
          <w:bCs/>
          <w:sz w:val="6"/>
          <w:szCs w:val="6"/>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1639;height:2" coordorigin="5,5" coordsize="1639,2">
              <v:shape style="position:absolute;left:5;top:5;width:1639;height:2" coordorigin="5,5" coordsize="1639,0" path="m5,5l1643,5e" filled="false" stroked="true" strokeweight=".48pt" strokecolor="#000000">
                <v:path arrowok="t"/>
              </v:shape>
            </v:group>
            <v:group style="position:absolute;left:1643;top:5;width:10;height:2" coordorigin="1643,5" coordsize="10,2">
              <v:shape style="position:absolute;left:1643;top:5;width:10;height:2" coordorigin="1643,5" coordsize="10,0" path="m1643,5l1653,5e" filled="false" stroked="true" strokeweight=".48pt" strokecolor="#000000">
                <v:path arrowok="t"/>
              </v:shape>
            </v:group>
            <v:group style="position:absolute;left:1653;top:5;width:1206;height:2" coordorigin="1653,5" coordsize="1206,2">
              <v:shape style="position:absolute;left:1653;top:5;width:1206;height:2" coordorigin="1653,5" coordsize="1206,0" path="m1653,5l2859,5e" filled="false" stroked="true" strokeweight=".48pt" strokecolor="#000000">
                <v:path arrowok="t"/>
              </v:shape>
            </v:group>
            <v:group style="position:absolute;left:2859;top:5;width:10;height:2" coordorigin="2859,5" coordsize="10,2">
              <v:shape style="position:absolute;left:2859;top:5;width:10;height:2" coordorigin="2859,5" coordsize="10,0" path="m2859,5l2868,5e" filled="false" stroked="true" strokeweight=".48pt" strokecolor="#000000">
                <v:path arrowok="t"/>
              </v:shape>
            </v:group>
            <v:group style="position:absolute;left:2868;top:5;width:752;height:2" coordorigin="2868,5" coordsize="752,2">
              <v:shape style="position:absolute;left:2868;top:5;width:752;height:2" coordorigin="2868,5" coordsize="752,0" path="m2868,5l3620,5e" filled="false" stroked="true" strokeweight=".48pt" strokecolor="#000000">
                <v:path arrowok="t"/>
              </v:shape>
            </v:group>
            <v:group style="position:absolute;left:3620;top:5;width:10;height:2" coordorigin="3620,5" coordsize="10,2">
              <v:shape style="position:absolute;left:3620;top:5;width:10;height:2" coordorigin="3620,5" coordsize="10,0" path="m3620,5l3630,5e" filled="false" stroked="true" strokeweight=".48pt" strokecolor="#000000">
                <v:path arrowok="t"/>
              </v:shape>
            </v:group>
            <v:group style="position:absolute;left:3630;top:5;width:994;height:2" coordorigin="3630,5" coordsize="994,2">
              <v:shape style="position:absolute;left:3630;top:5;width:994;height:2" coordorigin="3630,5" coordsize="994,0" path="m3630,5l4623,5e" filled="false" stroked="true" strokeweight=".48pt" strokecolor="#000000">
                <v:path arrowok="t"/>
              </v:shape>
            </v:group>
            <v:group style="position:absolute;left:4623;top:5;width:10;height:2" coordorigin="4623,5" coordsize="10,2">
              <v:shape style="position:absolute;left:4623;top:5;width:10;height:2" coordorigin="4623,5" coordsize="10,0" path="m4623,5l4633,5e" filled="false" stroked="true" strokeweight=".48pt" strokecolor="#000000">
                <v:path arrowok="t"/>
              </v:shape>
            </v:group>
            <v:group style="position:absolute;left:4633;top:5;width:863;height:2" coordorigin="4633,5" coordsize="863,2">
              <v:shape style="position:absolute;left:4633;top:5;width:863;height:2" coordorigin="4633,5" coordsize="863,0" path="m4633,5l5496,5e" filled="false" stroked="true" strokeweight=".48pt" strokecolor="#000000">
                <v:path arrowok="t"/>
              </v:shape>
            </v:group>
            <v:group style="position:absolute;left:5496;top:5;width:10;height:2" coordorigin="5496,5" coordsize="10,2">
              <v:shape style="position:absolute;left:5496;top:5;width:10;height:2" coordorigin="5496,5" coordsize="10,0" path="m5496,5l5505,5e" filled="false" stroked="true" strokeweight=".48pt" strokecolor="#000000">
                <v:path arrowok="t"/>
              </v:shape>
            </v:group>
            <v:group style="position:absolute;left:5505;top:5;width:1236;height:2" coordorigin="5505,5" coordsize="1236,2">
              <v:shape style="position:absolute;left:5505;top:5;width:1236;height:2" coordorigin="5505,5" coordsize="1236,0" path="m5505,5l6741,5e" filled="false" stroked="true" strokeweight=".48pt" strokecolor="#000000">
                <v:path arrowok="t"/>
              </v:shape>
            </v:group>
            <v:group style="position:absolute;left:6741;top:5;width:10;height:2" coordorigin="6741,5" coordsize="10,2">
              <v:shape style="position:absolute;left:6741;top:5;width:10;height:2" coordorigin="6741,5" coordsize="10,0" path="m6741,5l6751,5e" filled="false" stroked="true" strokeweight=".48pt" strokecolor="#000000">
                <v:path arrowok="t"/>
              </v:shape>
            </v:group>
            <v:group style="position:absolute;left:6751;top:5;width:715;height:2" coordorigin="6751,5" coordsize="715,2">
              <v:shape style="position:absolute;left:6751;top:5;width:715;height:2" coordorigin="6751,5" coordsize="715,0" path="m6751,5l7465,5e" filled="false" stroked="true" strokeweight=".48pt" strokecolor="#000000">
                <v:path arrowok="t"/>
              </v:shape>
            </v:group>
            <v:group style="position:absolute;left:7465;top:5;width:10;height:2" coordorigin="7465,5" coordsize="10,2">
              <v:shape style="position:absolute;left:7465;top:5;width:10;height:2" coordorigin="7465,5" coordsize="10,0" path="m7465,5l7475,5e" filled="false" stroked="true" strokeweight=".48pt" strokecolor="#000000">
                <v:path arrowok="t"/>
              </v:shape>
            </v:group>
            <v:group style="position:absolute;left:7475;top:5;width:1091;height:2" coordorigin="7475,5" coordsize="1091,2">
              <v:shape style="position:absolute;left:7475;top:5;width:1091;height:2" coordorigin="7475,5" coordsize="1091,0" path="m7475,5l8566,5e" filled="false" stroked="true" strokeweight=".48pt" strokecolor="#000000">
                <v:path arrowok="t"/>
              </v:shape>
            </v:group>
            <v:group style="position:absolute;left:8566;top:5;width:10;height:2" coordorigin="8566,5" coordsize="10,2">
              <v:shape style="position:absolute;left:8566;top:5;width:10;height:2" coordorigin="8566,5" coordsize="10,0" path="m8566,5l8575,5e" filled="false" stroked="true" strokeweight=".48pt" strokecolor="#000000">
                <v:path arrowok="t"/>
              </v:shape>
            </v:group>
            <v:group style="position:absolute;left:8575;top:5;width:861;height:2" coordorigin="8575,5" coordsize="861,2">
              <v:shape style="position:absolute;left:8575;top:5;width:861;height:2" coordorigin="8575,5" coordsize="861,0" path="m8575,5l9436,5e" filled="false" stroked="true" strokeweight=".48pt" strokecolor="#000000">
                <v:path arrowok="t"/>
              </v:shape>
            </v:group>
          </v:group>
        </w:pict>
      </w:r>
      <w:r>
        <w:rPr>
          <w:rFonts w:ascii="宋体" w:hAnsi="宋体" w:cs="宋体" w:eastAsia="宋体" w:hint="default"/>
          <w:sz w:val="2"/>
          <w:szCs w:val="2"/>
        </w:rPr>
      </w:r>
    </w:p>
    <w:p>
      <w:pPr>
        <w:tabs>
          <w:tab w:pos="3193" w:val="left" w:leader="none"/>
          <w:tab w:pos="4369" w:val="left" w:leader="none"/>
          <w:tab w:pos="5145" w:val="left" w:leader="none"/>
          <w:tab w:pos="6430" w:val="left" w:leader="none"/>
          <w:tab w:pos="7074" w:val="left" w:leader="none"/>
          <w:tab w:pos="8233" w:val="left" w:leader="none"/>
          <w:tab w:pos="9087" w:val="left" w:leader="none"/>
          <w:tab w:pos="10370" w:val="left" w:leader="none"/>
        </w:tabs>
        <w:spacing w:before="140"/>
        <w:ind w:left="1418" w:right="1117"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3"/>
          <w:sz w:val="15"/>
          <w:szCs w:val="15"/>
        </w:rPr>
        <w:t>1 </w:t>
      </w:r>
      <w:r>
        <w:rPr>
          <w:rFonts w:ascii="宋体" w:hAnsi="宋体" w:cs="宋体" w:eastAsia="宋体" w:hint="default"/>
          <w:position w:val="-3"/>
          <w:sz w:val="15"/>
          <w:szCs w:val="15"/>
        </w:rPr>
        <w:t>年以内（含</w:t>
      </w:r>
      <w:r>
        <w:rPr>
          <w:rFonts w:ascii="宋体" w:hAnsi="宋体" w:cs="宋体" w:eastAsia="宋体" w:hint="default"/>
          <w:spacing w:val="-38"/>
          <w:position w:val="-3"/>
          <w:sz w:val="15"/>
          <w:szCs w:val="15"/>
        </w:rPr>
        <w:t> </w:t>
      </w:r>
      <w:r>
        <w:rPr>
          <w:rFonts w:ascii="Times New Roman" w:hAnsi="Times New Roman" w:cs="Times New Roman" w:eastAsia="Times New Roman" w:hint="default"/>
          <w:position w:val="-3"/>
          <w:sz w:val="15"/>
          <w:szCs w:val="15"/>
        </w:rPr>
        <w:t>1 </w:t>
      </w:r>
      <w:r>
        <w:rPr>
          <w:rFonts w:ascii="宋体" w:hAnsi="宋体" w:cs="宋体" w:eastAsia="宋体" w:hint="default"/>
          <w:position w:val="-3"/>
          <w:sz w:val="15"/>
          <w:szCs w:val="15"/>
        </w:rPr>
        <w:t>年）</w:t>
        <w:tab/>
      </w:r>
      <w:r>
        <w:rPr>
          <w:rFonts w:ascii="Times New Roman" w:hAnsi="Times New Roman" w:cs="Times New Roman" w:eastAsia="Times New Roman" w:hint="default"/>
          <w:spacing w:val="-1"/>
          <w:sz w:val="15"/>
          <w:szCs w:val="15"/>
        </w:rPr>
        <w:t>97,791,797.79</w:t>
        <w:tab/>
      </w:r>
      <w:r>
        <w:rPr>
          <w:rFonts w:ascii="Times New Roman" w:hAnsi="Times New Roman" w:cs="Times New Roman" w:eastAsia="Times New Roman" w:hint="default"/>
          <w:sz w:val="15"/>
          <w:szCs w:val="15"/>
        </w:rPr>
        <w:t>89.29</w:t>
        <w:tab/>
      </w:r>
      <w:r>
        <w:rPr>
          <w:rFonts w:ascii="Times New Roman" w:hAnsi="Times New Roman" w:cs="Times New Roman" w:eastAsia="Times New Roman" w:hint="default"/>
          <w:spacing w:val="-1"/>
          <w:sz w:val="15"/>
          <w:szCs w:val="15"/>
        </w:rPr>
        <w:t>977,917.98</w:t>
        <w:tab/>
      </w:r>
      <w:r>
        <w:rPr>
          <w:rFonts w:ascii="Times New Roman" w:hAnsi="Times New Roman" w:cs="Times New Roman" w:eastAsia="Times New Roman" w:hint="default"/>
          <w:position w:val="-7"/>
          <w:sz w:val="15"/>
          <w:szCs w:val="15"/>
        </w:rPr>
        <w:t>1.00</w:t>
        <w:tab/>
      </w:r>
      <w:r>
        <w:rPr>
          <w:rFonts w:ascii="Times New Roman" w:hAnsi="Times New Roman" w:cs="Times New Roman" w:eastAsia="Times New Roman" w:hint="default"/>
          <w:spacing w:val="-1"/>
          <w:sz w:val="15"/>
          <w:szCs w:val="15"/>
        </w:rPr>
        <w:t>40,834,070.67</w:t>
        <w:tab/>
      </w:r>
      <w:r>
        <w:rPr>
          <w:rFonts w:ascii="Times New Roman" w:hAnsi="Times New Roman" w:cs="Times New Roman" w:eastAsia="Times New Roman" w:hint="default"/>
          <w:sz w:val="15"/>
          <w:szCs w:val="15"/>
        </w:rPr>
        <w:t>87.40</w:t>
        <w:tab/>
      </w:r>
      <w:r>
        <w:rPr>
          <w:rFonts w:ascii="Times New Roman" w:hAnsi="Times New Roman" w:cs="Times New Roman" w:eastAsia="Times New Roman" w:hint="default"/>
          <w:spacing w:val="-1"/>
          <w:sz w:val="15"/>
          <w:szCs w:val="15"/>
        </w:rPr>
        <w:t>408,340.71</w:t>
      </w:r>
      <w:r>
        <w:rPr>
          <w:rFonts w:ascii="Times New Roman" w:hAnsi="Times New Roman" w:cs="Times New Roman" w:eastAsia="Times New Roman" w:hint="default"/>
          <w:spacing w:val="-1"/>
          <w:position w:val="-7"/>
          <w:sz w:val="15"/>
          <w:szCs w:val="15"/>
        </w:rPr>
        <w:tab/>
      </w:r>
      <w:r>
        <w:rPr>
          <w:rFonts w:ascii="Times New Roman" w:hAnsi="Times New Roman" w:cs="Times New Roman" w:eastAsia="Times New Roman" w:hint="default"/>
          <w:position w:val="-7"/>
          <w:sz w:val="15"/>
          <w:szCs w:val="15"/>
        </w:rPr>
        <w:t>1.00</w:t>
      </w:r>
      <w:r>
        <w:rPr>
          <w:rFonts w:ascii="Times New Roman" w:hAnsi="Times New Roman" w:cs="Times New Roman" w:eastAsia="Times New Roman" w:hint="default"/>
          <w:sz w:val="15"/>
          <w:szCs w:val="15"/>
        </w:rPr>
      </w:r>
    </w:p>
    <w:p>
      <w:pPr>
        <w:spacing w:after="0"/>
        <w:jc w:val="left"/>
        <w:rPr>
          <w:rFonts w:ascii="Times New Roman" w:hAnsi="Times New Roman" w:cs="Times New Roman" w:eastAsia="Times New Roman" w:hint="default"/>
          <w:sz w:val="15"/>
          <w:szCs w:val="15"/>
        </w:rPr>
        <w:sectPr>
          <w:type w:val="continuous"/>
          <w:pgSz w:w="11910" w:h="16840"/>
          <w:pgMar w:top="780" w:bottom="84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tabs>
          <w:tab w:pos="8510" w:val="left" w:leader="none"/>
        </w:tabs>
        <w:spacing w:before="59"/>
        <w:ind w:left="4613" w:right="1117" w:firstLine="0"/>
        <w:jc w:val="left"/>
        <w:rPr>
          <w:rFonts w:ascii="宋体" w:hAnsi="宋体" w:cs="宋体" w:eastAsia="宋体" w:hint="default"/>
          <w:sz w:val="13"/>
          <w:szCs w:val="13"/>
        </w:rPr>
      </w:pPr>
      <w:r>
        <w:rPr>
          <w:rFonts w:ascii="宋体" w:hAnsi="宋体" w:cs="宋体" w:eastAsia="宋体" w:hint="default"/>
          <w:b/>
          <w:bCs/>
          <w:w w:val="95"/>
          <w:sz w:val="13"/>
          <w:szCs w:val="13"/>
        </w:rPr>
        <w:t>期末余额</w:t>
        <w:tab/>
      </w:r>
      <w:r>
        <w:rPr>
          <w:rFonts w:ascii="宋体" w:hAnsi="宋体" w:cs="宋体" w:eastAsia="宋体" w:hint="default"/>
          <w:b/>
          <w:bCs/>
          <w:sz w:val="13"/>
          <w:szCs w:val="13"/>
        </w:rPr>
        <w:t>期初余额</w:t>
      </w:r>
      <w:r>
        <w:rPr>
          <w:rFonts w:ascii="宋体" w:hAnsi="宋体" w:cs="宋体" w:eastAsia="宋体" w:hint="default"/>
          <w:sz w:val="13"/>
          <w:szCs w:val="13"/>
        </w:rPr>
      </w:r>
    </w:p>
    <w:p>
      <w:pPr>
        <w:spacing w:line="240" w:lineRule="auto" w:before="8"/>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77" w:footer="979" w:top="1060" w:bottom="1160" w:left="0" w:right="0"/>
        </w:sectPr>
      </w:pPr>
    </w:p>
    <w:p>
      <w:pPr>
        <w:spacing w:before="53"/>
        <w:ind w:left="1884" w:right="1484" w:firstLine="0"/>
        <w:jc w:val="center"/>
        <w:rPr>
          <w:rFonts w:ascii="宋体" w:hAnsi="宋体" w:cs="宋体" w:eastAsia="宋体" w:hint="default"/>
          <w:sz w:val="15"/>
          <w:szCs w:val="15"/>
        </w:rPr>
      </w:pPr>
      <w:r>
        <w:rPr>
          <w:rFonts w:ascii="宋体" w:hAnsi="宋体" w:cs="宋体" w:eastAsia="宋体" w:hint="default"/>
          <w:b/>
          <w:bCs/>
          <w:sz w:val="15"/>
          <w:szCs w:val="15"/>
        </w:rPr>
        <w:t>账</w:t>
      </w:r>
      <w:r>
        <w:rPr>
          <w:rFonts w:ascii="宋体" w:hAnsi="宋体" w:cs="宋体" w:eastAsia="宋体" w:hint="default"/>
          <w:b/>
          <w:bCs/>
          <w:spacing w:val="72"/>
          <w:sz w:val="15"/>
          <w:szCs w:val="15"/>
        </w:rPr>
        <w:t> </w:t>
      </w:r>
      <w:r>
        <w:rPr>
          <w:rFonts w:ascii="宋体" w:hAnsi="宋体" w:cs="宋体" w:eastAsia="宋体" w:hint="default"/>
          <w:b/>
          <w:bCs/>
          <w:sz w:val="15"/>
          <w:szCs w:val="15"/>
        </w:rPr>
        <w:t>龄</w:t>
      </w:r>
      <w:r>
        <w:rPr>
          <w:rFonts w:ascii="宋体" w:hAnsi="宋体" w:cs="宋体" w:eastAsia="宋体" w:hint="default"/>
          <w:sz w:val="15"/>
          <w:szCs w:val="15"/>
        </w:rPr>
      </w:r>
    </w:p>
    <w:p>
      <w:pPr>
        <w:spacing w:before="24"/>
        <w:ind w:left="0" w:right="0" w:firstLine="0"/>
        <w:jc w:val="right"/>
        <w:rPr>
          <w:rFonts w:ascii="宋体" w:hAnsi="宋体" w:cs="宋体" w:eastAsia="宋体" w:hint="default"/>
          <w:sz w:val="15"/>
          <w:szCs w:val="15"/>
        </w:rPr>
      </w:pPr>
      <w:r>
        <w:rPr>
          <w:rFonts w:ascii="宋体" w:hAnsi="宋体" w:cs="宋体" w:eastAsia="宋体" w:hint="default"/>
          <w:b/>
          <w:bCs/>
          <w:w w:val="95"/>
          <w:sz w:val="15"/>
          <w:szCs w:val="15"/>
        </w:rPr>
        <w:t>账面余额</w:t>
      </w:r>
      <w:r>
        <w:rPr>
          <w:rFonts w:ascii="宋体" w:hAnsi="宋体" w:cs="宋体" w:eastAsia="宋体" w:hint="default"/>
          <w:sz w:val="15"/>
          <w:szCs w:val="15"/>
        </w:rPr>
      </w:r>
    </w:p>
    <w:p>
      <w:pPr>
        <w:spacing w:before="94"/>
        <w:ind w:left="496" w:right="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比例</w:t>
      </w:r>
      <w:r>
        <w:rPr>
          <w:rFonts w:ascii="宋体" w:hAnsi="宋体" w:cs="宋体" w:eastAsia="宋体" w:hint="default"/>
          <w:sz w:val="15"/>
          <w:szCs w:val="15"/>
        </w:rPr>
      </w:r>
    </w:p>
    <w:p>
      <w:pPr>
        <w:spacing w:line="240" w:lineRule="auto" w:before="7"/>
        <w:rPr>
          <w:rFonts w:ascii="宋体" w:hAnsi="宋体" w:cs="宋体" w:eastAsia="宋体" w:hint="default"/>
          <w:b/>
          <w:bCs/>
          <w:sz w:val="12"/>
          <w:szCs w:val="12"/>
        </w:rPr>
      </w:pPr>
    </w:p>
    <w:p>
      <w:pPr>
        <w:spacing w:before="0"/>
        <w:ind w:left="421" w:right="0" w:firstLine="0"/>
        <w:jc w:val="left"/>
        <w:rPr>
          <w:rFonts w:ascii="宋体" w:hAnsi="宋体" w:cs="宋体" w:eastAsia="宋体" w:hint="default"/>
          <w:sz w:val="15"/>
          <w:szCs w:val="15"/>
        </w:rPr>
      </w:pPr>
      <w:r>
        <w:rPr>
          <w:rFonts w:ascii="宋体" w:hAnsi="宋体" w:cs="宋体" w:eastAsia="宋体" w:hint="default"/>
          <w:b/>
          <w:bCs/>
          <w:w w:val="95"/>
          <w:sz w:val="15"/>
          <w:szCs w:val="15"/>
        </w:rPr>
        <w:t>（</w:t>
      </w:r>
      <w:r>
        <w:rPr>
          <w:rFonts w:ascii="Times New Roman" w:hAnsi="Times New Roman" w:cs="Times New Roman" w:eastAsia="Times New Roman" w:hint="default"/>
          <w:b/>
          <w:bCs/>
          <w:w w:val="95"/>
          <w:sz w:val="15"/>
          <w:szCs w:val="15"/>
        </w:rPr>
        <w:t>%</w:t>
      </w:r>
      <w:r>
        <w:rPr>
          <w:rFonts w:ascii="宋体" w:hAnsi="宋体" w:cs="宋体" w:eastAsia="宋体" w:hint="default"/>
          <w:b/>
          <w:bCs/>
          <w:w w:val="95"/>
          <w:sz w:val="15"/>
          <w:szCs w:val="15"/>
        </w:rPr>
        <w:t>）</w:t>
      </w:r>
      <w:r>
        <w:rPr>
          <w:rFonts w:ascii="宋体" w:hAnsi="宋体" w:cs="宋体" w:eastAsia="宋体" w:hint="default"/>
          <w:sz w:val="15"/>
          <w:szCs w:val="15"/>
        </w:rPr>
      </w:r>
    </w:p>
    <w:p>
      <w:pPr>
        <w:spacing w:line="240" w:lineRule="auto" w:before="13"/>
        <w:rPr>
          <w:rFonts w:ascii="宋体" w:hAnsi="宋体" w:cs="宋体" w:eastAsia="宋体" w:hint="default"/>
          <w:b/>
          <w:bCs/>
          <w:sz w:val="20"/>
          <w:szCs w:val="20"/>
        </w:rPr>
      </w:pPr>
      <w:r>
        <w:rPr/>
        <w:br w:type="column"/>
      </w:r>
      <w:r>
        <w:rPr>
          <w:rFonts w:ascii="宋体"/>
          <w:b/>
          <w:sz w:val="20"/>
        </w:rPr>
      </w:r>
    </w:p>
    <w:p>
      <w:pPr>
        <w:spacing w:before="0"/>
        <w:ind w:left="316" w:right="-20"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before="94"/>
        <w:ind w:left="296" w:right="-2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计提比例</w:t>
      </w:r>
      <w:r>
        <w:rPr>
          <w:rFonts w:ascii="宋体" w:hAnsi="宋体" w:cs="宋体" w:eastAsia="宋体" w:hint="default"/>
          <w:sz w:val="15"/>
          <w:szCs w:val="15"/>
        </w:rPr>
      </w:r>
    </w:p>
    <w:p>
      <w:pPr>
        <w:spacing w:line="240" w:lineRule="auto" w:before="7"/>
        <w:rPr>
          <w:rFonts w:ascii="宋体" w:hAnsi="宋体" w:cs="宋体" w:eastAsia="宋体" w:hint="default"/>
          <w:b/>
          <w:bCs/>
          <w:sz w:val="12"/>
          <w:szCs w:val="12"/>
        </w:rPr>
      </w:pPr>
    </w:p>
    <w:p>
      <w:pPr>
        <w:spacing w:before="0"/>
        <w:ind w:left="371" w:right="-20"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13"/>
        <w:rPr>
          <w:rFonts w:ascii="宋体" w:hAnsi="宋体" w:cs="宋体" w:eastAsia="宋体" w:hint="default"/>
          <w:b/>
          <w:bCs/>
          <w:sz w:val="20"/>
          <w:szCs w:val="20"/>
        </w:rPr>
      </w:pPr>
      <w:r>
        <w:rPr/>
        <w:br w:type="column"/>
      </w:r>
      <w:r>
        <w:rPr>
          <w:rFonts w:ascii="宋体"/>
          <w:b/>
          <w:sz w:val="20"/>
        </w:rPr>
      </w:r>
    </w:p>
    <w:p>
      <w:pPr>
        <w:spacing w:before="0"/>
        <w:ind w:left="416" w:right="-20" w:firstLine="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p>
      <w:pPr>
        <w:spacing w:before="94"/>
        <w:ind w:left="493" w:right="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比例</w:t>
      </w:r>
      <w:r>
        <w:rPr>
          <w:rFonts w:ascii="宋体" w:hAnsi="宋体" w:cs="宋体" w:eastAsia="宋体" w:hint="default"/>
          <w:sz w:val="15"/>
          <w:szCs w:val="15"/>
        </w:rPr>
      </w:r>
    </w:p>
    <w:p>
      <w:pPr>
        <w:spacing w:line="240" w:lineRule="auto" w:before="7"/>
        <w:rPr>
          <w:rFonts w:ascii="宋体" w:hAnsi="宋体" w:cs="宋体" w:eastAsia="宋体" w:hint="default"/>
          <w:b/>
          <w:bCs/>
          <w:sz w:val="12"/>
          <w:szCs w:val="12"/>
        </w:rPr>
      </w:pPr>
    </w:p>
    <w:p>
      <w:pPr>
        <w:spacing w:before="0"/>
        <w:ind w:left="417" w:right="0" w:firstLine="0"/>
        <w:jc w:val="left"/>
        <w:rPr>
          <w:rFonts w:ascii="宋体" w:hAnsi="宋体" w:cs="宋体" w:eastAsia="宋体" w:hint="default"/>
          <w:sz w:val="15"/>
          <w:szCs w:val="15"/>
        </w:rPr>
      </w:pPr>
      <w:r>
        <w:rPr>
          <w:rFonts w:ascii="宋体" w:hAnsi="宋体" w:cs="宋体" w:eastAsia="宋体" w:hint="default"/>
          <w:b/>
          <w:bCs/>
          <w:w w:val="95"/>
          <w:sz w:val="15"/>
          <w:szCs w:val="15"/>
        </w:rPr>
        <w:t>（</w:t>
      </w:r>
      <w:r>
        <w:rPr>
          <w:rFonts w:ascii="Times New Roman" w:hAnsi="Times New Roman" w:cs="Times New Roman" w:eastAsia="Times New Roman" w:hint="default"/>
          <w:b/>
          <w:bCs/>
          <w:w w:val="95"/>
          <w:sz w:val="15"/>
          <w:szCs w:val="15"/>
        </w:rPr>
        <w:t>%</w:t>
      </w:r>
      <w:r>
        <w:rPr>
          <w:rFonts w:ascii="宋体" w:hAnsi="宋体" w:cs="宋体" w:eastAsia="宋体" w:hint="default"/>
          <w:b/>
          <w:bCs/>
          <w:w w:val="95"/>
          <w:sz w:val="15"/>
          <w:szCs w:val="15"/>
        </w:rPr>
        <w:t>）</w:t>
      </w:r>
      <w:r>
        <w:rPr>
          <w:rFonts w:ascii="宋体" w:hAnsi="宋体" w:cs="宋体" w:eastAsia="宋体" w:hint="default"/>
          <w:sz w:val="15"/>
          <w:szCs w:val="15"/>
        </w:rPr>
      </w:r>
    </w:p>
    <w:p>
      <w:pPr>
        <w:spacing w:line="240" w:lineRule="auto" w:before="13"/>
        <w:rPr>
          <w:rFonts w:ascii="宋体" w:hAnsi="宋体" w:cs="宋体" w:eastAsia="宋体" w:hint="default"/>
          <w:b/>
          <w:bCs/>
          <w:sz w:val="20"/>
          <w:szCs w:val="20"/>
        </w:rPr>
      </w:pPr>
      <w:r>
        <w:rPr/>
        <w:br w:type="column"/>
      </w:r>
      <w:r>
        <w:rPr>
          <w:rFonts w:ascii="宋体"/>
          <w:b/>
          <w:sz w:val="20"/>
        </w:rPr>
      </w:r>
    </w:p>
    <w:p>
      <w:pPr>
        <w:spacing w:before="0"/>
        <w:ind w:left="346" w:right="-20"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before="94"/>
        <w:ind w:left="344" w:right="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计提比例</w:t>
      </w:r>
      <w:r>
        <w:rPr>
          <w:rFonts w:ascii="宋体" w:hAnsi="宋体" w:cs="宋体" w:eastAsia="宋体" w:hint="default"/>
          <w:sz w:val="15"/>
          <w:szCs w:val="15"/>
        </w:rPr>
      </w:r>
    </w:p>
    <w:p>
      <w:pPr>
        <w:spacing w:line="240" w:lineRule="auto" w:before="7"/>
        <w:rPr>
          <w:rFonts w:ascii="宋体" w:hAnsi="宋体" w:cs="宋体" w:eastAsia="宋体" w:hint="default"/>
          <w:b/>
          <w:bCs/>
          <w:sz w:val="12"/>
          <w:szCs w:val="12"/>
        </w:rPr>
      </w:pPr>
    </w:p>
    <w:p>
      <w:pPr>
        <w:spacing w:before="0"/>
        <w:ind w:left="419" w:right="0"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780" w:bottom="840" w:left="0" w:right="0"/>
          <w:cols w:num="8" w:equalWidth="0">
            <w:col w:w="3857" w:space="40"/>
            <w:col w:w="872" w:space="40"/>
            <w:col w:w="919" w:space="40"/>
            <w:col w:w="899" w:space="40"/>
            <w:col w:w="1019" w:space="40"/>
            <w:col w:w="868" w:space="40"/>
            <w:col w:w="949" w:space="40"/>
            <w:col w:w="2247"/>
          </w:cols>
        </w:sectPr>
      </w:pPr>
    </w:p>
    <w:p>
      <w:pPr>
        <w:spacing w:line="240" w:lineRule="auto" w:before="1"/>
        <w:rPr>
          <w:rFonts w:ascii="宋体" w:hAnsi="宋体" w:cs="宋体" w:eastAsia="宋体" w:hint="default"/>
          <w:b/>
          <w:bCs/>
          <w:sz w:val="6"/>
          <w:szCs w:val="6"/>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1639;height:2" coordorigin="5,5" coordsize="1639,2">
              <v:shape style="position:absolute;left:5;top:5;width:1639;height:2" coordorigin="5,5" coordsize="1639,0" path="m5,5l1643,5e" filled="false" stroked="true" strokeweight=".48pt" strokecolor="#000000">
                <v:path arrowok="t"/>
              </v:shape>
            </v:group>
            <v:group style="position:absolute;left:1643;top:5;width:10;height:2" coordorigin="1643,5" coordsize="10,2">
              <v:shape style="position:absolute;left:1643;top:5;width:10;height:2" coordorigin="1643,5" coordsize="10,0" path="m1643,5l1653,5e" filled="false" stroked="true" strokeweight=".48pt" strokecolor="#000000">
                <v:path arrowok="t"/>
              </v:shape>
            </v:group>
            <v:group style="position:absolute;left:1653;top:5;width:1206;height:2" coordorigin="1653,5" coordsize="1206,2">
              <v:shape style="position:absolute;left:1653;top:5;width:1206;height:2" coordorigin="1653,5" coordsize="1206,0" path="m1653,5l2859,5e" filled="false" stroked="true" strokeweight=".48pt" strokecolor="#000000">
                <v:path arrowok="t"/>
              </v:shape>
            </v:group>
            <v:group style="position:absolute;left:2859;top:5;width:10;height:2" coordorigin="2859,5" coordsize="10,2">
              <v:shape style="position:absolute;left:2859;top:5;width:10;height:2" coordorigin="2859,5" coordsize="10,0" path="m2859,5l2868,5e" filled="false" stroked="true" strokeweight=".48pt" strokecolor="#000000">
                <v:path arrowok="t"/>
              </v:shape>
            </v:group>
            <v:group style="position:absolute;left:2868;top:5;width:752;height:2" coordorigin="2868,5" coordsize="752,2">
              <v:shape style="position:absolute;left:2868;top:5;width:752;height:2" coordorigin="2868,5" coordsize="752,0" path="m2868,5l3620,5e" filled="false" stroked="true" strokeweight=".48pt" strokecolor="#000000">
                <v:path arrowok="t"/>
              </v:shape>
            </v:group>
            <v:group style="position:absolute;left:3620;top:5;width:10;height:2" coordorigin="3620,5" coordsize="10,2">
              <v:shape style="position:absolute;left:3620;top:5;width:10;height:2" coordorigin="3620,5" coordsize="10,0" path="m3620,5l3630,5e" filled="false" stroked="true" strokeweight=".48pt" strokecolor="#000000">
                <v:path arrowok="t"/>
              </v:shape>
            </v:group>
            <v:group style="position:absolute;left:3630;top:5;width:994;height:2" coordorigin="3630,5" coordsize="994,2">
              <v:shape style="position:absolute;left:3630;top:5;width:994;height:2" coordorigin="3630,5" coordsize="994,0" path="m3630,5l4623,5e" filled="false" stroked="true" strokeweight=".48pt" strokecolor="#000000">
                <v:path arrowok="t"/>
              </v:shape>
            </v:group>
            <v:group style="position:absolute;left:4623;top:5;width:10;height:2" coordorigin="4623,5" coordsize="10,2">
              <v:shape style="position:absolute;left:4623;top:5;width:10;height:2" coordorigin="4623,5" coordsize="10,0" path="m4623,5l4633,5e" filled="false" stroked="true" strokeweight=".48pt" strokecolor="#000000">
                <v:path arrowok="t"/>
              </v:shape>
            </v:group>
            <v:group style="position:absolute;left:4633;top:5;width:863;height:2" coordorigin="4633,5" coordsize="863,2">
              <v:shape style="position:absolute;left:4633;top:5;width:863;height:2" coordorigin="4633,5" coordsize="863,0" path="m4633,5l5496,5e" filled="false" stroked="true" strokeweight=".48pt" strokecolor="#000000">
                <v:path arrowok="t"/>
              </v:shape>
            </v:group>
            <v:group style="position:absolute;left:5496;top:5;width:10;height:2" coordorigin="5496,5" coordsize="10,2">
              <v:shape style="position:absolute;left:5496;top:5;width:10;height:2" coordorigin="5496,5" coordsize="10,0" path="m5496,5l5505,5e" filled="false" stroked="true" strokeweight=".48pt" strokecolor="#000000">
                <v:path arrowok="t"/>
              </v:shape>
            </v:group>
            <v:group style="position:absolute;left:5505;top:5;width:1236;height:2" coordorigin="5505,5" coordsize="1236,2">
              <v:shape style="position:absolute;left:5505;top:5;width:1236;height:2" coordorigin="5505,5" coordsize="1236,0" path="m5505,5l6741,5e" filled="false" stroked="true" strokeweight=".48pt" strokecolor="#000000">
                <v:path arrowok="t"/>
              </v:shape>
            </v:group>
            <v:group style="position:absolute;left:6741;top:5;width:10;height:2" coordorigin="6741,5" coordsize="10,2">
              <v:shape style="position:absolute;left:6741;top:5;width:10;height:2" coordorigin="6741,5" coordsize="10,0" path="m6741,5l6751,5e" filled="false" stroked="true" strokeweight=".48pt" strokecolor="#000000">
                <v:path arrowok="t"/>
              </v:shape>
            </v:group>
            <v:group style="position:absolute;left:6751;top:5;width:715;height:2" coordorigin="6751,5" coordsize="715,2">
              <v:shape style="position:absolute;left:6751;top:5;width:715;height:2" coordorigin="6751,5" coordsize="715,0" path="m6751,5l7465,5e" filled="false" stroked="true" strokeweight=".48pt" strokecolor="#000000">
                <v:path arrowok="t"/>
              </v:shape>
            </v:group>
            <v:group style="position:absolute;left:7465;top:5;width:10;height:2" coordorigin="7465,5" coordsize="10,2">
              <v:shape style="position:absolute;left:7465;top:5;width:10;height:2" coordorigin="7465,5" coordsize="10,0" path="m7465,5l7475,5e" filled="false" stroked="true" strokeweight=".48pt" strokecolor="#000000">
                <v:path arrowok="t"/>
              </v:shape>
            </v:group>
            <v:group style="position:absolute;left:7475;top:5;width:1091;height:2" coordorigin="7475,5" coordsize="1091,2">
              <v:shape style="position:absolute;left:7475;top:5;width:1091;height:2" coordorigin="7475,5" coordsize="1091,0" path="m7475,5l8566,5e" filled="false" stroked="true" strokeweight=".48pt" strokecolor="#000000">
                <v:path arrowok="t"/>
              </v:shape>
            </v:group>
            <v:group style="position:absolute;left:8566;top:5;width:10;height:2" coordorigin="8566,5" coordsize="10,2">
              <v:shape style="position:absolute;left:8566;top:5;width:10;height:2" coordorigin="8566,5" coordsize="10,0" path="m8566,5l8575,5e" filled="false" stroked="true" strokeweight=".48pt" strokecolor="#000000">
                <v:path arrowok="t"/>
              </v:shape>
            </v:group>
            <v:group style="position:absolute;left:8575;top:5;width:861;height:2" coordorigin="8575,5" coordsize="861,2">
              <v:shape style="position:absolute;left:8575;top:5;width:861;height:2" coordorigin="8575,5" coordsize="861,0" path="m8575,5l9436,5e" filled="false" stroked="true" strokeweight=".48pt" strokecolor="#000000">
                <v:path arrowok="t"/>
              </v:shape>
            </v:group>
          </v:group>
        </w:pict>
      </w:r>
      <w:r>
        <w:rPr>
          <w:rFonts w:ascii="宋体" w:hAnsi="宋体" w:cs="宋体" w:eastAsia="宋体" w:hint="default"/>
          <w:sz w:val="2"/>
          <w:szCs w:val="2"/>
        </w:rPr>
      </w:r>
    </w:p>
    <w:p>
      <w:pPr>
        <w:tabs>
          <w:tab w:pos="3269" w:val="left" w:leader="none"/>
          <w:tab w:pos="4443" w:val="left" w:leader="none"/>
          <w:tab w:pos="5145" w:val="left" w:leader="none"/>
          <w:tab w:pos="6430" w:val="left" w:leader="none"/>
          <w:tab w:pos="7263" w:val="left" w:leader="none"/>
          <w:tab w:pos="8307" w:val="left" w:leader="none"/>
          <w:tab w:pos="9161" w:val="left" w:leader="none"/>
          <w:tab w:pos="10370" w:val="left" w:leader="none"/>
        </w:tabs>
        <w:spacing w:before="140"/>
        <w:ind w:left="1418" w:right="1117"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3"/>
          <w:sz w:val="15"/>
          <w:szCs w:val="15"/>
        </w:rPr>
        <w:t>1-2 </w:t>
      </w:r>
      <w:r>
        <w:rPr>
          <w:rFonts w:ascii="宋体" w:hAnsi="宋体" w:cs="宋体" w:eastAsia="宋体" w:hint="default"/>
          <w:position w:val="-3"/>
          <w:sz w:val="15"/>
          <w:szCs w:val="15"/>
        </w:rPr>
        <w:t>年（含</w:t>
      </w:r>
      <w:r>
        <w:rPr>
          <w:rFonts w:ascii="宋体" w:hAnsi="宋体" w:cs="宋体" w:eastAsia="宋体" w:hint="default"/>
          <w:spacing w:val="-38"/>
          <w:position w:val="-3"/>
          <w:sz w:val="15"/>
          <w:szCs w:val="15"/>
        </w:rPr>
        <w:t> </w:t>
      </w:r>
      <w:r>
        <w:rPr>
          <w:rFonts w:ascii="Times New Roman" w:hAnsi="Times New Roman" w:cs="Times New Roman" w:eastAsia="Times New Roman" w:hint="default"/>
          <w:position w:val="-3"/>
          <w:sz w:val="15"/>
          <w:szCs w:val="15"/>
        </w:rPr>
        <w:t>2 </w:t>
      </w:r>
      <w:r>
        <w:rPr>
          <w:rFonts w:ascii="宋体" w:hAnsi="宋体" w:cs="宋体" w:eastAsia="宋体" w:hint="default"/>
          <w:position w:val="-3"/>
          <w:sz w:val="15"/>
          <w:szCs w:val="15"/>
        </w:rPr>
        <w:t>年）</w:t>
        <w:tab/>
      </w:r>
      <w:r>
        <w:rPr>
          <w:rFonts w:ascii="Times New Roman" w:hAnsi="Times New Roman" w:cs="Times New Roman" w:eastAsia="Times New Roman" w:hint="default"/>
          <w:spacing w:val="-1"/>
          <w:sz w:val="15"/>
          <w:szCs w:val="15"/>
        </w:rPr>
        <w:t>7,010,000.00</w:t>
        <w:tab/>
      </w:r>
      <w:r>
        <w:rPr>
          <w:rFonts w:ascii="Times New Roman" w:hAnsi="Times New Roman" w:cs="Times New Roman" w:eastAsia="Times New Roman" w:hint="default"/>
          <w:sz w:val="15"/>
          <w:szCs w:val="15"/>
        </w:rPr>
        <w:t>6.40</w:t>
        <w:tab/>
      </w:r>
      <w:r>
        <w:rPr>
          <w:rFonts w:ascii="Times New Roman" w:hAnsi="Times New Roman" w:cs="Times New Roman" w:eastAsia="Times New Roman" w:hint="default"/>
          <w:spacing w:val="-1"/>
          <w:sz w:val="15"/>
          <w:szCs w:val="15"/>
        </w:rPr>
        <w:t>350,500.00</w:t>
        <w:tab/>
      </w:r>
      <w:r>
        <w:rPr>
          <w:rFonts w:ascii="Times New Roman" w:hAnsi="Times New Roman" w:cs="Times New Roman" w:eastAsia="Times New Roman" w:hint="default"/>
          <w:position w:val="-7"/>
          <w:sz w:val="15"/>
          <w:szCs w:val="15"/>
        </w:rPr>
        <w:t>5.00</w:t>
        <w:tab/>
      </w:r>
      <w:r>
        <w:rPr>
          <w:rFonts w:ascii="Times New Roman" w:hAnsi="Times New Roman" w:cs="Times New Roman" w:eastAsia="Times New Roman" w:hint="default"/>
          <w:spacing w:val="-1"/>
          <w:sz w:val="15"/>
          <w:szCs w:val="15"/>
        </w:rPr>
        <w:t>481,640.00</w:t>
        <w:tab/>
      </w:r>
      <w:r>
        <w:rPr>
          <w:rFonts w:ascii="Times New Roman" w:hAnsi="Times New Roman" w:cs="Times New Roman" w:eastAsia="Times New Roman" w:hint="default"/>
          <w:sz w:val="15"/>
          <w:szCs w:val="15"/>
        </w:rPr>
        <w:t>1.03</w:t>
        <w:tab/>
      </w:r>
      <w:r>
        <w:rPr>
          <w:rFonts w:ascii="Times New Roman" w:hAnsi="Times New Roman" w:cs="Times New Roman" w:eastAsia="Times New Roman" w:hint="default"/>
          <w:spacing w:val="-1"/>
          <w:sz w:val="15"/>
          <w:szCs w:val="15"/>
        </w:rPr>
        <w:t>24,082.00</w:t>
      </w:r>
      <w:r>
        <w:rPr>
          <w:rFonts w:ascii="Times New Roman" w:hAnsi="Times New Roman" w:cs="Times New Roman" w:eastAsia="Times New Roman" w:hint="default"/>
          <w:spacing w:val="-1"/>
          <w:position w:val="-7"/>
          <w:sz w:val="15"/>
          <w:szCs w:val="15"/>
        </w:rPr>
        <w:tab/>
      </w:r>
      <w:r>
        <w:rPr>
          <w:rFonts w:ascii="Times New Roman" w:hAnsi="Times New Roman" w:cs="Times New Roman" w:eastAsia="Times New Roman" w:hint="default"/>
          <w:position w:val="-7"/>
          <w:sz w:val="15"/>
          <w:szCs w:val="15"/>
        </w:rPr>
        <w:t>5.00</w:t>
      </w:r>
      <w:r>
        <w:rPr>
          <w:rFonts w:ascii="Times New Roman" w:hAnsi="Times New Roman" w:cs="Times New Roman" w:eastAsia="Times New Roman" w:hint="default"/>
          <w:sz w:val="15"/>
          <w:szCs w:val="15"/>
        </w:rPr>
      </w:r>
    </w:p>
    <w:p>
      <w:pPr>
        <w:tabs>
          <w:tab w:pos="3456" w:val="left" w:leader="none"/>
          <w:tab w:pos="4443" w:val="left" w:leader="none"/>
          <w:tab w:pos="5219" w:val="left" w:leader="none"/>
          <w:tab w:pos="6355" w:val="left" w:leader="none"/>
          <w:tab w:pos="7150" w:val="left" w:leader="none"/>
          <w:tab w:pos="8307" w:val="left" w:leader="none"/>
          <w:tab w:pos="9087" w:val="left" w:leader="none"/>
          <w:tab w:pos="10295" w:val="left" w:leader="none"/>
        </w:tabs>
        <w:spacing w:before="188"/>
        <w:ind w:left="1418" w:right="1117"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3"/>
          <w:sz w:val="15"/>
          <w:szCs w:val="15"/>
        </w:rPr>
        <w:t>2-3 </w:t>
      </w:r>
      <w:r>
        <w:rPr>
          <w:rFonts w:ascii="宋体" w:hAnsi="宋体" w:cs="宋体" w:eastAsia="宋体" w:hint="default"/>
          <w:spacing w:val="-1"/>
          <w:position w:val="-3"/>
          <w:sz w:val="15"/>
          <w:szCs w:val="15"/>
        </w:rPr>
        <w:t>年</w:t>
      </w:r>
      <w:r>
        <w:rPr>
          <w:rFonts w:ascii="Times New Roman" w:hAnsi="Times New Roman" w:cs="Times New Roman" w:eastAsia="Times New Roman" w:hint="default"/>
          <w:spacing w:val="-1"/>
          <w:position w:val="-3"/>
          <w:sz w:val="15"/>
          <w:szCs w:val="15"/>
        </w:rPr>
        <w:t>(</w:t>
      </w:r>
      <w:r>
        <w:rPr>
          <w:rFonts w:ascii="宋体" w:hAnsi="宋体" w:cs="宋体" w:eastAsia="宋体" w:hint="default"/>
          <w:spacing w:val="-1"/>
          <w:position w:val="-3"/>
          <w:sz w:val="15"/>
          <w:szCs w:val="15"/>
        </w:rPr>
        <w:t>含</w:t>
      </w:r>
      <w:r>
        <w:rPr>
          <w:rFonts w:ascii="宋体" w:hAnsi="宋体" w:cs="宋体" w:eastAsia="宋体" w:hint="default"/>
          <w:spacing w:val="-38"/>
          <w:position w:val="-3"/>
          <w:sz w:val="15"/>
          <w:szCs w:val="15"/>
        </w:rPr>
        <w:t> </w:t>
      </w:r>
      <w:r>
        <w:rPr>
          <w:rFonts w:ascii="Times New Roman" w:hAnsi="Times New Roman" w:cs="Times New Roman" w:eastAsia="Times New Roman" w:hint="default"/>
          <w:position w:val="-3"/>
          <w:sz w:val="15"/>
          <w:szCs w:val="15"/>
        </w:rPr>
        <w:t>3 </w:t>
      </w:r>
      <w:r>
        <w:rPr>
          <w:rFonts w:ascii="宋体" w:hAnsi="宋体" w:cs="宋体" w:eastAsia="宋体" w:hint="default"/>
          <w:position w:val="-3"/>
          <w:sz w:val="15"/>
          <w:szCs w:val="15"/>
        </w:rPr>
        <w:t>年</w:t>
      </w:r>
      <w:r>
        <w:rPr>
          <w:rFonts w:ascii="Times New Roman" w:hAnsi="Times New Roman" w:cs="Times New Roman" w:eastAsia="Times New Roman" w:hint="default"/>
          <w:position w:val="-3"/>
          <w:sz w:val="15"/>
          <w:szCs w:val="15"/>
        </w:rPr>
        <w:t>)</w:t>
        <w:tab/>
      </w:r>
      <w:r>
        <w:rPr>
          <w:rFonts w:ascii="Times New Roman" w:hAnsi="Times New Roman" w:cs="Times New Roman" w:eastAsia="Times New Roman" w:hint="default"/>
          <w:spacing w:val="-1"/>
          <w:sz w:val="15"/>
          <w:szCs w:val="15"/>
        </w:rPr>
        <w:t>52,390.00</w:t>
        <w:tab/>
      </w:r>
      <w:r>
        <w:rPr>
          <w:rFonts w:ascii="Times New Roman" w:hAnsi="Times New Roman" w:cs="Times New Roman" w:eastAsia="Times New Roman" w:hint="default"/>
          <w:sz w:val="15"/>
          <w:szCs w:val="15"/>
        </w:rPr>
        <w:t>0.05</w:t>
        <w:tab/>
      </w:r>
      <w:r>
        <w:rPr>
          <w:rFonts w:ascii="Times New Roman" w:hAnsi="Times New Roman" w:cs="Times New Roman" w:eastAsia="Times New Roman" w:hint="default"/>
          <w:spacing w:val="-1"/>
          <w:sz w:val="15"/>
          <w:szCs w:val="15"/>
        </w:rPr>
        <w:t>15,717.00</w:t>
        <w:tab/>
      </w:r>
      <w:r>
        <w:rPr>
          <w:rFonts w:ascii="Times New Roman" w:hAnsi="Times New Roman" w:cs="Times New Roman" w:eastAsia="Times New Roman" w:hint="default"/>
          <w:spacing w:val="-1"/>
          <w:position w:val="-7"/>
          <w:sz w:val="15"/>
          <w:szCs w:val="15"/>
        </w:rPr>
        <w:t>30.00</w:t>
        <w:tab/>
      </w:r>
      <w:r>
        <w:rPr>
          <w:rFonts w:ascii="Times New Roman" w:hAnsi="Times New Roman" w:cs="Times New Roman" w:eastAsia="Times New Roman" w:hint="default"/>
          <w:spacing w:val="-1"/>
          <w:sz w:val="15"/>
          <w:szCs w:val="15"/>
        </w:rPr>
        <w:t>1,587,000.00</w:t>
        <w:tab/>
      </w:r>
      <w:r>
        <w:rPr>
          <w:rFonts w:ascii="Times New Roman" w:hAnsi="Times New Roman" w:cs="Times New Roman" w:eastAsia="Times New Roman" w:hint="default"/>
          <w:sz w:val="15"/>
          <w:szCs w:val="15"/>
        </w:rPr>
        <w:t>3.40</w:t>
        <w:tab/>
      </w:r>
      <w:r>
        <w:rPr>
          <w:rFonts w:ascii="Times New Roman" w:hAnsi="Times New Roman" w:cs="Times New Roman" w:eastAsia="Times New Roman" w:hint="default"/>
          <w:spacing w:val="-1"/>
          <w:sz w:val="15"/>
          <w:szCs w:val="15"/>
        </w:rPr>
        <w:t>476,100.00</w:t>
      </w:r>
      <w:r>
        <w:rPr>
          <w:rFonts w:ascii="Times New Roman" w:hAnsi="Times New Roman" w:cs="Times New Roman" w:eastAsia="Times New Roman" w:hint="default"/>
          <w:spacing w:val="-1"/>
          <w:position w:val="-7"/>
          <w:sz w:val="15"/>
          <w:szCs w:val="15"/>
        </w:rPr>
        <w:tab/>
        <w:t>30.00</w:t>
      </w:r>
      <w:r>
        <w:rPr>
          <w:rFonts w:ascii="Times New Roman" w:hAnsi="Times New Roman" w:cs="Times New Roman" w:eastAsia="Times New Roman" w:hint="default"/>
          <w:spacing w:val="-1"/>
          <w:sz w:val="15"/>
          <w:szCs w:val="15"/>
        </w:rPr>
      </w:r>
    </w:p>
    <w:p>
      <w:pPr>
        <w:tabs>
          <w:tab w:pos="3269" w:val="left" w:leader="none"/>
          <w:tab w:pos="4443" w:val="left" w:leader="none"/>
          <w:tab w:pos="5032" w:val="left" w:leader="none"/>
          <w:tab w:pos="6280" w:val="left" w:leader="none"/>
          <w:tab w:pos="7150" w:val="left" w:leader="none"/>
          <w:tab w:pos="8307" w:val="left" w:leader="none"/>
          <w:tab w:pos="8974" w:val="left" w:leader="none"/>
          <w:tab w:pos="10220" w:val="left" w:leader="none"/>
        </w:tabs>
        <w:spacing w:before="186"/>
        <w:ind w:left="1418" w:right="1117"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3"/>
          <w:sz w:val="15"/>
          <w:szCs w:val="15"/>
        </w:rPr>
        <w:t>3 </w:t>
      </w:r>
      <w:r>
        <w:rPr>
          <w:rFonts w:ascii="宋体" w:hAnsi="宋体" w:cs="宋体" w:eastAsia="宋体" w:hint="default"/>
          <w:position w:val="-3"/>
          <w:sz w:val="15"/>
          <w:szCs w:val="15"/>
        </w:rPr>
        <w:t>年以上</w:t>
        <w:tab/>
      </w:r>
      <w:r>
        <w:rPr>
          <w:rFonts w:ascii="Times New Roman" w:hAnsi="Times New Roman" w:cs="Times New Roman" w:eastAsia="Times New Roman" w:hint="default"/>
          <w:spacing w:val="-1"/>
          <w:sz w:val="15"/>
          <w:szCs w:val="15"/>
        </w:rPr>
        <w:t>4,670,427.62</w:t>
        <w:tab/>
      </w:r>
      <w:r>
        <w:rPr>
          <w:rFonts w:ascii="Times New Roman" w:hAnsi="Times New Roman" w:cs="Times New Roman" w:eastAsia="Times New Roman" w:hint="default"/>
          <w:sz w:val="15"/>
          <w:szCs w:val="15"/>
        </w:rPr>
        <w:t>4.26</w:t>
        <w:tab/>
      </w:r>
      <w:r>
        <w:rPr>
          <w:rFonts w:ascii="Times New Roman" w:hAnsi="Times New Roman" w:cs="Times New Roman" w:eastAsia="Times New Roman" w:hint="default"/>
          <w:spacing w:val="-1"/>
          <w:sz w:val="15"/>
          <w:szCs w:val="15"/>
        </w:rPr>
        <w:t>4,670,427.62</w:t>
        <w:tab/>
      </w:r>
      <w:r>
        <w:rPr>
          <w:rFonts w:ascii="Times New Roman" w:hAnsi="Times New Roman" w:cs="Times New Roman" w:eastAsia="Times New Roman" w:hint="default"/>
          <w:spacing w:val="-1"/>
          <w:position w:val="-7"/>
          <w:sz w:val="15"/>
          <w:szCs w:val="15"/>
        </w:rPr>
        <w:t>100.00</w:t>
        <w:tab/>
      </w:r>
      <w:r>
        <w:rPr>
          <w:rFonts w:ascii="Times New Roman" w:hAnsi="Times New Roman" w:cs="Times New Roman" w:eastAsia="Times New Roman" w:hint="default"/>
          <w:spacing w:val="-1"/>
          <w:sz w:val="15"/>
          <w:szCs w:val="15"/>
        </w:rPr>
        <w:t>3,817,303.97</w:t>
        <w:tab/>
      </w:r>
      <w:r>
        <w:rPr>
          <w:rFonts w:ascii="Times New Roman" w:hAnsi="Times New Roman" w:cs="Times New Roman" w:eastAsia="Times New Roman" w:hint="default"/>
          <w:sz w:val="15"/>
          <w:szCs w:val="15"/>
        </w:rPr>
        <w:t>8.17</w:t>
        <w:tab/>
      </w:r>
      <w:r>
        <w:rPr>
          <w:rFonts w:ascii="Times New Roman" w:hAnsi="Times New Roman" w:cs="Times New Roman" w:eastAsia="Times New Roman" w:hint="default"/>
          <w:spacing w:val="-1"/>
          <w:sz w:val="15"/>
          <w:szCs w:val="15"/>
        </w:rPr>
        <w:t>3,817,303.97</w:t>
      </w:r>
      <w:r>
        <w:rPr>
          <w:rFonts w:ascii="Times New Roman" w:hAnsi="Times New Roman" w:cs="Times New Roman" w:eastAsia="Times New Roman" w:hint="default"/>
          <w:spacing w:val="-1"/>
          <w:position w:val="-7"/>
          <w:sz w:val="15"/>
          <w:szCs w:val="15"/>
        </w:rPr>
        <w:tab/>
        <w:t>100.00</w:t>
      </w:r>
      <w:r>
        <w:rPr>
          <w:rFonts w:ascii="Times New Roman" w:hAnsi="Times New Roman" w:cs="Times New Roman" w:eastAsia="Times New Roman" w:hint="default"/>
          <w:spacing w:val="-1"/>
          <w:sz w:val="15"/>
          <w:szCs w:val="15"/>
        </w:rPr>
      </w:r>
    </w:p>
    <w:p>
      <w:pPr>
        <w:tabs>
          <w:tab w:pos="3119" w:val="left" w:leader="none"/>
          <w:tab w:pos="4425" w:val="left" w:leader="none"/>
          <w:tab w:pos="5032" w:val="left" w:leader="none"/>
          <w:tab w:pos="7074" w:val="left" w:leader="none"/>
          <w:tab w:pos="8324" w:val="left" w:leader="none"/>
          <w:tab w:pos="8974" w:val="left" w:leader="none"/>
        </w:tabs>
        <w:spacing w:before="184"/>
        <w:ind w:left="1904" w:right="1117"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合</w:t>
      </w:r>
      <w:r>
        <w:rPr>
          <w:rFonts w:ascii="宋体" w:hAnsi="宋体" w:cs="宋体" w:eastAsia="宋体" w:hint="default"/>
          <w:spacing w:val="73"/>
          <w:position w:val="1"/>
          <w:sz w:val="15"/>
          <w:szCs w:val="15"/>
        </w:rPr>
        <w:t> </w:t>
      </w:r>
      <w:r>
        <w:rPr>
          <w:rFonts w:ascii="宋体" w:hAnsi="宋体" w:cs="宋体" w:eastAsia="宋体" w:hint="default"/>
          <w:position w:val="1"/>
          <w:sz w:val="15"/>
          <w:szCs w:val="15"/>
        </w:rPr>
        <w:t>计</w:t>
        <w:tab/>
      </w:r>
      <w:r>
        <w:rPr>
          <w:rFonts w:ascii="Times New Roman" w:hAnsi="Times New Roman" w:cs="Times New Roman" w:eastAsia="Times New Roman" w:hint="default"/>
          <w:position w:val="5"/>
          <w:sz w:val="15"/>
          <w:szCs w:val="15"/>
        </w:rPr>
      </w:r>
      <w:r>
        <w:rPr>
          <w:rFonts w:ascii="Times New Roman" w:hAnsi="Times New Roman" w:cs="Times New Roman" w:eastAsia="Times New Roman" w:hint="default"/>
          <w:spacing w:val="-1"/>
          <w:position w:val="5"/>
          <w:sz w:val="15"/>
          <w:szCs w:val="15"/>
          <w:u w:val="thick" w:color="000000"/>
        </w:rPr>
        <w:t>109,524,615.41</w:t>
      </w:r>
      <w:r>
        <w:rPr>
          <w:rFonts w:ascii="Times New Roman" w:hAnsi="Times New Roman" w:cs="Times New Roman" w:eastAsia="Times New Roman" w:hint="default"/>
          <w:spacing w:val="-1"/>
          <w:position w:val="5"/>
          <w:sz w:val="15"/>
          <w:szCs w:val="15"/>
        </w:rPr>
        <w:tab/>
      </w:r>
      <w:r>
        <w:rPr>
          <w:rFonts w:ascii="Times New Roman" w:hAnsi="Times New Roman" w:cs="Times New Roman" w:eastAsia="Times New Roman" w:hint="default"/>
          <w:position w:val="5"/>
          <w:sz w:val="15"/>
          <w:szCs w:val="15"/>
          <w:u w:val="thick" w:color="000000"/>
        </w:rPr>
        <w:t>100</w:t>
      </w:r>
      <w:r>
        <w:rPr>
          <w:rFonts w:ascii="Times New Roman" w:hAnsi="Times New Roman" w:cs="Times New Roman" w:eastAsia="Times New Roman" w:hint="default"/>
          <w:position w:val="5"/>
          <w:sz w:val="15"/>
          <w:szCs w:val="15"/>
        </w:rPr>
        <w:tab/>
      </w:r>
      <w:r>
        <w:rPr>
          <w:rFonts w:ascii="Times New Roman" w:hAnsi="Times New Roman" w:cs="Times New Roman" w:eastAsia="Times New Roman" w:hint="default"/>
          <w:spacing w:val="-1"/>
          <w:position w:val="5"/>
          <w:sz w:val="15"/>
          <w:szCs w:val="15"/>
          <w:u w:val="thick" w:color="000000"/>
        </w:rPr>
        <w:t>6,014,562.60</w:t>
      </w:r>
      <w:r>
        <w:rPr>
          <w:rFonts w:ascii="Times New Roman" w:hAnsi="Times New Roman" w:cs="Times New Roman" w:eastAsia="Times New Roman" w:hint="default"/>
          <w:spacing w:val="-1"/>
          <w:position w:val="5"/>
          <w:sz w:val="15"/>
          <w:szCs w:val="15"/>
        </w:rPr>
        <w:tab/>
      </w:r>
      <w:r>
        <w:rPr>
          <w:rFonts w:ascii="Times New Roman" w:hAnsi="Times New Roman" w:cs="Times New Roman" w:eastAsia="Times New Roman" w:hint="default"/>
          <w:spacing w:val="-1"/>
          <w:sz w:val="15"/>
          <w:szCs w:val="15"/>
        </w:rPr>
      </w:r>
      <w:r>
        <w:rPr>
          <w:rFonts w:ascii="Times New Roman" w:hAnsi="Times New Roman" w:cs="Times New Roman" w:eastAsia="Times New Roman" w:hint="default"/>
          <w:spacing w:val="-1"/>
          <w:sz w:val="15"/>
          <w:szCs w:val="15"/>
          <w:u w:val="thick" w:color="000000"/>
        </w:rPr>
        <w:t>46,720,014.64</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z w:val="15"/>
          <w:szCs w:val="15"/>
          <w:u w:val="thick" w:color="000000"/>
        </w:rPr>
        <w:t>100</w:t>
      </w:r>
      <w:r>
        <w:rPr>
          <w:rFonts w:ascii="Times New Roman" w:hAnsi="Times New Roman" w:cs="Times New Roman" w:eastAsia="Times New Roman" w:hint="default"/>
          <w:sz w:val="15"/>
          <w:szCs w:val="15"/>
        </w:rPr>
        <w:tab/>
      </w:r>
      <w:r>
        <w:rPr>
          <w:rFonts w:ascii="Times New Roman" w:hAnsi="Times New Roman" w:cs="Times New Roman" w:eastAsia="Times New Roman" w:hint="default"/>
          <w:spacing w:val="-1"/>
          <w:sz w:val="15"/>
          <w:szCs w:val="15"/>
          <w:u w:val="thick" w:color="000000"/>
        </w:rPr>
        <w:t>4,725,826.68</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pStyle w:val="BodyText"/>
        <w:spacing w:line="240" w:lineRule="auto"/>
        <w:ind w:right="1117"/>
        <w:jc w:val="left"/>
      </w:pPr>
      <w:r>
        <w:rPr/>
        <w:t>（</w:t>
      </w:r>
      <w:r>
        <w:rPr>
          <w:rFonts w:ascii="Times New Roman" w:hAnsi="Times New Roman" w:cs="Times New Roman" w:eastAsia="Times New Roman" w:hint="default"/>
        </w:rPr>
        <w:t>3</w:t>
      </w:r>
      <w:r>
        <w:rPr/>
        <w:t>）本期计提、收回或转回的坏账准备情况</w:t>
      </w:r>
    </w:p>
    <w:p>
      <w:pPr>
        <w:spacing w:line="240" w:lineRule="auto" w:before="10"/>
        <w:rPr>
          <w:rFonts w:ascii="宋体" w:hAnsi="宋体" w:cs="宋体" w:eastAsia="宋体" w:hint="default"/>
          <w:sz w:val="27"/>
          <w:szCs w:val="27"/>
        </w:rPr>
      </w:pPr>
    </w:p>
    <w:tbl>
      <w:tblPr>
        <w:tblW w:w="0" w:type="auto"/>
        <w:jc w:val="left"/>
        <w:tblInd w:w="1310" w:type="dxa"/>
        <w:tblLayout w:type="fixed"/>
        <w:tblCellMar>
          <w:top w:w="0" w:type="dxa"/>
          <w:left w:w="0" w:type="dxa"/>
          <w:bottom w:w="0" w:type="dxa"/>
          <w:right w:w="0" w:type="dxa"/>
        </w:tblCellMar>
        <w:tblLook w:val="01E0"/>
      </w:tblPr>
      <w:tblGrid>
        <w:gridCol w:w="4863"/>
        <w:gridCol w:w="4568"/>
      </w:tblGrid>
      <w:tr>
        <w:trPr>
          <w:trHeight w:val="271" w:hRule="exact"/>
        </w:trPr>
        <w:tc>
          <w:tcPr>
            <w:tcW w:w="4863" w:type="dxa"/>
            <w:tcBorders>
              <w:top w:val="nil" w:sz="6" w:space="0" w:color="auto"/>
              <w:left w:val="nil" w:sz="6" w:space="0" w:color="auto"/>
              <w:bottom w:val="single" w:sz="4" w:space="0" w:color="000000"/>
              <w:right w:val="nil" w:sz="6" w:space="0" w:color="auto"/>
            </w:tcBorders>
          </w:tcPr>
          <w:p>
            <w:pPr>
              <w:pStyle w:val="TableParagraph"/>
              <w:spacing w:line="180" w:lineRule="exact"/>
              <w:ind w:right="146"/>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568" w:type="dxa"/>
            <w:tcBorders>
              <w:top w:val="nil" w:sz="6" w:space="0" w:color="auto"/>
              <w:left w:val="nil" w:sz="6" w:space="0" w:color="auto"/>
              <w:bottom w:val="single" w:sz="4" w:space="0" w:color="000000"/>
              <w:right w:val="nil" w:sz="6" w:space="0" w:color="auto"/>
            </w:tcBorders>
          </w:tcPr>
          <w:p>
            <w:pPr>
              <w:pStyle w:val="TableParagraph"/>
              <w:spacing w:line="180" w:lineRule="exact"/>
              <w:ind w:right="1904"/>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r>
      <w:tr>
        <w:trPr>
          <w:trHeight w:val="489" w:hRule="exact"/>
        </w:trPr>
        <w:tc>
          <w:tcPr>
            <w:tcW w:w="486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4568"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1926"/>
              <w:jc w:val="right"/>
              <w:rPr>
                <w:rFonts w:ascii="Times New Roman" w:hAnsi="Times New Roman" w:cs="Times New Roman" w:eastAsia="Times New Roman" w:hint="default"/>
                <w:sz w:val="18"/>
                <w:szCs w:val="18"/>
              </w:rPr>
            </w:pPr>
            <w:r>
              <w:rPr>
                <w:rFonts w:ascii="Times New Roman"/>
                <w:spacing w:val="-1"/>
                <w:sz w:val="18"/>
              </w:rPr>
              <w:t>1,288,735.92</w:t>
            </w:r>
          </w:p>
        </w:tc>
      </w:tr>
      <w:tr>
        <w:trPr>
          <w:trHeight w:val="310" w:hRule="exact"/>
        </w:trPr>
        <w:tc>
          <w:tcPr>
            <w:tcW w:w="486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tc>
        <w:tc>
          <w:tcPr>
            <w:tcW w:w="45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6"/>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right="1117"/>
        <w:jc w:val="left"/>
      </w:pPr>
      <w:r>
        <w:rPr/>
        <w:t>（</w:t>
      </w:r>
      <w:r>
        <w:rPr>
          <w:rFonts w:ascii="Times New Roman" w:hAnsi="Times New Roman" w:cs="Times New Roman" w:eastAsia="Times New Roman" w:hint="default"/>
        </w:rPr>
        <w:t>4</w:t>
      </w:r>
      <w:r>
        <w:rPr/>
        <w:t>）本期无实际核销的其他应收款</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5</w:t>
      </w:r>
      <w:r>
        <w:rPr/>
        <w:t>）按性质分类其他应收款的账面余额</w:t>
      </w:r>
    </w:p>
    <w:p>
      <w:pPr>
        <w:spacing w:line="240" w:lineRule="auto" w:before="9"/>
        <w:rPr>
          <w:rFonts w:ascii="宋体" w:hAnsi="宋体" w:cs="宋体" w:eastAsia="宋体" w:hint="default"/>
          <w:sz w:val="27"/>
          <w:szCs w:val="27"/>
        </w:rPr>
      </w:pPr>
    </w:p>
    <w:tbl>
      <w:tblPr>
        <w:tblW w:w="0" w:type="auto"/>
        <w:jc w:val="left"/>
        <w:tblInd w:w="1715" w:type="dxa"/>
        <w:tblLayout w:type="fixed"/>
        <w:tblCellMar>
          <w:top w:w="0" w:type="dxa"/>
          <w:left w:w="0" w:type="dxa"/>
          <w:bottom w:w="0" w:type="dxa"/>
          <w:right w:w="0" w:type="dxa"/>
        </w:tblCellMar>
        <w:tblLook w:val="01E0"/>
      </w:tblPr>
      <w:tblGrid>
        <w:gridCol w:w="2825"/>
        <w:gridCol w:w="3073"/>
        <w:gridCol w:w="2725"/>
      </w:tblGrid>
      <w:tr>
        <w:trPr>
          <w:trHeight w:val="275" w:hRule="exact"/>
        </w:trPr>
        <w:tc>
          <w:tcPr>
            <w:tcW w:w="2825"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073" w:type="dxa"/>
            <w:tcBorders>
              <w:top w:val="nil" w:sz="6" w:space="0" w:color="auto"/>
              <w:left w:val="nil" w:sz="6" w:space="0" w:color="auto"/>
              <w:bottom w:val="single" w:sz="6" w:space="0" w:color="000000"/>
              <w:right w:val="nil" w:sz="6" w:space="0" w:color="auto"/>
            </w:tcBorders>
          </w:tcPr>
          <w:p>
            <w:pPr>
              <w:pStyle w:val="TableParagraph"/>
              <w:spacing w:line="180" w:lineRule="exact"/>
              <w:ind w:right="99"/>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25" w:type="dxa"/>
            <w:tcBorders>
              <w:top w:val="nil" w:sz="6" w:space="0" w:color="auto"/>
              <w:left w:val="nil" w:sz="6" w:space="0" w:color="auto"/>
              <w:bottom w:val="single" w:sz="6" w:space="0" w:color="000000"/>
              <w:right w:val="nil" w:sz="6" w:space="0" w:color="auto"/>
            </w:tcBorders>
          </w:tcPr>
          <w:p>
            <w:pPr>
              <w:pStyle w:val="TableParagraph"/>
              <w:spacing w:line="180" w:lineRule="exact"/>
              <w:ind w:right="148"/>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96" w:hRule="exact"/>
        </w:trPr>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4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073"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right="917"/>
              <w:jc w:val="right"/>
              <w:rPr>
                <w:rFonts w:ascii="Times New Roman" w:hAnsi="Times New Roman" w:cs="Times New Roman" w:eastAsia="Times New Roman" w:hint="default"/>
                <w:sz w:val="18"/>
                <w:szCs w:val="18"/>
              </w:rPr>
            </w:pPr>
            <w:r>
              <w:rPr>
                <w:rFonts w:ascii="Times New Roman"/>
                <w:spacing w:val="-1"/>
                <w:sz w:val="18"/>
              </w:rPr>
              <w:t>48,358,069.52</w:t>
            </w:r>
          </w:p>
        </w:tc>
        <w:tc>
          <w:tcPr>
            <w:tcW w:w="2725"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right="769"/>
              <w:jc w:val="right"/>
              <w:rPr>
                <w:rFonts w:ascii="Times New Roman" w:hAnsi="Times New Roman" w:cs="Times New Roman" w:eastAsia="Times New Roman" w:hint="default"/>
                <w:sz w:val="18"/>
                <w:szCs w:val="18"/>
              </w:rPr>
            </w:pPr>
            <w:r>
              <w:rPr>
                <w:rFonts w:ascii="Times New Roman"/>
                <w:spacing w:val="-1"/>
                <w:sz w:val="18"/>
              </w:rPr>
              <w:t>23,021,297.08</w:t>
            </w:r>
          </w:p>
        </w:tc>
      </w:tr>
      <w:tr>
        <w:trPr>
          <w:trHeight w:val="440"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3"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073"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9"/>
              <w:jc w:val="right"/>
              <w:rPr>
                <w:rFonts w:ascii="Times New Roman" w:hAnsi="Times New Roman" w:cs="Times New Roman" w:eastAsia="Times New Roman" w:hint="default"/>
                <w:sz w:val="18"/>
                <w:szCs w:val="18"/>
              </w:rPr>
            </w:pPr>
            <w:r>
              <w:rPr>
                <w:rFonts w:ascii="Times New Roman"/>
                <w:spacing w:val="-1"/>
                <w:sz w:val="18"/>
              </w:rPr>
              <w:t>12,523,502.87</w:t>
            </w:r>
          </w:p>
        </w:tc>
      </w:tr>
      <w:tr>
        <w:trPr>
          <w:trHeight w:val="440"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3" w:right="0"/>
              <w:jc w:val="left"/>
              <w:rPr>
                <w:rFonts w:ascii="宋体" w:hAnsi="宋体" w:cs="宋体" w:eastAsia="宋体" w:hint="default"/>
                <w:sz w:val="18"/>
                <w:szCs w:val="18"/>
              </w:rPr>
            </w:pPr>
            <w:r>
              <w:rPr>
                <w:rFonts w:ascii="宋体" w:hAnsi="宋体" w:cs="宋体" w:eastAsia="宋体" w:hint="default"/>
                <w:sz w:val="18"/>
                <w:szCs w:val="18"/>
              </w:rPr>
              <w:t>课题研究费</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7"/>
              <w:jc w:val="right"/>
              <w:rPr>
                <w:rFonts w:ascii="Times New Roman" w:hAnsi="Times New Roman" w:cs="Times New Roman" w:eastAsia="Times New Roman" w:hint="default"/>
                <w:sz w:val="18"/>
                <w:szCs w:val="18"/>
              </w:rPr>
            </w:pPr>
            <w:r>
              <w:rPr>
                <w:rFonts w:ascii="Times New Roman"/>
                <w:spacing w:val="-1"/>
                <w:sz w:val="18"/>
              </w:rPr>
              <w:t>3,000,000.00</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40"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7"/>
              <w:jc w:val="right"/>
              <w:rPr>
                <w:rFonts w:ascii="Times New Roman" w:hAnsi="Times New Roman" w:cs="Times New Roman" w:eastAsia="Times New Roman" w:hint="default"/>
                <w:sz w:val="18"/>
                <w:szCs w:val="18"/>
              </w:rPr>
            </w:pPr>
            <w:r>
              <w:rPr>
                <w:rFonts w:ascii="Times New Roman"/>
                <w:spacing w:val="-1"/>
                <w:sz w:val="18"/>
              </w:rPr>
              <w:t>51,096,390.00</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8"/>
              <w:jc w:val="right"/>
              <w:rPr>
                <w:rFonts w:ascii="Times New Roman" w:hAnsi="Times New Roman" w:cs="Times New Roman" w:eastAsia="Times New Roman" w:hint="default"/>
                <w:sz w:val="18"/>
                <w:szCs w:val="18"/>
              </w:rPr>
            </w:pPr>
            <w:r>
              <w:rPr>
                <w:rFonts w:ascii="Times New Roman"/>
                <w:sz w:val="18"/>
              </w:rPr>
              <w:t>699,066.66</w:t>
            </w:r>
          </w:p>
        </w:tc>
      </w:tr>
      <w:tr>
        <w:trPr>
          <w:trHeight w:val="440"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7"/>
              <w:jc w:val="right"/>
              <w:rPr>
                <w:rFonts w:ascii="Times New Roman" w:hAnsi="Times New Roman" w:cs="Times New Roman" w:eastAsia="Times New Roman" w:hint="default"/>
                <w:sz w:val="18"/>
                <w:szCs w:val="18"/>
              </w:rPr>
            </w:pPr>
            <w:r>
              <w:rPr>
                <w:rFonts w:ascii="Times New Roman"/>
                <w:spacing w:val="-1"/>
                <w:sz w:val="18"/>
              </w:rPr>
              <w:t>7,070,155.89</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9"/>
              <w:jc w:val="right"/>
              <w:rPr>
                <w:rFonts w:ascii="Times New Roman" w:hAnsi="Times New Roman" w:cs="Times New Roman" w:eastAsia="Times New Roman" w:hint="default"/>
                <w:sz w:val="18"/>
                <w:szCs w:val="18"/>
              </w:rPr>
            </w:pPr>
            <w:r>
              <w:rPr>
                <w:rFonts w:ascii="Times New Roman"/>
                <w:spacing w:val="-1"/>
                <w:sz w:val="18"/>
              </w:rPr>
              <w:t>7,476,148.03</w:t>
            </w:r>
          </w:p>
        </w:tc>
      </w:tr>
      <w:tr>
        <w:trPr>
          <w:trHeight w:val="315" w:hRule="exact"/>
        </w:trPr>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5"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109,524,615.41</w:t>
            </w:r>
            <w:r>
              <w:rPr>
                <w:rFonts w:ascii="Times New Roman"/>
                <w:spacing w:val="-1"/>
                <w:sz w:val="18"/>
              </w:rPr>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46,720,014.64</w:t>
            </w:r>
            <w:r>
              <w:rPr>
                <w:rFonts w:ascii="Times New Roman"/>
                <w:spacing w:val="-1"/>
                <w:sz w:val="18"/>
              </w:rPr>
            </w: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t>（</w:t>
      </w:r>
      <w:r>
        <w:rPr>
          <w:rFonts w:ascii="Times New Roman" w:hAnsi="Times New Roman" w:cs="Times New Roman" w:eastAsia="Times New Roman" w:hint="default"/>
        </w:rPr>
        <w:t>6</w:t>
      </w:r>
      <w:r>
        <w:rPr/>
        <w:t>）期末其他应收款金额前五名情况</w:t>
      </w:r>
    </w:p>
    <w:p>
      <w:pPr>
        <w:spacing w:line="240" w:lineRule="auto" w:before="8"/>
        <w:rPr>
          <w:rFonts w:ascii="宋体" w:hAnsi="宋体" w:cs="宋体" w:eastAsia="宋体" w:hint="default"/>
          <w:sz w:val="29"/>
          <w:szCs w:val="29"/>
        </w:rPr>
      </w:pPr>
    </w:p>
    <w:tbl>
      <w:tblPr>
        <w:tblW w:w="0" w:type="auto"/>
        <w:jc w:val="left"/>
        <w:tblInd w:w="1418" w:type="dxa"/>
        <w:tblLayout w:type="fixed"/>
        <w:tblCellMar>
          <w:top w:w="0" w:type="dxa"/>
          <w:left w:w="0" w:type="dxa"/>
          <w:bottom w:w="0" w:type="dxa"/>
          <w:right w:w="0" w:type="dxa"/>
        </w:tblCellMar>
        <w:tblLook w:val="01E0"/>
      </w:tblPr>
      <w:tblGrid>
        <w:gridCol w:w="2203"/>
        <w:gridCol w:w="1387"/>
        <w:gridCol w:w="1309"/>
        <w:gridCol w:w="1461"/>
        <w:gridCol w:w="1553"/>
        <w:gridCol w:w="1302"/>
      </w:tblGrid>
      <w:tr>
        <w:trPr>
          <w:trHeight w:val="646" w:hRule="exact"/>
        </w:trPr>
        <w:tc>
          <w:tcPr>
            <w:tcW w:w="220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82" w:right="0"/>
              <w:jc w:val="center"/>
              <w:rPr>
                <w:rFonts w:ascii="宋体" w:hAnsi="宋体" w:cs="宋体" w:eastAsia="宋体" w:hint="default"/>
                <w:sz w:val="15"/>
                <w:szCs w:val="15"/>
              </w:rPr>
            </w:pPr>
            <w:r>
              <w:rPr>
                <w:rFonts w:ascii="宋体" w:hAnsi="宋体" w:cs="宋体" w:eastAsia="宋体" w:hint="default"/>
                <w:b/>
                <w:bCs/>
                <w:sz w:val="15"/>
                <w:szCs w:val="15"/>
              </w:rPr>
              <w:t>单位名称</w:t>
            </w:r>
            <w:r>
              <w:rPr>
                <w:rFonts w:ascii="宋体" w:hAnsi="宋体" w:cs="宋体" w:eastAsia="宋体" w:hint="default"/>
                <w:sz w:val="15"/>
                <w:szCs w:val="15"/>
              </w:rPr>
            </w:r>
          </w:p>
        </w:tc>
        <w:tc>
          <w:tcPr>
            <w:tcW w:w="1387"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66" w:right="0"/>
              <w:jc w:val="left"/>
              <w:rPr>
                <w:rFonts w:ascii="宋体" w:hAnsi="宋体" w:cs="宋体" w:eastAsia="宋体" w:hint="default"/>
                <w:sz w:val="15"/>
                <w:szCs w:val="15"/>
              </w:rPr>
            </w:pPr>
            <w:r>
              <w:rPr>
                <w:rFonts w:ascii="宋体" w:hAnsi="宋体" w:cs="宋体" w:eastAsia="宋体" w:hint="default"/>
                <w:b/>
                <w:bCs/>
                <w:sz w:val="15"/>
                <w:szCs w:val="15"/>
              </w:rPr>
              <w:t>款项性质</w:t>
            </w:r>
            <w:r>
              <w:rPr>
                <w:rFonts w:ascii="宋体" w:hAnsi="宋体" w:cs="宋体" w:eastAsia="宋体" w:hint="default"/>
                <w:sz w:val="15"/>
                <w:szCs w:val="15"/>
              </w:rPr>
            </w:r>
          </w:p>
        </w:tc>
        <w:tc>
          <w:tcPr>
            <w:tcW w:w="1309"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48"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461"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64" w:right="0"/>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553" w:type="dxa"/>
            <w:tcBorders>
              <w:top w:val="nil" w:sz="6" w:space="0" w:color="auto"/>
              <w:left w:val="nil" w:sz="6" w:space="0" w:color="auto"/>
              <w:bottom w:val="single" w:sz="6" w:space="0" w:color="000000"/>
              <w:right w:val="nil" w:sz="6" w:space="0" w:color="auto"/>
            </w:tcBorders>
          </w:tcPr>
          <w:p>
            <w:pPr>
              <w:pStyle w:val="TableParagraph"/>
              <w:spacing w:line="150" w:lineRule="exact"/>
              <w:ind w:left="39" w:right="0"/>
              <w:jc w:val="center"/>
              <w:rPr>
                <w:rFonts w:ascii="宋体" w:hAnsi="宋体" w:cs="宋体" w:eastAsia="宋体" w:hint="default"/>
                <w:sz w:val="15"/>
                <w:szCs w:val="15"/>
              </w:rPr>
            </w:pPr>
            <w:r>
              <w:rPr>
                <w:rFonts w:ascii="宋体" w:hAnsi="宋体" w:cs="宋体" w:eastAsia="宋体" w:hint="default"/>
                <w:b/>
                <w:bCs/>
                <w:sz w:val="15"/>
                <w:szCs w:val="15"/>
              </w:rPr>
              <w:t>占其他应收款</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5"/>
                <w:szCs w:val="15"/>
              </w:rPr>
            </w:pPr>
            <w:r>
              <w:rPr>
                <w:rFonts w:ascii="宋体" w:hAnsi="宋体" w:cs="宋体" w:eastAsia="宋体" w:hint="default"/>
                <w:b/>
                <w:bCs/>
                <w:sz w:val="15"/>
                <w:szCs w:val="15"/>
              </w:rPr>
              <w:t>总额的比例（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302" w:type="dxa"/>
            <w:tcBorders>
              <w:top w:val="nil" w:sz="6" w:space="0" w:color="auto"/>
              <w:left w:val="nil" w:sz="6" w:space="0" w:color="auto"/>
              <w:bottom w:val="single" w:sz="6" w:space="0" w:color="000000"/>
              <w:right w:val="nil" w:sz="6" w:space="0" w:color="auto"/>
            </w:tcBorders>
          </w:tcPr>
          <w:p>
            <w:pPr>
              <w:pStyle w:val="TableParagraph"/>
              <w:spacing w:line="150" w:lineRule="exact"/>
              <w:ind w:left="351"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51"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508" w:hRule="exact"/>
        </w:trPr>
        <w:tc>
          <w:tcPr>
            <w:tcW w:w="22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方小奇</w:t>
            </w:r>
          </w:p>
        </w:tc>
        <w:tc>
          <w:tcPr>
            <w:tcW w:w="1387"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309"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pacing w:val="-1"/>
                <w:sz w:val="15"/>
              </w:rPr>
              <w:t>50,000,000.00</w:t>
            </w:r>
          </w:p>
        </w:tc>
        <w:tc>
          <w:tcPr>
            <w:tcW w:w="1461"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53"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45.65</w:t>
            </w:r>
          </w:p>
        </w:tc>
        <w:tc>
          <w:tcPr>
            <w:tcW w:w="1302"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9"/>
              <w:jc w:val="right"/>
              <w:rPr>
                <w:rFonts w:ascii="Times New Roman" w:hAnsi="Times New Roman" w:cs="Times New Roman" w:eastAsia="Times New Roman" w:hint="default"/>
                <w:sz w:val="15"/>
                <w:szCs w:val="15"/>
              </w:rPr>
            </w:pPr>
            <w:r>
              <w:rPr>
                <w:rFonts w:ascii="Times New Roman"/>
                <w:spacing w:val="-1"/>
                <w:sz w:val="15"/>
              </w:rPr>
              <w:t>500,000.00</w:t>
            </w:r>
          </w:p>
        </w:tc>
      </w:tr>
      <w:tr>
        <w:trPr>
          <w:trHeight w:val="440"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5"/>
                <w:szCs w:val="15"/>
              </w:rPr>
            </w:pPr>
            <w:r>
              <w:rPr>
                <w:rFonts w:ascii="宋体" w:hAnsi="宋体" w:cs="宋体" w:eastAsia="宋体" w:hint="default"/>
                <w:sz w:val="15"/>
                <w:szCs w:val="15"/>
              </w:rPr>
              <w:t>北京神奇领域信息技术有限公司</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3"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pacing w:val="-1"/>
                <w:sz w:val="15"/>
              </w:rPr>
              <w:t>25,000,000.00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22.83</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9"/>
              <w:jc w:val="right"/>
              <w:rPr>
                <w:rFonts w:ascii="Times New Roman" w:hAnsi="Times New Roman" w:cs="Times New Roman" w:eastAsia="Times New Roman" w:hint="default"/>
                <w:sz w:val="15"/>
                <w:szCs w:val="15"/>
              </w:rPr>
            </w:pPr>
            <w:r>
              <w:rPr>
                <w:rFonts w:ascii="Times New Roman"/>
                <w:spacing w:val="-1"/>
                <w:sz w:val="15"/>
              </w:rPr>
              <w:t>250,000.00</w:t>
            </w:r>
          </w:p>
        </w:tc>
      </w:tr>
      <w:tr>
        <w:trPr>
          <w:trHeight w:val="440"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5"/>
                <w:szCs w:val="15"/>
              </w:rPr>
            </w:pPr>
            <w:r>
              <w:rPr>
                <w:rFonts w:ascii="宋体" w:hAnsi="宋体" w:cs="宋体" w:eastAsia="宋体" w:hint="default"/>
                <w:sz w:val="15"/>
                <w:szCs w:val="15"/>
              </w:rPr>
              <w:t>北京北方天舟文化有限公司</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3"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pacing w:val="-1"/>
                <w:sz w:val="15"/>
              </w:rPr>
              <w:t>9,462,002.77</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8.64</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09"/>
              <w:jc w:val="right"/>
              <w:rPr>
                <w:rFonts w:ascii="Times New Roman" w:hAnsi="Times New Roman" w:cs="Times New Roman" w:eastAsia="Times New Roman" w:hint="default"/>
                <w:sz w:val="15"/>
                <w:szCs w:val="15"/>
              </w:rPr>
            </w:pPr>
            <w:r>
              <w:rPr>
                <w:rFonts w:ascii="Times New Roman"/>
                <w:spacing w:val="-1"/>
                <w:sz w:val="15"/>
              </w:rPr>
              <w:t>94,620.03</w:t>
            </w:r>
          </w:p>
        </w:tc>
      </w:tr>
      <w:tr>
        <w:trPr>
          <w:trHeight w:val="440"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left"/>
              <w:rPr>
                <w:rFonts w:ascii="Times New Roman" w:hAnsi="Times New Roman" w:cs="Times New Roman" w:eastAsia="Times New Roman" w:hint="default"/>
                <w:sz w:val="15"/>
                <w:szCs w:val="15"/>
              </w:rPr>
            </w:pPr>
            <w:r>
              <w:rPr>
                <w:rFonts w:ascii="Times New Roman"/>
                <w:sz w:val="15"/>
              </w:rPr>
              <w:t>APPNODE </w:t>
            </w:r>
            <w:r>
              <w:rPr>
                <w:rFonts w:ascii="Times New Roman"/>
                <w:spacing w:val="-3"/>
                <w:sz w:val="15"/>
              </w:rPr>
              <w:t>TANGLE </w:t>
            </w:r>
            <w:r>
              <w:rPr>
                <w:rFonts w:ascii="Times New Roman"/>
                <w:sz w:val="15"/>
              </w:rPr>
              <w:t>C </w:t>
            </w:r>
            <w:r>
              <w:rPr>
                <w:rFonts w:ascii="Times New Roman"/>
                <w:spacing w:val="-5"/>
                <w:sz w:val="15"/>
              </w:rPr>
              <w:t>LTD</w:t>
            </w:r>
            <w:r>
              <w:rPr>
                <w:rFonts w:ascii="Times New Roman"/>
                <w:sz w:val="15"/>
              </w:rPr>
              <w:t> (HK)</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3" w:right="0"/>
              <w:jc w:val="left"/>
              <w:rPr>
                <w:rFonts w:ascii="宋体" w:hAnsi="宋体" w:cs="宋体" w:eastAsia="宋体" w:hint="default"/>
                <w:sz w:val="15"/>
                <w:szCs w:val="15"/>
              </w:rPr>
            </w:pPr>
            <w:r>
              <w:rPr>
                <w:rFonts w:ascii="宋体" w:hAnsi="宋体" w:cs="宋体" w:eastAsia="宋体" w:hint="default"/>
                <w:sz w:val="15"/>
                <w:szCs w:val="15"/>
              </w:rPr>
              <w:t>往来款</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pacing w:val="-1"/>
                <w:sz w:val="15"/>
              </w:rPr>
              <w:t>7,373,635.50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6.73</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03" w:right="0"/>
              <w:jc w:val="left"/>
              <w:rPr>
                <w:rFonts w:ascii="Times New Roman" w:hAnsi="Times New Roman" w:cs="Times New Roman" w:eastAsia="Times New Roman" w:hint="default"/>
                <w:sz w:val="15"/>
                <w:szCs w:val="15"/>
              </w:rPr>
            </w:pPr>
            <w:r>
              <w:rPr>
                <w:rFonts w:ascii="Times New Roman"/>
                <w:sz w:val="15"/>
              </w:rPr>
              <w:t>73,736.36</w:t>
            </w:r>
          </w:p>
        </w:tc>
      </w:tr>
      <w:tr>
        <w:trPr>
          <w:trHeight w:val="440"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5"/>
                <w:szCs w:val="15"/>
              </w:rPr>
            </w:pPr>
            <w:r>
              <w:rPr>
                <w:rFonts w:ascii="宋体" w:hAnsi="宋体" w:cs="宋体" w:eastAsia="宋体" w:hint="default"/>
                <w:sz w:val="15"/>
                <w:szCs w:val="15"/>
              </w:rPr>
              <w:t>杭州派娱科技有限公司</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pacing w:val="-1"/>
                <w:sz w:val="15"/>
              </w:rPr>
              <w:t>7,000,000.00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6.39</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29" w:right="0"/>
              <w:jc w:val="left"/>
              <w:rPr>
                <w:rFonts w:ascii="Times New Roman" w:hAnsi="Times New Roman" w:cs="Times New Roman" w:eastAsia="Times New Roman" w:hint="default"/>
                <w:sz w:val="15"/>
                <w:szCs w:val="15"/>
              </w:rPr>
            </w:pPr>
            <w:r>
              <w:rPr>
                <w:rFonts w:ascii="Times New Roman"/>
                <w:sz w:val="15"/>
              </w:rPr>
              <w:t>350,000.00</w:t>
            </w:r>
          </w:p>
        </w:tc>
      </w:tr>
      <w:tr>
        <w:trPr>
          <w:trHeight w:val="299"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2"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387"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25"/>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thick" w:color="000000"/>
              </w:rPr>
              <w:t>98,835,638.27</w:t>
            </w:r>
            <w:r>
              <w:rPr>
                <w:rFonts w:ascii="Times New Roman"/>
                <w:spacing w:val="-1"/>
                <w:sz w:val="15"/>
              </w:rPr>
            </w:r>
          </w:p>
        </w:tc>
        <w:tc>
          <w:tcPr>
            <w:tcW w:w="1461"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90.24</w:t>
            </w:r>
            <w:r>
              <w:rPr>
                <w:rFonts w:ascii="Times New Roman"/>
                <w:sz w:val="15"/>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54"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thick" w:color="000000"/>
              </w:rPr>
              <w:t>1,268,356.39</w:t>
            </w:r>
            <w:r>
              <w:rPr>
                <w:rFonts w:ascii="Times New Roman"/>
                <w:sz w:val="15"/>
              </w:rPr>
            </w:r>
          </w:p>
        </w:tc>
      </w:tr>
    </w:tbl>
    <w:p>
      <w:pPr>
        <w:spacing w:after="0" w:line="240" w:lineRule="auto"/>
        <w:jc w:val="left"/>
        <w:rPr>
          <w:rFonts w:ascii="Times New Roman" w:hAnsi="Times New Roman" w:cs="Times New Roman" w:eastAsia="Times New Roman" w:hint="default"/>
          <w:sz w:val="15"/>
          <w:szCs w:val="15"/>
        </w:rPr>
        <w:sectPr>
          <w:type w:val="continuous"/>
          <w:pgSz w:w="11910" w:h="16840"/>
          <w:pgMar w:top="780" w:bottom="840" w:left="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t>（</w:t>
      </w:r>
      <w:r>
        <w:rPr>
          <w:rFonts w:ascii="Times New Roman" w:hAnsi="Times New Roman" w:cs="Times New Roman" w:eastAsia="Times New Roman" w:hint="default"/>
        </w:rPr>
        <w:t>7</w:t>
      </w:r>
      <w:r>
        <w:rPr/>
        <w:t>）本期无因金融资产转移而终止确认的其他应收款。</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8</w:t>
      </w:r>
      <w:r>
        <w:rPr/>
        <w:t>）期末无因其他应收款转移而继续涉入形成的资产、负债。</w:t>
      </w:r>
    </w:p>
    <w:p>
      <w:pPr>
        <w:spacing w:line="240" w:lineRule="auto" w:before="5"/>
        <w:rPr>
          <w:rFonts w:ascii="宋体" w:hAnsi="宋体" w:cs="宋体" w:eastAsia="宋体" w:hint="default"/>
          <w:sz w:val="20"/>
          <w:szCs w:val="20"/>
        </w:rPr>
      </w:pPr>
    </w:p>
    <w:p>
      <w:pPr>
        <w:pStyle w:val="BodyText"/>
        <w:spacing w:line="240" w:lineRule="auto"/>
        <w:ind w:right="1117"/>
        <w:jc w:val="left"/>
      </w:pPr>
      <w:r>
        <w:rPr/>
        <w:t>（</w:t>
      </w:r>
      <w:r>
        <w:rPr>
          <w:rFonts w:ascii="Times New Roman" w:hAnsi="Times New Roman" w:cs="Times New Roman" w:eastAsia="Times New Roman" w:hint="default"/>
        </w:rPr>
        <w:t>9</w:t>
      </w:r>
      <w:r>
        <w:rPr/>
        <w:t>）期末无应收政府补助款。</w:t>
      </w:r>
    </w:p>
    <w:p>
      <w:pPr>
        <w:spacing w:line="240" w:lineRule="auto" w:before="6"/>
        <w:rPr>
          <w:rFonts w:ascii="宋体" w:hAnsi="宋体" w:cs="宋体" w:eastAsia="宋体" w:hint="default"/>
          <w:sz w:val="20"/>
          <w:szCs w:val="20"/>
        </w:rPr>
      </w:pPr>
    </w:p>
    <w:p>
      <w:pPr>
        <w:pStyle w:val="BodyText"/>
        <w:spacing w:line="240" w:lineRule="auto"/>
        <w:ind w:right="1117"/>
        <w:jc w:val="left"/>
      </w:pPr>
      <w:bookmarkStart w:name="3.长期股权投资" w:id="274"/>
      <w:bookmarkEnd w:id="274"/>
      <w:r>
        <w:rPr/>
      </w:r>
      <w:r>
        <w:rPr>
          <w:rFonts w:ascii="Times New Roman" w:hAnsi="Times New Roman" w:cs="Times New Roman" w:eastAsia="Times New Roman" w:hint="default"/>
        </w:rPr>
        <w:t>3.</w:t>
      </w:r>
      <w:r>
        <w:rPr/>
        <w:t>长期股权投资</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9" w:top="1060" w:bottom="1160" w:left="0" w:right="0"/>
        </w:sectPr>
      </w:pPr>
    </w:p>
    <w:p>
      <w:pPr>
        <w:spacing w:line="240" w:lineRule="auto" w:before="2"/>
        <w:rPr>
          <w:rFonts w:ascii="宋体" w:hAnsi="宋体" w:cs="宋体" w:eastAsia="宋体" w:hint="default"/>
          <w:sz w:val="20"/>
          <w:szCs w:val="20"/>
        </w:rPr>
      </w:pPr>
    </w:p>
    <w:p>
      <w:pPr>
        <w:pStyle w:val="Heading6"/>
        <w:tabs>
          <w:tab w:pos="6804" w:val="left" w:leader="none"/>
        </w:tabs>
        <w:spacing w:line="240" w:lineRule="auto"/>
        <w:ind w:left="3205" w:right="0"/>
        <w:jc w:val="left"/>
        <w:rPr>
          <w:b w:val="0"/>
          <w:bCs w:val="0"/>
        </w:rPr>
      </w:pPr>
      <w:r>
        <w:rPr>
          <w:w w:val="95"/>
        </w:rPr>
        <w:t>被投资单位名称</w:t>
        <w:tab/>
        <w:t>期初余额</w:t>
      </w:r>
      <w:r>
        <w:rPr>
          <w:b w:val="0"/>
          <w:bCs w:val="0"/>
        </w:rPr>
      </w:r>
    </w:p>
    <w:p>
      <w:pPr>
        <w:pStyle w:val="Heading6"/>
        <w:tabs>
          <w:tab w:pos="2155" w:val="left" w:leader="none"/>
        </w:tabs>
        <w:spacing w:line="448" w:lineRule="auto" w:before="44"/>
        <w:ind w:left="769" w:right="1459" w:firstLine="477"/>
        <w:jc w:val="left"/>
        <w:rPr>
          <w:b w:val="0"/>
          <w:bCs w:val="0"/>
        </w:rPr>
      </w:pPr>
      <w:r>
        <w:rPr>
          <w:b w:val="0"/>
          <w:bCs w:val="0"/>
        </w:rPr>
        <w:br w:type="column"/>
      </w:r>
      <w:r>
        <w:rPr/>
        <w:t>本期增减变动</w:t>
      </w:r>
      <w:r>
        <w:rPr>
          <w:w w:val="99"/>
        </w:rPr>
        <w:t> </w:t>
      </w:r>
      <w:r>
        <w:rPr>
          <w:w w:val="95"/>
        </w:rPr>
        <w:t>追加投资</w:t>
        <w:tab/>
      </w:r>
      <w:r>
        <w:rPr/>
        <w:t>减少投资</w:t>
      </w:r>
      <w:r>
        <w:rPr>
          <w:b w:val="0"/>
          <w:bCs w:val="0"/>
        </w:rPr>
      </w:r>
    </w:p>
    <w:p>
      <w:pPr>
        <w:spacing w:after="0" w:line="448" w:lineRule="auto"/>
        <w:jc w:val="left"/>
        <w:sectPr>
          <w:type w:val="continuous"/>
          <w:pgSz w:w="11910" w:h="16840"/>
          <w:pgMar w:top="780" w:bottom="840" w:left="0" w:right="0"/>
          <w:cols w:num="2" w:equalWidth="0">
            <w:col w:w="7527" w:space="40"/>
            <w:col w:w="4343"/>
          </w:cols>
        </w:sectPr>
      </w:pPr>
    </w:p>
    <w:tbl>
      <w:tblPr>
        <w:tblW w:w="0" w:type="auto"/>
        <w:jc w:val="left"/>
        <w:tblInd w:w="1383" w:type="dxa"/>
        <w:tblLayout w:type="fixed"/>
        <w:tblCellMar>
          <w:top w:w="0" w:type="dxa"/>
          <w:left w:w="0" w:type="dxa"/>
          <w:bottom w:w="0" w:type="dxa"/>
          <w:right w:w="0" w:type="dxa"/>
        </w:tblCellMar>
        <w:tblLook w:val="01E0"/>
      </w:tblPr>
      <w:tblGrid>
        <w:gridCol w:w="4899"/>
        <w:gridCol w:w="1745"/>
        <w:gridCol w:w="1326"/>
      </w:tblGrid>
      <w:tr>
        <w:trPr>
          <w:trHeight w:val="415"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怀化天舟教育有限责任公司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3"/>
              <w:jc w:val="right"/>
              <w:rPr>
                <w:rFonts w:ascii="Times New Roman" w:hAnsi="Times New Roman" w:cs="Times New Roman" w:eastAsia="Times New Roman" w:hint="default"/>
                <w:sz w:val="18"/>
                <w:szCs w:val="18"/>
              </w:rPr>
            </w:pPr>
            <w:r>
              <w:rPr>
                <w:rFonts w:ascii="Times New Roman"/>
                <w:spacing w:val="-1"/>
                <w:sz w:val="18"/>
              </w:rPr>
              <w:t>5,692,958.55</w:t>
            </w:r>
          </w:p>
        </w:tc>
        <w:tc>
          <w:tcPr>
            <w:tcW w:w="1326" w:type="dxa"/>
            <w:vMerge w:val="restart"/>
            <w:tcBorders>
              <w:top w:val="nil" w:sz="6" w:space="0" w:color="auto"/>
              <w:left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北京北方天舟文化有限公司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Times New Roman" w:hAnsi="Times New Roman" w:cs="Times New Roman" w:eastAsia="Times New Roman" w:hint="default"/>
                <w:sz w:val="18"/>
                <w:szCs w:val="18"/>
              </w:rPr>
            </w:pPr>
            <w:r>
              <w:rPr>
                <w:rFonts w:ascii="Times New Roman"/>
                <w:spacing w:val="-1"/>
                <w:sz w:val="18"/>
              </w:rPr>
              <w:t>5,000,000.00</w:t>
            </w:r>
          </w:p>
        </w:tc>
        <w:tc>
          <w:tcPr>
            <w:tcW w:w="1326" w:type="dxa"/>
            <w:vMerge/>
            <w:tcBorders>
              <w:left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广州天瑞文化传播有限公司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3"/>
              <w:jc w:val="right"/>
              <w:rPr>
                <w:rFonts w:ascii="Times New Roman" w:hAnsi="Times New Roman" w:cs="Times New Roman" w:eastAsia="Times New Roman" w:hint="default"/>
                <w:sz w:val="18"/>
                <w:szCs w:val="18"/>
              </w:rPr>
            </w:pPr>
            <w:r>
              <w:rPr>
                <w:rFonts w:ascii="Times New Roman"/>
                <w:spacing w:val="-1"/>
                <w:sz w:val="18"/>
              </w:rPr>
              <w:t>1,800,000.00</w:t>
            </w:r>
          </w:p>
        </w:tc>
        <w:tc>
          <w:tcPr>
            <w:tcW w:w="1326" w:type="dxa"/>
            <w:vMerge/>
            <w:tcBorders>
              <w:left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北京永载文化有限公司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3"/>
              <w:jc w:val="right"/>
              <w:rPr>
                <w:rFonts w:ascii="Times New Roman" w:hAnsi="Times New Roman" w:cs="Times New Roman" w:eastAsia="Times New Roman" w:hint="default"/>
                <w:sz w:val="18"/>
                <w:szCs w:val="18"/>
              </w:rPr>
            </w:pPr>
            <w:r>
              <w:rPr>
                <w:rFonts w:ascii="Times New Roman"/>
                <w:spacing w:val="-1"/>
                <w:sz w:val="18"/>
              </w:rPr>
              <w:t>2,550,000.00</w:t>
            </w:r>
          </w:p>
        </w:tc>
        <w:tc>
          <w:tcPr>
            <w:tcW w:w="1326" w:type="dxa"/>
            <w:vMerge/>
            <w:tcBorders>
              <w:left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北京神奇时代网络有限公司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5"/>
              <w:jc w:val="right"/>
              <w:rPr>
                <w:rFonts w:ascii="Times New Roman" w:hAnsi="Times New Roman" w:cs="Times New Roman" w:eastAsia="Times New Roman" w:hint="default"/>
                <w:sz w:val="18"/>
                <w:szCs w:val="18"/>
              </w:rPr>
            </w:pPr>
            <w:r>
              <w:rPr>
                <w:rFonts w:ascii="Times New Roman"/>
                <w:spacing w:val="-1"/>
                <w:sz w:val="18"/>
              </w:rPr>
              <w:t>1,254,000,000.00</w:t>
            </w:r>
          </w:p>
        </w:tc>
        <w:tc>
          <w:tcPr>
            <w:tcW w:w="1326" w:type="dxa"/>
            <w:vMerge/>
            <w:tcBorders>
              <w:left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6.APPNODE </w:t>
            </w:r>
            <w:r>
              <w:rPr>
                <w:rFonts w:ascii="Times New Roman" w:hAnsi="Times New Roman" w:cs="Times New Roman" w:eastAsia="Times New Roman" w:hint="default"/>
                <w:spacing w:val="-3"/>
                <w:sz w:val="18"/>
                <w:szCs w:val="18"/>
              </w:rPr>
              <w:t>TANGLE COMPANY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3"/>
              <w:jc w:val="right"/>
              <w:rPr>
                <w:rFonts w:ascii="Times New Roman" w:hAnsi="Times New Roman" w:cs="Times New Roman" w:eastAsia="Times New Roman" w:hint="default"/>
                <w:sz w:val="18"/>
                <w:szCs w:val="18"/>
              </w:rPr>
            </w:pPr>
            <w:r>
              <w:rPr>
                <w:rFonts w:ascii="Times New Roman"/>
                <w:sz w:val="18"/>
              </w:rPr>
              <w:t>15,800.03</w:t>
            </w:r>
          </w:p>
        </w:tc>
        <w:tc>
          <w:tcPr>
            <w:tcW w:w="1326" w:type="dxa"/>
            <w:vMerge/>
            <w:tcBorders>
              <w:left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人民今典科教传媒有限公司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3"/>
              <w:jc w:val="right"/>
              <w:rPr>
                <w:rFonts w:ascii="Times New Roman" w:hAnsi="Times New Roman" w:cs="Times New Roman" w:eastAsia="Times New Roman" w:hint="default"/>
                <w:sz w:val="18"/>
                <w:szCs w:val="18"/>
              </w:rPr>
            </w:pPr>
            <w:r>
              <w:rPr>
                <w:rFonts w:ascii="Times New Roman"/>
                <w:spacing w:val="-1"/>
                <w:sz w:val="18"/>
              </w:rPr>
              <w:t>204,765,000.00</w:t>
            </w:r>
          </w:p>
        </w:tc>
        <w:tc>
          <w:tcPr>
            <w:tcW w:w="1326" w:type="dxa"/>
            <w:vMerge/>
            <w:tcBorders>
              <w:left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北京神奇领域信息技术有限公司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Times New Roman" w:hAnsi="Times New Roman" w:cs="Times New Roman" w:eastAsia="Times New Roman" w:hint="default"/>
                <w:sz w:val="18"/>
                <w:szCs w:val="18"/>
              </w:rPr>
            </w:pPr>
            <w:r>
              <w:rPr>
                <w:rFonts w:ascii="Times New Roman"/>
                <w:spacing w:val="-1"/>
                <w:sz w:val="18"/>
              </w:rPr>
              <w:t>10,000,000.00</w:t>
            </w:r>
          </w:p>
        </w:tc>
        <w:tc>
          <w:tcPr>
            <w:tcW w:w="1326" w:type="dxa"/>
            <w:vMerge/>
            <w:tcBorders>
              <w:left w:val="nil" w:sz="6" w:space="0" w:color="auto"/>
              <w:right w:val="nil" w:sz="6" w:space="0" w:color="auto"/>
            </w:tcBorders>
          </w:tcPr>
          <w:p>
            <w:pPr/>
          </w:p>
        </w:tc>
      </w:tr>
      <w:tr>
        <w:trPr>
          <w:trHeight w:val="441"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湖南天舟大课堂教育科技有限公司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3"/>
              <w:jc w:val="right"/>
              <w:rPr>
                <w:rFonts w:ascii="Times New Roman" w:hAnsi="Times New Roman" w:cs="Times New Roman" w:eastAsia="Times New Roman" w:hint="default"/>
                <w:sz w:val="18"/>
                <w:szCs w:val="18"/>
              </w:rPr>
            </w:pPr>
            <w:r>
              <w:rPr>
                <w:rFonts w:ascii="Times New Roman"/>
                <w:spacing w:val="-1"/>
                <w:sz w:val="18"/>
              </w:rPr>
              <w:t>1,750,000.00</w:t>
            </w:r>
          </w:p>
        </w:tc>
        <w:tc>
          <w:tcPr>
            <w:tcW w:w="1326" w:type="dxa"/>
            <w:vMerge/>
            <w:tcBorders>
              <w:left w:val="nil" w:sz="6" w:space="0" w:color="auto"/>
              <w:bottom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广州游爱网络技术有限公司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5"/>
              <w:jc w:val="right"/>
              <w:rPr>
                <w:rFonts w:ascii="Times New Roman" w:hAnsi="Times New Roman" w:cs="Times New Roman" w:eastAsia="Times New Roman" w:hint="default"/>
                <w:sz w:val="18"/>
                <w:szCs w:val="18"/>
              </w:rPr>
            </w:pPr>
            <w:r>
              <w:rPr>
                <w:rFonts w:ascii="Times New Roman"/>
                <w:spacing w:val="-1"/>
                <w:sz w:val="18"/>
              </w:rPr>
              <w:t>1,620,000,000.00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武汉中南天舟文化传媒有限公司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Times New Roman" w:hAnsi="Times New Roman" w:cs="Times New Roman" w:eastAsia="Times New Roman" w:hint="default"/>
                <w:sz w:val="18"/>
                <w:szCs w:val="18"/>
              </w:rPr>
            </w:pPr>
            <w:r>
              <w:rPr>
                <w:rFonts w:ascii="Times New Roman"/>
                <w:sz w:val="18"/>
              </w:rPr>
              <w:t>800,000.00</w:t>
            </w:r>
          </w:p>
        </w:tc>
        <w:tc>
          <w:tcPr>
            <w:tcW w:w="1326" w:type="dxa"/>
            <w:tcBorders>
              <w:top w:val="nil" w:sz="6" w:space="0" w:color="auto"/>
              <w:left w:val="nil" w:sz="6" w:space="0" w:color="auto"/>
              <w:bottom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湖南天舟游戏科技有限公司</w:t>
            </w:r>
          </w:p>
        </w:tc>
        <w:tc>
          <w:tcPr>
            <w:tcW w:w="1745"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pacing w:val="-1"/>
                <w:sz w:val="18"/>
              </w:rPr>
              <w:t>29,500,000.00</w:t>
            </w: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长沙琴石文化科技有限公司</w:t>
            </w:r>
          </w:p>
        </w:tc>
        <w:tc>
          <w:tcPr>
            <w:tcW w:w="1745"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4"/>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决胜教育科技集团股份有限公司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Times New Roman" w:hAnsi="Times New Roman" w:cs="Times New Roman" w:eastAsia="Times New Roman" w:hint="default"/>
                <w:sz w:val="18"/>
                <w:szCs w:val="18"/>
              </w:rPr>
            </w:pPr>
            <w:r>
              <w:rPr>
                <w:rFonts w:ascii="Times New Roman"/>
                <w:spacing w:val="-1"/>
                <w:sz w:val="18"/>
              </w:rPr>
              <w:t>167,474,363.52</w:t>
            </w:r>
          </w:p>
        </w:tc>
        <w:tc>
          <w:tcPr>
            <w:tcW w:w="1326" w:type="dxa"/>
            <w:tcBorders>
              <w:top w:val="nil" w:sz="6" w:space="0" w:color="auto"/>
              <w:left w:val="nil" w:sz="6" w:space="0" w:color="auto"/>
              <w:bottom w:val="nil" w:sz="6" w:space="0" w:color="auto"/>
              <w:right w:val="nil" w:sz="6" w:space="0" w:color="auto"/>
            </w:tcBorders>
          </w:tcPr>
          <w:p>
            <w:pP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人民天舟（北京）出版有限公司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3"/>
              <w:jc w:val="right"/>
              <w:rPr>
                <w:rFonts w:ascii="Times New Roman" w:hAnsi="Times New Roman" w:cs="Times New Roman" w:eastAsia="Times New Roman" w:hint="default"/>
                <w:sz w:val="18"/>
                <w:szCs w:val="18"/>
              </w:rPr>
            </w:pPr>
            <w:r>
              <w:rPr>
                <w:rFonts w:ascii="Times New Roman"/>
                <w:spacing w:val="-1"/>
                <w:sz w:val="18"/>
              </w:rPr>
              <w:t>2,797,822.67</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40"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宁波梅山保税港区合思益远投资合伙企业（有限合伙）</w:t>
            </w:r>
          </w:p>
        </w:tc>
        <w:tc>
          <w:tcPr>
            <w:tcW w:w="1745"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15" w:hRule="exact"/>
        </w:trPr>
        <w:tc>
          <w:tcPr>
            <w:tcW w:w="489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3,276,645,944.77</w:t>
            </w:r>
            <w:r>
              <w:rPr>
                <w:rFonts w:ascii="Times New Roman"/>
                <w:spacing w:val="-1"/>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165,000,000.00</w:t>
            </w:r>
            <w:r>
              <w:rPr>
                <w:rFonts w:ascii="Times New Roman"/>
                <w:spacing w:val="-1"/>
                <w:sz w:val="18"/>
              </w:rPr>
            </w:r>
          </w:p>
        </w:tc>
      </w:tr>
    </w:tbl>
    <w:p>
      <w:pPr>
        <w:spacing w:line="240" w:lineRule="auto" w:before="3"/>
        <w:rPr>
          <w:rFonts w:ascii="宋体" w:hAnsi="宋体" w:cs="宋体" w:eastAsia="宋体" w:hint="default"/>
          <w:b/>
          <w:bCs/>
          <w:sz w:val="23"/>
          <w:szCs w:val="23"/>
        </w:rPr>
      </w:pPr>
      <w:r>
        <w:rPr/>
        <w:pict>
          <v:group style="position:absolute;margin-left:65.279999pt;margin-top:219.199982pt;width:472.05pt;height:.5pt;mso-position-horizontal-relative:page;mso-position-vertical-relative:page;z-index:-946672" coordorigin="1306,4384" coordsize="9441,10">
            <v:group style="position:absolute;left:1310;top:4389;width:5056;height:2" coordorigin="1310,4389" coordsize="5056,2">
              <v:shape style="position:absolute;left:1310;top:4389;width:5056;height:2" coordorigin="1310,4389" coordsize="5056,0" path="m1310,4389l6366,4389e" filled="false" stroked="true" strokeweight=".48pt" strokecolor="#000000">
                <v:path arrowok="t"/>
              </v:shape>
            </v:group>
            <v:group style="position:absolute;left:6366;top:4389;width:10;height:2" coordorigin="6366,4389" coordsize="10,2">
              <v:shape style="position:absolute;left:6366;top:4389;width:10;height:2" coordorigin="6366,4389" coordsize="10,0" path="m6366,4389l6375,4389e" filled="false" stroked="true" strokeweight=".48pt" strokecolor="#000000">
                <v:path arrowok="t"/>
              </v:shape>
            </v:group>
            <v:group style="position:absolute;left:6375;top:4389;width:1595;height:2" coordorigin="6375,4389" coordsize="1595,2">
              <v:shape style="position:absolute;left:6375;top:4389;width:1595;height:2" coordorigin="6375,4389" coordsize="1595,0" path="m6375,4389l7970,4389e" filled="false" stroked="true" strokeweight=".48pt" strokecolor="#000000">
                <v:path arrowok="t"/>
              </v:shape>
            </v:group>
            <v:group style="position:absolute;left:7970;top:4389;width:10;height:2" coordorigin="7970,4389" coordsize="10,2">
              <v:shape style="position:absolute;left:7970;top:4389;width:10;height:2" coordorigin="7970,4389" coordsize="10,0" path="m7970,4389l7980,4389e" filled="false" stroked="true" strokeweight=".48pt" strokecolor="#000000">
                <v:path arrowok="t"/>
              </v:shape>
            </v:group>
            <v:group style="position:absolute;left:7980;top:4389;width:1448;height:2" coordorigin="7980,4389" coordsize="1448,2">
              <v:shape style="position:absolute;left:7980;top:4389;width:1448;height:2" coordorigin="7980,4389" coordsize="1448,0" path="m7980,4389l9427,4389e" filled="false" stroked="true" strokeweight=".48pt" strokecolor="#000000">
                <v:path arrowok="t"/>
              </v:shape>
            </v:group>
            <v:group style="position:absolute;left:9427;top:4389;width:10;height:2" coordorigin="9427,4389" coordsize="10,2">
              <v:shape style="position:absolute;left:9427;top:4389;width:10;height:2" coordorigin="9427,4389" coordsize="10,0" path="m9427,4389l9437,4389e" filled="false" stroked="true" strokeweight=".48pt" strokecolor="#000000">
                <v:path arrowok="t"/>
              </v:shape>
            </v:group>
            <v:group style="position:absolute;left:9437;top:4389;width:1305;height:2" coordorigin="9437,4389" coordsize="1305,2">
              <v:shape style="position:absolute;left:9437;top:4389;width:1305;height:2" coordorigin="9437,4389" coordsize="1305,0" path="m9437,4389l10741,4389e" filled="false" stroked="true" strokeweight=".48pt" strokecolor="#000000">
                <v:path arrowok="t"/>
              </v:shape>
            </v:group>
            <w10:wrap type="none"/>
          </v:group>
        </w:pict>
      </w:r>
    </w:p>
    <w:p>
      <w:pPr>
        <w:pStyle w:val="BodyText"/>
        <w:spacing w:line="240" w:lineRule="auto" w:before="44"/>
        <w:ind w:right="1117"/>
        <w:jc w:val="left"/>
      </w:pPr>
      <w:r>
        <w:rPr/>
        <w:t>接上表：</w:t>
      </w:r>
    </w:p>
    <w:p>
      <w:pPr>
        <w:spacing w:line="240" w:lineRule="auto" w:before="9"/>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2968"/>
        <w:gridCol w:w="2386"/>
        <w:gridCol w:w="2214"/>
        <w:gridCol w:w="1863"/>
      </w:tblGrid>
      <w:tr>
        <w:trPr>
          <w:trHeight w:val="310" w:hRule="exact"/>
        </w:trPr>
        <w:tc>
          <w:tcPr>
            <w:tcW w:w="2968"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Style w:val="TableParagraph"/>
              <w:spacing w:line="180" w:lineRule="exact"/>
              <w:ind w:left="1204"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c>
          <w:tcPr>
            <w:tcW w:w="22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402" w:hRule="exact"/>
        </w:trPr>
        <w:tc>
          <w:tcPr>
            <w:tcW w:w="296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52" w:right="0"/>
              <w:jc w:val="left"/>
              <w:rPr>
                <w:rFonts w:ascii="宋体" w:hAnsi="宋体" w:cs="宋体" w:eastAsia="宋体" w:hint="default"/>
                <w:sz w:val="18"/>
                <w:szCs w:val="18"/>
              </w:rPr>
            </w:pPr>
            <w:r>
              <w:rPr>
                <w:rFonts w:ascii="宋体" w:hAnsi="宋体" w:cs="宋体" w:eastAsia="宋体" w:hint="default"/>
                <w:b/>
                <w:bCs/>
                <w:sz w:val="18"/>
                <w:szCs w:val="18"/>
              </w:rPr>
              <w:t>权益法下确认的投资损益</w:t>
            </w:r>
            <w:r>
              <w:rPr>
                <w:rFonts w:ascii="宋体" w:hAnsi="宋体" w:cs="宋体" w:eastAsia="宋体" w:hint="default"/>
                <w:sz w:val="18"/>
                <w:szCs w:val="18"/>
              </w:rPr>
            </w:r>
          </w:p>
        </w:tc>
        <w:tc>
          <w:tcPr>
            <w:tcW w:w="238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429"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sz w:val="18"/>
                <w:szCs w:val="18"/>
              </w:rPr>
            </w: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12"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sz w:val="18"/>
                <w:szCs w:val="18"/>
              </w:rPr>
            </w: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618" w:right="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sz w:val="18"/>
                <w:szCs w:val="18"/>
              </w:rPr>
            </w:r>
          </w:p>
        </w:tc>
      </w:tr>
      <w:tr>
        <w:trPr>
          <w:trHeight w:val="718" w:hRule="exact"/>
        </w:trPr>
        <w:tc>
          <w:tcPr>
            <w:tcW w:w="2968" w:type="dxa"/>
            <w:tcBorders>
              <w:top w:val="single" w:sz="4" w:space="0" w:color="000000"/>
              <w:left w:val="nil" w:sz="6" w:space="0" w:color="auto"/>
              <w:bottom w:val="nil" w:sz="6" w:space="0" w:color="auto"/>
              <w:right w:val="nil" w:sz="6" w:space="0" w:color="auto"/>
            </w:tcBorders>
          </w:tcPr>
          <w:p>
            <w:pPr/>
          </w:p>
        </w:tc>
        <w:tc>
          <w:tcPr>
            <w:tcW w:w="2386" w:type="dxa"/>
            <w:tcBorders>
              <w:top w:val="single" w:sz="4" w:space="0" w:color="000000"/>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5"/>
              <w:jc w:val="right"/>
              <w:rPr>
                <w:rFonts w:ascii="Times New Roman" w:hAnsi="Times New Roman" w:cs="Times New Roman" w:eastAsia="Times New Roman" w:hint="default"/>
                <w:sz w:val="18"/>
                <w:szCs w:val="18"/>
              </w:rPr>
            </w:pPr>
            <w:r>
              <w:rPr>
                <w:rFonts w:ascii="Times New Roman"/>
                <w:spacing w:val="-1"/>
                <w:sz w:val="18"/>
              </w:rPr>
              <w:t>4,347,195.17</w:t>
            </w:r>
          </w:p>
        </w:tc>
      </w:tr>
      <w:tr>
        <w:trPr>
          <w:trHeight w:val="530" w:hRule="exact"/>
        </w:trPr>
        <w:tc>
          <w:tcPr>
            <w:tcW w:w="2968"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180,000.00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780" w:bottom="840" w:left="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6"/>
        <w:spacing w:line="240" w:lineRule="auto" w:before="44"/>
        <w:ind w:left="144" w:right="0"/>
        <w:jc w:val="center"/>
        <w:rPr>
          <w:b w:val="0"/>
          <w:bCs w:val="0"/>
        </w:rPr>
      </w:pPr>
      <w:r>
        <w:rPr/>
        <w:t>本期增减变动</w:t>
      </w:r>
      <w:r>
        <w:rPr>
          <w:b w:val="0"/>
          <w:bCs w:val="0"/>
        </w:rPr>
      </w:r>
    </w:p>
    <w:p>
      <w:pPr>
        <w:spacing w:line="240" w:lineRule="auto" w:before="12"/>
        <w:rPr>
          <w:rFonts w:ascii="宋体" w:hAnsi="宋体" w:cs="宋体" w:eastAsia="宋体" w:hint="default"/>
          <w:b/>
          <w:bCs/>
          <w:sz w:val="19"/>
          <w:szCs w:val="19"/>
        </w:rPr>
      </w:pPr>
    </w:p>
    <w:tbl>
      <w:tblPr>
        <w:tblW w:w="0" w:type="auto"/>
        <w:jc w:val="left"/>
        <w:tblInd w:w="1310" w:type="dxa"/>
        <w:tblLayout w:type="fixed"/>
        <w:tblCellMar>
          <w:top w:w="0" w:type="dxa"/>
          <w:left w:w="0" w:type="dxa"/>
          <w:bottom w:w="0" w:type="dxa"/>
          <w:right w:w="0" w:type="dxa"/>
        </w:tblCellMar>
        <w:tblLook w:val="01E0"/>
      </w:tblPr>
      <w:tblGrid>
        <w:gridCol w:w="2968"/>
        <w:gridCol w:w="2386"/>
        <w:gridCol w:w="2214"/>
        <w:gridCol w:w="1863"/>
      </w:tblGrid>
      <w:tr>
        <w:trPr>
          <w:trHeight w:val="271" w:hRule="exact"/>
        </w:trPr>
        <w:tc>
          <w:tcPr>
            <w:tcW w:w="2968" w:type="dxa"/>
            <w:tcBorders>
              <w:top w:val="nil" w:sz="6" w:space="0" w:color="auto"/>
              <w:left w:val="nil" w:sz="6" w:space="0" w:color="auto"/>
              <w:bottom w:val="single" w:sz="4" w:space="0" w:color="000000"/>
              <w:right w:val="nil" w:sz="6" w:space="0" w:color="auto"/>
            </w:tcBorders>
          </w:tcPr>
          <w:p>
            <w:pPr>
              <w:pStyle w:val="TableParagraph"/>
              <w:spacing w:line="180" w:lineRule="exact"/>
              <w:ind w:left="123" w:right="0"/>
              <w:jc w:val="center"/>
              <w:rPr>
                <w:rFonts w:ascii="宋体" w:hAnsi="宋体" w:cs="宋体" w:eastAsia="宋体" w:hint="default"/>
                <w:sz w:val="18"/>
                <w:szCs w:val="18"/>
              </w:rPr>
            </w:pPr>
            <w:r>
              <w:rPr>
                <w:rFonts w:ascii="宋体" w:hAnsi="宋体" w:cs="宋体" w:eastAsia="宋体" w:hint="default"/>
                <w:b/>
                <w:bCs/>
                <w:sz w:val="18"/>
                <w:szCs w:val="18"/>
              </w:rPr>
              <w:t>权益法下确认的投资损益</w:t>
            </w:r>
            <w:r>
              <w:rPr>
                <w:rFonts w:ascii="宋体" w:hAnsi="宋体" w:cs="宋体" w:eastAsia="宋体" w:hint="default"/>
                <w:sz w:val="18"/>
                <w:szCs w:val="18"/>
              </w:rPr>
            </w:r>
          </w:p>
        </w:tc>
        <w:tc>
          <w:tcPr>
            <w:tcW w:w="2386" w:type="dxa"/>
            <w:tcBorders>
              <w:top w:val="nil" w:sz="6" w:space="0" w:color="auto"/>
              <w:left w:val="nil" w:sz="6" w:space="0" w:color="auto"/>
              <w:bottom w:val="single" w:sz="4" w:space="0" w:color="000000"/>
              <w:right w:val="nil" w:sz="6" w:space="0" w:color="auto"/>
            </w:tcBorders>
          </w:tcPr>
          <w:p>
            <w:pPr>
              <w:pStyle w:val="TableParagraph"/>
              <w:spacing w:line="180" w:lineRule="exact"/>
              <w:ind w:left="429"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sz w:val="18"/>
                <w:szCs w:val="18"/>
              </w:rPr>
            </w: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sz w:val="18"/>
                <w:szCs w:val="18"/>
              </w:rPr>
            </w:r>
          </w:p>
        </w:tc>
        <w:tc>
          <w:tcPr>
            <w:tcW w:w="1863" w:type="dxa"/>
            <w:tcBorders>
              <w:top w:val="nil" w:sz="6" w:space="0" w:color="auto"/>
              <w:left w:val="nil" w:sz="6" w:space="0" w:color="auto"/>
              <w:bottom w:val="single" w:sz="4" w:space="0" w:color="000000"/>
              <w:right w:val="nil" w:sz="6" w:space="0" w:color="auto"/>
            </w:tcBorders>
          </w:tcPr>
          <w:p>
            <w:pPr>
              <w:pStyle w:val="TableParagraph"/>
              <w:spacing w:line="180" w:lineRule="exact"/>
              <w:ind w:left="618" w:right="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sz w:val="18"/>
                <w:szCs w:val="18"/>
              </w:rPr>
            </w:r>
          </w:p>
        </w:tc>
      </w:tr>
      <w:tr>
        <w:trPr>
          <w:trHeight w:val="719" w:hRule="exact"/>
        </w:trPr>
        <w:tc>
          <w:tcPr>
            <w:tcW w:w="2968" w:type="dxa"/>
            <w:tcBorders>
              <w:top w:val="single" w:sz="4" w:space="0" w:color="000000"/>
              <w:left w:val="nil" w:sz="6" w:space="0" w:color="auto"/>
              <w:bottom w:val="nil" w:sz="6" w:space="0" w:color="auto"/>
              <w:right w:val="nil" w:sz="6" w:space="0" w:color="auto"/>
            </w:tcBorders>
          </w:tcPr>
          <w:p>
            <w:pPr/>
          </w:p>
        </w:tc>
        <w:tc>
          <w:tcPr>
            <w:tcW w:w="2386" w:type="dxa"/>
            <w:tcBorders>
              <w:top w:val="single" w:sz="4" w:space="0" w:color="000000"/>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spacing w:val="-1"/>
                <w:sz w:val="18"/>
              </w:rPr>
              <w:t>370,972,632.88</w:t>
            </w:r>
          </w:p>
        </w:tc>
      </w:tr>
      <w:tr>
        <w:trPr>
          <w:trHeight w:val="1100" w:hRule="exact"/>
        </w:trPr>
        <w:tc>
          <w:tcPr>
            <w:tcW w:w="2968"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6,484,084.81</w:t>
            </w:r>
          </w:p>
        </w:tc>
      </w:tr>
      <w:tr>
        <w:trPr>
          <w:trHeight w:val="1540" w:hRule="exact"/>
        </w:trPr>
        <w:tc>
          <w:tcPr>
            <w:tcW w:w="2968"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98,134,888.22</w:t>
            </w:r>
          </w:p>
        </w:tc>
      </w:tr>
      <w:tr>
        <w:trPr>
          <w:trHeight w:val="1100"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-3,783,243.63</w:t>
            </w:r>
          </w:p>
        </w:tc>
        <w:tc>
          <w:tcPr>
            <w:tcW w:w="238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440"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22" w:right="0"/>
              <w:jc w:val="center"/>
              <w:rPr>
                <w:rFonts w:ascii="Times New Roman" w:hAnsi="Times New Roman" w:cs="Times New Roman" w:eastAsia="Times New Roman" w:hint="default"/>
                <w:sz w:val="18"/>
                <w:szCs w:val="18"/>
              </w:rPr>
            </w:pPr>
            <w:r>
              <w:rPr>
                <w:rFonts w:ascii="Times New Roman"/>
                <w:sz w:val="18"/>
              </w:rPr>
              <w:t>-1,705,479.41</w:t>
            </w:r>
          </w:p>
        </w:tc>
        <w:tc>
          <w:tcPr>
            <w:tcW w:w="238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440"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3" w:right="0"/>
              <w:jc w:val="center"/>
              <w:rPr>
                <w:rFonts w:ascii="Times New Roman" w:hAnsi="Times New Roman" w:cs="Times New Roman" w:eastAsia="Times New Roman" w:hint="default"/>
                <w:sz w:val="18"/>
                <w:szCs w:val="18"/>
              </w:rPr>
            </w:pPr>
            <w:r>
              <w:rPr>
                <w:rFonts w:ascii="Times New Roman"/>
                <w:sz w:val="18"/>
              </w:rPr>
              <w:t>-742,487.97</w:t>
            </w:r>
          </w:p>
        </w:tc>
        <w:tc>
          <w:tcPr>
            <w:tcW w:w="238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10"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4" w:right="0"/>
              <w:jc w:val="center"/>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-6,231,211.01</w:t>
            </w:r>
            <w:r>
              <w:rPr>
                <w:rFonts w:ascii="Times New Roman"/>
                <w:sz w:val="18"/>
              </w:rPr>
            </w:r>
          </w:p>
        </w:tc>
        <w:tc>
          <w:tcPr>
            <w:tcW w:w="238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480,118,801.08</w:t>
            </w:r>
            <w:r>
              <w:rPr>
                <w:rFonts w:ascii="Times New Roman"/>
                <w:spacing w:val="-1"/>
                <w:sz w:val="18"/>
              </w:rPr>
            </w:r>
          </w:p>
        </w:tc>
      </w:tr>
    </w:tbl>
    <w:p>
      <w:pPr>
        <w:spacing w:line="240" w:lineRule="auto" w:before="10"/>
        <w:rPr>
          <w:rFonts w:ascii="宋体" w:hAnsi="宋体" w:cs="宋体" w:eastAsia="宋体" w:hint="default"/>
          <w:b/>
          <w:bCs/>
          <w:sz w:val="29"/>
          <w:szCs w:val="29"/>
        </w:rPr>
      </w:pPr>
    </w:p>
    <w:p>
      <w:pPr>
        <w:pStyle w:val="BodyText"/>
        <w:spacing w:line="240" w:lineRule="auto" w:before="44"/>
        <w:ind w:right="1117"/>
        <w:jc w:val="left"/>
      </w:pPr>
      <w:r>
        <w:rPr/>
        <w:t>接上表：</w:t>
      </w:r>
    </w:p>
    <w:p>
      <w:pPr>
        <w:spacing w:line="240" w:lineRule="auto" w:before="10"/>
        <w:rPr>
          <w:rFonts w:ascii="宋体" w:hAnsi="宋体" w:cs="宋体" w:eastAsia="宋体" w:hint="default"/>
          <w:sz w:val="28"/>
          <w:szCs w:val="28"/>
        </w:rPr>
      </w:pPr>
    </w:p>
    <w:tbl>
      <w:tblPr>
        <w:tblW w:w="0" w:type="auto"/>
        <w:jc w:val="left"/>
        <w:tblInd w:w="1310" w:type="dxa"/>
        <w:tblLayout w:type="fixed"/>
        <w:tblCellMar>
          <w:top w:w="0" w:type="dxa"/>
          <w:left w:w="0" w:type="dxa"/>
          <w:bottom w:w="0" w:type="dxa"/>
          <w:right w:w="0" w:type="dxa"/>
        </w:tblCellMar>
        <w:tblLook w:val="01E0"/>
      </w:tblPr>
      <w:tblGrid>
        <w:gridCol w:w="2840"/>
        <w:gridCol w:w="4327"/>
        <w:gridCol w:w="2264"/>
      </w:tblGrid>
      <w:tr>
        <w:trPr>
          <w:trHeight w:val="200" w:hRule="exact"/>
        </w:trPr>
        <w:tc>
          <w:tcPr>
            <w:tcW w:w="9431"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999"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22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00" w:lineRule="exact"/>
              <w:ind w:right="633"/>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2264" w:type="dxa"/>
            <w:tcBorders>
              <w:top w:val="nil" w:sz="6" w:space="0" w:color="auto"/>
              <w:left w:val="nil" w:sz="6" w:space="0" w:color="auto"/>
              <w:bottom w:val="nil" w:sz="6" w:space="0" w:color="auto"/>
              <w:right w:val="nil" w:sz="6" w:space="0" w:color="auto"/>
            </w:tcBorders>
          </w:tcPr>
          <w:p>
            <w:pPr>
              <w:pStyle w:val="TableParagraph"/>
              <w:spacing w:line="200" w:lineRule="exact"/>
              <w:ind w:left="635" w:right="0"/>
              <w:jc w:val="left"/>
              <w:rPr>
                <w:rFonts w:ascii="宋体" w:hAnsi="宋体" w:cs="宋体" w:eastAsia="宋体" w:hint="default"/>
                <w:sz w:val="18"/>
                <w:szCs w:val="18"/>
              </w:rPr>
            </w:pPr>
            <w:r>
              <w:rPr>
                <w:rFonts w:ascii="宋体" w:hAnsi="宋体" w:cs="宋体" w:eastAsia="宋体" w:hint="default"/>
                <w:b/>
                <w:bCs/>
                <w:sz w:val="18"/>
                <w:szCs w:val="18"/>
              </w:rPr>
              <w:t>资产减值准备</w:t>
            </w:r>
            <w:r>
              <w:rPr>
                <w:rFonts w:ascii="宋体" w:hAnsi="宋体" w:cs="宋体" w:eastAsia="宋体" w:hint="default"/>
                <w:sz w:val="18"/>
                <w:szCs w:val="18"/>
              </w:rPr>
            </w:r>
          </w:p>
        </w:tc>
      </w:tr>
      <w:tr>
        <w:trPr>
          <w:trHeight w:val="292" w:hRule="exact"/>
        </w:trPr>
        <w:tc>
          <w:tcPr>
            <w:tcW w:w="2840" w:type="dxa"/>
            <w:tcBorders>
              <w:top w:val="nil" w:sz="6" w:space="0" w:color="auto"/>
              <w:left w:val="nil" w:sz="6" w:space="0" w:color="auto"/>
              <w:bottom w:val="single" w:sz="4" w:space="0" w:color="000000"/>
              <w:right w:val="nil" w:sz="6" w:space="0" w:color="auto"/>
            </w:tcBorders>
          </w:tcPr>
          <w:p>
            <w:pPr>
              <w:pStyle w:val="TableParagraph"/>
              <w:spacing w:line="200" w:lineRule="exact"/>
              <w:ind w:left="576"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sz w:val="18"/>
                <w:szCs w:val="18"/>
              </w:rPr>
            </w:r>
          </w:p>
        </w:tc>
        <w:tc>
          <w:tcPr>
            <w:tcW w:w="4327" w:type="dxa"/>
            <w:tcBorders>
              <w:top w:val="nil" w:sz="6" w:space="0" w:color="auto"/>
              <w:left w:val="nil" w:sz="6" w:space="0" w:color="auto"/>
              <w:bottom w:val="single" w:sz="4" w:space="0" w:color="000000"/>
              <w:right w:val="nil" w:sz="6" w:space="0" w:color="auto"/>
            </w:tcBorders>
          </w:tcPr>
          <w:p>
            <w:pPr>
              <w:pStyle w:val="TableParagraph"/>
              <w:spacing w:line="200" w:lineRule="exact"/>
              <w:ind w:left="819"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2264" w:type="dxa"/>
            <w:tcBorders>
              <w:top w:val="nil" w:sz="6" w:space="0" w:color="auto"/>
              <w:left w:val="nil" w:sz="6" w:space="0" w:color="auto"/>
              <w:bottom w:val="single" w:sz="4" w:space="0" w:color="000000"/>
              <w:right w:val="nil" w:sz="6" w:space="0" w:color="auto"/>
            </w:tcBorders>
          </w:tcPr>
          <w:p>
            <w:pPr/>
          </w:p>
        </w:tc>
      </w:tr>
      <w:tr>
        <w:trPr>
          <w:trHeight w:val="498" w:hRule="exact"/>
        </w:trPr>
        <w:tc>
          <w:tcPr>
            <w:tcW w:w="2840" w:type="dxa"/>
            <w:tcBorders>
              <w:top w:val="single" w:sz="4" w:space="0" w:color="000000"/>
              <w:left w:val="nil" w:sz="6" w:space="0" w:color="auto"/>
              <w:bottom w:val="nil" w:sz="6" w:space="0" w:color="auto"/>
              <w:right w:val="nil" w:sz="6" w:space="0" w:color="auto"/>
            </w:tcBorders>
          </w:tcPr>
          <w:p>
            <w:pPr/>
          </w:p>
        </w:tc>
        <w:tc>
          <w:tcPr>
            <w:tcW w:w="4327"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205"/>
              <w:jc w:val="right"/>
              <w:rPr>
                <w:rFonts w:ascii="Times New Roman" w:hAnsi="Times New Roman" w:cs="Times New Roman" w:eastAsia="Times New Roman" w:hint="default"/>
                <w:sz w:val="18"/>
                <w:szCs w:val="18"/>
              </w:rPr>
            </w:pPr>
            <w:r>
              <w:rPr>
                <w:rFonts w:ascii="Times New Roman"/>
                <w:spacing w:val="-1"/>
                <w:sz w:val="18"/>
              </w:rPr>
              <w:t>5,692,958.55</w:t>
            </w:r>
          </w:p>
        </w:tc>
        <w:tc>
          <w:tcPr>
            <w:tcW w:w="2264"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Times New Roman" w:hAnsi="Times New Roman" w:cs="Times New Roman" w:eastAsia="Times New Roman" w:hint="default"/>
                <w:sz w:val="18"/>
                <w:szCs w:val="18"/>
              </w:rPr>
            </w:pPr>
            <w:r>
              <w:rPr>
                <w:rFonts w:ascii="Times New Roman"/>
                <w:spacing w:val="-1"/>
                <w:sz w:val="18"/>
              </w:rPr>
              <w:t>5,000,000.00</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Times New Roman" w:hAnsi="Times New Roman" w:cs="Times New Roman" w:eastAsia="Times New Roman" w:hint="default"/>
                <w:sz w:val="18"/>
                <w:szCs w:val="18"/>
              </w:rPr>
            </w:pPr>
            <w:r>
              <w:rPr>
                <w:rFonts w:ascii="Times New Roman"/>
                <w:spacing w:val="-1"/>
                <w:sz w:val="18"/>
              </w:rPr>
              <w:t>1,800,000.00</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5"/>
              <w:jc w:val="right"/>
              <w:rPr>
                <w:rFonts w:ascii="Times New Roman" w:hAnsi="Times New Roman" w:cs="Times New Roman" w:eastAsia="Times New Roman" w:hint="default"/>
                <w:sz w:val="18"/>
                <w:szCs w:val="18"/>
              </w:rPr>
            </w:pPr>
            <w:r>
              <w:rPr>
                <w:rFonts w:ascii="Times New Roman"/>
                <w:spacing w:val="-1"/>
                <w:sz w:val="18"/>
              </w:rPr>
              <w:t>2,550,000.00</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7"/>
              <w:jc w:val="right"/>
              <w:rPr>
                <w:rFonts w:ascii="Times New Roman" w:hAnsi="Times New Roman" w:cs="Times New Roman" w:eastAsia="Times New Roman" w:hint="default"/>
                <w:sz w:val="18"/>
                <w:szCs w:val="18"/>
              </w:rPr>
            </w:pPr>
            <w:r>
              <w:rPr>
                <w:rFonts w:ascii="Times New Roman"/>
                <w:spacing w:val="-1"/>
                <w:sz w:val="18"/>
              </w:rPr>
              <w:t>1,254,000,000.00</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Times New Roman" w:hAnsi="Times New Roman" w:cs="Times New Roman" w:eastAsia="Times New Roman" w:hint="default"/>
                <w:sz w:val="18"/>
                <w:szCs w:val="18"/>
              </w:rPr>
            </w:pPr>
            <w:r>
              <w:rPr>
                <w:rFonts w:ascii="Times New Roman"/>
                <w:sz w:val="18"/>
              </w:rPr>
              <w:t>15,800.03</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5"/>
              <w:jc w:val="right"/>
              <w:rPr>
                <w:rFonts w:ascii="Times New Roman" w:hAnsi="Times New Roman" w:cs="Times New Roman" w:eastAsia="Times New Roman" w:hint="default"/>
                <w:sz w:val="18"/>
                <w:szCs w:val="18"/>
              </w:rPr>
            </w:pPr>
            <w:r>
              <w:rPr>
                <w:rFonts w:ascii="Times New Roman"/>
                <w:spacing w:val="-1"/>
                <w:sz w:val="18"/>
              </w:rPr>
              <w:t>204,765,000.00</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Times New Roman" w:hAnsi="Times New Roman" w:cs="Times New Roman" w:eastAsia="Times New Roman" w:hint="default"/>
                <w:sz w:val="18"/>
                <w:szCs w:val="18"/>
              </w:rPr>
            </w:pPr>
            <w:r>
              <w:rPr>
                <w:rFonts w:ascii="Times New Roman"/>
                <w:spacing w:val="-1"/>
                <w:sz w:val="18"/>
              </w:rPr>
              <w:t>10,000,000.00</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Times New Roman" w:hAnsi="Times New Roman" w:cs="Times New Roman" w:eastAsia="Times New Roman" w:hint="default"/>
                <w:sz w:val="18"/>
                <w:szCs w:val="18"/>
              </w:rPr>
            </w:pPr>
            <w:r>
              <w:rPr>
                <w:rFonts w:ascii="Times New Roman"/>
                <w:spacing w:val="-1"/>
                <w:sz w:val="18"/>
              </w:rPr>
              <w:t>1,750,000.00</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7"/>
              <w:jc w:val="right"/>
              <w:rPr>
                <w:rFonts w:ascii="Times New Roman" w:hAnsi="Times New Roman" w:cs="Times New Roman" w:eastAsia="Times New Roman" w:hint="default"/>
                <w:sz w:val="18"/>
                <w:szCs w:val="18"/>
              </w:rPr>
            </w:pPr>
            <w:r>
              <w:rPr>
                <w:rFonts w:ascii="Times New Roman"/>
                <w:spacing w:val="-1"/>
                <w:sz w:val="18"/>
              </w:rPr>
              <w:t>1,720,000,000.00</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Times New Roman" w:hAnsi="Times New Roman" w:cs="Times New Roman" w:eastAsia="Times New Roman" w:hint="default"/>
                <w:sz w:val="18"/>
                <w:szCs w:val="18"/>
              </w:rPr>
            </w:pPr>
            <w:r>
              <w:rPr>
                <w:rFonts w:ascii="Times New Roman"/>
                <w:sz w:val="18"/>
              </w:rPr>
              <w:t>800,000.00</w:t>
            </w:r>
          </w:p>
        </w:tc>
        <w:tc>
          <w:tcPr>
            <w:tcW w:w="2264" w:type="dxa"/>
            <w:tcBorders>
              <w:top w:val="nil" w:sz="6" w:space="0" w:color="auto"/>
              <w:left w:val="nil" w:sz="6" w:space="0" w:color="auto"/>
              <w:bottom w:val="nil" w:sz="6" w:space="0" w:color="auto"/>
              <w:right w:val="nil" w:sz="6" w:space="0" w:color="auto"/>
            </w:tcBorders>
          </w:tcPr>
          <w:p>
            <w:pPr/>
          </w:p>
        </w:tc>
      </w:tr>
      <w:tr>
        <w:trPr>
          <w:trHeight w:val="31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Times New Roman" w:hAnsi="Times New Roman" w:cs="Times New Roman" w:eastAsia="Times New Roman" w:hint="default"/>
                <w:sz w:val="18"/>
                <w:szCs w:val="18"/>
              </w:rPr>
            </w:pPr>
            <w:r>
              <w:rPr>
                <w:rFonts w:ascii="Times New Roman"/>
                <w:spacing w:val="-1"/>
                <w:sz w:val="18"/>
              </w:rPr>
              <w:t>29,500,000.00</w:t>
            </w:r>
          </w:p>
        </w:tc>
        <w:tc>
          <w:tcPr>
            <w:tcW w:w="226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310" w:type="dxa"/>
        <w:tblLayout w:type="fixed"/>
        <w:tblCellMar>
          <w:top w:w="0" w:type="dxa"/>
          <w:left w:w="0" w:type="dxa"/>
          <w:bottom w:w="0" w:type="dxa"/>
          <w:right w:w="0" w:type="dxa"/>
        </w:tblCellMar>
        <w:tblLook w:val="01E0"/>
      </w:tblPr>
      <w:tblGrid>
        <w:gridCol w:w="2840"/>
        <w:gridCol w:w="4327"/>
        <w:gridCol w:w="2264"/>
      </w:tblGrid>
      <w:tr>
        <w:trPr>
          <w:trHeight w:val="200" w:hRule="exact"/>
        </w:trPr>
        <w:tc>
          <w:tcPr>
            <w:tcW w:w="9431"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999"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22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00" w:lineRule="exact"/>
              <w:ind w:right="633"/>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2264" w:type="dxa"/>
            <w:tcBorders>
              <w:top w:val="nil" w:sz="6" w:space="0" w:color="auto"/>
              <w:left w:val="nil" w:sz="6" w:space="0" w:color="auto"/>
              <w:bottom w:val="nil" w:sz="6" w:space="0" w:color="auto"/>
              <w:right w:val="nil" w:sz="6" w:space="0" w:color="auto"/>
            </w:tcBorders>
          </w:tcPr>
          <w:p>
            <w:pPr>
              <w:pStyle w:val="TableParagraph"/>
              <w:spacing w:line="200" w:lineRule="exact"/>
              <w:ind w:left="635" w:right="0"/>
              <w:jc w:val="left"/>
              <w:rPr>
                <w:rFonts w:ascii="宋体" w:hAnsi="宋体" w:cs="宋体" w:eastAsia="宋体" w:hint="default"/>
                <w:sz w:val="18"/>
                <w:szCs w:val="18"/>
              </w:rPr>
            </w:pPr>
            <w:r>
              <w:rPr>
                <w:rFonts w:ascii="宋体" w:hAnsi="宋体" w:cs="宋体" w:eastAsia="宋体" w:hint="default"/>
                <w:b/>
                <w:bCs/>
                <w:sz w:val="18"/>
                <w:szCs w:val="18"/>
              </w:rPr>
              <w:t>资产减值准备</w:t>
            </w:r>
            <w:r>
              <w:rPr>
                <w:rFonts w:ascii="宋体" w:hAnsi="宋体" w:cs="宋体" w:eastAsia="宋体" w:hint="default"/>
                <w:sz w:val="18"/>
                <w:szCs w:val="18"/>
              </w:rPr>
            </w:r>
          </w:p>
        </w:tc>
      </w:tr>
      <w:tr>
        <w:trPr>
          <w:trHeight w:val="291" w:hRule="exact"/>
        </w:trPr>
        <w:tc>
          <w:tcPr>
            <w:tcW w:w="2840" w:type="dxa"/>
            <w:tcBorders>
              <w:top w:val="nil" w:sz="6" w:space="0" w:color="auto"/>
              <w:left w:val="nil" w:sz="6" w:space="0" w:color="auto"/>
              <w:bottom w:val="single" w:sz="4" w:space="0" w:color="000000"/>
              <w:right w:val="nil" w:sz="6" w:space="0" w:color="auto"/>
            </w:tcBorders>
          </w:tcPr>
          <w:p>
            <w:pPr>
              <w:pStyle w:val="TableParagraph"/>
              <w:spacing w:line="200" w:lineRule="exact"/>
              <w:ind w:left="576"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sz w:val="18"/>
                <w:szCs w:val="18"/>
              </w:rPr>
            </w:r>
          </w:p>
        </w:tc>
        <w:tc>
          <w:tcPr>
            <w:tcW w:w="4327" w:type="dxa"/>
            <w:tcBorders>
              <w:top w:val="nil" w:sz="6" w:space="0" w:color="auto"/>
              <w:left w:val="nil" w:sz="6" w:space="0" w:color="auto"/>
              <w:bottom w:val="single" w:sz="4" w:space="0" w:color="000000"/>
              <w:right w:val="nil" w:sz="6" w:space="0" w:color="auto"/>
            </w:tcBorders>
          </w:tcPr>
          <w:p>
            <w:pPr>
              <w:pStyle w:val="TableParagraph"/>
              <w:spacing w:line="200" w:lineRule="exact"/>
              <w:ind w:left="819"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2264" w:type="dxa"/>
            <w:tcBorders>
              <w:top w:val="nil" w:sz="6" w:space="0" w:color="auto"/>
              <w:left w:val="nil" w:sz="6" w:space="0" w:color="auto"/>
              <w:bottom w:val="single" w:sz="4" w:space="0" w:color="000000"/>
              <w:right w:val="nil" w:sz="6" w:space="0" w:color="auto"/>
            </w:tcBorders>
          </w:tcPr>
          <w:p>
            <w:pPr/>
          </w:p>
        </w:tc>
      </w:tr>
      <w:tr>
        <w:trPr>
          <w:trHeight w:val="499" w:hRule="exact"/>
        </w:trPr>
        <w:tc>
          <w:tcPr>
            <w:tcW w:w="2840" w:type="dxa"/>
            <w:tcBorders>
              <w:top w:val="single" w:sz="4" w:space="0" w:color="000000"/>
              <w:left w:val="nil" w:sz="6" w:space="0" w:color="auto"/>
              <w:bottom w:val="nil" w:sz="6" w:space="0" w:color="auto"/>
              <w:right w:val="nil" w:sz="6" w:space="0" w:color="auto"/>
            </w:tcBorders>
          </w:tcPr>
          <w:p>
            <w:pPr/>
          </w:p>
        </w:tc>
        <w:tc>
          <w:tcPr>
            <w:tcW w:w="4327"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205"/>
              <w:jc w:val="right"/>
              <w:rPr>
                <w:rFonts w:ascii="Times New Roman" w:hAnsi="Times New Roman" w:cs="Times New Roman" w:eastAsia="Times New Roman" w:hint="default"/>
                <w:sz w:val="18"/>
                <w:szCs w:val="18"/>
              </w:rPr>
            </w:pPr>
            <w:r>
              <w:rPr>
                <w:rFonts w:ascii="Times New Roman"/>
                <w:spacing w:val="-1"/>
                <w:sz w:val="18"/>
              </w:rPr>
              <w:t>1,500,000.00</w:t>
            </w:r>
          </w:p>
        </w:tc>
        <w:tc>
          <w:tcPr>
            <w:tcW w:w="2264" w:type="dxa"/>
            <w:tcBorders>
              <w:top w:val="single" w:sz="4" w:space="0" w:color="000000"/>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5"/>
              <w:jc w:val="right"/>
              <w:rPr>
                <w:rFonts w:ascii="Times New Roman" w:hAnsi="Times New Roman" w:cs="Times New Roman" w:eastAsia="Times New Roman" w:hint="default"/>
                <w:sz w:val="18"/>
                <w:szCs w:val="18"/>
              </w:rPr>
            </w:pPr>
            <w:r>
              <w:rPr>
                <w:rFonts w:ascii="Times New Roman"/>
                <w:spacing w:val="-1"/>
                <w:sz w:val="18"/>
              </w:rPr>
              <w:t>163,691,119.89</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Times New Roman" w:hAnsi="Times New Roman" w:cs="Times New Roman" w:eastAsia="Times New Roman" w:hint="default"/>
                <w:sz w:val="18"/>
                <w:szCs w:val="18"/>
              </w:rPr>
            </w:pPr>
            <w:r>
              <w:rPr>
                <w:rFonts w:ascii="Times New Roman"/>
                <w:spacing w:val="-1"/>
                <w:sz w:val="18"/>
              </w:rPr>
              <w:t>5,092,343.26</w:t>
            </w:r>
          </w:p>
        </w:tc>
        <w:tc>
          <w:tcPr>
            <w:tcW w:w="2264" w:type="dxa"/>
            <w:tcBorders>
              <w:top w:val="nil" w:sz="6" w:space="0" w:color="auto"/>
              <w:left w:val="nil" w:sz="6" w:space="0" w:color="auto"/>
              <w:bottom w:val="nil" w:sz="6" w:space="0" w:color="auto"/>
              <w:right w:val="nil" w:sz="6" w:space="0" w:color="auto"/>
            </w:tcBorders>
          </w:tcPr>
          <w:p>
            <w:pPr/>
          </w:p>
        </w:tc>
      </w:tr>
      <w:tr>
        <w:trPr>
          <w:trHeight w:val="44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Times New Roman" w:hAnsi="Times New Roman" w:cs="Times New Roman" w:eastAsia="Times New Roman" w:hint="default"/>
                <w:sz w:val="18"/>
                <w:szCs w:val="18"/>
              </w:rPr>
            </w:pPr>
            <w:r>
              <w:rPr>
                <w:rFonts w:ascii="Times New Roman"/>
                <w:spacing w:val="-1"/>
                <w:sz w:val="18"/>
              </w:rPr>
              <w:t>29,257,512.03</w:t>
            </w:r>
          </w:p>
        </w:tc>
        <w:tc>
          <w:tcPr>
            <w:tcW w:w="2264" w:type="dxa"/>
            <w:tcBorders>
              <w:top w:val="nil" w:sz="6" w:space="0" w:color="auto"/>
              <w:left w:val="nil" w:sz="6" w:space="0" w:color="auto"/>
              <w:bottom w:val="nil" w:sz="6" w:space="0" w:color="auto"/>
              <w:right w:val="nil" w:sz="6" w:space="0" w:color="auto"/>
            </w:tcBorders>
          </w:tcPr>
          <w:p>
            <w:pPr/>
          </w:p>
        </w:tc>
      </w:tr>
      <w:tr>
        <w:trPr>
          <w:trHeight w:val="310" w:hRule="exact"/>
        </w:trPr>
        <w:tc>
          <w:tcPr>
            <w:tcW w:w="2840" w:type="dxa"/>
            <w:tcBorders>
              <w:top w:val="nil" w:sz="6" w:space="0" w:color="auto"/>
              <w:left w:val="nil" w:sz="6" w:space="0" w:color="auto"/>
              <w:bottom w:val="nil" w:sz="6" w:space="0" w:color="auto"/>
              <w:right w:val="nil" w:sz="6" w:space="0" w:color="auto"/>
            </w:tcBorders>
          </w:tcPr>
          <w:p>
            <w:pPr/>
          </w:p>
        </w:tc>
        <w:tc>
          <w:tcPr>
            <w:tcW w:w="43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3,435,414,733.76</w:t>
            </w:r>
            <w:r>
              <w:rPr>
                <w:rFonts w:ascii="Times New Roman"/>
                <w:spacing w:val="-1"/>
                <w:sz w:val="18"/>
              </w:rPr>
            </w:r>
          </w:p>
        </w:tc>
        <w:tc>
          <w:tcPr>
            <w:tcW w:w="2264"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9"/>
          <w:szCs w:val="29"/>
        </w:rPr>
      </w:pPr>
    </w:p>
    <w:p>
      <w:pPr>
        <w:pStyle w:val="BodyText"/>
        <w:spacing w:line="240" w:lineRule="auto" w:before="44"/>
        <w:ind w:right="1117"/>
        <w:jc w:val="left"/>
      </w:pPr>
      <w:r>
        <w:rPr>
          <w:rFonts w:ascii="Times New Roman" w:hAnsi="Times New Roman" w:cs="Times New Roman" w:eastAsia="Times New Roman" w:hint="default"/>
        </w:rPr>
        <w:t>4.</w:t>
      </w:r>
      <w:r>
        <w:rPr/>
        <w:t>营业收入、营业成本</w:t>
      </w:r>
    </w:p>
    <w:p>
      <w:pPr>
        <w:spacing w:line="240" w:lineRule="auto" w:before="9"/>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3115"/>
        <w:gridCol w:w="3185"/>
        <w:gridCol w:w="2915"/>
      </w:tblGrid>
      <w:tr>
        <w:trPr>
          <w:trHeight w:val="272" w:hRule="exact"/>
        </w:trPr>
        <w:tc>
          <w:tcPr>
            <w:tcW w:w="3115"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180" w:lineRule="exact"/>
              <w:ind w:right="44"/>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185" w:type="dxa"/>
            <w:tcBorders>
              <w:top w:val="nil" w:sz="6" w:space="0" w:color="auto"/>
              <w:left w:val="nil" w:sz="6" w:space="0" w:color="auto"/>
              <w:bottom w:val="single" w:sz="4" w:space="0" w:color="000000"/>
              <w:right w:val="nil" w:sz="6" w:space="0" w:color="auto"/>
            </w:tcBorders>
          </w:tcPr>
          <w:p>
            <w:pPr>
              <w:pStyle w:val="TableParagraph"/>
              <w:spacing w:line="180" w:lineRule="exact"/>
              <w:ind w:left="103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15" w:type="dxa"/>
            <w:tcBorders>
              <w:top w:val="nil" w:sz="6" w:space="0" w:color="auto"/>
              <w:left w:val="nil" w:sz="6" w:space="0" w:color="auto"/>
              <w:bottom w:val="single" w:sz="4" w:space="0" w:color="000000"/>
              <w:right w:val="nil" w:sz="6" w:space="0" w:color="auto"/>
            </w:tcBorders>
          </w:tcPr>
          <w:p>
            <w:pPr>
              <w:pStyle w:val="TableParagraph"/>
              <w:spacing w:line="180" w:lineRule="exact"/>
              <w:ind w:left="92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311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2"/>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318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925"/>
              <w:jc w:val="right"/>
              <w:rPr>
                <w:rFonts w:ascii="Times New Roman" w:hAnsi="Times New Roman" w:cs="Times New Roman" w:eastAsia="Times New Roman" w:hint="default"/>
                <w:sz w:val="18"/>
                <w:szCs w:val="18"/>
              </w:rPr>
            </w:pPr>
            <w:r>
              <w:rPr>
                <w:rFonts w:ascii="Times New Roman"/>
                <w:spacing w:val="-1"/>
                <w:sz w:val="18"/>
              </w:rPr>
              <w:t>232,703,909.27</w:t>
            </w:r>
          </w:p>
        </w:tc>
        <w:tc>
          <w:tcPr>
            <w:tcW w:w="291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767"/>
              <w:jc w:val="right"/>
              <w:rPr>
                <w:rFonts w:ascii="Times New Roman" w:hAnsi="Times New Roman" w:cs="Times New Roman" w:eastAsia="Times New Roman" w:hint="default"/>
                <w:sz w:val="18"/>
                <w:szCs w:val="18"/>
              </w:rPr>
            </w:pPr>
            <w:r>
              <w:rPr>
                <w:rFonts w:ascii="Times New Roman"/>
                <w:spacing w:val="-1"/>
                <w:sz w:val="18"/>
              </w:rPr>
              <w:t>252,526,293.69</w:t>
            </w:r>
          </w:p>
        </w:tc>
      </w:tr>
      <w:tr>
        <w:trPr>
          <w:trHeight w:val="440"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4"/>
              <w:jc w:val="right"/>
              <w:rPr>
                <w:rFonts w:ascii="Times New Roman" w:hAnsi="Times New Roman" w:cs="Times New Roman" w:eastAsia="Times New Roman" w:hint="default"/>
                <w:sz w:val="18"/>
                <w:szCs w:val="18"/>
              </w:rPr>
            </w:pPr>
            <w:r>
              <w:rPr>
                <w:rFonts w:ascii="Times New Roman"/>
                <w:sz w:val="18"/>
              </w:rPr>
              <w:t>457,657.31</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z w:val="18"/>
              </w:rPr>
              <w:t>373,040.92</w:t>
            </w:r>
          </w:p>
        </w:tc>
      </w:tr>
      <w:tr>
        <w:trPr>
          <w:trHeight w:val="440"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
              <w:jc w:val="center"/>
              <w:rPr>
                <w:rFonts w:ascii="宋体" w:hAnsi="宋体" w:cs="宋体" w:eastAsia="宋体" w:hint="default"/>
                <w:sz w:val="18"/>
                <w:szCs w:val="18"/>
              </w:rPr>
            </w:pPr>
            <w:r>
              <w:rPr>
                <w:rFonts w:ascii="宋体" w:hAnsi="宋体" w:cs="宋体" w:eastAsia="宋体" w:hint="default"/>
                <w:sz w:val="18"/>
                <w:szCs w:val="18"/>
              </w:rPr>
              <w:t>合  计</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233,161,566.58</w:t>
            </w:r>
            <w:r>
              <w:rPr>
                <w:rFonts w:ascii="Times New Roman"/>
                <w:spacing w:val="-1"/>
                <w:sz w:val="18"/>
              </w:rPr>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252,899,334.61</w:t>
            </w:r>
            <w:r>
              <w:rPr>
                <w:rFonts w:ascii="Times New Roman"/>
                <w:spacing w:val="-1"/>
                <w:sz w:val="18"/>
              </w:rPr>
            </w:r>
          </w:p>
        </w:tc>
      </w:tr>
      <w:tr>
        <w:trPr>
          <w:trHeight w:val="440"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26"/>
              <w:jc w:val="right"/>
              <w:rPr>
                <w:rFonts w:ascii="Times New Roman" w:hAnsi="Times New Roman" w:cs="Times New Roman" w:eastAsia="Times New Roman" w:hint="default"/>
                <w:sz w:val="18"/>
                <w:szCs w:val="18"/>
              </w:rPr>
            </w:pPr>
            <w:r>
              <w:rPr>
                <w:rFonts w:ascii="Times New Roman"/>
                <w:spacing w:val="-1"/>
                <w:sz w:val="18"/>
              </w:rPr>
              <w:t>165,566,211.85</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69"/>
              <w:jc w:val="right"/>
              <w:rPr>
                <w:rFonts w:ascii="Times New Roman" w:hAnsi="Times New Roman" w:cs="Times New Roman" w:eastAsia="Times New Roman" w:hint="default"/>
                <w:sz w:val="18"/>
                <w:szCs w:val="18"/>
              </w:rPr>
            </w:pPr>
            <w:r>
              <w:rPr>
                <w:rFonts w:ascii="Times New Roman"/>
                <w:spacing w:val="-1"/>
                <w:sz w:val="18"/>
              </w:rPr>
              <w:t>171,377,383.83</w:t>
            </w:r>
          </w:p>
        </w:tc>
      </w:tr>
      <w:tr>
        <w:trPr>
          <w:trHeight w:val="440"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6"/>
              <w:jc w:val="right"/>
              <w:rPr>
                <w:rFonts w:ascii="Times New Roman" w:hAnsi="Times New Roman" w:cs="Times New Roman" w:eastAsia="Times New Roman" w:hint="default"/>
                <w:sz w:val="18"/>
                <w:szCs w:val="18"/>
              </w:rPr>
            </w:pPr>
            <w:r>
              <w:rPr>
                <w:rFonts w:ascii="Times New Roman"/>
                <w:sz w:val="18"/>
              </w:rPr>
              <w:t>220,914.92</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8"/>
              <w:jc w:val="right"/>
              <w:rPr>
                <w:rFonts w:ascii="Times New Roman" w:hAnsi="Times New Roman" w:cs="Times New Roman" w:eastAsia="Times New Roman" w:hint="default"/>
                <w:sz w:val="18"/>
                <w:szCs w:val="18"/>
              </w:rPr>
            </w:pPr>
            <w:r>
              <w:rPr>
                <w:rFonts w:ascii="Times New Roman"/>
                <w:sz w:val="18"/>
              </w:rPr>
              <w:t>184,559.31</w:t>
            </w:r>
          </w:p>
        </w:tc>
      </w:tr>
      <w:tr>
        <w:trPr>
          <w:trHeight w:val="315"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
              <w:jc w:val="center"/>
              <w:rPr>
                <w:rFonts w:ascii="宋体" w:hAnsi="宋体" w:cs="宋体" w:eastAsia="宋体" w:hint="default"/>
                <w:sz w:val="18"/>
                <w:szCs w:val="18"/>
              </w:rPr>
            </w:pPr>
            <w:r>
              <w:rPr>
                <w:rFonts w:ascii="宋体" w:hAnsi="宋体" w:cs="宋体" w:eastAsia="宋体" w:hint="default"/>
                <w:sz w:val="18"/>
                <w:szCs w:val="18"/>
              </w:rPr>
              <w:t>合  计</w:t>
            </w:r>
          </w:p>
        </w:tc>
        <w:tc>
          <w:tcPr>
            <w:tcW w:w="318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165,787,126.77</w:t>
            </w:r>
            <w:r>
              <w:rPr>
                <w:rFonts w:ascii="Times New Roman"/>
                <w:spacing w:val="-1"/>
                <w:sz w:val="18"/>
              </w:rPr>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6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171,561,943.14</w:t>
            </w:r>
            <w:r>
              <w:rPr>
                <w:rFonts w:ascii="Times New Roman"/>
                <w:spacing w:val="-1"/>
                <w:sz w:val="18"/>
              </w:rPr>
            </w:r>
          </w:p>
        </w:tc>
      </w:tr>
    </w:tbl>
    <w:p>
      <w:pPr>
        <w:spacing w:line="240" w:lineRule="auto" w:before="10"/>
        <w:rPr>
          <w:rFonts w:ascii="宋体" w:hAnsi="宋体" w:cs="宋体" w:eastAsia="宋体" w:hint="default"/>
          <w:sz w:val="29"/>
          <w:szCs w:val="29"/>
        </w:rPr>
      </w:pPr>
    </w:p>
    <w:p>
      <w:pPr>
        <w:pStyle w:val="BodyText"/>
        <w:spacing w:line="240" w:lineRule="auto" w:before="44"/>
        <w:ind w:right="1117"/>
        <w:jc w:val="left"/>
      </w:pPr>
      <w:r>
        <w:rPr>
          <w:rFonts w:ascii="Times New Roman" w:hAnsi="Times New Roman" w:cs="Times New Roman" w:eastAsia="Times New Roman" w:hint="default"/>
        </w:rPr>
        <w:t>5.</w:t>
      </w:r>
      <w:r>
        <w:rPr/>
        <w:t>投资收益</w:t>
      </w:r>
    </w:p>
    <w:p>
      <w:pPr>
        <w:spacing w:line="240" w:lineRule="auto" w:before="10"/>
        <w:rPr>
          <w:rFonts w:ascii="宋体" w:hAnsi="宋体" w:cs="宋体" w:eastAsia="宋体" w:hint="default"/>
          <w:sz w:val="27"/>
          <w:szCs w:val="27"/>
        </w:rPr>
      </w:pPr>
    </w:p>
    <w:tbl>
      <w:tblPr>
        <w:tblW w:w="0" w:type="auto"/>
        <w:jc w:val="left"/>
        <w:tblInd w:w="1418" w:type="dxa"/>
        <w:tblLayout w:type="fixed"/>
        <w:tblCellMar>
          <w:top w:w="0" w:type="dxa"/>
          <w:left w:w="0" w:type="dxa"/>
          <w:bottom w:w="0" w:type="dxa"/>
          <w:right w:w="0" w:type="dxa"/>
        </w:tblCellMar>
        <w:tblLook w:val="01E0"/>
      </w:tblPr>
      <w:tblGrid>
        <w:gridCol w:w="4200"/>
        <w:gridCol w:w="2748"/>
        <w:gridCol w:w="2266"/>
      </w:tblGrid>
      <w:tr>
        <w:trPr>
          <w:trHeight w:val="271" w:hRule="exact"/>
        </w:trPr>
        <w:tc>
          <w:tcPr>
            <w:tcW w:w="4200" w:type="dxa"/>
            <w:tcBorders>
              <w:top w:val="nil" w:sz="6" w:space="0" w:color="auto"/>
              <w:left w:val="nil" w:sz="6" w:space="0" w:color="auto"/>
              <w:bottom w:val="single" w:sz="4" w:space="0" w:color="000000"/>
              <w:right w:val="nil" w:sz="6" w:space="0" w:color="auto"/>
            </w:tcBorders>
          </w:tcPr>
          <w:p>
            <w:pPr>
              <w:pStyle w:val="TableParagraph"/>
              <w:spacing w:line="180" w:lineRule="exact"/>
              <w:ind w:left="1367"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748" w:type="dxa"/>
            <w:tcBorders>
              <w:top w:val="nil" w:sz="6" w:space="0" w:color="auto"/>
              <w:left w:val="nil" w:sz="6" w:space="0" w:color="auto"/>
              <w:bottom w:val="single" w:sz="4" w:space="0" w:color="000000"/>
              <w:right w:val="nil" w:sz="6" w:space="0" w:color="auto"/>
            </w:tcBorders>
          </w:tcPr>
          <w:p>
            <w:pPr>
              <w:pStyle w:val="TableParagraph"/>
              <w:spacing w:line="180" w:lineRule="exact"/>
              <w:ind w:left="96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66" w:type="dxa"/>
            <w:tcBorders>
              <w:top w:val="nil" w:sz="6" w:space="0" w:color="auto"/>
              <w:left w:val="nil" w:sz="6" w:space="0" w:color="auto"/>
              <w:bottom w:val="single" w:sz="4" w:space="0" w:color="000000"/>
              <w:right w:val="nil" w:sz="6" w:space="0" w:color="auto"/>
            </w:tcBorders>
          </w:tcPr>
          <w:p>
            <w:pPr>
              <w:pStyle w:val="TableParagraph"/>
              <w:spacing w:line="180" w:lineRule="exact"/>
              <w:ind w:left="63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93" w:hRule="exact"/>
        </w:trPr>
        <w:tc>
          <w:tcPr>
            <w:tcW w:w="420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48"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right="627"/>
              <w:jc w:val="right"/>
              <w:rPr>
                <w:rFonts w:ascii="Times New Roman" w:hAnsi="Times New Roman" w:cs="Times New Roman" w:eastAsia="Times New Roman" w:hint="default"/>
                <w:sz w:val="18"/>
                <w:szCs w:val="18"/>
              </w:rPr>
            </w:pPr>
            <w:r>
              <w:rPr>
                <w:rFonts w:ascii="Times New Roman"/>
                <w:spacing w:val="-1"/>
                <w:sz w:val="18"/>
              </w:rPr>
              <w:t>480,118,801.08</w:t>
            </w:r>
          </w:p>
        </w:tc>
        <w:tc>
          <w:tcPr>
            <w:tcW w:w="2266" w:type="dxa"/>
            <w:tcBorders>
              <w:top w:val="single" w:sz="4" w:space="0" w:color="000000"/>
              <w:left w:val="nil" w:sz="6" w:space="0" w:color="auto"/>
              <w:bottom w:val="nil" w:sz="6" w:space="0" w:color="auto"/>
              <w:right w:val="nil" w:sz="6" w:space="0" w:color="auto"/>
            </w:tcBorders>
          </w:tcPr>
          <w:p>
            <w:pPr/>
          </w:p>
        </w:tc>
      </w:tr>
      <w:tr>
        <w:trPr>
          <w:trHeight w:val="440"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7"/>
              <w:jc w:val="right"/>
              <w:rPr>
                <w:rFonts w:ascii="Times New Roman" w:hAnsi="Times New Roman" w:cs="Times New Roman" w:eastAsia="Times New Roman" w:hint="default"/>
                <w:sz w:val="18"/>
                <w:szCs w:val="18"/>
              </w:rPr>
            </w:pPr>
            <w:r>
              <w:rPr>
                <w:rFonts w:ascii="Times New Roman"/>
                <w:spacing w:val="-1"/>
                <w:sz w:val="18"/>
              </w:rPr>
              <w:t>-6,231,211.01</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18" w:right="0"/>
              <w:jc w:val="left"/>
              <w:rPr>
                <w:rFonts w:ascii="Times New Roman" w:hAnsi="Times New Roman" w:cs="Times New Roman" w:eastAsia="Times New Roman" w:hint="default"/>
                <w:sz w:val="18"/>
                <w:szCs w:val="18"/>
              </w:rPr>
            </w:pPr>
            <w:r>
              <w:rPr>
                <w:rFonts w:ascii="Times New Roman"/>
                <w:sz w:val="18"/>
              </w:rPr>
              <w:t>-2,727,813.81</w:t>
            </w:r>
          </w:p>
        </w:tc>
      </w:tr>
      <w:tr>
        <w:trPr>
          <w:trHeight w:val="440"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48"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28" w:right="0"/>
              <w:jc w:val="left"/>
              <w:rPr>
                <w:rFonts w:ascii="Times New Roman" w:hAnsi="Times New Roman" w:cs="Times New Roman" w:eastAsia="Times New Roman" w:hint="default"/>
                <w:sz w:val="18"/>
                <w:szCs w:val="18"/>
              </w:rPr>
            </w:pPr>
            <w:r>
              <w:rPr>
                <w:rFonts w:ascii="Times New Roman"/>
                <w:sz w:val="18"/>
              </w:rPr>
              <w:t>-10,777,430.98</w:t>
            </w:r>
          </w:p>
        </w:tc>
      </w:tr>
      <w:tr>
        <w:trPr>
          <w:trHeight w:val="440"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25"/>
              <w:jc w:val="right"/>
              <w:rPr>
                <w:rFonts w:ascii="Times New Roman" w:hAnsi="Times New Roman" w:cs="Times New Roman" w:eastAsia="Times New Roman" w:hint="default"/>
                <w:sz w:val="18"/>
                <w:szCs w:val="18"/>
              </w:rPr>
            </w:pPr>
            <w:r>
              <w:rPr>
                <w:rFonts w:ascii="Times New Roman"/>
                <w:sz w:val="18"/>
              </w:rPr>
              <w:t>636,942.00</w:t>
            </w:r>
          </w:p>
        </w:tc>
        <w:tc>
          <w:tcPr>
            <w:tcW w:w="2266" w:type="dxa"/>
            <w:tcBorders>
              <w:top w:val="nil" w:sz="6" w:space="0" w:color="auto"/>
              <w:left w:val="nil" w:sz="6" w:space="0" w:color="auto"/>
              <w:bottom w:val="nil" w:sz="6" w:space="0" w:color="auto"/>
              <w:right w:val="nil" w:sz="6" w:space="0" w:color="auto"/>
            </w:tcBorders>
          </w:tcPr>
          <w:p>
            <w:pPr/>
          </w:p>
        </w:tc>
      </w:tr>
      <w:tr>
        <w:trPr>
          <w:trHeight w:val="315" w:hRule="exact"/>
        </w:trPr>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6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7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2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474,524,532.07</w:t>
            </w:r>
            <w:r>
              <w:rPr>
                <w:rFonts w:ascii="Times New Roman"/>
                <w:spacing w:val="-1"/>
                <w:sz w:val="18"/>
              </w:rPr>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28"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-13,505,244.79</w:t>
            </w:r>
            <w:r>
              <w:rPr>
                <w:rFonts w:ascii="Times New Roman"/>
                <w:sz w:val="18"/>
              </w:rPr>
            </w:r>
          </w:p>
        </w:tc>
      </w:tr>
    </w:tbl>
    <w:p>
      <w:pPr>
        <w:spacing w:line="240" w:lineRule="auto" w:before="5"/>
        <w:rPr>
          <w:rFonts w:ascii="宋体" w:hAnsi="宋体" w:cs="宋体" w:eastAsia="宋体" w:hint="default"/>
          <w:sz w:val="28"/>
          <w:szCs w:val="28"/>
        </w:rPr>
      </w:pPr>
    </w:p>
    <w:p>
      <w:pPr>
        <w:pStyle w:val="Heading2"/>
        <w:spacing w:line="240" w:lineRule="auto" w:before="26"/>
        <w:ind w:left="1901" w:right="1117"/>
        <w:jc w:val="left"/>
        <w:rPr>
          <w:rFonts w:ascii="黑体" w:hAnsi="黑体" w:cs="黑体" w:eastAsia="黑体" w:hint="default"/>
          <w:b w:val="0"/>
          <w:bCs w:val="0"/>
        </w:rPr>
      </w:pPr>
      <w:bookmarkStart w:name="十七、补充资料" w:id="275"/>
      <w:bookmarkEnd w:id="275"/>
      <w:r>
        <w:rPr>
          <w:b w:val="0"/>
          <w:bCs w:val="0"/>
        </w:rPr>
      </w:r>
      <w:r>
        <w:rPr>
          <w:rFonts w:ascii="黑体" w:hAnsi="黑体" w:cs="黑体" w:eastAsia="黑体" w:hint="default"/>
        </w:rPr>
        <w:t>十七、补充资料</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Heading5"/>
        <w:tabs>
          <w:tab w:pos="2198" w:val="left" w:leader="none"/>
        </w:tabs>
        <w:spacing w:line="240" w:lineRule="auto"/>
        <w:ind w:left="1838" w:right="1117"/>
        <w:jc w:val="left"/>
      </w:pPr>
      <w:r>
        <w:rPr>
          <w:rFonts w:ascii="Times New Roman" w:hAnsi="Times New Roman" w:cs="Times New Roman" w:eastAsia="Times New Roman" w:hint="default"/>
        </w:rPr>
        <w:t>1.</w:t>
        <w:tab/>
      </w:r>
      <w:r>
        <w:rPr/>
        <w:t>净资产收益率和每股收益</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79" w:top="1060" w:bottom="1160" w:left="0" w:right="0"/>
        </w:sectPr>
      </w:pPr>
    </w:p>
    <w:p>
      <w:pPr>
        <w:spacing w:line="240" w:lineRule="auto" w:before="2"/>
        <w:rPr>
          <w:rFonts w:ascii="宋体" w:hAnsi="宋体" w:cs="宋体" w:eastAsia="宋体" w:hint="default"/>
          <w:sz w:val="20"/>
          <w:szCs w:val="20"/>
        </w:rPr>
      </w:pPr>
    </w:p>
    <w:p>
      <w:pPr>
        <w:pStyle w:val="Heading6"/>
        <w:tabs>
          <w:tab w:pos="4829" w:val="left" w:leader="none"/>
        </w:tabs>
        <w:spacing w:line="240" w:lineRule="auto"/>
        <w:ind w:left="2436" w:right="0"/>
        <w:jc w:val="left"/>
        <w:rPr>
          <w:b w:val="0"/>
          <w:bCs w:val="0"/>
        </w:rPr>
      </w:pPr>
      <w:r>
        <w:rPr>
          <w:w w:val="95"/>
        </w:rPr>
        <w:t>报告期利润</w:t>
        <w:tab/>
        <w:t>加权平均净资产收益率</w:t>
      </w:r>
      <w:r>
        <w:rPr>
          <w:b w:val="0"/>
          <w:bCs w:val="0"/>
        </w:rPr>
      </w:r>
    </w:p>
    <w:p>
      <w:pPr>
        <w:pStyle w:val="Heading6"/>
        <w:spacing w:line="240" w:lineRule="auto" w:before="44"/>
        <w:ind w:right="838"/>
        <w:jc w:val="center"/>
        <w:rPr>
          <w:b w:val="0"/>
          <w:bCs w:val="0"/>
        </w:rPr>
      </w:pPr>
      <w:r>
        <w:rPr>
          <w:b w:val="0"/>
          <w:bCs w:val="0"/>
        </w:rPr>
        <w:br w:type="column"/>
      </w:r>
      <w:r>
        <w:rPr/>
        <w:t>每股收益</w:t>
      </w:r>
      <w:r>
        <w:rPr>
          <w:b w:val="0"/>
          <w:bCs w:val="0"/>
        </w:rPr>
      </w:r>
    </w:p>
    <w:p>
      <w:pPr>
        <w:spacing w:line="240" w:lineRule="auto" w:before="9"/>
        <w:rPr>
          <w:rFonts w:ascii="宋体" w:hAnsi="宋体" w:cs="宋体" w:eastAsia="宋体" w:hint="default"/>
          <w:b/>
          <w:bCs/>
          <w:sz w:val="15"/>
          <w:szCs w:val="15"/>
        </w:rPr>
      </w:pPr>
    </w:p>
    <w:p>
      <w:pPr>
        <w:pStyle w:val="Heading6"/>
        <w:tabs>
          <w:tab w:pos="1869" w:val="left" w:leader="none"/>
        </w:tabs>
        <w:spacing w:line="240" w:lineRule="auto"/>
        <w:ind w:right="837"/>
        <w:jc w:val="center"/>
        <w:rPr>
          <w:b w:val="0"/>
          <w:bCs w:val="0"/>
        </w:rPr>
      </w:pPr>
      <w:r>
        <w:rPr>
          <w:w w:val="95"/>
        </w:rPr>
        <w:t>基本每股收益</w:t>
        <w:tab/>
      </w:r>
      <w:r>
        <w:rPr/>
        <w:t>稀释每股收益</w:t>
      </w:r>
      <w:r>
        <w:rPr>
          <w:b w:val="0"/>
          <w:bCs w:val="0"/>
        </w:rPr>
      </w:r>
    </w:p>
    <w:p>
      <w:pPr>
        <w:spacing w:after="0" w:line="240" w:lineRule="auto"/>
        <w:jc w:val="center"/>
        <w:sectPr>
          <w:type w:val="continuous"/>
          <w:pgSz w:w="11910" w:h="16840"/>
          <w:pgMar w:top="780" w:bottom="840" w:left="0" w:right="0"/>
          <w:cols w:num="2" w:equalWidth="0">
            <w:col w:w="6635" w:space="40"/>
            <w:col w:w="5235"/>
          </w:cols>
        </w:sectPr>
      </w:pPr>
    </w:p>
    <w:p>
      <w:pPr>
        <w:spacing w:line="240" w:lineRule="auto" w:before="8"/>
        <w:rPr>
          <w:rFonts w:ascii="宋体" w:hAnsi="宋体" w:cs="宋体" w:eastAsia="宋体" w:hint="default"/>
          <w:b/>
          <w:bCs/>
          <w:sz w:val="6"/>
          <w:szCs w:val="6"/>
        </w:rPr>
      </w:pPr>
    </w:p>
    <w:p>
      <w:pPr>
        <w:spacing w:line="20" w:lineRule="exact"/>
        <w:ind w:left="1305" w:right="0" w:firstLine="0"/>
        <w:rPr>
          <w:rFonts w:ascii="宋体" w:hAnsi="宋体" w:cs="宋体" w:eastAsia="宋体" w:hint="default"/>
          <w:sz w:val="2"/>
          <w:szCs w:val="2"/>
        </w:rPr>
      </w:pPr>
      <w:r>
        <w:rPr>
          <w:rFonts w:ascii="宋体" w:hAnsi="宋体" w:cs="宋体" w:eastAsia="宋体" w:hint="default"/>
          <w:sz w:val="2"/>
          <w:szCs w:val="2"/>
        </w:rPr>
        <w:pict>
          <v:group style="width:472.05pt;height:.5pt;mso-position-horizontal-relative:char;mso-position-vertical-relative:line" coordorigin="0,0" coordsize="9441,10">
            <v:group style="position:absolute;left:5;top:5;width:3156;height:2" coordorigin="5,5" coordsize="3156,2">
              <v:shape style="position:absolute;left:5;top:5;width:3156;height:2" coordorigin="5,5" coordsize="3156,0" path="m5,5l3160,5e" filled="false" stroked="true" strokeweight=".48pt" strokecolor="#000000">
                <v:path arrowok="t"/>
              </v:shape>
            </v:group>
            <v:group style="position:absolute;left:3160;top:5;width:10;height:2" coordorigin="3160,5" coordsize="10,2">
              <v:shape style="position:absolute;left:3160;top:5;width:10;height:2" coordorigin="3160,5" coordsize="10,0" path="m3160,5l3170,5e" filled="false" stroked="true" strokeweight=".48pt" strokecolor="#000000">
                <v:path arrowok="t"/>
              </v:shape>
            </v:group>
            <v:group style="position:absolute;left:3170;top:5;width:2524;height:2" coordorigin="3170,5" coordsize="2524,2">
              <v:shape style="position:absolute;left:3170;top:5;width:2524;height:2" coordorigin="3170,5" coordsize="2524,0" path="m3170,5l5694,5e" filled="false" stroked="true" strokeweight=".48pt" strokecolor="#000000">
                <v:path arrowok="t"/>
              </v:shape>
            </v:group>
            <v:group style="position:absolute;left:5694;top:5;width:10;height:2" coordorigin="5694,5" coordsize="10,2">
              <v:shape style="position:absolute;left:5694;top:5;width:10;height:2" coordorigin="5694,5" coordsize="10,0" path="m5694,5l5703,5e" filled="false" stroked="true" strokeweight=".48pt" strokecolor="#000000">
                <v:path arrowok="t"/>
              </v:shape>
            </v:group>
            <v:group style="position:absolute;left:5703;top:5;width:1864;height:2" coordorigin="5703,5" coordsize="1864,2">
              <v:shape style="position:absolute;left:5703;top:5;width:1864;height:2" coordorigin="5703,5" coordsize="1864,0" path="m5703,5l7567,5e" filled="false" stroked="true" strokeweight=".48pt" strokecolor="#000000">
                <v:path arrowok="t"/>
              </v:shape>
            </v:group>
            <v:group style="position:absolute;left:7567;top:5;width:10;height:2" coordorigin="7567,5" coordsize="10,2">
              <v:shape style="position:absolute;left:7567;top:5;width:10;height:2" coordorigin="7567,5" coordsize="10,0" path="m7567,5l7577,5e" filled="false" stroked="true" strokeweight=".48pt" strokecolor="#000000">
                <v:path arrowok="t"/>
              </v:shape>
            </v:group>
            <v:group style="position:absolute;left:7577;top:5;width:1859;height:2" coordorigin="7577,5" coordsize="1859,2">
              <v:shape style="position:absolute;left:7577;top:5;width:1859;height:2" coordorigin="7577,5" coordsize="1859,0" path="m7577,5l9436,5e" filled="false" stroked="true" strokeweight=".48pt" strokecolor="#000000">
                <v:path arrowok="t"/>
              </v:shape>
            </v:group>
          </v:group>
        </w:pict>
      </w:r>
      <w:r>
        <w:rPr>
          <w:rFonts w:ascii="宋体" w:hAnsi="宋体" w:cs="宋体" w:eastAsia="宋体" w:hint="default"/>
          <w:sz w:val="2"/>
          <w:szCs w:val="2"/>
        </w:rPr>
      </w:r>
    </w:p>
    <w:p>
      <w:pPr>
        <w:pStyle w:val="BodyText"/>
        <w:tabs>
          <w:tab w:pos="5500" w:val="left" w:leader="none"/>
          <w:tab w:pos="7687" w:val="left" w:leader="none"/>
          <w:tab w:pos="10053" w:val="right" w:leader="none"/>
        </w:tabs>
        <w:spacing w:line="240" w:lineRule="auto" w:before="103"/>
        <w:ind w:left="1418" w:right="0"/>
        <w:jc w:val="left"/>
        <w:rPr>
          <w:rFonts w:ascii="Times New Roman" w:hAnsi="Times New Roman" w:cs="Times New Roman" w:eastAsia="Times New Roman" w:hint="default"/>
        </w:rPr>
      </w:pPr>
      <w:r>
        <w:rPr>
          <w:position w:val="-3"/>
        </w:rPr>
        <w:t>归属于公司普通股股东的净利润</w:t>
        <w:tab/>
      </w:r>
      <w:r>
        <w:rPr>
          <w:rFonts w:ascii="Times New Roman" w:hAnsi="Times New Roman" w:cs="Times New Roman" w:eastAsia="Times New Roman" w:hint="default"/>
        </w:rPr>
        <w:t>3.09%</w:t>
        <w:tab/>
        <w:t>0.1594</w:t>
        <w:tab/>
        <w:t>0.1594</w:t>
      </w:r>
    </w:p>
    <w:p>
      <w:pPr>
        <w:pStyle w:val="BodyText"/>
        <w:tabs>
          <w:tab w:pos="5500" w:val="left" w:leader="none"/>
          <w:tab w:pos="7687" w:val="left" w:leader="none"/>
          <w:tab w:pos="10053" w:val="right" w:leader="none"/>
        </w:tabs>
        <w:spacing w:line="240" w:lineRule="auto" w:before="186"/>
        <w:ind w:left="1418" w:right="0"/>
        <w:jc w:val="left"/>
        <w:rPr>
          <w:rFonts w:ascii="Times New Roman" w:hAnsi="Times New Roman" w:cs="Times New Roman" w:eastAsia="Times New Roman" w:hint="default"/>
        </w:rPr>
      </w:pPr>
      <w:r>
        <w:rPr>
          <w:spacing w:val="3"/>
          <w:position w:val="-5"/>
        </w:rPr>
        <w:t>扣除非经常性损益后归属于公司普通</w:t>
        <w:tab/>
      </w:r>
      <w:r>
        <w:rPr>
          <w:rFonts w:ascii="Times New Roman" w:hAnsi="Times New Roman" w:cs="Times New Roman" w:eastAsia="Times New Roman" w:hint="default"/>
        </w:rPr>
        <w:t>2.49%</w:t>
        <w:tab/>
        <w:t>0.1288</w:t>
        <w:tab/>
        <w:t>0.1288</w:t>
      </w:r>
    </w:p>
    <w:p>
      <w:pPr>
        <w:spacing w:after="0" w:line="240" w:lineRule="auto"/>
        <w:jc w:val="left"/>
        <w:rPr>
          <w:rFonts w:ascii="Times New Roman" w:hAnsi="Times New Roman" w:cs="Times New Roman" w:eastAsia="Times New Roman" w:hint="default"/>
        </w:rPr>
        <w:sectPr>
          <w:type w:val="continuous"/>
          <w:pgSz w:w="11910" w:h="16840"/>
          <w:pgMar w:top="780" w:bottom="840" w:left="0" w:right="0"/>
        </w:sectPr>
      </w:pPr>
    </w:p>
    <w:p>
      <w:pPr>
        <w:pStyle w:val="Heading6"/>
        <w:tabs>
          <w:tab w:pos="4829" w:val="left" w:leader="none"/>
        </w:tabs>
        <w:spacing w:line="240" w:lineRule="auto" w:before="710"/>
        <w:ind w:left="2436" w:right="0"/>
        <w:jc w:val="left"/>
        <w:rPr>
          <w:b w:val="0"/>
          <w:bCs w:val="0"/>
        </w:rPr>
      </w:pPr>
      <w:r>
        <w:rPr>
          <w:w w:val="95"/>
        </w:rPr>
        <w:t>报告期利润</w:t>
        <w:tab/>
        <w:t>加权平均净资产收益率</w:t>
      </w:r>
      <w:r>
        <w:rPr>
          <w:b w:val="0"/>
          <w:bCs w:val="0"/>
        </w:rPr>
      </w:r>
    </w:p>
    <w:p>
      <w:pPr>
        <w:pStyle w:val="Heading6"/>
        <w:spacing w:line="240" w:lineRule="auto" w:before="490"/>
        <w:ind w:right="838"/>
        <w:jc w:val="center"/>
        <w:rPr>
          <w:b w:val="0"/>
          <w:bCs w:val="0"/>
        </w:rPr>
      </w:pPr>
      <w:r>
        <w:rPr>
          <w:b w:val="0"/>
          <w:bCs w:val="0"/>
        </w:rPr>
        <w:br w:type="column"/>
      </w:r>
      <w:r>
        <w:rPr/>
        <w:t>每股收益</w:t>
      </w:r>
      <w:r>
        <w:rPr>
          <w:b w:val="0"/>
          <w:bCs w:val="0"/>
        </w:rPr>
      </w:r>
    </w:p>
    <w:p>
      <w:pPr>
        <w:pStyle w:val="Heading6"/>
        <w:tabs>
          <w:tab w:pos="1869" w:val="left" w:leader="none"/>
        </w:tabs>
        <w:spacing w:line="240" w:lineRule="auto" w:before="205"/>
        <w:ind w:right="837"/>
        <w:jc w:val="center"/>
        <w:rPr>
          <w:b w:val="0"/>
          <w:bCs w:val="0"/>
        </w:rPr>
      </w:pPr>
      <w:r>
        <w:rPr>
          <w:w w:val="95"/>
        </w:rPr>
        <w:t>基本每股收益</w:t>
        <w:tab/>
      </w:r>
      <w:r>
        <w:rPr/>
        <w:t>稀释每股收益</w:t>
      </w:r>
      <w:r>
        <w:rPr>
          <w:b w:val="0"/>
          <w:bCs w:val="0"/>
        </w:rPr>
      </w:r>
    </w:p>
    <w:p>
      <w:pPr>
        <w:spacing w:after="0" w:line="240" w:lineRule="auto"/>
        <w:jc w:val="center"/>
        <w:sectPr>
          <w:pgSz w:w="11910" w:h="16840"/>
          <w:pgMar w:header="877" w:footer="979" w:top="1060" w:bottom="1160" w:left="0" w:right="0"/>
          <w:cols w:num="2" w:equalWidth="0">
            <w:col w:w="6635" w:space="40"/>
            <w:col w:w="5235"/>
          </w:cols>
        </w:sectPr>
      </w:pPr>
    </w:p>
    <w:p>
      <w:pPr>
        <w:pStyle w:val="BodyText"/>
        <w:spacing w:line="240" w:lineRule="auto" w:before="164"/>
        <w:ind w:left="1418" w:right="1117"/>
        <w:jc w:val="left"/>
      </w:pPr>
      <w:r>
        <w:rPr/>
        <w:t>股股东的净利润</w:t>
      </w:r>
    </w:p>
    <w:p>
      <w:pPr>
        <w:pStyle w:val="BodyText"/>
        <w:spacing w:line="345" w:lineRule="auto" w:before="445"/>
        <w:ind w:left="1418" w:right="1117" w:firstLine="360"/>
        <w:jc w:val="left"/>
      </w:pPr>
      <w:r>
        <w:rPr>
          <w:rFonts w:ascii="Times New Roman" w:hAnsi="Times New Roman" w:cs="Times New Roman" w:eastAsia="Times New Roman" w:hint="default"/>
        </w:rPr>
        <w:t>2.</w:t>
      </w:r>
      <w:r>
        <w:rPr/>
        <w:t>按照证监会《公开发行证券的公司信息披露解释性公告第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w:t>
      </w:r>
      <w:r>
        <w:rPr>
          <w:rFonts w:ascii="Times New Roman" w:hAnsi="Times New Roman" w:cs="Times New Roman" w:eastAsia="Times New Roman" w:hint="default"/>
        </w:rPr>
        <w:t>[2008]</w:t>
      </w:r>
      <w:r>
        <w:rPr/>
        <w:t>》的要求，报告期非经常 性损益情况</w:t>
      </w:r>
    </w:p>
    <w:p>
      <w:pPr>
        <w:spacing w:line="240" w:lineRule="auto" w:before="9"/>
        <w:rPr>
          <w:rFonts w:ascii="宋体" w:hAnsi="宋体" w:cs="宋体" w:eastAsia="宋体" w:hint="default"/>
          <w:sz w:val="22"/>
          <w:szCs w:val="22"/>
        </w:rPr>
      </w:pPr>
    </w:p>
    <w:tbl>
      <w:tblPr>
        <w:tblW w:w="0" w:type="auto"/>
        <w:jc w:val="left"/>
        <w:tblInd w:w="1310" w:type="dxa"/>
        <w:tblLayout w:type="fixed"/>
        <w:tblCellMar>
          <w:top w:w="0" w:type="dxa"/>
          <w:left w:w="0" w:type="dxa"/>
          <w:bottom w:w="0" w:type="dxa"/>
          <w:right w:w="0" w:type="dxa"/>
        </w:tblCellMar>
        <w:tblLook w:val="01E0"/>
      </w:tblPr>
      <w:tblGrid>
        <w:gridCol w:w="6103"/>
        <w:gridCol w:w="1256"/>
        <w:gridCol w:w="2071"/>
      </w:tblGrid>
      <w:tr>
        <w:trPr>
          <w:trHeight w:val="272" w:hRule="exact"/>
        </w:trPr>
        <w:tc>
          <w:tcPr>
            <w:tcW w:w="6103" w:type="dxa"/>
            <w:tcBorders>
              <w:top w:val="nil" w:sz="6" w:space="0" w:color="auto"/>
              <w:left w:val="nil" w:sz="6" w:space="0" w:color="auto"/>
              <w:bottom w:val="single" w:sz="4" w:space="0" w:color="000000"/>
              <w:right w:val="nil" w:sz="6" w:space="0" w:color="auto"/>
            </w:tcBorders>
          </w:tcPr>
          <w:p>
            <w:pPr>
              <w:pStyle w:val="TableParagraph"/>
              <w:spacing w:line="180" w:lineRule="exact"/>
              <w:ind w:right="57"/>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1256"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071" w:type="dxa"/>
            <w:tcBorders>
              <w:top w:val="nil" w:sz="6" w:space="0" w:color="auto"/>
              <w:left w:val="nil" w:sz="6" w:space="0" w:color="auto"/>
              <w:bottom w:val="single" w:sz="4" w:space="0" w:color="000000"/>
              <w:right w:val="nil" w:sz="6" w:space="0" w:color="auto"/>
            </w:tcBorders>
          </w:tcPr>
          <w:p>
            <w:pPr>
              <w:pStyle w:val="TableParagraph"/>
              <w:spacing w:line="180" w:lineRule="exact"/>
              <w:ind w:left="52"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93" w:hRule="exact"/>
        </w:trPr>
        <w:tc>
          <w:tcPr>
            <w:tcW w:w="610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）非流动性资产处置损益，包括已计提资产减值准备的冲销部分</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53"/>
              <w:jc w:val="right"/>
              <w:rPr>
                <w:rFonts w:ascii="Times New Roman" w:hAnsi="Times New Roman" w:cs="Times New Roman" w:eastAsia="Times New Roman" w:hint="default"/>
                <w:sz w:val="18"/>
                <w:szCs w:val="18"/>
              </w:rPr>
            </w:pPr>
            <w:r>
              <w:rPr>
                <w:rFonts w:ascii="Times New Roman"/>
                <w:spacing w:val="-1"/>
                <w:sz w:val="18"/>
              </w:rPr>
              <w:t>19,799,961.26</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55" w:right="0"/>
              <w:jc w:val="left"/>
              <w:rPr>
                <w:rFonts w:ascii="宋体" w:hAnsi="宋体" w:cs="宋体" w:eastAsia="宋体" w:hint="default"/>
                <w:sz w:val="18"/>
                <w:szCs w:val="18"/>
              </w:rPr>
            </w:pPr>
            <w:r>
              <w:rPr>
                <w:rFonts w:ascii="宋体" w:hAnsi="宋体" w:cs="宋体" w:eastAsia="宋体" w:hint="default"/>
                <w:sz w:val="18"/>
                <w:szCs w:val="18"/>
              </w:rPr>
              <w:t>长期股权投资处置损益</w:t>
            </w:r>
          </w:p>
        </w:tc>
      </w:tr>
      <w:tr>
        <w:trPr>
          <w:trHeight w:val="440"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）越权审批，或无正式批准文件，或偶发性的税收返还、减免</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795"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348" w:lineRule="auto" w:before="69"/>
              <w:ind w:left="108" w:right="16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）计入当期损益的政府补助，但与公司正常经营业务密切相关，符合国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家政策规定、按照一定标准定额或定量持续享受的政府补助除外</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pacing w:val="-1"/>
                <w:sz w:val="18"/>
              </w:rPr>
              <w:t>8,530,838.08</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45"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）计入当期损益的对非金融企业收取的资金占用费</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795"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345" w:lineRule="auto" w:before="69"/>
              <w:ind w:left="108" w:right="16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）企业取得子公司、联营企业及合营企业的投资成本小于取得投资时应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享有被投资单位可辨认净资产公允价值产生的收益</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5"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）非货币性资产交换损益</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1"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）委托他人投资或管理资产的损益</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0"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）因不可抗力因素，如遭受自然灾害而计提的各项资产减值准备</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0"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）债务重组损益</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0"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）企业重组费用，如安置职工的支出、整合费用等</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0"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）交易价格显失公允的交易产生的超过公允价值部分的损益</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0"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）同一控制下企业合并产生的子公司期初至合并日的当期净损益</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0"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）与公司正常经营业务无关的或有事项产生的损益</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1155"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357" w:lineRule="auto" w:before="69"/>
              <w:ind w:left="108" w:right="23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）除同公司正常经营业务相关的有效套期保值业务外，持有交易性金 融资产、交易性金融负债产生的公允价值变动损益，以及处置交易性金融 资产、交易性金融负债和可供出售金融资产取得的投资收益</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pacing w:val="-1"/>
                <w:sz w:val="18"/>
              </w:rPr>
              <w:t>1,800,000.00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7" w:lineRule="auto"/>
              <w:ind w:left="176" w:right="215" w:hanging="122"/>
              <w:jc w:val="left"/>
              <w:rPr>
                <w:rFonts w:ascii="宋体" w:hAnsi="宋体" w:cs="宋体" w:eastAsia="宋体" w:hint="default"/>
                <w:sz w:val="18"/>
                <w:szCs w:val="18"/>
              </w:rPr>
            </w:pPr>
            <w:r>
              <w:rPr>
                <w:rFonts w:ascii="宋体" w:hAnsi="宋体" w:cs="宋体" w:eastAsia="宋体" w:hint="default"/>
                <w:sz w:val="18"/>
                <w:szCs w:val="18"/>
              </w:rPr>
              <w:t>处置可供出售金融资产 取得的投资收益</w:t>
            </w:r>
          </w:p>
        </w:tc>
      </w:tr>
      <w:tr>
        <w:trPr>
          <w:trHeight w:val="445"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）单独进行减值测试的应收款项减值准备转回</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0"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）对外委托贷款取得的损益</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795"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345" w:lineRule="auto" w:before="69"/>
              <w:ind w:left="108" w:right="2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）采用公允价值模式进行后续计量的投资性房地产公允价值变动产生 的损益</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801"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348" w:lineRule="auto" w:before="74"/>
              <w:ind w:left="108" w:right="2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）根据税收、会计等法律、法规的要求对当期损益进行一次性调整对 当期损益的影响</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445"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）受托经营取得的托管费收入</w:t>
            </w:r>
          </w:p>
        </w:tc>
        <w:tc>
          <w:tcPr>
            <w:tcW w:w="1256"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r>
      <w:tr>
        <w:trPr>
          <w:trHeight w:val="315" w:hRule="exact"/>
        </w:trPr>
        <w:tc>
          <w:tcPr>
            <w:tcW w:w="610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）除上述各项之外的其他营业外收入和支出</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2"/>
              <w:jc w:val="right"/>
              <w:rPr>
                <w:rFonts w:ascii="Times New Roman" w:hAnsi="Times New Roman" w:cs="Times New Roman" w:eastAsia="Times New Roman" w:hint="default"/>
                <w:sz w:val="18"/>
                <w:szCs w:val="18"/>
              </w:rPr>
            </w:pPr>
            <w:r>
              <w:rPr>
                <w:rFonts w:ascii="Times New Roman"/>
                <w:w w:val="95"/>
                <w:sz w:val="18"/>
              </w:rPr>
              <w:t>-45,647.73</w:t>
            </w:r>
            <w:r>
              <w:rPr>
                <w:rFonts w:ascii="Times New Roman"/>
                <w:sz w:val="18"/>
              </w:rPr>
            </w:r>
          </w:p>
        </w:tc>
        <w:tc>
          <w:tcPr>
            <w:tcW w:w="207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780" w:bottom="84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bookmarkStart w:name="_bookmark11" w:id="276"/>
      <w:bookmarkEnd w:id="276"/>
      <w:r>
        <w:rPr/>
      </w:r>
      <w:r>
        <w:rPr>
          <w:rFonts w:ascii="Times New Roman" w:hAnsi="Times New Roman" w:cs="Times New Roman" w:eastAsia="Times New Roman" w:hint="default"/>
          <w:sz w:val="27"/>
          <w:szCs w:val="27"/>
        </w:rPr>
      </w:r>
    </w:p>
    <w:tbl>
      <w:tblPr>
        <w:tblW w:w="0" w:type="auto"/>
        <w:jc w:val="left"/>
        <w:tblInd w:w="1310" w:type="dxa"/>
        <w:tblLayout w:type="fixed"/>
        <w:tblCellMar>
          <w:top w:w="0" w:type="dxa"/>
          <w:left w:w="0" w:type="dxa"/>
          <w:bottom w:w="0" w:type="dxa"/>
          <w:right w:w="0" w:type="dxa"/>
        </w:tblCellMar>
        <w:tblLook w:val="01E0"/>
      </w:tblPr>
      <w:tblGrid>
        <w:gridCol w:w="5007"/>
        <w:gridCol w:w="2569"/>
        <w:gridCol w:w="1855"/>
      </w:tblGrid>
      <w:tr>
        <w:trPr>
          <w:trHeight w:val="272" w:hRule="exact"/>
        </w:trPr>
        <w:tc>
          <w:tcPr>
            <w:tcW w:w="5007" w:type="dxa"/>
            <w:tcBorders>
              <w:top w:val="nil" w:sz="6" w:space="0" w:color="auto"/>
              <w:left w:val="nil" w:sz="6" w:space="0" w:color="auto"/>
              <w:bottom w:val="single" w:sz="4" w:space="0" w:color="000000"/>
              <w:right w:val="nil" w:sz="6" w:space="0" w:color="auto"/>
            </w:tcBorders>
          </w:tcPr>
          <w:p>
            <w:pPr>
              <w:pStyle w:val="TableParagraph"/>
              <w:spacing w:line="180" w:lineRule="exact"/>
              <w:ind w:left="2299" w:right="0"/>
              <w:jc w:val="left"/>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2569" w:type="dxa"/>
            <w:tcBorders>
              <w:top w:val="nil" w:sz="6" w:space="0" w:color="auto"/>
              <w:left w:val="nil" w:sz="6" w:space="0" w:color="auto"/>
              <w:bottom w:val="single" w:sz="4" w:space="0" w:color="000000"/>
              <w:right w:val="nil" w:sz="6" w:space="0" w:color="auto"/>
            </w:tcBorders>
          </w:tcPr>
          <w:p>
            <w:pPr>
              <w:pStyle w:val="TableParagraph"/>
              <w:spacing w:line="180" w:lineRule="exact"/>
              <w:ind w:left="154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55" w:type="dxa"/>
            <w:tcBorders>
              <w:top w:val="nil" w:sz="6" w:space="0" w:color="auto"/>
              <w:left w:val="nil" w:sz="6" w:space="0" w:color="auto"/>
              <w:bottom w:val="single" w:sz="4" w:space="0" w:color="000000"/>
              <w:right w:val="nil" w:sz="6" w:space="0" w:color="auto"/>
            </w:tcBorders>
          </w:tcPr>
          <w:p>
            <w:pPr>
              <w:pStyle w:val="TableParagraph"/>
              <w:spacing w:line="180" w:lineRule="exact"/>
              <w:ind w:right="162"/>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93" w:hRule="exact"/>
        </w:trPr>
        <w:tc>
          <w:tcPr>
            <w:tcW w:w="500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）其他符合非经常性损益定义的损益项目</w:t>
            </w:r>
          </w:p>
        </w:tc>
        <w:tc>
          <w:tcPr>
            <w:tcW w:w="2569" w:type="dxa"/>
            <w:tcBorders>
              <w:top w:val="single" w:sz="4" w:space="0" w:color="000000"/>
              <w:left w:val="nil" w:sz="6" w:space="0" w:color="auto"/>
              <w:bottom w:val="nil" w:sz="6" w:space="0" w:color="auto"/>
              <w:right w:val="nil" w:sz="6" w:space="0" w:color="auto"/>
            </w:tcBorders>
          </w:tcPr>
          <w:p>
            <w:pPr/>
          </w:p>
        </w:tc>
        <w:tc>
          <w:tcPr>
            <w:tcW w:w="1855" w:type="dxa"/>
            <w:tcBorders>
              <w:top w:val="single" w:sz="4" w:space="0" w:color="000000"/>
              <w:left w:val="nil" w:sz="6" w:space="0" w:color="auto"/>
              <w:bottom w:val="nil" w:sz="6" w:space="0" w:color="auto"/>
              <w:right w:val="nil" w:sz="6" w:space="0" w:color="auto"/>
            </w:tcBorders>
          </w:tcPr>
          <w:p>
            <w:pPr/>
          </w:p>
        </w:tc>
      </w:tr>
      <w:tr>
        <w:trPr>
          <w:trHeight w:val="440" w:hRule="exact"/>
        </w:trPr>
        <w:tc>
          <w:tcPr>
            <w:tcW w:w="50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sz w:val="18"/>
                <w:szCs w:val="18"/>
              </w:rPr>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30,085,151.61</w:t>
            </w:r>
            <w:r>
              <w:rPr>
                <w:rFonts w:ascii="Times New Roman"/>
                <w:spacing w:val="-1"/>
                <w:sz w:val="18"/>
              </w:rPr>
            </w:r>
          </w:p>
        </w:tc>
        <w:tc>
          <w:tcPr>
            <w:tcW w:w="1855" w:type="dxa"/>
            <w:tcBorders>
              <w:top w:val="nil" w:sz="6" w:space="0" w:color="auto"/>
              <w:left w:val="nil" w:sz="6" w:space="0" w:color="auto"/>
              <w:bottom w:val="nil" w:sz="6" w:space="0" w:color="auto"/>
              <w:right w:val="nil" w:sz="6" w:space="0" w:color="auto"/>
            </w:tcBorders>
          </w:tcPr>
          <w:p>
            <w:pPr/>
          </w:p>
        </w:tc>
      </w:tr>
      <w:tr>
        <w:trPr>
          <w:trHeight w:val="440" w:hRule="exact"/>
        </w:trPr>
        <w:tc>
          <w:tcPr>
            <w:tcW w:w="50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8"/>
              <w:jc w:val="right"/>
              <w:rPr>
                <w:rFonts w:ascii="Times New Roman" w:hAnsi="Times New Roman" w:cs="Times New Roman" w:eastAsia="Times New Roman" w:hint="default"/>
                <w:sz w:val="18"/>
                <w:szCs w:val="18"/>
              </w:rPr>
            </w:pPr>
            <w:r>
              <w:rPr>
                <w:rFonts w:ascii="Times New Roman"/>
                <w:spacing w:val="-1"/>
                <w:sz w:val="18"/>
              </w:rPr>
              <w:t>4,388,142.44</w:t>
            </w:r>
          </w:p>
        </w:tc>
        <w:tc>
          <w:tcPr>
            <w:tcW w:w="1855" w:type="dxa"/>
            <w:tcBorders>
              <w:top w:val="nil" w:sz="6" w:space="0" w:color="auto"/>
              <w:left w:val="nil" w:sz="6" w:space="0" w:color="auto"/>
              <w:bottom w:val="nil" w:sz="6" w:space="0" w:color="auto"/>
              <w:right w:val="nil" w:sz="6" w:space="0" w:color="auto"/>
            </w:tcBorders>
          </w:tcPr>
          <w:p>
            <w:pPr/>
          </w:p>
        </w:tc>
      </w:tr>
      <w:tr>
        <w:trPr>
          <w:trHeight w:val="440" w:hRule="exact"/>
        </w:trPr>
        <w:tc>
          <w:tcPr>
            <w:tcW w:w="50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sz w:val="18"/>
                <w:szCs w:val="18"/>
              </w:rPr>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25,697,009.17</w:t>
            </w:r>
            <w:r>
              <w:rPr>
                <w:rFonts w:ascii="Times New Roman"/>
                <w:spacing w:val="-1"/>
                <w:sz w:val="18"/>
              </w:rPr>
            </w:r>
          </w:p>
        </w:tc>
        <w:tc>
          <w:tcPr>
            <w:tcW w:w="1855" w:type="dxa"/>
            <w:tcBorders>
              <w:top w:val="nil" w:sz="6" w:space="0" w:color="auto"/>
              <w:left w:val="nil" w:sz="6" w:space="0" w:color="auto"/>
              <w:bottom w:val="nil" w:sz="6" w:space="0" w:color="auto"/>
              <w:right w:val="nil" w:sz="6" w:space="0" w:color="auto"/>
            </w:tcBorders>
          </w:tcPr>
          <w:p>
            <w:pPr/>
          </w:p>
        </w:tc>
      </w:tr>
      <w:tr>
        <w:trPr>
          <w:trHeight w:val="440" w:hRule="exact"/>
        </w:trPr>
        <w:tc>
          <w:tcPr>
            <w:tcW w:w="50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8"/>
              <w:jc w:val="right"/>
              <w:rPr>
                <w:rFonts w:ascii="Times New Roman" w:hAnsi="Times New Roman" w:cs="Times New Roman" w:eastAsia="Times New Roman" w:hint="default"/>
                <w:sz w:val="18"/>
                <w:szCs w:val="18"/>
              </w:rPr>
            </w:pPr>
            <w:r>
              <w:rPr>
                <w:rFonts w:ascii="Times New Roman"/>
                <w:spacing w:val="-1"/>
                <w:sz w:val="18"/>
              </w:rPr>
              <w:t>25,741,099.79</w:t>
            </w:r>
          </w:p>
        </w:tc>
        <w:tc>
          <w:tcPr>
            <w:tcW w:w="1855" w:type="dxa"/>
            <w:tcBorders>
              <w:top w:val="nil" w:sz="6" w:space="0" w:color="auto"/>
              <w:left w:val="nil" w:sz="6" w:space="0" w:color="auto"/>
              <w:bottom w:val="nil" w:sz="6" w:space="0" w:color="auto"/>
              <w:right w:val="nil" w:sz="6" w:space="0" w:color="auto"/>
            </w:tcBorders>
          </w:tcPr>
          <w:p>
            <w:pPr/>
          </w:p>
        </w:tc>
      </w:tr>
      <w:tr>
        <w:trPr>
          <w:trHeight w:val="315" w:hRule="exact"/>
        </w:trPr>
        <w:tc>
          <w:tcPr>
            <w:tcW w:w="50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48"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8"/>
              <w:jc w:val="right"/>
              <w:rPr>
                <w:rFonts w:ascii="Times New Roman" w:hAnsi="Times New Roman" w:cs="Times New Roman" w:eastAsia="Times New Roman" w:hint="default"/>
                <w:sz w:val="18"/>
                <w:szCs w:val="18"/>
              </w:rPr>
            </w:pPr>
            <w:r>
              <w:rPr>
                <w:rFonts w:ascii="Times New Roman"/>
                <w:w w:val="95"/>
                <w:sz w:val="18"/>
              </w:rPr>
              <w:t>-44,090.62</w:t>
            </w:r>
            <w:r>
              <w:rPr>
                <w:rFonts w:ascii="Times New Roman"/>
                <w:sz w:val="18"/>
              </w:rPr>
            </w:r>
          </w:p>
        </w:tc>
        <w:tc>
          <w:tcPr>
            <w:tcW w:w="185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pStyle w:val="Heading1"/>
        <w:spacing w:line="240" w:lineRule="auto"/>
        <w:ind w:left="142" w:right="0"/>
        <w:jc w:val="center"/>
        <w:rPr>
          <w:b w:val="0"/>
          <w:bCs w:val="0"/>
        </w:rPr>
      </w:pPr>
      <w:bookmarkStart w:name="第十二节 备查文件目录" w:id="277"/>
      <w:bookmarkEnd w:id="277"/>
      <w:r>
        <w:rPr>
          <w:b w:val="0"/>
          <w:bCs w:val="0"/>
        </w:rPr>
      </w:r>
      <w:r>
        <w:rPr/>
        <w:t>第十二节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Heading3"/>
        <w:spacing w:line="357" w:lineRule="auto"/>
        <w:ind w:left="1418" w:right="1348" w:firstLine="480"/>
        <w:jc w:val="left"/>
      </w:pPr>
      <w:r>
        <w:rPr/>
        <w:t>一、载有公司法定代表人、主管会计工作负责人、会计机构负责人签名并盖章的会 计报表。</w:t>
      </w:r>
    </w:p>
    <w:p>
      <w:pPr>
        <w:pStyle w:val="Heading3"/>
        <w:spacing w:line="357" w:lineRule="auto" w:before="36"/>
        <w:ind w:right="1588"/>
        <w:jc w:val="left"/>
      </w:pPr>
      <w:r>
        <w:rPr/>
        <w:t>二、载有会计师事务所盖章，注册会计师签名并盖章的审计报告原件。 三、报告期内在中国证监会指定报纸上公开披露过的所有公司文件正本的原稿。 四、其他相关文件。</w:t>
      </w:r>
    </w:p>
    <w:p>
      <w:pPr>
        <w:pStyle w:val="Heading3"/>
        <w:spacing w:line="240" w:lineRule="auto" w:before="77"/>
        <w:ind w:right="1117"/>
        <w:jc w:val="left"/>
      </w:pPr>
      <w:r>
        <w:rPr/>
        <w:t>以上文件的备置地点：公司董秘处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5"/>
          <w:szCs w:val="35"/>
        </w:rPr>
      </w:pPr>
    </w:p>
    <w:p>
      <w:pPr>
        <w:pStyle w:val="Heading3"/>
        <w:spacing w:line="240" w:lineRule="auto"/>
        <w:ind w:left="6479" w:right="0"/>
        <w:jc w:val="center"/>
      </w:pPr>
      <w:r>
        <w:rPr/>
        <w:t>天舟文化股份有限公司</w:t>
      </w:r>
    </w:p>
    <w:p>
      <w:pPr>
        <w:pStyle w:val="Heading3"/>
        <w:spacing w:line="326" w:lineRule="auto" w:before="193"/>
        <w:ind w:left="7899" w:right="1364" w:hanging="26"/>
        <w:jc w:val="center"/>
      </w:pPr>
      <w:r>
        <w:rPr/>
        <w:t>董事长：肖志鸿 二〇一八年四月二十三日</w:t>
      </w:r>
    </w:p>
    <w:sectPr>
      <w:pgSz w:w="11910" w:h="16840"/>
      <w:pgMar w:header="87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8040"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7968" type="#_x0000_t75" stroked="false">
          <v:imagedata r:id="rId1" o:title=""/>
        </v:shape>
      </w:pict>
    </w:r>
    <w:r>
      <w:rPr/>
      <w:pict>
        <v:shape style="position:absolute;margin-left:520.659973pt;margin-top:781.957947pt;width:20.05pt;height:11pt;mso-position-horizontal-relative:page;mso-position-vertical-relative:page;z-index:-947944" type="#_x0000_t202" filled="false" stroked="false">
          <v:textbox inset="0,0,0,0">
            <w:txbxContent>
              <w:p>
                <w:pPr>
                  <w:pStyle w:val="BodyText"/>
                  <w:spacing w:line="204" w:lineRule="exact"/>
                  <w:ind w:left="18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7920" type="#_x0000_t75" stroked="false">
          <v:imagedata r:id="rId1" o:title=""/>
        </v:shape>
      </w:pict>
    </w:r>
    <w:r>
      <w:rPr/>
      <w:pict>
        <v:shape style="position:absolute;margin-left:517.159973pt;margin-top:781.957947pt;width:15.5pt;height:11pt;mso-position-horizontal-relative:page;mso-position-vertical-relative:page;z-index:-9478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7872" type="#_x0000_t75" stroked="false">
          <v:imagedata r:id="rId1" o:title=""/>
        </v:shape>
      </w:pict>
    </w:r>
    <w:r>
      <w:rPr/>
      <w:pict>
        <v:shape style="position:absolute;margin-left:516.159973pt;margin-top:781.957947pt;width:17.5pt;height:11pt;mso-position-horizontal-relative:page;mso-position-vertical-relative:page;z-index:-947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9480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73.140015pt;margin-top:42.865608pt;width:159.550pt;height:11.5pt;mso-position-horizontal-relative:page;mso-position-vertical-relative:page;z-index:-947992" type="#_x0000_t202" filled="false" stroked="false">
          <v:textbox inset="0,0,0,0">
            <w:txbxContent>
              <w:p>
                <w:pPr>
                  <w:pStyle w:val="BodyText"/>
                  <w:spacing w:line="214" w:lineRule="exact"/>
                  <w:ind w:left="20" w:right="0"/>
                  <w:jc w:val="left"/>
                </w:pPr>
                <w:r>
                  <w:rPr/>
                  <w:t>天舟文化股份有限公司</w:t>
                </w:r>
                <w:r>
                  <w:rPr>
                    <w:spacing w:val="-46"/>
                  </w:rPr>
                  <w:t> </w:t>
                </w:r>
                <w:r>
                  <w:rPr>
                    <w:rFonts w:ascii="Times New Roman" w:hAnsi="Times New Roman" w:cs="Times New Roman" w:eastAsia="Times New Roman" w:hint="default"/>
                  </w:rPr>
                  <w:t>2017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1"/>
      <w:ind w:left="1134"/>
    </w:pPr>
    <w:rPr>
      <w:rFonts w:ascii="宋体" w:hAnsi="宋体" w:eastAsia="宋体"/>
      <w:sz w:val="22"/>
      <w:szCs w:val="22"/>
    </w:rPr>
  </w:style>
  <w:style w:styleId="BodyText" w:type="paragraph">
    <w:name w:val="Body Text"/>
    <w:basedOn w:val="Normal"/>
    <w:uiPriority w:val="1"/>
    <w:qFormat/>
    <w:pPr>
      <w:ind w:left="1778"/>
    </w:pPr>
    <w:rPr>
      <w:rFonts w:ascii="宋体" w:hAnsi="宋体" w:eastAsia="宋体"/>
      <w:sz w:val="18"/>
      <w:szCs w:val="18"/>
    </w:rPr>
  </w:style>
  <w:style w:styleId="Heading1" w:type="paragraph">
    <w:name w:val="Heading 1"/>
    <w:basedOn w:val="Normal"/>
    <w:uiPriority w:val="1"/>
    <w:qFormat/>
    <w:pPr>
      <w:spacing w:before="1"/>
      <w:ind w:left="14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898"/>
      <w:outlineLvl w:val="3"/>
    </w:pPr>
    <w:rPr>
      <w:rFonts w:ascii="宋体" w:hAnsi="宋体" w:eastAsia="宋体"/>
      <w:sz w:val="24"/>
      <w:szCs w:val="24"/>
    </w:rPr>
  </w:style>
  <w:style w:styleId="Heading4" w:type="paragraph">
    <w:name w:val="Heading 4"/>
    <w:basedOn w:val="Normal"/>
    <w:uiPriority w:val="1"/>
    <w:qFormat/>
    <w:pPr>
      <w:ind w:left="1418"/>
      <w:outlineLvl w:val="4"/>
    </w:pPr>
    <w:rPr>
      <w:rFonts w:ascii="宋体" w:hAnsi="宋体" w:eastAsia="宋体"/>
      <w:b/>
      <w:bCs/>
      <w:sz w:val="21"/>
      <w:szCs w:val="21"/>
    </w:rPr>
  </w:style>
  <w:style w:styleId="Heading5" w:type="paragraph">
    <w:name w:val="Heading 5"/>
    <w:basedOn w:val="Normal"/>
    <w:uiPriority w:val="1"/>
    <w:qFormat/>
    <w:pPr>
      <w:ind w:left="1418"/>
      <w:outlineLvl w:val="5"/>
    </w:pPr>
    <w:rPr>
      <w:rFonts w:ascii="宋体" w:hAnsi="宋体" w:eastAsia="宋体"/>
      <w:sz w:val="21"/>
      <w:szCs w:val="21"/>
    </w:rPr>
  </w:style>
  <w:style w:styleId="Heading6" w:type="paragraph">
    <w:name w:val="Heading 6"/>
    <w:basedOn w:val="Normal"/>
    <w:uiPriority w:val="1"/>
    <w:qFormat/>
    <w:pPr>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t-angel.com/" TargetMode="External"/><Relationship Id="rId10" Type="http://schemas.openxmlformats.org/officeDocument/2006/relationships/hyperlink" Target="mailto:tangeldm@126.com" TargetMode="External"/><Relationship Id="rId11" Type="http://schemas.openxmlformats.org/officeDocument/2006/relationships/hyperlink" Target="http://www.cninfo.com.cn/" TargetMode="External"/><Relationship Id="rId12" Type="http://schemas.openxmlformats.org/officeDocument/2006/relationships/hyperlink" Target="http://www.cs.com.cn/" TargetMode="External"/><Relationship Id="rId13" Type="http://schemas.openxmlformats.org/officeDocument/2006/relationships/hyperlink" Target="http://www.stcn.com/" TargetMode="External"/><Relationship Id="rId14" Type="http://schemas.openxmlformats.org/officeDocument/2006/relationships/hyperlink" Target="http://www.cnstock.com/" TargetMode="External"/><Relationship Id="rId15" Type="http://schemas.openxmlformats.org/officeDocument/2006/relationships/hyperlink" Target="http://www.ccstock.cn/" TargetMode="External"/><Relationship Id="rId16" Type="http://schemas.openxmlformats.org/officeDocument/2006/relationships/hyperlink" Target="http://w/"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footer" Target="footer3.xml"/><Relationship Id="rId2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天舟文化股份有限公司</dc:creator>
  <dc:title>天舟文化股份有限公司2017年年度报告</dc:title>
  <dcterms:created xsi:type="dcterms:W3CDTF">2020-05-03T00:01:42Z</dcterms:created>
  <dcterms:modified xsi:type="dcterms:W3CDTF">2020-05-03T00:01:42Z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Office Word 2007</vt:lpwstr>
  </property>
  <property fmtid="{D5CDD505-2E9C-101B-9397-08002B2CF9AE}" pid="4" name="LastSaved">
    <vt:filetime>2020-05-02T00:00:00Z</vt:filetime>
  </property>
</Properties>
</file>