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0.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8"/>
        <w:rPr>
          <w:rFonts w:ascii="Times New Roman" w:hAnsi="Times New Roman" w:cs="Times New Roman" w:eastAsia="Times New Roman" w:hint="default"/>
          <w:sz w:val="7"/>
          <w:szCs w:val="7"/>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p>
      <w:pPr>
        <w:spacing w:line="460" w:lineRule="exact" w:before="0"/>
        <w:ind w:left="2241" w:right="2244" w:firstLine="0"/>
        <w:jc w:val="center"/>
        <w:rPr>
          <w:rFonts w:ascii="宋体" w:hAnsi="宋体" w:cs="宋体" w:eastAsia="宋体" w:hint="default"/>
          <w:sz w:val="36"/>
          <w:szCs w:val="36"/>
        </w:rPr>
      </w:pPr>
      <w:r>
        <w:rPr>
          <w:rFonts w:ascii="宋体" w:hAnsi="宋体" w:cs="宋体" w:eastAsia="宋体" w:hint="default"/>
          <w:b/>
          <w:bCs/>
          <w:sz w:val="36"/>
          <w:szCs w:val="36"/>
        </w:rPr>
        <w:t>广东安居宝数码科技股份有限公司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241" w:right="224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2"/>
          <w:szCs w:val="12"/>
        </w:rPr>
      </w:pPr>
    </w:p>
    <w:p>
      <w:pPr>
        <w:spacing w:line="1335" w:lineRule="exact"/>
        <w:ind w:left="3861" w:right="0" w:firstLine="0"/>
        <w:rPr>
          <w:rFonts w:ascii="宋体" w:hAnsi="宋体" w:cs="宋体" w:eastAsia="宋体" w:hint="default"/>
          <w:sz w:val="20"/>
          <w:szCs w:val="20"/>
        </w:rPr>
      </w:pPr>
      <w:r>
        <w:rPr>
          <w:rFonts w:ascii="宋体" w:hAnsi="宋体" w:cs="宋体" w:eastAsia="宋体" w:hint="default"/>
          <w:position w:val="-26"/>
          <w:sz w:val="20"/>
          <w:szCs w:val="20"/>
        </w:rPr>
        <w:drawing>
          <wp:inline distT="0" distB="0" distL="0" distR="0">
            <wp:extent cx="1407591" cy="84772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407591" cy="847725"/>
                    </a:xfrm>
                    <a:prstGeom prst="rect">
                      <a:avLst/>
                    </a:prstGeom>
                  </pic:spPr>
                </pic:pic>
              </a:graphicData>
            </a:graphic>
          </wp:inline>
        </w:drawing>
      </w:r>
      <w:r>
        <w:rPr>
          <w:rFonts w:ascii="宋体" w:hAnsi="宋体" w:cs="宋体" w:eastAsia="宋体" w:hint="default"/>
          <w:position w:val="-26"/>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spacing w:line="352" w:lineRule="auto" w:before="0"/>
        <w:ind w:left="3012" w:right="3015" w:firstLine="6"/>
        <w:jc w:val="center"/>
        <w:rPr>
          <w:rFonts w:ascii="宋体" w:hAnsi="宋体" w:cs="宋体" w:eastAsia="宋体" w:hint="default"/>
          <w:sz w:val="32"/>
          <w:szCs w:val="32"/>
        </w:rPr>
      </w:pPr>
      <w:r>
        <w:rPr>
          <w:rFonts w:ascii="宋体" w:hAnsi="宋体" w:cs="宋体" w:eastAsia="宋体" w:hint="default"/>
          <w:sz w:val="32"/>
          <w:szCs w:val="32"/>
        </w:rPr>
        <w:t>股票代码</w:t>
      </w:r>
      <w:r>
        <w:rPr>
          <w:rFonts w:ascii="宋体" w:hAnsi="宋体" w:cs="宋体" w:eastAsia="宋体" w:hint="default"/>
          <w:sz w:val="32"/>
          <w:szCs w:val="32"/>
        </w:rPr>
        <w:t>:300155</w:t>
      </w:r>
      <w:r>
        <w:rPr>
          <w:rFonts w:ascii="宋体" w:hAnsi="宋体" w:cs="宋体" w:eastAsia="宋体" w:hint="default"/>
          <w:spacing w:val="1"/>
          <w:w w:val="99"/>
          <w:sz w:val="32"/>
          <w:szCs w:val="32"/>
        </w:rPr>
        <w:t> </w:t>
      </w:r>
      <w:r>
        <w:rPr>
          <w:rFonts w:ascii="宋体" w:hAnsi="宋体" w:cs="宋体" w:eastAsia="宋体" w:hint="default"/>
          <w:sz w:val="32"/>
          <w:szCs w:val="32"/>
        </w:rPr>
        <w:t>股票简称</w:t>
      </w:r>
      <w:r>
        <w:rPr>
          <w:rFonts w:ascii="宋体" w:hAnsi="宋体" w:cs="宋体" w:eastAsia="宋体" w:hint="default"/>
          <w:sz w:val="32"/>
          <w:szCs w:val="32"/>
        </w:rPr>
        <w:t>:</w:t>
      </w:r>
      <w:r>
        <w:rPr>
          <w:rFonts w:ascii="宋体" w:hAnsi="宋体" w:cs="宋体" w:eastAsia="宋体" w:hint="default"/>
          <w:sz w:val="32"/>
          <w:szCs w:val="32"/>
        </w:rPr>
        <w:t>安居宝</w:t>
      </w:r>
      <w:r>
        <w:rPr>
          <w:rFonts w:ascii="宋体" w:hAnsi="宋体" w:cs="宋体" w:eastAsia="宋体" w:hint="default"/>
          <w:w w:val="99"/>
          <w:sz w:val="32"/>
          <w:szCs w:val="32"/>
        </w:rPr>
        <w:t> </w:t>
      </w:r>
      <w:r>
        <w:rPr>
          <w:rFonts w:ascii="宋体" w:hAnsi="宋体" w:cs="宋体" w:eastAsia="宋体" w:hint="default"/>
          <w:sz w:val="32"/>
          <w:szCs w:val="32"/>
        </w:rPr>
        <w:t>公告编号</w:t>
      </w:r>
      <w:r>
        <w:rPr>
          <w:rFonts w:ascii="宋体" w:hAnsi="宋体" w:cs="宋体" w:eastAsia="宋体" w:hint="default"/>
          <w:sz w:val="32"/>
          <w:szCs w:val="32"/>
        </w:rPr>
        <w:t>:2013-033</w:t>
      </w:r>
      <w:r>
        <w:rPr>
          <w:rFonts w:ascii="宋体" w:hAnsi="宋体" w:cs="宋体" w:eastAsia="宋体" w:hint="default"/>
          <w:w w:val="99"/>
          <w:sz w:val="32"/>
          <w:szCs w:val="32"/>
        </w:rPr>
        <w:t> </w:t>
      </w:r>
      <w:r>
        <w:rPr>
          <w:rFonts w:ascii="宋体" w:hAnsi="宋体" w:cs="宋体" w:eastAsia="宋体" w:hint="default"/>
          <w:sz w:val="32"/>
          <w:szCs w:val="32"/>
        </w:rPr>
        <w:t>披露日期</w:t>
      </w:r>
      <w:r>
        <w:rPr>
          <w:rFonts w:ascii="宋体" w:hAnsi="宋体" w:cs="宋体" w:eastAsia="宋体" w:hint="default"/>
          <w:sz w:val="32"/>
          <w:szCs w:val="32"/>
        </w:rPr>
        <w:t>:2013</w:t>
      </w:r>
      <w:r>
        <w:rPr>
          <w:rFonts w:ascii="宋体" w:hAnsi="宋体" w:cs="宋体" w:eastAsia="宋体" w:hint="default"/>
          <w:spacing w:val="-81"/>
          <w:sz w:val="32"/>
          <w:szCs w:val="32"/>
        </w:rPr>
        <w:t> </w:t>
      </w:r>
      <w:r>
        <w:rPr>
          <w:rFonts w:ascii="宋体" w:hAnsi="宋体" w:cs="宋体" w:eastAsia="宋体" w:hint="default"/>
          <w:sz w:val="32"/>
          <w:szCs w:val="32"/>
        </w:rPr>
        <w:t>年</w:t>
      </w:r>
      <w:r>
        <w:rPr>
          <w:rFonts w:ascii="宋体" w:hAnsi="宋体" w:cs="宋体" w:eastAsia="宋体" w:hint="default"/>
          <w:spacing w:val="-82"/>
          <w:sz w:val="32"/>
          <w:szCs w:val="32"/>
        </w:rPr>
        <w:t> </w:t>
      </w:r>
      <w:r>
        <w:rPr>
          <w:rFonts w:ascii="宋体" w:hAnsi="宋体" w:cs="宋体" w:eastAsia="宋体" w:hint="default"/>
          <w:sz w:val="32"/>
          <w:szCs w:val="32"/>
        </w:rPr>
        <w:t>4</w:t>
      </w:r>
      <w:r>
        <w:rPr>
          <w:rFonts w:ascii="宋体" w:hAnsi="宋体" w:cs="宋体" w:eastAsia="宋体" w:hint="default"/>
          <w:spacing w:val="-81"/>
          <w:sz w:val="32"/>
          <w:szCs w:val="32"/>
        </w:rPr>
        <w:t> </w:t>
      </w:r>
      <w:r>
        <w:rPr>
          <w:rFonts w:ascii="宋体" w:hAnsi="宋体" w:cs="宋体" w:eastAsia="宋体" w:hint="default"/>
          <w:sz w:val="32"/>
          <w:szCs w:val="32"/>
        </w:rPr>
        <w:t>月</w:t>
      </w:r>
      <w:r>
        <w:rPr>
          <w:rFonts w:ascii="宋体" w:hAnsi="宋体" w:cs="宋体" w:eastAsia="宋体" w:hint="default"/>
          <w:spacing w:val="-82"/>
          <w:sz w:val="32"/>
          <w:szCs w:val="32"/>
        </w:rPr>
        <w:t> </w:t>
      </w:r>
      <w:r>
        <w:rPr>
          <w:rFonts w:ascii="宋体" w:hAnsi="宋体" w:cs="宋体" w:eastAsia="宋体" w:hint="default"/>
          <w:sz w:val="32"/>
          <w:szCs w:val="32"/>
        </w:rPr>
        <w:t>23</w:t>
      </w:r>
      <w:r>
        <w:rPr>
          <w:rFonts w:ascii="宋体" w:hAnsi="宋体" w:cs="宋体" w:eastAsia="宋体" w:hint="default"/>
          <w:spacing w:val="-81"/>
          <w:sz w:val="32"/>
          <w:szCs w:val="32"/>
        </w:rPr>
        <w:t> </w:t>
      </w:r>
      <w:r>
        <w:rPr>
          <w:rFonts w:ascii="宋体" w:hAnsi="宋体" w:cs="宋体" w:eastAsia="宋体" w:hint="default"/>
          <w:sz w:val="32"/>
          <w:szCs w:val="32"/>
        </w:rPr>
        <w:t>日</w:t>
      </w: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6"/>
        <w:rPr>
          <w:rFonts w:ascii="宋体" w:hAnsi="宋体" w:cs="宋体" w:eastAsia="宋体" w:hint="default"/>
          <w:sz w:val="33"/>
          <w:szCs w:val="33"/>
        </w:rPr>
      </w:pPr>
    </w:p>
    <w:p>
      <w:pPr>
        <w:spacing w:before="0"/>
        <w:ind w:left="2241" w:right="224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type w:val="continuous"/>
          <w:pgSz w:w="11910" w:h="16840"/>
          <w:pgMar w:top="880" w:bottom="2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Heading1"/>
        <w:spacing w:line="240" w:lineRule="auto"/>
        <w:ind w:left="2803" w:right="0"/>
        <w:jc w:val="left"/>
        <w:rPr>
          <w:b w:val="0"/>
          <w:bCs w:val="0"/>
        </w:rPr>
      </w:pPr>
      <w:bookmarkStart w:name="_TOC_250009"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5" w:lineRule="auto" w:before="162"/>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公司负责人张波、主管会计工作负责人黄光明及会计机构负责人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sz w:val="28"/>
          <w:szCs w:val="28"/>
        </w:rPr>
      </w:r>
    </w:p>
    <w:p>
      <w:pPr>
        <w:spacing w:line="320" w:lineRule="exact" w:before="0"/>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吴若顺声明：保证年度报告中财务报告的真实、准确、完整。</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line="408" w:lineRule="auto" w:before="0"/>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本报告中如有涉及未来的计划、业绩预测等方面的内容，均不构成本公司</w:t>
      </w:r>
      <w:r>
        <w:rPr>
          <w:rFonts w:ascii="宋体" w:hAnsi="宋体" w:cs="宋体" w:eastAsia="宋体" w:hint="default"/>
          <w:b/>
          <w:bCs/>
          <w:w w:val="99"/>
          <w:sz w:val="28"/>
          <w:szCs w:val="28"/>
        </w:rPr>
        <w:t> </w:t>
      </w:r>
      <w:r>
        <w:rPr>
          <w:rFonts w:ascii="宋体" w:hAnsi="宋体" w:cs="宋体" w:eastAsia="宋体" w:hint="default"/>
          <w:b/>
          <w:bCs/>
          <w:spacing w:val="2"/>
          <w:sz w:val="28"/>
          <w:szCs w:val="28"/>
        </w:rPr>
        <w:t>对任何投资者及相关人士的承诺，投资者及相关人士均应对此保持足够的风险</w:t>
      </w:r>
      <w:r>
        <w:rPr>
          <w:rFonts w:ascii="宋体" w:hAnsi="宋体" w:cs="宋体" w:eastAsia="宋体" w:hint="default"/>
          <w:b/>
          <w:bCs/>
          <w:w w:val="99"/>
          <w:sz w:val="28"/>
          <w:szCs w:val="28"/>
        </w:rPr>
        <w:t> </w:t>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headerReference w:type="default" r:id="rId6"/>
          <w:footerReference w:type="default" r:id="rId7"/>
          <w:pgSz w:w="11910" w:h="16840"/>
          <w:pgMar w:header="877" w:footer="1227" w:top="1100" w:bottom="1420" w:left="980" w:right="980"/>
          <w:pgNumType w:start="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spacing w:line="460" w:lineRule="exact" w:before="0"/>
        <w:ind w:left="2241" w:right="224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09">
            <w:r>
              <w:rPr/>
              <w:t>第一节</w:t>
            </w:r>
            <w:r>
              <w:rPr>
                <w:spacing w:val="1"/>
              </w:rPr>
              <w:t> </w:t>
            </w:r>
            <w:r>
              <w:rPr/>
              <w:t>重要提示、目录和释义</w:t>
            </w:r>
            <w:r>
              <w:rPr>
                <w:rFonts w:ascii="Times New Roman" w:hAnsi="Times New Roman" w:cs="Times New Roman" w:eastAsia="Times New Roman" w:hint="default"/>
              </w:rPr>
              <w:tab/>
              <w:t>1</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8">
            <w:r>
              <w:rPr/>
              <w:t>第二节</w:t>
            </w:r>
            <w:r>
              <w:rPr>
                <w:spacing w:val="1"/>
              </w:rPr>
              <w:t> </w:t>
            </w:r>
            <w:r>
              <w:rPr/>
              <w:t>公司基本情况简介</w:t>
            </w:r>
            <w:r>
              <w:rPr>
                <w:rFonts w:ascii="Times New Roman" w:hAnsi="Times New Roman" w:cs="Times New Roman" w:eastAsia="Times New Roman" w:hint="default"/>
              </w:rPr>
              <w:tab/>
              <w:t>4</w:t>
            </w:r>
          </w:hyperlink>
        </w:p>
        <w:p>
          <w:pPr>
            <w:pStyle w:val="TOC1"/>
            <w:tabs>
              <w:tab w:pos="9782" w:val="right" w:leader="dot"/>
            </w:tabs>
            <w:spacing w:line="240" w:lineRule="auto" w:before="102"/>
            <w:ind w:right="0"/>
            <w:jc w:val="left"/>
            <w:rPr>
              <w:rFonts w:ascii="Times New Roman" w:hAnsi="Times New Roman" w:cs="Times New Roman" w:eastAsia="Times New Roman" w:hint="default"/>
            </w:rPr>
          </w:pPr>
          <w:hyperlink w:history="true" w:anchor="_TOC_250007">
            <w:r>
              <w:rPr/>
              <w:t>第三节</w:t>
            </w:r>
            <w:r>
              <w:rPr>
                <w:spacing w:val="1"/>
              </w:rPr>
              <w:t> </w:t>
            </w:r>
            <w:r>
              <w:rPr/>
              <w:t>会计数据和财务指标摘要</w:t>
            </w:r>
            <w:r>
              <w:rPr>
                <w:rFonts w:ascii="Times New Roman" w:hAnsi="Times New Roman" w:cs="Times New Roman" w:eastAsia="Times New Roman" w:hint="default"/>
              </w:rPr>
              <w:tab/>
              <w:t>6</w:t>
            </w:r>
          </w:hyperlink>
        </w:p>
        <w:p>
          <w:pPr>
            <w:pStyle w:val="TOC1"/>
            <w:tabs>
              <w:tab w:pos="9778" w:val="right" w:leader="dot"/>
            </w:tabs>
            <w:spacing w:line="240" w:lineRule="auto"/>
            <w:ind w:right="0"/>
            <w:jc w:val="left"/>
            <w:rPr>
              <w:rFonts w:ascii="Times New Roman" w:hAnsi="Times New Roman" w:cs="Times New Roman" w:eastAsia="Times New Roman" w:hint="default"/>
            </w:rPr>
          </w:pPr>
          <w:hyperlink w:history="true" w:anchor="_TOC_250006">
            <w:r>
              <w:rPr/>
              <w:t>第四节</w:t>
            </w:r>
            <w:r>
              <w:rPr>
                <w:spacing w:val="1"/>
              </w:rPr>
              <w:t> </w:t>
            </w:r>
            <w:r>
              <w:rPr/>
              <w:t>董事会报告</w:t>
            </w:r>
            <w:r>
              <w:rPr>
                <w:rFonts w:ascii="Times New Roman" w:hAnsi="Times New Roman" w:cs="Times New Roman" w:eastAsia="Times New Roman" w:hint="default"/>
              </w:rPr>
              <w:tab/>
            </w:r>
            <w:r>
              <w:rPr>
                <w:rFonts w:ascii="Times New Roman" w:hAnsi="Times New Roman" w:cs="Times New Roman" w:eastAsia="Times New Roman" w:hint="default"/>
                <w:spacing w:val="-6"/>
              </w:rPr>
              <w:t>11</w:t>
            </w:r>
            <w:r>
              <w:rPr>
                <w:rFonts w:ascii="Times New Roman" w:hAnsi="Times New Roman" w:cs="Times New Roman" w:eastAsia="Times New Roman" w:hint="default"/>
              </w:rPr>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5">
            <w:r>
              <w:rPr/>
              <w:t>第五节</w:t>
            </w:r>
            <w:r>
              <w:rPr>
                <w:spacing w:val="1"/>
              </w:rPr>
              <w:t> </w:t>
            </w:r>
            <w:r>
              <w:rPr/>
              <w:t>重要事项</w:t>
            </w:r>
            <w:r>
              <w:rPr>
                <w:rFonts w:ascii="Times New Roman" w:hAnsi="Times New Roman" w:cs="Times New Roman" w:eastAsia="Times New Roman" w:hint="default"/>
              </w:rPr>
              <w:tab/>
              <w:t>34</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TOC_250004">
            <w:r>
              <w:rPr/>
              <w:t>第六节</w:t>
            </w:r>
            <w:r>
              <w:rPr>
                <w:spacing w:val="1"/>
              </w:rPr>
              <w:t> </w:t>
            </w:r>
            <w:r>
              <w:rPr/>
              <w:t>股份变动及股东情况</w:t>
            </w:r>
            <w:r>
              <w:rPr>
                <w:rFonts w:ascii="Times New Roman" w:hAnsi="Times New Roman" w:cs="Times New Roman" w:eastAsia="Times New Roman" w:hint="default"/>
              </w:rPr>
              <w:tab/>
              <w:t>44</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3">
            <w:r>
              <w:rPr/>
              <w:t>第七节</w:t>
            </w:r>
            <w:r>
              <w:rPr>
                <w:spacing w:val="1"/>
              </w:rPr>
              <w:t> </w:t>
            </w:r>
            <w:r>
              <w:rPr/>
              <w:t>董事、监事、高级管理人员和员工情况</w:t>
            </w:r>
            <w:r>
              <w:rPr>
                <w:rFonts w:ascii="Times New Roman" w:hAnsi="Times New Roman" w:cs="Times New Roman" w:eastAsia="Times New Roman" w:hint="default"/>
              </w:rPr>
              <w:tab/>
              <w:t>50</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2">
            <w:r>
              <w:rPr/>
              <w:t>第八节</w:t>
            </w:r>
            <w:r>
              <w:rPr>
                <w:spacing w:val="1"/>
              </w:rPr>
              <w:t> </w:t>
            </w:r>
            <w:r>
              <w:rPr/>
              <w:t>公司治理</w:t>
            </w:r>
            <w:r>
              <w:rPr>
                <w:rFonts w:ascii="Times New Roman" w:hAnsi="Times New Roman" w:cs="Times New Roman" w:eastAsia="Times New Roman" w:hint="default"/>
              </w:rPr>
              <w:tab/>
              <w:t>55</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TOC_250001">
            <w:r>
              <w:rPr/>
              <w:t>第九节</w:t>
            </w:r>
            <w:r>
              <w:rPr>
                <w:spacing w:val="1"/>
              </w:rPr>
              <w:t> </w:t>
            </w:r>
            <w:r>
              <w:rPr/>
              <w:t>财务报告</w:t>
            </w:r>
            <w:r>
              <w:rPr>
                <w:rFonts w:ascii="Times New Roman" w:hAnsi="Times New Roman" w:cs="Times New Roman" w:eastAsia="Times New Roman" w:hint="default"/>
              </w:rPr>
              <w:tab/>
              <w:t>58</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0">
            <w:r>
              <w:rPr/>
              <w:t>第十节</w:t>
            </w:r>
            <w:r>
              <w:rPr>
                <w:spacing w:val="1"/>
              </w:rPr>
              <w:t> </w:t>
            </w:r>
            <w:r>
              <w:rPr/>
              <w:t>备查文件目录</w:t>
            </w:r>
            <w:r>
              <w:rPr>
                <w:rFonts w:ascii="Times New Roman" w:hAnsi="Times New Roman" w:cs="Times New Roman" w:eastAsia="Times New Roman" w:hint="default"/>
              </w:rPr>
              <w:tab/>
              <w:t>136</w:t>
            </w:r>
          </w:hyperlink>
        </w:p>
        <w:p>
          <w:pPr/>
          <w:r>
            <w:fldChar w:fldCharType="end"/>
          </w:r>
        </w:p>
      </w:sdtContent>
    </w:sdt>
    <w:p>
      <w:pPr>
        <w:spacing w:after="0"/>
        <w:sectPr>
          <w:pgSz w:w="11910" w:h="16840"/>
          <w:pgMar w:header="877" w:footer="1227" w:top="1100" w:bottom="1420" w:left="980" w:right="98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10"/>
        <w:rPr>
          <w:rFonts w:ascii="Times New Roman" w:hAnsi="Times New Roman" w:cs="Times New Roman" w:eastAsia="Times New Roman" w:hint="default"/>
          <w:sz w:val="25"/>
          <w:szCs w:val="25"/>
        </w:rPr>
      </w:pPr>
    </w:p>
    <w:p>
      <w:pPr>
        <w:spacing w:before="0"/>
        <w:ind w:left="2241" w:right="224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1"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安居宝、公司、本公司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广东安居宝数码科技股份有限公司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德居安香港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德居安科技有限公司（</w:t>
            </w:r>
            <w:r>
              <w:rPr>
                <w:rFonts w:ascii="Times New Roman" w:hAnsi="Times New Roman" w:cs="Times New Roman" w:eastAsia="Times New Roman" w:hint="default"/>
                <w:sz w:val="18"/>
                <w:szCs w:val="18"/>
              </w:rPr>
              <w:t>DE-JA TECHNOLOGY</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z w:val="18"/>
                <w:szCs w:val="18"/>
              </w:rPr>
              <w:t>CO.,LIMITED)</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德居安广州</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德居安（广州）电子科技有限公司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广州德居安</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广州市德居安电子科技有限公司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光电传输</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广东安居宝光电传输科技有限公司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智能控制</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广东安居宝智能控制系统有限公司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广州市德居安电子科技有限公司、广东安居宝光电传输科技有限公司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广东安居宝智能控制系统有限公司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自然人张波</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保荐机构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律师、律师事务所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国浩律师集团（广州）事务所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立信羊城、会计师</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立信会计师事务所（特殊普通合伙）广东分所</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bl>
    <w:p>
      <w:pPr>
        <w:spacing w:after="0" w:line="240"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spacing w:line="240" w:lineRule="auto"/>
        <w:ind w:left="3124" w:right="0"/>
        <w:jc w:val="left"/>
        <w:rPr>
          <w:b w:val="0"/>
          <w:bCs w:val="0"/>
        </w:rPr>
      </w:pPr>
      <w:bookmarkStart w:name="_TOC_250008" w:id="2"/>
      <w:r>
        <w:rPr/>
        <w:t>第二节</w:t>
      </w:r>
      <w:r>
        <w:rPr>
          <w:spacing w:val="-6"/>
        </w:rPr>
        <w:t> </w:t>
      </w:r>
      <w:r>
        <w:rPr/>
        <w:t>公司基本情况简介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909"/>
        <w:gridCol w:w="2327"/>
        <w:gridCol w:w="2135"/>
        <w:gridCol w:w="2188"/>
      </w:tblGrid>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27"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安居宝</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300155</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广东安居宝数码科技股份有限公司</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安居宝</w:t>
            </w:r>
          </w:p>
        </w:tc>
      </w:tr>
      <w:tr>
        <w:trPr>
          <w:trHeight w:val="404"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Guangdong</w:t>
            </w:r>
            <w:r>
              <w:rPr>
                <w:rFonts w:ascii="Times New Roman"/>
                <w:spacing w:val="-15"/>
                <w:sz w:val="18"/>
              </w:rPr>
              <w:t> </w:t>
            </w:r>
            <w:r>
              <w:rPr>
                <w:rFonts w:ascii="Times New Roman"/>
                <w:sz w:val="18"/>
              </w:rPr>
              <w:t>Anjubao</w:t>
            </w:r>
            <w:r>
              <w:rPr>
                <w:rFonts w:ascii="Times New Roman"/>
                <w:spacing w:val="-4"/>
                <w:sz w:val="18"/>
              </w:rPr>
              <w:t> </w:t>
            </w:r>
            <w:r>
              <w:rPr>
                <w:rFonts w:ascii="Times New Roman"/>
                <w:sz w:val="18"/>
              </w:rPr>
              <w:t>Digital</w:t>
            </w:r>
            <w:r>
              <w:rPr>
                <w:rFonts w:ascii="Times New Roman"/>
                <w:spacing w:val="-9"/>
                <w:sz w:val="18"/>
              </w:rPr>
              <w:t> </w:t>
            </w:r>
            <w:r>
              <w:rPr>
                <w:rFonts w:ascii="Times New Roman"/>
                <w:sz w:val="18"/>
              </w:rPr>
              <w:t>Technology</w:t>
            </w:r>
            <w:r>
              <w:rPr>
                <w:rFonts w:ascii="Times New Roman"/>
                <w:spacing w:val="-9"/>
                <w:sz w:val="18"/>
              </w:rPr>
              <w:t> </w:t>
            </w:r>
            <w:r>
              <w:rPr>
                <w:rFonts w:ascii="Times New Roman"/>
                <w:sz w:val="18"/>
              </w:rPr>
              <w:t>Co.,</w:t>
            </w:r>
            <w:r>
              <w:rPr>
                <w:rFonts w:ascii="Times New Roman"/>
                <w:spacing w:val="-5"/>
                <w:sz w:val="18"/>
              </w:rPr>
              <w:t> </w:t>
            </w:r>
            <w:r>
              <w:rPr>
                <w:rFonts w:ascii="Times New Roman"/>
                <w:sz w:val="18"/>
              </w:rPr>
              <w:t>Ltd.</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ANJUBAO</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张波</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广州高新技术产业开发区科学城起云路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号自编一栋</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510663</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广东省广州开发区科学城起云路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号安居宝科技园</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510663</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8">
              <w:r>
                <w:rPr>
                  <w:rFonts w:ascii="Times New Roman"/>
                  <w:sz w:val="18"/>
                </w:rPr>
                <w:t>www.anjubao.com</w:t>
              </w:r>
            </w:hyperlink>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anjubao@anjubao.net</w:t>
              </w:r>
            </w:hyperlink>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广州市林和西路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15 </w:t>
            </w:r>
            <w:r>
              <w:rPr>
                <w:rFonts w:ascii="宋体" w:hAnsi="宋体" w:cs="宋体" w:eastAsia="宋体" w:hint="default"/>
                <w:sz w:val="18"/>
                <w:szCs w:val="18"/>
              </w:rPr>
              <w:t>号耀中广场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楼</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黄伟宁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骆伟明</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49"/>
              <w:ind w:left="17" w:right="91"/>
              <w:jc w:val="left"/>
              <w:rPr>
                <w:rFonts w:ascii="宋体" w:hAnsi="宋体" w:cs="宋体" w:eastAsia="宋体" w:hint="default"/>
                <w:sz w:val="18"/>
                <w:szCs w:val="18"/>
              </w:rPr>
            </w:pPr>
            <w:r>
              <w:rPr>
                <w:rFonts w:ascii="宋体" w:hAnsi="宋体" w:cs="宋体" w:eastAsia="宋体" w:hint="default"/>
                <w:sz w:val="18"/>
                <w:szCs w:val="18"/>
              </w:rPr>
              <w:t>广东省广州开发区科学城起云路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号安 居宝科技园</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广东省广州开发区科学城起云路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号安 居宝科技园</w:t>
            </w:r>
          </w:p>
        </w:tc>
      </w:tr>
      <w:tr>
        <w:trPr>
          <w:trHeight w:val="394"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020-82051026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020-82051026</w:t>
            </w:r>
          </w:p>
        </w:tc>
      </w:tr>
      <w:tr>
        <w:trPr>
          <w:trHeight w:val="404"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020-82082030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020-82082030</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10">
              <w:r>
                <w:rPr>
                  <w:rFonts w:ascii="Times New Roman"/>
                  <w:sz w:val="18"/>
                </w:rPr>
                <w:t>huangwn@anjubao.net</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weiming_l@anjubao.net</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48"/>
        <w:gridCol w:w="5721"/>
      </w:tblGrid>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2">
              <w:r>
                <w:rPr>
                  <w:rFonts w:ascii="Times New Roman" w:hAnsi="Times New Roman" w:cs="Times New Roman" w:eastAsia="Times New Roman" w:hint="default"/>
                  <w:sz w:val="18"/>
                  <w:szCs w:val="18"/>
                </w:rPr>
                <w:t>http://www.cninfo.com.cn</w:t>
              </w:r>
            </w:hyperlink>
          </w:p>
        </w:tc>
      </w:tr>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9"/>
        <w:rPr>
          <w:rFonts w:ascii="宋体" w:hAnsi="宋体" w:cs="宋体" w:eastAsia="宋体" w:hint="default"/>
          <w:b/>
          <w:bCs/>
          <w:sz w:val="19"/>
          <w:szCs w:val="19"/>
        </w:rPr>
      </w:pPr>
    </w:p>
    <w:p>
      <w:pPr>
        <w:pStyle w:val="Heading2"/>
        <w:spacing w:line="240" w:lineRule="auto" w:before="26"/>
        <w:ind w:right="0"/>
        <w:jc w:val="left"/>
        <w:rPr>
          <w:b w:val="0"/>
          <w:bCs w:val="0"/>
        </w:rPr>
      </w:pPr>
      <w:r>
        <w:rPr/>
        <w:t>四、公司历史沿革</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5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广州市工商行政管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4401082002020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440101769537544</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769537544</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公司改制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广州市工商行政管 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440101000041759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440101769537544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769537544</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公司首次公开发行 股票注册登记变更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广州市工商行政管 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440101000041759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440101769537544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769537544</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注册资本变更登记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广州市工商行政管 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440101000041759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440101769537544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769537544</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报告期办公地址变 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广州市工商行政管 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440101000041759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440101769537544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769537544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b/>
          <w:bCs/>
          <w:sz w:val="36"/>
          <w:szCs w:val="36"/>
        </w:rPr>
      </w:pPr>
    </w:p>
    <w:p>
      <w:pPr>
        <w:pStyle w:val="Heading1"/>
        <w:spacing w:line="240" w:lineRule="auto"/>
        <w:ind w:left="4741" w:right="-16"/>
        <w:jc w:val="left"/>
        <w:rPr>
          <w:b w:val="0"/>
          <w:bCs w:val="0"/>
        </w:rPr>
      </w:pPr>
      <w:r>
        <w:rPr/>
        <w:pict>
          <v:group style="position:absolute;margin-left:70.559998pt;margin-top:-8.692495pt;width:700.9pt;height:.1pt;mso-position-horizontal-relative:page;mso-position-vertical-relative:paragraph;z-index:1048" coordorigin="1411,-174" coordsize="14018,2">
            <v:shape style="position:absolute;left:1411;top:-174;width:14018;height:2" coordorigin="1411,-174" coordsize="14018,0" path="m1411,-174l15429,-174e" filled="false" stroked="true" strokeweight=".72pt" strokecolor="#000000">
              <v:path arrowok="t"/>
            </v:shape>
            <w10:wrap type="none"/>
          </v:group>
        </w:pict>
      </w:r>
      <w:bookmarkStart w:name="_TOC_250007" w:id="3"/>
      <w:r>
        <w:rPr/>
        <w:t>第三节</w:t>
      </w:r>
      <w:r>
        <w:rPr>
          <w:spacing w:val="-6"/>
        </w:rPr>
        <w:t> </w:t>
      </w:r>
      <w:r>
        <w:rPr/>
        <w:t>会计数据和财务指标摘要</w:t>
      </w:r>
      <w:bookmarkEnd w:id="3"/>
      <w:r>
        <w:rPr>
          <w:b w:val="0"/>
          <w:bCs w:val="0"/>
        </w:rPr>
      </w:r>
    </w:p>
    <w:p>
      <w:pPr>
        <w:pStyle w:val="BodyText"/>
        <w:spacing w:line="240" w:lineRule="auto" w:before="15"/>
        <w:ind w:left="429" w:right="0"/>
        <w:jc w:val="left"/>
      </w:pPr>
      <w:r>
        <w:rPr/>
        <w:br w:type="column"/>
      </w:r>
      <w:r>
        <w:rPr/>
        <w:t>广东安居宝数码科技股份有限公司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p>
      <w:pPr>
        <w:spacing w:after="0" w:line="240" w:lineRule="auto"/>
        <w:jc w:val="left"/>
        <w:sectPr>
          <w:headerReference w:type="default" r:id="rId13"/>
          <w:footerReference w:type="default" r:id="rId14"/>
          <w:pgSz w:w="16840" w:h="11910" w:orient="landscape"/>
          <w:pgMar w:header="0" w:footer="0" w:top="800" w:bottom="280" w:left="1300" w:right="1300"/>
          <w:cols w:num="2" w:equalWidth="0">
            <w:col w:w="9399" w:space="40"/>
            <w:col w:w="4801"/>
          </w:cols>
        </w:sectPr>
      </w:pPr>
    </w:p>
    <w:p>
      <w:pPr>
        <w:spacing w:line="240" w:lineRule="auto" w:before="0"/>
        <w:rPr>
          <w:rFonts w:ascii="宋体" w:hAnsi="宋体" w:cs="宋体" w:eastAsia="宋体" w:hint="default"/>
          <w:sz w:val="20"/>
          <w:szCs w:val="20"/>
        </w:rPr>
      </w:pPr>
    </w:p>
    <w:p>
      <w:pPr>
        <w:pStyle w:val="Heading2"/>
        <w:spacing w:line="240" w:lineRule="auto" w:before="183"/>
        <w:ind w:left="140" w:right="0"/>
        <w:jc w:val="left"/>
        <w:rPr>
          <w:b w:val="0"/>
          <w:bCs w:val="0"/>
        </w:rPr>
      </w:pPr>
      <w:r>
        <w:rPr/>
        <w:t>一、主要会计数据和财务指标</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6840" w:h="11910" w:orient="landscape"/>
          <w:pgMar w:top="880" w:bottom="280" w:left="1300" w:right="1300"/>
        </w:sectPr>
      </w:pPr>
    </w:p>
    <w:p>
      <w:pPr>
        <w:pStyle w:val="BodyText"/>
        <w:spacing w:line="240" w:lineRule="auto" w:before="44"/>
        <w:ind w:left="140" w:right="-19"/>
        <w:jc w:val="left"/>
      </w:pPr>
      <w:r>
        <w:rPr/>
        <w:t>公司是否因会计政策变更及会计差错更正等追溯调整或重述以前年度会计数据</w:t>
      </w:r>
    </w:p>
    <w:p>
      <w:pPr>
        <w:pStyle w:val="BodyText"/>
        <w:spacing w:line="340" w:lineRule="auto" w:before="112"/>
        <w:ind w:left="140" w:right="502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主要会计数据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left="140" w:right="0"/>
        <w:jc w:val="left"/>
      </w:pPr>
      <w:r>
        <w:rPr/>
        <w:t>单位</w:t>
      </w:r>
      <w:r>
        <w:rPr>
          <w:rFonts w:ascii="Times New Roman" w:hAnsi="Times New Roman" w:cs="Times New Roman" w:eastAsia="Times New Roman" w:hint="default"/>
        </w:rPr>
        <w:t>:</w:t>
      </w:r>
      <w:r>
        <w:rPr/>
        <w:t>元</w:t>
      </w:r>
    </w:p>
    <w:p>
      <w:pPr>
        <w:spacing w:after="0" w:line="240" w:lineRule="auto"/>
        <w:jc w:val="left"/>
        <w:sectPr>
          <w:type w:val="continuous"/>
          <w:pgSz w:w="16840" w:h="11910" w:orient="landscape"/>
          <w:pgMar w:top="880" w:bottom="280" w:left="1300" w:right="1300"/>
          <w:cols w:num="2" w:equalWidth="0">
            <w:col w:w="6262" w:space="6350"/>
            <w:col w:w="1628"/>
          </w:cols>
        </w:sectPr>
      </w:pPr>
    </w:p>
    <w:p>
      <w:pPr>
        <w:spacing w:line="240" w:lineRule="auto" w:before="1"/>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3428"/>
        <w:gridCol w:w="1748"/>
        <w:gridCol w:w="1750"/>
        <w:gridCol w:w="1750"/>
        <w:gridCol w:w="1946"/>
        <w:gridCol w:w="1556"/>
        <w:gridCol w:w="1752"/>
      </w:tblGrid>
      <w:tr>
        <w:trPr>
          <w:trHeight w:val="206" w:hRule="exact"/>
        </w:trPr>
        <w:tc>
          <w:tcPr>
            <w:tcW w:w="3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330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192" w:hRule="exact"/>
        </w:trPr>
        <w:tc>
          <w:tcPr>
            <w:tcW w:w="3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7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500" w:type="dxa"/>
            <w:gridSpan w:val="2"/>
            <w:vMerge/>
            <w:tcBorders>
              <w:left w:val="single" w:sz="4" w:space="0" w:color="000000"/>
              <w:bottom w:val="single" w:sz="4" w:space="0" w:color="000000"/>
              <w:right w:val="single" w:sz="4" w:space="0" w:color="000000"/>
            </w:tcBorders>
            <w:shd w:val="clear" w:color="auto" w:fill="D2D2D2"/>
          </w:tcPr>
          <w:p>
            <w:pPr/>
          </w:p>
        </w:tc>
        <w:tc>
          <w:tcPr>
            <w:tcW w:w="1946" w:type="dxa"/>
            <w:vMerge/>
            <w:tcBorders>
              <w:left w:val="single" w:sz="4" w:space="0" w:color="000000"/>
              <w:bottom w:val="single" w:sz="4" w:space="0" w:color="000000"/>
              <w:right w:val="single" w:sz="4" w:space="0" w:color="000000"/>
            </w:tcBorders>
            <w:shd w:val="clear" w:color="auto" w:fill="D2D2D2"/>
          </w:tcPr>
          <w:p>
            <w:pPr/>
          </w:p>
        </w:tc>
        <w:tc>
          <w:tcPr>
            <w:tcW w:w="330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428" w:type="dxa"/>
            <w:vMerge/>
            <w:tcBorders>
              <w:left w:val="single" w:sz="4" w:space="0" w:color="000000"/>
              <w:bottom w:val="nil" w:sz="6" w:space="0" w:color="auto"/>
              <w:right w:val="single" w:sz="4" w:space="0" w:color="000000"/>
            </w:tcBorders>
            <w:shd w:val="clear" w:color="auto" w:fill="D2D2D2"/>
          </w:tcPr>
          <w:p>
            <w:pPr/>
          </w:p>
        </w:tc>
        <w:tc>
          <w:tcPr>
            <w:tcW w:w="1748" w:type="dxa"/>
            <w:vMerge/>
            <w:tcBorders>
              <w:left w:val="single" w:sz="4" w:space="0" w:color="000000"/>
              <w:bottom w:val="nil" w:sz="6" w:space="0" w:color="auto"/>
              <w:right w:val="single" w:sz="4" w:space="0" w:color="000000"/>
            </w:tcBorders>
            <w:shd w:val="clear" w:color="auto" w:fill="D2D2D2"/>
          </w:tcPr>
          <w:p>
            <w:pPr/>
          </w:p>
        </w:tc>
        <w:tc>
          <w:tcPr>
            <w:tcW w:w="1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9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5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7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204" w:hRule="exact"/>
        </w:trPr>
        <w:tc>
          <w:tcPr>
            <w:tcW w:w="3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50" w:type="dxa"/>
            <w:vMerge/>
            <w:tcBorders>
              <w:left w:val="single" w:sz="4" w:space="0" w:color="000000"/>
              <w:bottom w:val="single" w:sz="4" w:space="0" w:color="000000"/>
              <w:right w:val="single" w:sz="4" w:space="0" w:color="000000"/>
            </w:tcBorders>
            <w:shd w:val="clear" w:color="auto" w:fill="D2D2D2"/>
          </w:tcPr>
          <w:p>
            <w:pPr/>
          </w:p>
        </w:tc>
        <w:tc>
          <w:tcPr>
            <w:tcW w:w="1750" w:type="dxa"/>
            <w:vMerge/>
            <w:tcBorders>
              <w:left w:val="single" w:sz="4" w:space="0" w:color="000000"/>
              <w:bottom w:val="single" w:sz="4" w:space="0" w:color="000000"/>
              <w:right w:val="single" w:sz="4" w:space="0" w:color="000000"/>
            </w:tcBorders>
            <w:shd w:val="clear" w:color="auto" w:fill="D2D2D2"/>
          </w:tcPr>
          <w:p>
            <w:pPr/>
          </w:p>
        </w:tc>
        <w:tc>
          <w:tcPr>
            <w:tcW w:w="1946" w:type="dxa"/>
            <w:vMerge/>
            <w:tcBorders>
              <w:left w:val="single" w:sz="4" w:space="0" w:color="000000"/>
              <w:bottom w:val="single" w:sz="4" w:space="0" w:color="000000"/>
              <w:right w:val="single" w:sz="4" w:space="0" w:color="000000"/>
            </w:tcBorders>
            <w:shd w:val="clear" w:color="auto" w:fill="D2D2D2"/>
          </w:tcPr>
          <w:p>
            <w:pPr/>
          </w:p>
        </w:tc>
        <w:tc>
          <w:tcPr>
            <w:tcW w:w="1556" w:type="dxa"/>
            <w:vMerge/>
            <w:tcBorders>
              <w:left w:val="single" w:sz="4" w:space="0" w:color="000000"/>
              <w:bottom w:val="single" w:sz="4" w:space="0" w:color="000000"/>
              <w:right w:val="single" w:sz="4" w:space="0" w:color="000000"/>
            </w:tcBorders>
            <w:shd w:val="clear" w:color="auto" w:fill="D2D2D2"/>
          </w:tcPr>
          <w:p>
            <w:pPr/>
          </w:p>
        </w:tc>
        <w:tc>
          <w:tcPr>
            <w:tcW w:w="1752" w:type="dxa"/>
            <w:vMerge/>
            <w:tcBorders>
              <w:left w:val="single" w:sz="4" w:space="0" w:color="000000"/>
              <w:bottom w:val="single" w:sz="4" w:space="0" w:color="000000"/>
              <w:right w:val="single" w:sz="4" w:space="0" w:color="000000"/>
            </w:tcBorders>
            <w:shd w:val="clear" w:color="auto" w:fill="D2D2D2"/>
          </w:tcPr>
          <w:p>
            <w:pPr/>
          </w:p>
        </w:tc>
      </w:tr>
      <w:tr>
        <w:trPr>
          <w:trHeight w:val="410"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7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363,242,031.26</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253,216,897.20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253,216,897.20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43.45%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243,378,065.39</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243,378,065.39</w:t>
            </w:r>
          </w:p>
        </w:tc>
      </w:tr>
      <w:tr>
        <w:trPr>
          <w:trHeight w:val="410"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69,903,316.50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49,017,695.29</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48,427,753.98</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44.35%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49,789,740.72</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45,756,296.08</w:t>
            </w:r>
          </w:p>
        </w:tc>
      </w:tr>
      <w:tr>
        <w:trPr>
          <w:trHeight w:val="410"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86,742,022.14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65,204,596.58</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64,614,655.27</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34.25%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70,153,184.25</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66,085,693.59</w:t>
            </w:r>
          </w:p>
        </w:tc>
      </w:tr>
      <w:tr>
        <w:trPr>
          <w:trHeight w:val="401"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7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75,754,985.34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59,185,820.63</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58,604,089.76</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29.27%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63,250,937.02</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59,204,899.06</w:t>
            </w:r>
          </w:p>
        </w:tc>
      </w:tr>
      <w:tr>
        <w:trPr>
          <w:trHeight w:val="715"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 的净利润（元）</w:t>
            </w:r>
          </w:p>
        </w:tc>
        <w:tc>
          <w:tcPr>
            <w:tcW w:w="17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72,512,553.97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55,550,280.01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55,550,280.01</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30.54%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61,751,323.00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61,751,323.00</w:t>
            </w:r>
          </w:p>
        </w:tc>
      </w:tr>
      <w:tr>
        <w:trPr>
          <w:trHeight w:val="416"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7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65,794,883.33</w:t>
            </w:r>
          </w:p>
        </w:tc>
        <w:tc>
          <w:tcPr>
            <w:tcW w:w="1750"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47,478,217.09</w:t>
            </w:r>
          </w:p>
        </w:tc>
        <w:tc>
          <w:tcPr>
            <w:tcW w:w="1750"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44,571,593.02</w:t>
            </w:r>
          </w:p>
        </w:tc>
        <w:tc>
          <w:tcPr>
            <w:tcW w:w="1946"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47.62%</w:t>
            </w:r>
          </w:p>
        </w:tc>
        <w:tc>
          <w:tcPr>
            <w:tcW w:w="1556"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38,685,252.62</w:t>
            </w:r>
          </w:p>
        </w:tc>
        <w:tc>
          <w:tcPr>
            <w:tcW w:w="1752"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36,301,911.28</w:t>
            </w:r>
          </w:p>
        </w:tc>
      </w:tr>
      <w:tr>
        <w:trPr>
          <w:trHeight w:val="222" w:hRule="exact"/>
        </w:trPr>
        <w:tc>
          <w:tcPr>
            <w:tcW w:w="3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9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本年末比上年末增减</w:t>
            </w:r>
            <w:r>
              <w:rPr>
                <w:rFonts w:ascii="Times New Roman" w:hAnsi="Times New Roman" w:cs="Times New Roman" w:eastAsia="Times New Roman" w:hint="default"/>
                <w:sz w:val="18"/>
                <w:szCs w:val="18"/>
              </w:rPr>
              <w:t>(%)</w:t>
            </w:r>
          </w:p>
        </w:tc>
        <w:tc>
          <w:tcPr>
            <w:tcW w:w="330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209" w:hRule="exact"/>
        </w:trPr>
        <w:tc>
          <w:tcPr>
            <w:tcW w:w="3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7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3500" w:type="dxa"/>
            <w:gridSpan w:val="2"/>
            <w:vMerge/>
            <w:tcBorders>
              <w:left w:val="single" w:sz="4" w:space="0" w:color="000000"/>
              <w:bottom w:val="single" w:sz="4" w:space="0" w:color="000000"/>
              <w:right w:val="single" w:sz="4" w:space="0" w:color="000000"/>
            </w:tcBorders>
            <w:shd w:val="clear" w:color="auto" w:fill="D2D2D2"/>
          </w:tcPr>
          <w:p>
            <w:pPr/>
          </w:p>
        </w:tc>
        <w:tc>
          <w:tcPr>
            <w:tcW w:w="1946" w:type="dxa"/>
            <w:vMerge/>
            <w:tcBorders>
              <w:left w:val="single" w:sz="4" w:space="0" w:color="000000"/>
              <w:bottom w:val="single" w:sz="4" w:space="0" w:color="000000"/>
              <w:right w:val="single" w:sz="4" w:space="0" w:color="000000"/>
            </w:tcBorders>
            <w:shd w:val="clear" w:color="auto" w:fill="D2D2D2"/>
          </w:tcPr>
          <w:p>
            <w:pPr/>
          </w:p>
        </w:tc>
        <w:tc>
          <w:tcPr>
            <w:tcW w:w="3308" w:type="dxa"/>
            <w:gridSpan w:val="2"/>
            <w:vMerge/>
            <w:tcBorders>
              <w:left w:val="single" w:sz="4" w:space="0" w:color="000000"/>
              <w:bottom w:val="single" w:sz="4" w:space="0" w:color="000000"/>
              <w:right w:val="single" w:sz="4" w:space="0" w:color="000000"/>
            </w:tcBorders>
            <w:shd w:val="clear" w:color="auto" w:fill="D2D2D2"/>
          </w:tcPr>
          <w:p>
            <w:pPr/>
          </w:p>
        </w:tc>
      </w:tr>
      <w:tr>
        <w:trPr>
          <w:trHeight w:val="182" w:hRule="exact"/>
        </w:trPr>
        <w:tc>
          <w:tcPr>
            <w:tcW w:w="3428" w:type="dxa"/>
            <w:vMerge/>
            <w:tcBorders>
              <w:left w:val="single" w:sz="4" w:space="0" w:color="000000"/>
              <w:bottom w:val="nil" w:sz="6" w:space="0" w:color="auto"/>
              <w:right w:val="single" w:sz="4" w:space="0" w:color="000000"/>
            </w:tcBorders>
            <w:shd w:val="clear" w:color="auto" w:fill="D2D2D2"/>
          </w:tcPr>
          <w:p>
            <w:pPr/>
          </w:p>
        </w:tc>
        <w:tc>
          <w:tcPr>
            <w:tcW w:w="1748" w:type="dxa"/>
            <w:vMerge/>
            <w:tcBorders>
              <w:left w:val="single" w:sz="4" w:space="0" w:color="000000"/>
              <w:bottom w:val="nil" w:sz="6" w:space="0" w:color="auto"/>
              <w:right w:val="single" w:sz="4" w:space="0" w:color="000000"/>
            </w:tcBorders>
            <w:shd w:val="clear" w:color="auto" w:fill="D2D2D2"/>
          </w:tcPr>
          <w:p>
            <w:pPr/>
          </w:p>
        </w:tc>
        <w:tc>
          <w:tcPr>
            <w:tcW w:w="1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right="2"/>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9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5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50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7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235" w:hRule="exact"/>
        </w:trPr>
        <w:tc>
          <w:tcPr>
            <w:tcW w:w="3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50" w:type="dxa"/>
            <w:vMerge/>
            <w:tcBorders>
              <w:left w:val="single" w:sz="4" w:space="0" w:color="000000"/>
              <w:bottom w:val="single" w:sz="4" w:space="0" w:color="000000"/>
              <w:right w:val="single" w:sz="4" w:space="0" w:color="000000"/>
            </w:tcBorders>
            <w:shd w:val="clear" w:color="auto" w:fill="D2D2D2"/>
          </w:tcPr>
          <w:p>
            <w:pPr/>
          </w:p>
        </w:tc>
        <w:tc>
          <w:tcPr>
            <w:tcW w:w="1750" w:type="dxa"/>
            <w:vMerge/>
            <w:tcBorders>
              <w:left w:val="single" w:sz="4" w:space="0" w:color="000000"/>
              <w:bottom w:val="single" w:sz="4" w:space="0" w:color="000000"/>
              <w:right w:val="single" w:sz="4" w:space="0" w:color="000000"/>
            </w:tcBorders>
            <w:shd w:val="clear" w:color="auto" w:fill="D2D2D2"/>
          </w:tcPr>
          <w:p>
            <w:pPr/>
          </w:p>
        </w:tc>
        <w:tc>
          <w:tcPr>
            <w:tcW w:w="1946" w:type="dxa"/>
            <w:vMerge/>
            <w:tcBorders>
              <w:left w:val="single" w:sz="4" w:space="0" w:color="000000"/>
              <w:bottom w:val="single" w:sz="4" w:space="0" w:color="000000"/>
              <w:right w:val="single" w:sz="4" w:space="0" w:color="000000"/>
            </w:tcBorders>
            <w:shd w:val="clear" w:color="auto" w:fill="D2D2D2"/>
          </w:tcPr>
          <w:p>
            <w:pPr/>
          </w:p>
        </w:tc>
        <w:tc>
          <w:tcPr>
            <w:tcW w:w="1556" w:type="dxa"/>
            <w:vMerge/>
            <w:tcBorders>
              <w:left w:val="single" w:sz="4" w:space="0" w:color="000000"/>
              <w:bottom w:val="single" w:sz="4" w:space="0" w:color="000000"/>
              <w:right w:val="single" w:sz="4" w:space="0" w:color="000000"/>
            </w:tcBorders>
            <w:shd w:val="clear" w:color="auto" w:fill="D2D2D2"/>
          </w:tcPr>
          <w:p>
            <w:pPr/>
          </w:p>
        </w:tc>
        <w:tc>
          <w:tcPr>
            <w:tcW w:w="1752" w:type="dxa"/>
            <w:vMerge/>
            <w:tcBorders>
              <w:left w:val="single" w:sz="4" w:space="0" w:color="000000"/>
              <w:bottom w:val="single" w:sz="4" w:space="0" w:color="000000"/>
              <w:right w:val="single" w:sz="4" w:space="0" w:color="000000"/>
            </w:tcBorders>
            <w:shd w:val="clear" w:color="auto" w:fill="D2D2D2"/>
          </w:tcPr>
          <w:p>
            <w:pPr/>
          </w:p>
        </w:tc>
      </w:tr>
      <w:tr>
        <w:trPr>
          <w:trHeight w:val="425"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1,239,066,203.69</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1,095,516,427.35</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1,157,465,890.44</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7.05%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1,091,641,255.85</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1,131,471,625.67</w:t>
            </w:r>
          </w:p>
        </w:tc>
      </w:tr>
      <w:tr>
        <w:trPr>
          <w:trHeight w:val="401"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217,714,808.03</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75,583,695.87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104,413,928.72</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76,389,897.16</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86,462,415.17</w:t>
            </w:r>
          </w:p>
        </w:tc>
      </w:tr>
      <w:tr>
        <w:trPr>
          <w:trHeight w:val="403"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归属于上市公司股东的所有者权益（元）</w:t>
            </w:r>
          </w:p>
        </w:tc>
        <w:tc>
          <w:tcPr>
            <w:tcW w:w="17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1,018,679,026.27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1,016,837,179.32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1,049,956,409.56</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-2.98%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1,015,251,358.69</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1,045,009,210.50</w:t>
            </w:r>
          </w:p>
        </w:tc>
      </w:tr>
      <w:tr>
        <w:trPr>
          <w:trHeight w:val="403"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72,000,000.00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72,000,000.00</w:t>
            </w:r>
          </w:p>
        </w:tc>
      </w:tr>
    </w:tbl>
    <w:p>
      <w:pPr>
        <w:spacing w:line="240" w:lineRule="auto" w:before="8"/>
        <w:rPr>
          <w:rFonts w:ascii="宋体" w:hAnsi="宋体" w:cs="宋体" w:eastAsia="宋体" w:hint="default"/>
          <w:sz w:val="8"/>
          <w:szCs w:val="8"/>
        </w:rPr>
      </w:pPr>
    </w:p>
    <w:p>
      <w:pPr>
        <w:pStyle w:val="BodyText"/>
        <w:spacing w:line="240" w:lineRule="auto" w:before="76"/>
        <w:ind w:left="6962" w:right="6962"/>
        <w:jc w:val="center"/>
        <w:rPr>
          <w:rFonts w:ascii="Times New Roman" w:hAnsi="Times New Roman" w:cs="Times New Roman" w:eastAsia="Times New Roman" w:hint="default"/>
        </w:rPr>
      </w:pPr>
      <w:r>
        <w:rPr>
          <w:rFonts w:ascii="Times New Roman"/>
        </w:rPr>
        <w:t>6</w:t>
      </w:r>
    </w:p>
    <w:p>
      <w:pPr>
        <w:spacing w:after="0" w:line="240" w:lineRule="auto"/>
        <w:jc w:val="center"/>
        <w:rPr>
          <w:rFonts w:ascii="Times New Roman" w:hAnsi="Times New Roman" w:cs="Times New Roman" w:eastAsia="Times New Roman" w:hint="default"/>
        </w:rPr>
        <w:sectPr>
          <w:type w:val="continuous"/>
          <w:pgSz w:w="16840" w:h="11910" w:orient="landscape"/>
          <w:pgMar w:top="880" w:bottom="280" w:left="1300" w:right="1300"/>
        </w:sectPr>
      </w:pPr>
    </w:p>
    <w:p>
      <w:pPr>
        <w:spacing w:line="240" w:lineRule="auto" w:before="9"/>
        <w:rPr>
          <w:rFonts w:ascii="Times New Roman" w:hAnsi="Times New Roman" w:cs="Times New Roman" w:eastAsia="Times New Roman" w:hint="default"/>
          <w:sz w:val="24"/>
          <w:szCs w:val="24"/>
        </w:rPr>
      </w:pPr>
    </w:p>
    <w:p>
      <w:pPr>
        <w:pStyle w:val="BodyText"/>
        <w:spacing w:line="240" w:lineRule="auto" w:before="44"/>
        <w:ind w:right="0"/>
        <w:jc w:val="left"/>
      </w:pPr>
      <w:r>
        <w:rPr/>
        <w:t>公司报告期末至报告披露日股本是否因发行新股、增发、配股、股权激励行权、回购等原因发生变化且影响所有者权益金额</w:t>
      </w:r>
    </w:p>
    <w:p>
      <w:pPr>
        <w:pStyle w:val="BodyText"/>
        <w:spacing w:line="338" w:lineRule="auto" w:before="117"/>
        <w:ind w:right="68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是否存在公司债和可转债等其他证券</w:t>
      </w:r>
    </w:p>
    <w:p>
      <w:pPr>
        <w:pStyle w:val="BodyText"/>
        <w:spacing w:line="340" w:lineRule="auto" w:before="43"/>
        <w:ind w:right="8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主要财务指标</w:t>
      </w:r>
    </w:p>
    <w:p>
      <w:pPr>
        <w:pStyle w:val="BodyText"/>
        <w:spacing w:line="240" w:lineRule="auto" w:before="39"/>
        <w:ind w:left="0" w:right="148"/>
        <w:jc w:val="right"/>
      </w:pPr>
      <w:r>
        <w:rPr/>
        <w:t>单</w:t>
      </w:r>
      <w:r>
        <w:rPr>
          <w:spacing w:val="-3"/>
        </w:rPr>
        <w:t>位</w:t>
      </w:r>
      <w:r>
        <w:rPr>
          <w:spacing w:val="-85"/>
        </w:rPr>
        <w:t>：</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60"/>
        <w:gridCol w:w="1201"/>
        <w:gridCol w:w="1202"/>
        <w:gridCol w:w="1200"/>
        <w:gridCol w:w="1202"/>
        <w:gridCol w:w="1201"/>
        <w:gridCol w:w="1202"/>
      </w:tblGrid>
      <w:tr>
        <w:trPr>
          <w:trHeight w:val="161" w:hRule="exact"/>
        </w:trPr>
        <w:tc>
          <w:tcPr>
            <w:tcW w:w="2360"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240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71" w:right="55"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 减</w:t>
            </w:r>
            <w:r>
              <w:rPr>
                <w:rFonts w:ascii="Times New Roman" w:hAnsi="Times New Roman" w:cs="Times New Roman" w:eastAsia="Times New Roman" w:hint="default"/>
                <w:sz w:val="18"/>
                <w:szCs w:val="18"/>
              </w:rPr>
              <w:t>(%)</w:t>
            </w:r>
          </w:p>
        </w:tc>
        <w:tc>
          <w:tcPr>
            <w:tcW w:w="2403"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60"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240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02" w:type="dxa"/>
            <w:vMerge/>
            <w:tcBorders>
              <w:left w:val="single" w:sz="4" w:space="0" w:color="000000"/>
              <w:right w:val="single" w:sz="4" w:space="0" w:color="000000"/>
            </w:tcBorders>
            <w:shd w:val="clear" w:color="auto" w:fill="D2D2D2"/>
          </w:tcPr>
          <w:p>
            <w:pPr/>
          </w:p>
        </w:tc>
        <w:tc>
          <w:tcPr>
            <w:tcW w:w="240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190" w:hRule="exact"/>
        </w:trPr>
        <w:tc>
          <w:tcPr>
            <w:tcW w:w="23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3" w:type="dxa"/>
            <w:gridSpan w:val="2"/>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2360"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240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3"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3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1"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27.27%</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0.47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0.44</w:t>
            </w:r>
          </w:p>
        </w:tc>
      </w:tr>
      <w:tr>
        <w:trPr>
          <w:trHeight w:val="404"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0.42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0.33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27.27%</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0.47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0.44</w:t>
            </w:r>
          </w:p>
        </w:tc>
      </w:tr>
      <w:tr>
        <w:trPr>
          <w:trHeight w:val="71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扣除非经常性损益后的基本 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29.03%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0.46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0.46</w:t>
            </w:r>
          </w:p>
        </w:tc>
      </w:tr>
      <w:tr>
        <w:trPr>
          <w:trHeight w:val="40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7.44%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5.82%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5.58%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1.86%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6.23%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5.67%</w:t>
            </w:r>
          </w:p>
        </w:tc>
      </w:tr>
      <w:tr>
        <w:trPr>
          <w:trHeight w:val="401"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41.19%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31.73%</w:t>
            </w:r>
          </w:p>
        </w:tc>
      </w:tr>
      <w:tr>
        <w:trPr>
          <w:trHeight w:val="715"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5"/>
              <w:jc w:val="left"/>
              <w:rPr>
                <w:rFonts w:ascii="宋体" w:hAnsi="宋体" w:cs="宋体" w:eastAsia="宋体" w:hint="default"/>
                <w:sz w:val="18"/>
                <w:szCs w:val="18"/>
              </w:rPr>
            </w:pPr>
            <w:r>
              <w:rPr>
                <w:rFonts w:ascii="宋体" w:hAnsi="宋体" w:cs="宋体" w:eastAsia="宋体" w:hint="default"/>
                <w:sz w:val="18"/>
                <w:szCs w:val="18"/>
              </w:rPr>
              <w:t>扣除非经常性损益后全面摊 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5.91%</w:t>
            </w:r>
          </w:p>
        </w:tc>
      </w:tr>
      <w:tr>
        <w:trPr>
          <w:trHeight w:val="71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40.22%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33.09%</w:t>
            </w:r>
          </w:p>
        </w:tc>
      </w:tr>
      <w:tr>
        <w:trPr>
          <w:trHeight w:val="716"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5"/>
              <w:jc w:val="left"/>
              <w:rPr>
                <w:rFonts w:ascii="宋体" w:hAnsi="宋体" w:cs="宋体" w:eastAsia="宋体" w:hint="default"/>
                <w:sz w:val="18"/>
                <w:szCs w:val="18"/>
              </w:rPr>
            </w:pPr>
            <w:r>
              <w:rPr>
                <w:rFonts w:ascii="宋体" w:hAnsi="宋体" w:cs="宋体" w:eastAsia="宋体" w:hint="default"/>
                <w:sz w:val="18"/>
                <w:szCs w:val="18"/>
              </w:rPr>
              <w:t>每股经营活动产生的现金流 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0.3655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0.2638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0.2476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47.62%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0.5373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0.5042</w:t>
            </w:r>
          </w:p>
        </w:tc>
      </w:tr>
      <w:tr>
        <w:trPr>
          <w:trHeight w:val="161" w:hRule="exact"/>
        </w:trPr>
        <w:tc>
          <w:tcPr>
            <w:tcW w:w="2360"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240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91" w:right="55"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本年末比上年 末增减</w:t>
            </w:r>
            <w:r>
              <w:rPr>
                <w:rFonts w:ascii="Times New Roman" w:hAnsi="Times New Roman" w:cs="Times New Roman" w:eastAsia="Times New Roman" w:hint="default"/>
                <w:sz w:val="18"/>
                <w:szCs w:val="18"/>
              </w:rPr>
              <w:t>(%)</w:t>
            </w:r>
          </w:p>
        </w:tc>
        <w:tc>
          <w:tcPr>
            <w:tcW w:w="2403"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60"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240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202" w:type="dxa"/>
            <w:vMerge/>
            <w:tcBorders>
              <w:left w:val="single" w:sz="4" w:space="0" w:color="000000"/>
              <w:right w:val="single" w:sz="4" w:space="0" w:color="000000"/>
            </w:tcBorders>
            <w:shd w:val="clear" w:color="auto" w:fill="D2D2D2"/>
          </w:tcPr>
          <w:p>
            <w:pPr/>
          </w:p>
        </w:tc>
        <w:tc>
          <w:tcPr>
            <w:tcW w:w="240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90" w:hRule="exact"/>
        </w:trPr>
        <w:tc>
          <w:tcPr>
            <w:tcW w:w="23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403"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3" w:type="dxa"/>
            <w:gridSpan w:val="2"/>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2360"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240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3"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3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1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归属于上市公司股东的每股 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5.6593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5.6491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5.8331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14.1007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14.514</w:t>
            </w:r>
          </w:p>
        </w:tc>
      </w:tr>
      <w:tr>
        <w:trPr>
          <w:trHeight w:val="40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17.57%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9.02%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8.55%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7.64%</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二、境内外会计准则下会计数据差异</w:t>
      </w:r>
      <w:r>
        <w:rPr>
          <w:b w:val="0"/>
          <w:bCs w:val="0"/>
        </w:rPr>
      </w:r>
    </w:p>
    <w:p>
      <w:pPr>
        <w:spacing w:line="240" w:lineRule="auto" w:before="10"/>
        <w:rPr>
          <w:rFonts w:ascii="宋体" w:hAnsi="宋体" w:cs="宋体" w:eastAsia="宋体" w:hint="default"/>
          <w:b/>
          <w:bCs/>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pStyle w:val="BodyText"/>
        <w:spacing w:line="240" w:lineRule="auto" w:before="87"/>
        <w:ind w:right="0"/>
        <w:jc w:val="left"/>
      </w:pPr>
      <w:r>
        <w:rPr>
          <w:rFonts w:ascii="Times New Roman" w:hAnsi="Times New Roman" w:cs="Times New Roman" w:eastAsia="Times New Roman" w:hint="default"/>
        </w:rPr>
        <w:t>□  </w:t>
      </w:r>
      <w:r>
        <w:rPr/>
        <w:t>适用</w:t>
      </w:r>
      <w:r>
        <w:rPr>
          <w:rFonts w:ascii="Times New Roman" w:hAnsi="Times New Roman" w:cs="Times New Roman" w:eastAsia="Times New Roman" w:hint="default"/>
        </w:rPr>
        <w:t>√  </w:t>
      </w:r>
      <w:r>
        <w:rPr/>
        <w:t>不适用</w:t>
      </w:r>
    </w:p>
    <w:p>
      <w:pPr>
        <w:pStyle w:val="Heading3"/>
        <w:spacing w:line="240" w:lineRule="auto" w:before="90"/>
        <w:ind w:right="0"/>
        <w:jc w:val="left"/>
        <w:rPr>
          <w:b w:val="0"/>
          <w:bCs w:val="0"/>
        </w:rPr>
      </w:pP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pStyle w:val="BodyText"/>
        <w:spacing w:line="240" w:lineRule="auto" w:before="87"/>
        <w:ind w:right="0"/>
        <w:jc w:val="left"/>
      </w:pPr>
      <w:r>
        <w:rPr>
          <w:rFonts w:ascii="Times New Roman" w:hAnsi="Times New Roman" w:cs="Times New Roman" w:eastAsia="Times New Roman" w:hint="default"/>
        </w:rPr>
        <w:t>□  </w:t>
      </w:r>
      <w:r>
        <w:rPr/>
        <w:t>适用</w:t>
      </w:r>
      <w:r>
        <w:rPr>
          <w:rFonts w:ascii="Times New Roman" w:hAnsi="Times New Roman" w:cs="Times New Roman" w:eastAsia="Times New Roman" w:hint="default"/>
        </w:rPr>
        <w:t>√  </w:t>
      </w:r>
      <w:r>
        <w:rPr/>
        <w:t>不适用</w:t>
      </w:r>
    </w:p>
    <w:p>
      <w:pPr>
        <w:pStyle w:val="Heading3"/>
        <w:spacing w:line="240" w:lineRule="auto" w:before="90"/>
        <w:ind w:right="0"/>
        <w:jc w:val="left"/>
        <w:rPr>
          <w:b w:val="0"/>
          <w:bCs w:val="0"/>
        </w:rPr>
      </w:pPr>
      <w:r>
        <w:rPr>
          <w:rFonts w:ascii="Times New Roman" w:hAnsi="Times New Roman" w:cs="Times New Roman" w:eastAsia="Times New Roman" w:hint="default"/>
        </w:rPr>
        <w:t>3</w:t>
      </w:r>
      <w:r>
        <w:rPr/>
        <w:t>、境内外会计准则下会计数据差异说明</w:t>
      </w:r>
      <w:r>
        <w:rPr>
          <w:b w:val="0"/>
          <w:bCs w:val="0"/>
        </w:rPr>
      </w:r>
    </w:p>
    <w:p>
      <w:pPr>
        <w:pStyle w:val="BodyText"/>
        <w:spacing w:line="240" w:lineRule="auto" w:before="126"/>
        <w:ind w:right="0"/>
        <w:jc w:val="left"/>
      </w:pPr>
      <w:r>
        <w:rPr>
          <w:rFonts w:ascii="Times New Roman" w:hAnsi="Times New Roman" w:cs="Times New Roman" w:eastAsia="Times New Roman" w:hint="default"/>
        </w:rPr>
        <w:t>□  </w:t>
      </w:r>
      <w:r>
        <w:rPr/>
        <w:t>适用</w:t>
      </w:r>
      <w:r>
        <w:rPr>
          <w:rFonts w:ascii="Times New Roman" w:hAnsi="Times New Roman" w:cs="Times New Roman" w:eastAsia="Times New Roman" w:hint="default"/>
        </w:rPr>
        <w:t>√  </w:t>
      </w:r>
      <w:r>
        <w:rPr/>
        <w:t>不适用</w:t>
      </w:r>
    </w:p>
    <w:p>
      <w:pPr>
        <w:spacing w:after="0" w:line="240" w:lineRule="auto"/>
        <w:jc w:val="left"/>
        <w:sectPr>
          <w:footerReference w:type="default" r:id="rId15"/>
          <w:pgSz w:w="11910" w:h="16840"/>
          <w:pgMar w:footer="1227" w:header="0" w:top="1100" w:bottom="1420" w:left="980" w:right="980"/>
          <w:pgNumType w:start="7"/>
        </w:sectPr>
      </w:pPr>
    </w:p>
    <w:p>
      <w:pPr>
        <w:spacing w:line="240" w:lineRule="auto" w:before="9"/>
        <w:rPr>
          <w:rFonts w:ascii="宋体" w:hAnsi="宋体" w:cs="宋体" w:eastAsia="宋体" w:hint="default"/>
          <w:sz w:val="19"/>
          <w:szCs w:val="19"/>
        </w:rPr>
      </w:pPr>
    </w:p>
    <w:p>
      <w:pPr>
        <w:pStyle w:val="Heading2"/>
        <w:spacing w:line="240" w:lineRule="auto" w:before="26"/>
        <w:ind w:right="88"/>
        <w:jc w:val="left"/>
        <w:rPr>
          <w:b w:val="0"/>
          <w:bCs w:val="0"/>
        </w:rPr>
      </w:pPr>
      <w:r>
        <w:rPr/>
        <w:t>三、报告期内非经常性损益的项目及金额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9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-6,046.58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-43,327.45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3,512,964.45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4,251,705.00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1,637,713.40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369,833.13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-581,730.87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-4,046,037.96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同一控制下合并追溯 调整</w:t>
            </w:r>
          </w:p>
        </w:tc>
      </w:tr>
      <w:tr>
        <w:trPr>
          <w:trHeight w:val="40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-226,884.89</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-76,183.36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76,131.19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407,434.74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496,653.57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214,230.57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3,242,431.37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3,053,809.75</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-2,546,423.94</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515" w:right="88"/>
        <w:jc w:val="left"/>
      </w:pPr>
      <w:r>
        <w:rPr/>
        <w:t>对公司根据《公开发行证券的公司信息披露解释性公告第</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号</w:t>
      </w:r>
      <w:r>
        <w:rPr>
          <w:rFonts w:ascii="Times New Roman" w:hAnsi="Times New Roman" w:cs="Times New Roman" w:eastAsia="Times New Roman" w:hint="default"/>
          <w:spacing w:val="-3"/>
        </w:rPr>
        <w:t>——</w:t>
      </w:r>
      <w:r>
        <w:rPr>
          <w:spacing w:val="-3"/>
        </w:rPr>
        <w:t>非经常性损益》定义界定的非经常性损益项目，以及</w:t>
      </w:r>
    </w:p>
    <w:p>
      <w:pPr>
        <w:pStyle w:val="BodyText"/>
        <w:spacing w:line="300" w:lineRule="auto" w:before="63"/>
        <w:ind w:right="192"/>
        <w:jc w:val="both"/>
      </w:pPr>
      <w:r>
        <w:rPr>
          <w:spacing w:val="-2"/>
        </w:rPr>
        <w:t>把《公开发行证券的公司信息披露解释性公告第</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2"/>
        </w:rPr>
        <w:t>号</w:t>
      </w:r>
      <w:r>
        <w:rPr>
          <w:rFonts w:ascii="Times New Roman" w:hAnsi="Times New Roman" w:cs="Times New Roman" w:eastAsia="Times New Roman" w:hint="default"/>
          <w:spacing w:val="-2"/>
        </w:rPr>
        <w:t>——</w:t>
      </w:r>
      <w:r>
        <w:rPr>
          <w:spacing w:val="-2"/>
        </w:rPr>
        <w:t>非经常性损益》中列举的非经常性损益项目界定为经常性损益的项</w:t>
      </w:r>
      <w:r>
        <w:rPr/>
        <w:t> 目，应说明原因</w:t>
      </w:r>
    </w:p>
    <w:p>
      <w:pPr>
        <w:pStyle w:val="BodyText"/>
        <w:spacing w:line="240" w:lineRule="auto" w:before="72"/>
        <w:ind w:right="8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88"/>
        <w:jc w:val="left"/>
        <w:rPr>
          <w:b w:val="0"/>
          <w:bCs w:val="0"/>
        </w:rPr>
      </w:pPr>
      <w:r>
        <w:rPr/>
        <w:t>四、重大风险提示</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513" w:right="88" w:hanging="361"/>
        <w:jc w:val="left"/>
      </w:pPr>
      <w:r>
        <w:rPr>
          <w:rFonts w:ascii="Times New Roman" w:hAnsi="Times New Roman" w:cs="Times New Roman" w:eastAsia="Times New Roman" w:hint="default"/>
          <w:b/>
          <w:bCs/>
        </w:rPr>
        <w:t>1</w:t>
      </w:r>
      <w:r>
        <w:rPr>
          <w:rFonts w:ascii="宋体" w:hAnsi="宋体" w:cs="宋体" w:eastAsia="宋体" w:hint="default"/>
          <w:b/>
          <w:bCs/>
        </w:rPr>
        <w:t>、行业政策风险</w:t>
      </w:r>
      <w:r>
        <w:rPr>
          <w:rFonts w:ascii="宋体" w:hAnsi="宋体" w:cs="宋体" w:eastAsia="宋体" w:hint="default"/>
          <w:b/>
          <w:bCs/>
          <w:w w:val="99"/>
        </w:rPr>
        <w:t> </w:t>
      </w:r>
      <w:r>
        <w:rPr>
          <w:spacing w:val="-2"/>
        </w:rPr>
        <w:t>公司主要从事社区安防中楼宇对讲系统、智能家居系统和防盗报警系统的生产和销售，产品主要应用于住宅楼盘，市场</w:t>
      </w:r>
    </w:p>
    <w:p>
      <w:pPr>
        <w:pStyle w:val="BodyText"/>
        <w:spacing w:line="316" w:lineRule="auto" w:before="1"/>
        <w:ind w:right="191"/>
        <w:jc w:val="both"/>
      </w:pPr>
      <w:r>
        <w:rPr>
          <w:spacing w:val="-2"/>
        </w:rPr>
        <w:t>分布在全国各地，与房地产行业政策联系紧密。若国家加大对房地产行业的调控，将对公司主营业务产生不利影响，经营业</w:t>
      </w:r>
      <w:r>
        <w:rPr>
          <w:spacing w:val="-65"/>
        </w:rPr>
        <w:t> </w:t>
      </w:r>
      <w:r>
        <w:rPr>
          <w:spacing w:val="-65"/>
        </w:rPr>
      </w:r>
      <w:r>
        <w:rPr/>
        <w:t>绩也将面临较大风险。</w:t>
      </w:r>
    </w:p>
    <w:p>
      <w:pPr>
        <w:pStyle w:val="BodyText"/>
        <w:spacing w:line="316" w:lineRule="auto" w:before="59"/>
        <w:ind w:right="88" w:firstLine="360"/>
        <w:jc w:val="left"/>
      </w:pPr>
      <w:r>
        <w:rPr>
          <w:spacing w:val="-2"/>
        </w:rPr>
        <w:t>为此公司将通过丰富产品线，发展与公司产品相配套的如停车场系统、监控系统、线缆等产品，提高配套销售规模，提</w:t>
      </w:r>
      <w:r>
        <w:rPr/>
        <w:t> 高市场占有率，逐步降低房地产调控政策对公司经营的影响。</w:t>
      </w:r>
    </w:p>
    <w:p>
      <w:pPr>
        <w:pStyle w:val="BodyText"/>
        <w:spacing w:line="340" w:lineRule="auto" w:before="57"/>
        <w:ind w:left="513" w:right="88" w:hanging="361"/>
        <w:jc w:val="left"/>
      </w:pPr>
      <w:r>
        <w:rPr>
          <w:rFonts w:ascii="Times New Roman" w:hAnsi="Times New Roman" w:cs="Times New Roman" w:eastAsia="Times New Roman" w:hint="default"/>
          <w:b/>
          <w:bCs/>
        </w:rPr>
        <w:t>2</w:t>
      </w:r>
      <w:r>
        <w:rPr>
          <w:rFonts w:ascii="宋体" w:hAnsi="宋体" w:cs="宋体" w:eastAsia="宋体" w:hint="default"/>
          <w:b/>
          <w:bCs/>
        </w:rPr>
        <w:t>、税收政策变化的风险</w:t>
      </w:r>
      <w:r>
        <w:rPr>
          <w:rFonts w:ascii="宋体" w:hAnsi="宋体" w:cs="宋体" w:eastAsia="宋体" w:hint="default"/>
          <w:b/>
          <w:bCs/>
          <w:w w:val="99"/>
        </w:rPr>
        <w:t> </w:t>
      </w:r>
      <w:r>
        <w:rPr/>
        <w:t>根据《财政部、国家税务总局关于企业所得税若干优惠政策的通知》（财税字</w:t>
      </w:r>
      <w:r>
        <w:rPr>
          <w:rFonts w:ascii="Times New Roman" w:hAnsi="Times New Roman" w:cs="Times New Roman" w:eastAsia="Times New Roman" w:hint="default"/>
        </w:rPr>
        <w:t>[2008]1</w:t>
      </w:r>
      <w:r>
        <w:rPr/>
        <w:t>号）规定，公司</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2009</w:t>
      </w:r>
      <w:r>
        <w:rPr/>
        <w:t>年</w:t>
      </w:r>
    </w:p>
    <w:p>
      <w:pPr>
        <w:pStyle w:val="BodyText"/>
        <w:spacing w:line="228" w:lineRule="exact"/>
        <w:ind w:right="88"/>
        <w:jc w:val="left"/>
      </w:pPr>
      <w:r>
        <w:rPr/>
        <w:t>享受免缴所得税的税收优惠政策，</w:t>
      </w:r>
      <w:r>
        <w:rPr>
          <w:rFonts w:ascii="Times New Roman" w:hAnsi="Times New Roman" w:cs="Times New Roman" w:eastAsia="Times New Roman" w:hint="default"/>
        </w:rPr>
        <w:t>2010</w:t>
      </w:r>
      <w:r>
        <w:rPr/>
        <w:t>年至</w:t>
      </w:r>
      <w:r>
        <w:rPr>
          <w:rFonts w:ascii="Times New Roman" w:hAnsi="Times New Roman" w:cs="Times New Roman" w:eastAsia="Times New Roman" w:hint="default"/>
        </w:rPr>
        <w:t>2012</w:t>
      </w:r>
      <w:r>
        <w:rPr/>
        <w:t>年享受</w:t>
      </w:r>
      <w:r>
        <w:rPr>
          <w:rFonts w:ascii="Times New Roman" w:hAnsi="Times New Roman" w:cs="Times New Roman" w:eastAsia="Times New Roman" w:hint="default"/>
        </w:rPr>
        <w:t>12.5%</w:t>
      </w:r>
      <w:r>
        <w:rPr/>
        <w:t>的所得税优惠税率，上述优惠已到期。公司于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w:t>
      </w:r>
    </w:p>
    <w:p>
      <w:pPr>
        <w:pStyle w:val="BodyText"/>
        <w:spacing w:line="300" w:lineRule="auto" w:before="63"/>
        <w:ind w:right="100"/>
        <w:jc w:val="both"/>
      </w:pPr>
      <w:r>
        <w:rPr>
          <w:spacing w:val="-1"/>
        </w:rPr>
        <w:t>通过了高新技术企业复审，有效期为</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w:t>
      </w:r>
      <w:r>
        <w:rPr>
          <w:spacing w:val="-1"/>
        </w:rPr>
        <w:t>日</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w:t>
      </w:r>
      <w:r>
        <w:rPr>
          <w:spacing w:val="-1"/>
        </w:rPr>
        <w:t>日，故</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2014</w:t>
      </w:r>
      <w:r>
        <w:rPr>
          <w:spacing w:val="-1"/>
        </w:rPr>
        <w:t>年将按</w:t>
      </w:r>
      <w:r>
        <w:rPr>
          <w:rFonts w:ascii="Times New Roman" w:hAnsi="Times New Roman" w:cs="Times New Roman" w:eastAsia="Times New Roman" w:hint="default"/>
          <w:spacing w:val="-1"/>
        </w:rPr>
        <w:t>15%</w:t>
      </w:r>
      <w:r>
        <w:rPr>
          <w:spacing w:val="-1"/>
        </w:rPr>
        <w:t>所得税率征收企业所得税，</w:t>
      </w:r>
      <w:r>
        <w:rPr>
          <w:spacing w:val="-55"/>
        </w:rPr>
        <w:t> </w:t>
      </w:r>
      <w:r>
        <w:rPr/>
        <w:t>所得税率的变化将对公司净利润产生一定的影响。</w:t>
      </w:r>
    </w:p>
    <w:p>
      <w:pPr>
        <w:spacing w:line="338" w:lineRule="auto" w:before="72"/>
        <w:ind w:left="513" w:right="183" w:hanging="36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、募集资金投资项目实施风险</w:t>
      </w:r>
      <w:r>
        <w:rPr>
          <w:rFonts w:ascii="宋体" w:hAnsi="宋体" w:cs="宋体" w:eastAsia="宋体" w:hint="default"/>
          <w:b/>
          <w:bCs/>
          <w:w w:val="99"/>
          <w:sz w:val="18"/>
          <w:szCs w:val="18"/>
        </w:rPr>
        <w:t> </w:t>
      </w:r>
      <w:r>
        <w:rPr>
          <w:rFonts w:ascii="宋体" w:hAnsi="宋体" w:cs="宋体" w:eastAsia="宋体" w:hint="default"/>
          <w:sz w:val="18"/>
          <w:szCs w:val="18"/>
        </w:rPr>
        <w:t>公司募集资金投资项目为研发中心建设项目、扩产至</w:t>
      </w:r>
      <w:r>
        <w:rPr>
          <w:rFonts w:ascii="宋体" w:hAnsi="宋体" w:cs="宋体" w:eastAsia="宋体" w:hint="default"/>
          <w:sz w:val="18"/>
          <w:szCs w:val="18"/>
        </w:rPr>
        <w:t>122</w:t>
      </w:r>
      <w:r>
        <w:rPr>
          <w:rFonts w:ascii="宋体" w:hAnsi="宋体" w:cs="宋体" w:eastAsia="宋体" w:hint="default"/>
          <w:sz w:val="18"/>
          <w:szCs w:val="18"/>
        </w:rPr>
        <w:t>万台数字化安防产品项目、营销与服务体系扩建项目。公司募</w:t>
      </w:r>
    </w:p>
    <w:p>
      <w:pPr>
        <w:pStyle w:val="BodyText"/>
        <w:spacing w:line="316" w:lineRule="auto" w:before="2"/>
        <w:ind w:right="188"/>
        <w:jc w:val="both"/>
      </w:pPr>
      <w:r>
        <w:rPr>
          <w:spacing w:val="-2"/>
        </w:rPr>
        <w:t>投项目建成后，将使公司的研发能力大幅提升，能有效提高产能和工艺水平，能有效的拓宽公司营销渠道，提升公司核心竞</w:t>
      </w:r>
      <w:r>
        <w:rPr>
          <w:spacing w:val="-63"/>
        </w:rPr>
        <w:t> </w:t>
      </w:r>
      <w:r>
        <w:rPr>
          <w:spacing w:val="-63"/>
        </w:rPr>
      </w:r>
      <w:r>
        <w:rPr>
          <w:spacing w:val="-2"/>
        </w:rPr>
        <w:t>争力，保证公司快速可持续发展。但是募集资金投资项目的进度、设备的供应、市场的变化及国家相关产业政策等各种因素</w:t>
      </w:r>
      <w:r>
        <w:rPr>
          <w:spacing w:val="-64"/>
        </w:rPr>
        <w:t> </w:t>
      </w:r>
      <w:r>
        <w:rPr>
          <w:spacing w:val="-64"/>
        </w:rPr>
      </w:r>
      <w:r>
        <w:rPr/>
        <w:t>如与预测出现差异，将影响项目的投资效益。</w:t>
      </w:r>
    </w:p>
    <w:p>
      <w:pPr>
        <w:pStyle w:val="BodyText"/>
        <w:spacing w:line="338" w:lineRule="auto" w:before="59"/>
        <w:ind w:right="88" w:firstLine="360"/>
        <w:jc w:val="left"/>
        <w:rPr>
          <w:rFonts w:ascii="宋体" w:hAnsi="宋体" w:cs="宋体" w:eastAsia="宋体" w:hint="default"/>
        </w:rPr>
      </w:pPr>
      <w:r>
        <w:rPr>
          <w:spacing w:val="-2"/>
        </w:rPr>
        <w:t>针对此风险，公司主要采取了如下措施：（</w:t>
      </w:r>
      <w:r>
        <w:rPr>
          <w:rFonts w:ascii="宋体" w:hAnsi="宋体" w:cs="宋体" w:eastAsia="宋体" w:hint="default"/>
          <w:spacing w:val="-2"/>
        </w:rPr>
        <w:t>1</w:t>
      </w:r>
      <w:r>
        <w:rPr>
          <w:spacing w:val="-2"/>
        </w:rPr>
        <w:t>）加快募投项目的建设进度，减少因项目拖延所带来的市场风险；（</w:t>
      </w:r>
      <w:r>
        <w:rPr>
          <w:rFonts w:ascii="宋体" w:hAnsi="宋体" w:cs="宋体" w:eastAsia="宋体" w:hint="default"/>
          <w:spacing w:val="-2"/>
        </w:rPr>
        <w:t>2</w:t>
      </w:r>
      <w:r>
        <w:rPr>
          <w:spacing w:val="-2"/>
        </w:rPr>
        <w:t>）持</w:t>
      </w:r>
      <w:r>
        <w:rPr>
          <w:spacing w:val="-10"/>
        </w:rPr>
        <w:t> </w:t>
      </w:r>
      <w:r>
        <w:rPr/>
        <w:t>续关注国家宏观政策和市场发展状况，根据实际情况对募投项目进行适当谨慎的调整，力求募集资金效益最大化。</w:t>
      </w:r>
      <w:r>
        <w:rPr/>
        <w:t> </w:t>
      </w:r>
      <w:r>
        <w:rPr>
          <w:rFonts w:ascii="Times New Roman" w:hAnsi="Times New Roman" w:cs="Times New Roman" w:eastAsia="Times New Roman" w:hint="default"/>
          <w:b/>
          <w:bCs/>
        </w:rPr>
        <w:t>4</w:t>
      </w:r>
      <w:r>
        <w:rPr>
          <w:rFonts w:ascii="宋体" w:hAnsi="宋体" w:cs="宋体" w:eastAsia="宋体" w:hint="default"/>
          <w:b/>
          <w:bCs/>
        </w:rPr>
        <w:t>、应收账款发生坏账的风险</w:t>
      </w:r>
      <w:r>
        <w:rPr>
          <w:rFonts w:ascii="宋体" w:hAnsi="宋体" w:cs="宋体" w:eastAsia="宋体" w:hint="default"/>
        </w:rPr>
      </w:r>
    </w:p>
    <w:p>
      <w:pPr>
        <w:spacing w:after="0" w:line="338" w:lineRule="auto"/>
        <w:jc w:val="left"/>
        <w:rPr>
          <w:rFonts w:ascii="宋体" w:hAnsi="宋体" w:cs="宋体" w:eastAsia="宋体" w:hint="default"/>
        </w:rPr>
        <w:sectPr>
          <w:pgSz w:w="11910" w:h="16840"/>
          <w:pgMar w:header="0" w:footer="1227" w:top="1100" w:bottom="1420" w:left="980" w:right="940"/>
        </w:sectPr>
      </w:pPr>
    </w:p>
    <w:p>
      <w:pPr>
        <w:spacing w:line="240" w:lineRule="auto" w:before="11"/>
        <w:rPr>
          <w:rFonts w:ascii="宋体" w:hAnsi="宋体" w:cs="宋体" w:eastAsia="宋体" w:hint="default"/>
          <w:b/>
          <w:bCs/>
          <w:sz w:val="21"/>
          <w:szCs w:val="21"/>
        </w:rPr>
      </w:pPr>
    </w:p>
    <w:p>
      <w:pPr>
        <w:pStyle w:val="BodyText"/>
        <w:spacing w:line="240" w:lineRule="auto" w:before="44"/>
        <w:ind w:left="513" w:right="243"/>
        <w:jc w:val="left"/>
      </w:pPr>
      <w:r>
        <w:rPr>
          <w:spacing w:val="4"/>
        </w:rPr>
        <w:t>公司</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日应收账款余额为</w:t>
      </w:r>
      <w:r>
        <w:rPr>
          <w:rFonts w:ascii="Times New Roman" w:hAnsi="Times New Roman" w:cs="Times New Roman" w:eastAsia="Times New Roman" w:hint="default"/>
          <w:spacing w:val="4"/>
        </w:rPr>
        <w:t>7,265</w:t>
      </w:r>
      <w:r>
        <w:rPr>
          <w:spacing w:val="4"/>
        </w:rPr>
        <w:t>万元，计提坏账准备</w:t>
      </w:r>
      <w:r>
        <w:rPr>
          <w:rFonts w:ascii="Times New Roman" w:hAnsi="Times New Roman" w:cs="Times New Roman" w:eastAsia="Times New Roman" w:hint="default"/>
          <w:spacing w:val="4"/>
        </w:rPr>
        <w:t>405</w:t>
      </w:r>
      <w:r>
        <w:rPr>
          <w:spacing w:val="4"/>
        </w:rPr>
        <w:t>万元，应收账款账面价值为</w:t>
      </w:r>
      <w:r>
        <w:rPr>
          <w:rFonts w:ascii="Times New Roman" w:hAnsi="Times New Roman" w:cs="Times New Roman" w:eastAsia="Times New Roman" w:hint="default"/>
          <w:spacing w:val="4"/>
        </w:rPr>
        <w:t>6,860</w:t>
      </w:r>
      <w:r>
        <w:rPr>
          <w:spacing w:val="4"/>
        </w:rPr>
        <w:t>万元，占总资产</w:t>
      </w:r>
    </w:p>
    <w:p>
      <w:pPr>
        <w:pStyle w:val="BodyText"/>
        <w:spacing w:line="340" w:lineRule="auto" w:before="63"/>
        <w:ind w:left="513" w:right="243" w:hanging="361"/>
        <w:jc w:val="left"/>
      </w:pPr>
      <w:r>
        <w:rPr>
          <w:rFonts w:ascii="Times New Roman" w:hAnsi="Times New Roman" w:cs="Times New Roman" w:eastAsia="Times New Roman" w:hint="default"/>
        </w:rPr>
        <w:t>5.54%</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日应收账款余额中账龄在</w:t>
      </w:r>
      <w:r>
        <w:rPr>
          <w:rFonts w:ascii="Times New Roman" w:hAnsi="Times New Roman" w:cs="Times New Roman" w:eastAsia="Times New Roman" w:hint="default"/>
        </w:rPr>
        <w:t>1</w:t>
      </w:r>
      <w:r>
        <w:rPr/>
        <w:t>年以内的金额为</w:t>
      </w:r>
      <w:r>
        <w:rPr>
          <w:rFonts w:ascii="Times New Roman" w:hAnsi="Times New Roman" w:cs="Times New Roman" w:eastAsia="Times New Roman" w:hint="default"/>
        </w:rPr>
        <w:t>6,051</w:t>
      </w:r>
      <w:r>
        <w:rPr/>
        <w:t>万元，占比为</w:t>
      </w:r>
      <w:r>
        <w:rPr>
          <w:rFonts w:ascii="Times New Roman" w:hAnsi="Times New Roman" w:cs="Times New Roman" w:eastAsia="Times New Roman" w:hint="default"/>
        </w:rPr>
        <w:t>83.29%</w:t>
      </w:r>
      <w:r>
        <w:rPr/>
        <w:t>。 公司客户都是经过严格的信用筛选，应收账款发生坏账的风险较小，对于账龄超过</w:t>
      </w:r>
      <w:r>
        <w:rPr>
          <w:rFonts w:ascii="Times New Roman" w:hAnsi="Times New Roman" w:cs="Times New Roman" w:eastAsia="Times New Roman" w:hint="default"/>
        </w:rPr>
        <w:t>1</w:t>
      </w:r>
      <w:r>
        <w:rPr/>
        <w:t>年以上的应收账款，公司已充分考</w:t>
      </w:r>
    </w:p>
    <w:p>
      <w:pPr>
        <w:pStyle w:val="BodyText"/>
        <w:spacing w:line="215" w:lineRule="exact"/>
        <w:ind w:right="243"/>
        <w:jc w:val="left"/>
      </w:pPr>
      <w:r>
        <w:rPr/>
        <w:t>虑其回收的可能性，根据公司的会计政策，已足额计提了坏账准备。报告期内，公司未发生大额的坏账损失。</w:t>
      </w:r>
    </w:p>
    <w:p>
      <w:pPr>
        <w:pStyle w:val="BodyText"/>
        <w:spacing w:line="240" w:lineRule="auto" w:before="115"/>
        <w:ind w:left="513" w:right="243"/>
        <w:jc w:val="left"/>
      </w:pPr>
      <w:r>
        <w:rPr/>
        <w:t>针对此风险，公司主要采取以下措施进行防范：</w:t>
      </w:r>
    </w:p>
    <w:p>
      <w:pPr>
        <w:pStyle w:val="BodyText"/>
        <w:spacing w:line="240" w:lineRule="auto" w:before="117"/>
        <w:ind w:left="424" w:right="243"/>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0"/>
        </w:rPr>
        <w:t> </w:t>
      </w:r>
      <w:r>
        <w:rPr/>
        <w:t>由财务、法务牵头加强客户信用管理和款项的催收力度，时刻与销售体系保持密切的信息沟通。</w:t>
      </w:r>
    </w:p>
    <w:p>
      <w:pPr>
        <w:pStyle w:val="BodyText"/>
        <w:spacing w:line="240" w:lineRule="auto" w:before="103"/>
        <w:ind w:left="333" w:right="243"/>
        <w:jc w:val="left"/>
      </w:pPr>
      <w:r>
        <w:rPr/>
        <w:t>（</w:t>
      </w:r>
      <w:r>
        <w:rPr>
          <w:rFonts w:ascii="Times New Roman" w:hAnsi="Times New Roman" w:cs="Times New Roman" w:eastAsia="Times New Roman" w:hint="default"/>
        </w:rPr>
        <w:t>2</w:t>
      </w:r>
      <w:r>
        <w:rPr/>
        <w:t>）将应收账款的回收率列入业务人员的重要业绩考核指标之一，以确保公司应收账款得到有效的控制。</w:t>
      </w:r>
    </w:p>
    <w:p>
      <w:pPr>
        <w:pStyle w:val="BodyText"/>
        <w:spacing w:line="240" w:lineRule="auto" w:before="101"/>
        <w:ind w:left="333" w:right="243"/>
        <w:jc w:val="left"/>
      </w:pPr>
      <w:r>
        <w:rPr/>
        <w:t>（</w:t>
      </w:r>
      <w:r>
        <w:rPr>
          <w:rFonts w:ascii="Times New Roman" w:hAnsi="Times New Roman" w:cs="Times New Roman" w:eastAsia="Times New Roman" w:hint="default"/>
        </w:rPr>
        <w:t>3</w:t>
      </w:r>
      <w:r>
        <w:rPr/>
        <w:t>）增加或提高预收货款、应收票据的比例，有效的降低违约情况的发生。</w:t>
      </w:r>
    </w:p>
    <w:p>
      <w:pPr>
        <w:pStyle w:val="BodyText"/>
        <w:spacing w:line="240" w:lineRule="auto" w:before="103"/>
        <w:ind w:left="333" w:right="243"/>
        <w:jc w:val="left"/>
      </w:pPr>
      <w:r>
        <w:rPr/>
        <w:t>（</w:t>
      </w:r>
      <w:r>
        <w:rPr>
          <w:rFonts w:ascii="Times New Roman" w:hAnsi="Times New Roman" w:cs="Times New Roman" w:eastAsia="Times New Roman" w:hint="default"/>
        </w:rPr>
        <w:t>4</w:t>
      </w:r>
      <w:r>
        <w:rPr/>
        <w:t>）采用以房抵债的方式，降低发生坏账的风险。</w:t>
      </w:r>
    </w:p>
    <w:p>
      <w:pPr>
        <w:pStyle w:val="BodyText"/>
        <w:spacing w:line="338" w:lineRule="auto" w:before="103"/>
        <w:ind w:left="513" w:right="0" w:hanging="361"/>
        <w:jc w:val="left"/>
      </w:pPr>
      <w:r>
        <w:rPr>
          <w:rFonts w:ascii="Times New Roman" w:hAnsi="Times New Roman" w:cs="Times New Roman" w:eastAsia="Times New Roman" w:hint="default"/>
          <w:b/>
          <w:bCs/>
        </w:rPr>
        <w:t>5</w:t>
      </w:r>
      <w:r>
        <w:rPr>
          <w:rFonts w:ascii="宋体" w:hAnsi="宋体" w:cs="宋体" w:eastAsia="宋体" w:hint="default"/>
          <w:b/>
          <w:bCs/>
        </w:rPr>
        <w:t>、存货持续增长的风险</w:t>
      </w:r>
      <w:r>
        <w:rPr>
          <w:rFonts w:ascii="宋体" w:hAnsi="宋体" w:cs="宋体" w:eastAsia="宋体" w:hint="default"/>
          <w:b/>
          <w:bCs/>
          <w:w w:val="99"/>
        </w:rPr>
        <w:t> </w:t>
      </w:r>
      <w:r>
        <w:rPr>
          <w:spacing w:val="-2"/>
        </w:rPr>
        <w:t>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日，存货余额为</w:t>
      </w:r>
      <w:r>
        <w:rPr>
          <w:rFonts w:ascii="Times New Roman" w:hAnsi="Times New Roman" w:cs="Times New Roman" w:eastAsia="Times New Roman" w:hint="default"/>
          <w:spacing w:val="-2"/>
        </w:rPr>
        <w:t>8,808</w:t>
      </w:r>
      <w:r>
        <w:rPr>
          <w:spacing w:val="-2"/>
        </w:rPr>
        <w:t>万元，计提存货跌价准备</w:t>
      </w:r>
      <w:r>
        <w:rPr>
          <w:rFonts w:ascii="Times New Roman" w:hAnsi="Times New Roman" w:cs="Times New Roman" w:eastAsia="Times New Roman" w:hint="default"/>
          <w:spacing w:val="-2"/>
        </w:rPr>
        <w:t>360</w:t>
      </w:r>
      <w:r>
        <w:rPr>
          <w:spacing w:val="-2"/>
        </w:rPr>
        <w:t>万元，存货账面价值为</w:t>
      </w:r>
      <w:r>
        <w:rPr>
          <w:rFonts w:ascii="Times New Roman" w:hAnsi="Times New Roman" w:cs="Times New Roman" w:eastAsia="Times New Roman" w:hint="default"/>
          <w:spacing w:val="-2"/>
        </w:rPr>
        <w:t>8,448</w:t>
      </w:r>
      <w:r>
        <w:rPr>
          <w:spacing w:val="-2"/>
        </w:rPr>
        <w:t>万元，占总资产</w:t>
      </w:r>
      <w:r>
        <w:rPr>
          <w:rFonts w:ascii="Times New Roman" w:hAnsi="Times New Roman" w:cs="Times New Roman" w:eastAsia="Times New Roman" w:hint="default"/>
          <w:spacing w:val="-2"/>
        </w:rPr>
        <w:t>6.82%</w:t>
      </w:r>
      <w:r>
        <w:rPr>
          <w:spacing w:val="-2"/>
        </w:rPr>
        <w:t>，</w:t>
      </w:r>
    </w:p>
    <w:p>
      <w:pPr>
        <w:pStyle w:val="BodyText"/>
        <w:spacing w:line="217" w:lineRule="exact"/>
        <w:ind w:right="0"/>
        <w:jc w:val="left"/>
      </w:pPr>
      <w:r>
        <w:rPr/>
        <w:t>目前公司存货主要是电子产品，存货增长的主要原因是公司营销服务网点增加，在各个网点的铺货增加；公司产品的种类非</w:t>
      </w:r>
    </w:p>
    <w:p>
      <w:pPr>
        <w:pStyle w:val="BodyText"/>
        <w:spacing w:line="360" w:lineRule="auto" w:before="76"/>
        <w:ind w:left="513" w:right="6633" w:hanging="361"/>
        <w:jc w:val="left"/>
      </w:pPr>
      <w:r>
        <w:rPr/>
        <w:t>常多，年底销售旺季备货。 针对此风险，公司拟采取以下措施：</w:t>
      </w:r>
    </w:p>
    <w:p>
      <w:pPr>
        <w:pStyle w:val="BodyText"/>
        <w:spacing w:line="236" w:lineRule="exact"/>
        <w:ind w:left="424" w:right="0"/>
        <w:jc w:val="left"/>
      </w:pPr>
      <w:r>
        <w:rPr/>
        <w:t>（</w:t>
      </w:r>
      <w:r>
        <w:rPr>
          <w:rFonts w:ascii="Times New Roman" w:hAnsi="Times New Roman" w:cs="Times New Roman" w:eastAsia="Times New Roman" w:hint="default"/>
        </w:rPr>
        <w:t>1</w:t>
      </w:r>
      <w:r>
        <w:rPr/>
        <w:t>）财务部门、审计部门和业务部门密切配合，对各营销服务网点设定基础库存，并及时制定相应的奖惩措施，从而达</w:t>
      </w:r>
    </w:p>
    <w:p>
      <w:pPr>
        <w:pStyle w:val="BodyText"/>
        <w:spacing w:line="240" w:lineRule="auto" w:before="63"/>
        <w:ind w:right="243"/>
        <w:jc w:val="left"/>
      </w:pPr>
      <w:r>
        <w:rPr/>
        <w:t>到降低公司总库存的目标。</w:t>
      </w:r>
    </w:p>
    <w:p>
      <w:pPr>
        <w:pStyle w:val="BodyText"/>
        <w:spacing w:line="300" w:lineRule="auto" w:before="76"/>
        <w:ind w:right="243" w:firstLine="271"/>
        <w:jc w:val="left"/>
      </w:pPr>
      <w:r>
        <w:rPr>
          <w:spacing w:val="-2"/>
        </w:rPr>
        <w:t>（</w:t>
      </w:r>
      <w:r>
        <w:rPr>
          <w:rFonts w:ascii="Times New Roman" w:hAnsi="Times New Roman" w:cs="Times New Roman" w:eastAsia="Times New Roman" w:hint="default"/>
          <w:spacing w:val="-2"/>
        </w:rPr>
        <w:t>2</w:t>
      </w:r>
      <w:r>
        <w:rPr>
          <w:spacing w:val="-2"/>
        </w:rPr>
        <w:t>）业务部设立</w:t>
      </w:r>
      <w:r>
        <w:rPr>
          <w:rFonts w:ascii="Times New Roman" w:hAnsi="Times New Roman" w:cs="Times New Roman" w:eastAsia="Times New Roman" w:hint="default"/>
          <w:spacing w:val="-2"/>
        </w:rPr>
        <w:t>“</w:t>
      </w:r>
      <w:r>
        <w:rPr>
          <w:spacing w:val="-2"/>
        </w:rPr>
        <w:t>统筹组</w:t>
      </w:r>
      <w:r>
        <w:rPr>
          <w:rFonts w:ascii="Times New Roman" w:hAnsi="Times New Roman" w:cs="Times New Roman" w:eastAsia="Times New Roman" w:hint="default"/>
          <w:spacing w:val="-2"/>
        </w:rPr>
        <w:t>”</w:t>
      </w:r>
      <w:r>
        <w:rPr>
          <w:spacing w:val="-2"/>
        </w:rPr>
        <w:t>，全面接管公司投产计划、发货安排、营销服务网点之间的库存调拨，从而提高投产计划准确</w:t>
      </w:r>
      <w:r>
        <w:rPr/>
        <w:t> 率和库存的周转率。</w:t>
      </w:r>
    </w:p>
    <w:p>
      <w:pPr>
        <w:pStyle w:val="BodyText"/>
        <w:spacing w:line="240" w:lineRule="auto" w:before="31"/>
        <w:ind w:left="424" w:right="243"/>
        <w:jc w:val="left"/>
      </w:pPr>
      <w:r>
        <w:rPr/>
        <w:t>（</w:t>
      </w:r>
      <w:r>
        <w:rPr>
          <w:rFonts w:ascii="Times New Roman" w:hAnsi="Times New Roman" w:cs="Times New Roman" w:eastAsia="Times New Roman" w:hint="default"/>
        </w:rPr>
        <w:t>3</w:t>
      </w:r>
      <w:r>
        <w:rPr/>
        <w:t>）引进</w:t>
      </w:r>
      <w:r>
        <w:rPr>
          <w:rFonts w:ascii="Times New Roman" w:hAnsi="Times New Roman" w:cs="Times New Roman" w:eastAsia="Times New Roman" w:hint="default"/>
        </w:rPr>
        <w:t>SAP</w:t>
      </w:r>
      <w:r>
        <w:rPr/>
        <w:t>系统，提高存货管理水平。</w:t>
      </w:r>
    </w:p>
    <w:p>
      <w:pPr>
        <w:pStyle w:val="BodyText"/>
        <w:spacing w:line="338" w:lineRule="auto" w:before="103"/>
        <w:ind w:left="513" w:right="243" w:hanging="284"/>
        <w:jc w:val="left"/>
      </w:pPr>
      <w:r>
        <w:rPr>
          <w:rFonts w:ascii="Times New Roman" w:hAnsi="Times New Roman" w:cs="Times New Roman" w:eastAsia="Times New Roman" w:hint="default"/>
          <w:b/>
          <w:bCs/>
        </w:rPr>
        <w:t>6</w:t>
      </w:r>
      <w:r>
        <w:rPr>
          <w:rFonts w:ascii="宋体" w:hAnsi="宋体" w:cs="宋体" w:eastAsia="宋体" w:hint="default"/>
          <w:b/>
          <w:bCs/>
        </w:rPr>
        <w:t>、新产品开发及推广风险</w:t>
      </w:r>
      <w:r>
        <w:rPr>
          <w:rFonts w:ascii="宋体" w:hAnsi="宋体" w:cs="宋体" w:eastAsia="宋体" w:hint="default"/>
          <w:b/>
          <w:bCs/>
          <w:w w:val="99"/>
        </w:rPr>
        <w:t> </w:t>
      </w:r>
      <w:r>
        <w:rPr>
          <w:spacing w:val="-2"/>
        </w:rPr>
        <w:t>为了开发符合市场需求的产品、丰富产品线，提高市场竞争力，公司研发投入呈逐年上涨趋势。公司虽具备较强的研发</w:t>
      </w:r>
    </w:p>
    <w:p>
      <w:pPr>
        <w:pStyle w:val="BodyText"/>
        <w:spacing w:line="319" w:lineRule="auto" w:before="2"/>
        <w:ind w:right="0"/>
        <w:jc w:val="left"/>
      </w:pPr>
      <w:r>
        <w:rPr>
          <w:spacing w:val="-2"/>
        </w:rPr>
        <w:t>实力，但部分新产品从开发到推出市场较为缓慢，同时新产品的销售取决于客户的认同度和公司对新产品的推广力度。如果</w:t>
      </w:r>
      <w:r>
        <w:rPr>
          <w:spacing w:val="-62"/>
        </w:rPr>
        <w:t> </w:t>
      </w:r>
      <w:r>
        <w:rPr>
          <w:spacing w:val="-62"/>
        </w:rPr>
      </w:r>
      <w:r>
        <w:rPr>
          <w:spacing w:val="-4"/>
        </w:rPr>
        <w:t>公司开发的新产品得不到客户的认同或不符合市场要求，公司又不能及时调整策略，可能会给公司的生产经营带来不利影响。</w:t>
      </w:r>
    </w:p>
    <w:p>
      <w:pPr>
        <w:pStyle w:val="BodyText"/>
        <w:spacing w:line="240" w:lineRule="auto" w:before="58"/>
        <w:ind w:left="513" w:right="243"/>
        <w:jc w:val="left"/>
      </w:pPr>
      <w:r>
        <w:rPr/>
        <w:t>针对此风险，公司主要采取了以下措施：</w:t>
      </w:r>
    </w:p>
    <w:p>
      <w:pPr>
        <w:pStyle w:val="BodyText"/>
        <w:spacing w:line="240" w:lineRule="auto" w:before="117"/>
        <w:ind w:left="424" w:right="243"/>
        <w:jc w:val="left"/>
      </w:pPr>
      <w:r>
        <w:rPr/>
        <w:t>（</w:t>
      </w:r>
      <w:r>
        <w:rPr>
          <w:rFonts w:ascii="Times New Roman" w:hAnsi="Times New Roman" w:cs="Times New Roman" w:eastAsia="Times New Roman" w:hint="default"/>
        </w:rPr>
        <w:t>1</w:t>
      </w:r>
      <w:r>
        <w:rPr/>
        <w:t>）研发部门与市场营销部门建立协作沟通机制，及时了解市场需求，确保研发的产品贴近市场。</w:t>
      </w:r>
    </w:p>
    <w:p>
      <w:pPr>
        <w:pStyle w:val="BodyText"/>
        <w:spacing w:line="300" w:lineRule="auto" w:before="101"/>
        <w:ind w:right="237" w:firstLine="271"/>
        <w:jc w:val="left"/>
      </w:pPr>
      <w:r>
        <w:rPr/>
        <w:t>（</w:t>
      </w:r>
      <w:r>
        <w:rPr>
          <w:rFonts w:ascii="Times New Roman" w:hAnsi="Times New Roman" w:cs="Times New Roman" w:eastAsia="Times New Roman" w:hint="default"/>
        </w:rPr>
        <w:t>2</w:t>
      </w:r>
      <w:r>
        <w:rPr/>
        <w:t>）启动</w:t>
      </w:r>
      <w:r>
        <w:rPr>
          <w:rFonts w:ascii="Times New Roman" w:hAnsi="Times New Roman" w:cs="Times New Roman" w:eastAsia="Times New Roman" w:hint="default"/>
        </w:rPr>
        <w:t>“</w:t>
      </w:r>
      <w:r>
        <w:rPr/>
        <w:t>能力成熟度模型集成</w:t>
      </w:r>
      <w:r>
        <w:rPr>
          <w:rFonts w:ascii="Times New Roman" w:hAnsi="Times New Roman" w:cs="Times New Roman" w:eastAsia="Times New Roman" w:hint="default"/>
        </w:rPr>
        <w:t>”</w:t>
      </w:r>
      <w:r>
        <w:rPr/>
        <w:t>等级</w:t>
      </w:r>
      <w:r>
        <w:rPr>
          <w:rFonts w:ascii="Times New Roman" w:hAnsi="Times New Roman" w:cs="Times New Roman" w:eastAsia="Times New Roman" w:hint="default"/>
        </w:rPr>
        <w:t>3</w:t>
      </w:r>
      <w:r>
        <w:rPr/>
        <w:t>（简称</w:t>
      </w:r>
      <w:r>
        <w:rPr>
          <w:rFonts w:ascii="Times New Roman" w:hAnsi="Times New Roman" w:cs="Times New Roman" w:eastAsia="Times New Roman" w:hint="default"/>
        </w:rPr>
        <w:t>CMMI</w:t>
      </w:r>
      <w:r>
        <w:rPr>
          <w:rFonts w:ascii="Times New Roman" w:hAnsi="Times New Roman" w:cs="Times New Roman" w:eastAsia="Times New Roman" w:hint="default"/>
          <w:spacing w:val="1"/>
        </w:rPr>
        <w:t> </w:t>
      </w:r>
      <w:r>
        <w:rPr>
          <w:rFonts w:ascii="Times New Roman" w:hAnsi="Times New Roman" w:cs="Times New Roman" w:eastAsia="Times New Roman" w:hint="default"/>
        </w:rPr>
        <w:t>L3</w:t>
      </w:r>
      <w:r>
        <w:rPr/>
        <w:t>）认证标准，规范和优化研发流程，提高研发效率，同时在研发 过程中及时合理的配备研发力量，降低新品开发失败风险。</w:t>
      </w:r>
    </w:p>
    <w:p>
      <w:pPr>
        <w:pStyle w:val="BodyText"/>
        <w:spacing w:line="240" w:lineRule="auto" w:before="72"/>
        <w:ind w:left="424" w:right="243"/>
        <w:jc w:val="left"/>
      </w:pPr>
      <w:r>
        <w:rPr/>
        <w:t>（</w:t>
      </w:r>
      <w:r>
        <w:rPr>
          <w:rFonts w:ascii="Times New Roman" w:hAnsi="Times New Roman" w:cs="Times New Roman" w:eastAsia="Times New Roman" w:hint="default"/>
        </w:rPr>
        <w:t>3</w:t>
      </w:r>
      <w:r>
        <w:rPr/>
        <w:t>）提高产品质量和服务品质，积极参加展会及客户交流会，并在各地建立新品样板进行推广。</w:t>
      </w:r>
    </w:p>
    <w:p>
      <w:pPr>
        <w:pStyle w:val="BodyText"/>
        <w:spacing w:line="338" w:lineRule="auto" w:before="103"/>
        <w:ind w:left="498" w:right="243" w:hanging="270"/>
        <w:jc w:val="left"/>
      </w:pPr>
      <w:r>
        <w:rPr>
          <w:rFonts w:ascii="Times New Roman" w:hAnsi="Times New Roman" w:cs="Times New Roman" w:eastAsia="Times New Roman" w:hint="default"/>
          <w:b/>
          <w:bCs/>
        </w:rPr>
        <w:t>7</w:t>
      </w:r>
      <w:r>
        <w:rPr>
          <w:rFonts w:ascii="宋体" w:hAnsi="宋体" w:cs="宋体" w:eastAsia="宋体" w:hint="default"/>
          <w:b/>
          <w:bCs/>
        </w:rPr>
        <w:t>、季节性因素风险</w:t>
      </w:r>
      <w:r>
        <w:rPr>
          <w:rFonts w:ascii="宋体" w:hAnsi="宋体" w:cs="宋体" w:eastAsia="宋体" w:hint="default"/>
          <w:b/>
          <w:bCs/>
          <w:w w:val="99"/>
        </w:rPr>
        <w:t> </w:t>
      </w:r>
      <w:r>
        <w:rPr>
          <w:spacing w:val="-2"/>
        </w:rPr>
        <w:t>公司生产经营具有较强的季节性特征，通过近两年母公司营业收入及净利润的对比分析，每年三、四季度是公司销售高</w:t>
      </w:r>
    </w:p>
    <w:p>
      <w:pPr>
        <w:pStyle w:val="BodyText"/>
        <w:spacing w:line="360" w:lineRule="auto" w:before="2"/>
        <w:ind w:right="7534"/>
        <w:jc w:val="left"/>
      </w:pPr>
      <w:r>
        <w:rPr/>
        <w:t>峰期。 营业收入存在的季节性规律：</w:t>
      </w:r>
    </w:p>
    <w:p>
      <w:pPr>
        <w:pStyle w:val="BodyText"/>
        <w:spacing w:line="240" w:lineRule="auto" w:before="27"/>
        <w:ind w:left="0" w:right="251"/>
        <w:jc w:val="right"/>
      </w:pPr>
      <w:r>
        <w:rPr>
          <w:spacing w:val="-10"/>
        </w:rPr>
        <w:t>单位：元</w:t>
      </w:r>
    </w:p>
    <w:p>
      <w:pPr>
        <w:spacing w:line="240" w:lineRule="auto" w:before="11"/>
        <w:rPr>
          <w:rFonts w:ascii="宋体" w:hAnsi="宋体" w:cs="宋体" w:eastAsia="宋体" w:hint="default"/>
          <w:sz w:val="8"/>
          <w:szCs w:val="8"/>
        </w:rPr>
      </w:pPr>
    </w:p>
    <w:tbl>
      <w:tblPr>
        <w:tblW w:w="0" w:type="auto"/>
        <w:jc w:val="left"/>
        <w:tblInd w:w="123" w:type="dxa"/>
        <w:tblLayout w:type="fixed"/>
        <w:tblCellMar>
          <w:top w:w="0" w:type="dxa"/>
          <w:left w:w="0" w:type="dxa"/>
          <w:bottom w:w="0" w:type="dxa"/>
          <w:right w:w="0" w:type="dxa"/>
        </w:tblCellMar>
        <w:tblLook w:val="01E0"/>
      </w:tblPr>
      <w:tblGrid>
        <w:gridCol w:w="1342"/>
        <w:gridCol w:w="2218"/>
        <w:gridCol w:w="1995"/>
        <w:gridCol w:w="2218"/>
        <w:gridCol w:w="1992"/>
      </w:tblGrid>
      <w:tr>
        <w:trPr>
          <w:trHeight w:val="364" w:hRule="exact"/>
        </w:trPr>
        <w:tc>
          <w:tcPr>
            <w:tcW w:w="1342" w:type="dxa"/>
            <w:vMerge w:val="restart"/>
            <w:tcBorders>
              <w:top w:val="single" w:sz="12" w:space="0" w:color="000000"/>
              <w:left w:val="single" w:sz="12" w:space="0" w:color="000000"/>
              <w:right w:val="single" w:sz="12" w:space="0" w:color="000000"/>
            </w:tcBorders>
            <w:shd w:val="clear" w:color="auto" w:fill="C0C0C0"/>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213" w:type="dxa"/>
            <w:gridSpan w:val="2"/>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210" w:type="dxa"/>
            <w:gridSpan w:val="2"/>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64" w:hRule="exact"/>
        </w:trPr>
        <w:tc>
          <w:tcPr>
            <w:tcW w:w="1342" w:type="dxa"/>
            <w:vMerge/>
            <w:tcBorders>
              <w:left w:val="single" w:sz="12" w:space="0" w:color="000000"/>
              <w:bottom w:val="single" w:sz="12" w:space="0" w:color="000000"/>
              <w:right w:val="single" w:sz="12" w:space="0" w:color="000000"/>
            </w:tcBorders>
            <w:shd w:val="clear" w:color="auto" w:fill="C0C0C0"/>
          </w:tcPr>
          <w:p>
            <w:pPr/>
          </w:p>
        </w:tc>
        <w:tc>
          <w:tcPr>
            <w:tcW w:w="2218"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95"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2218"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92"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66" w:hRule="exact"/>
        </w:trPr>
        <w:tc>
          <w:tcPr>
            <w:tcW w:w="13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一季度</w:t>
            </w:r>
          </w:p>
        </w:tc>
        <w:tc>
          <w:tcPr>
            <w:tcW w:w="2218" w:type="dxa"/>
            <w:tcBorders>
              <w:top w:val="single" w:sz="18" w:space="0" w:color="000000"/>
              <w:left w:val="single" w:sz="12" w:space="0" w:color="000000"/>
              <w:bottom w:val="single" w:sz="12" w:space="0" w:color="000000"/>
              <w:right w:val="single" w:sz="12"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32,173,514.56</w:t>
            </w:r>
          </w:p>
        </w:tc>
        <w:tc>
          <w:tcPr>
            <w:tcW w:w="1995" w:type="dxa"/>
            <w:tcBorders>
              <w:top w:val="single" w:sz="18" w:space="0" w:color="000000"/>
              <w:left w:val="single" w:sz="12" w:space="0" w:color="000000"/>
              <w:bottom w:val="single" w:sz="12" w:space="0" w:color="000000"/>
              <w:right w:val="single" w:sz="12"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9.02%</w:t>
            </w:r>
          </w:p>
        </w:tc>
        <w:tc>
          <w:tcPr>
            <w:tcW w:w="2218" w:type="dxa"/>
            <w:tcBorders>
              <w:top w:val="single" w:sz="18"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32,250,848.73</w:t>
            </w:r>
          </w:p>
        </w:tc>
        <w:tc>
          <w:tcPr>
            <w:tcW w:w="1992" w:type="dxa"/>
            <w:tcBorders>
              <w:top w:val="single" w:sz="18"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12.74%</w:t>
            </w:r>
          </w:p>
        </w:tc>
      </w:tr>
      <w:tr>
        <w:trPr>
          <w:trHeight w:val="358" w:hRule="exact"/>
        </w:trPr>
        <w:tc>
          <w:tcPr>
            <w:tcW w:w="13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二季度</w:t>
            </w:r>
          </w:p>
        </w:tc>
        <w:tc>
          <w:tcPr>
            <w:tcW w:w="22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73,507,595.87</w:t>
            </w:r>
          </w:p>
        </w:tc>
        <w:tc>
          <w:tcPr>
            <w:tcW w:w="199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20.61%</w:t>
            </w:r>
          </w:p>
        </w:tc>
        <w:tc>
          <w:tcPr>
            <w:tcW w:w="22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57,831,712.24</w:t>
            </w:r>
          </w:p>
        </w:tc>
        <w:tc>
          <w:tcPr>
            <w:tcW w:w="19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22.84%</w:t>
            </w:r>
          </w:p>
        </w:tc>
      </w:tr>
      <w:tr>
        <w:trPr>
          <w:trHeight w:val="358" w:hRule="exact"/>
        </w:trPr>
        <w:tc>
          <w:tcPr>
            <w:tcW w:w="13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三季度</w:t>
            </w:r>
          </w:p>
        </w:tc>
        <w:tc>
          <w:tcPr>
            <w:tcW w:w="22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101,716,577.35</w:t>
            </w:r>
          </w:p>
        </w:tc>
        <w:tc>
          <w:tcPr>
            <w:tcW w:w="199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28.51%</w:t>
            </w:r>
          </w:p>
        </w:tc>
        <w:tc>
          <w:tcPr>
            <w:tcW w:w="22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63,609,170.36</w:t>
            </w:r>
          </w:p>
        </w:tc>
        <w:tc>
          <w:tcPr>
            <w:tcW w:w="19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25.12%</w:t>
            </w:r>
          </w:p>
        </w:tc>
      </w:tr>
      <w:tr>
        <w:trPr>
          <w:trHeight w:val="355" w:hRule="exact"/>
        </w:trPr>
        <w:tc>
          <w:tcPr>
            <w:tcW w:w="13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四季度</w:t>
            </w:r>
          </w:p>
        </w:tc>
        <w:tc>
          <w:tcPr>
            <w:tcW w:w="22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149,315,764.47</w:t>
            </w:r>
          </w:p>
        </w:tc>
        <w:tc>
          <w:tcPr>
            <w:tcW w:w="199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41.86%</w:t>
            </w:r>
          </w:p>
        </w:tc>
        <w:tc>
          <w:tcPr>
            <w:tcW w:w="22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99,525,165.87</w:t>
            </w:r>
          </w:p>
        </w:tc>
        <w:tc>
          <w:tcPr>
            <w:tcW w:w="19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39.30%</w:t>
            </w:r>
          </w:p>
        </w:tc>
      </w:tr>
      <w:tr>
        <w:trPr>
          <w:trHeight w:val="360" w:hRule="exact"/>
        </w:trPr>
        <w:tc>
          <w:tcPr>
            <w:tcW w:w="13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356,713,452.25</w:t>
            </w:r>
          </w:p>
        </w:tc>
        <w:tc>
          <w:tcPr>
            <w:tcW w:w="199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4" w:right="0"/>
              <w:jc w:val="center"/>
              <w:rPr>
                <w:rFonts w:ascii="Times New Roman" w:hAnsi="Times New Roman" w:cs="Times New Roman" w:eastAsia="Times New Roman" w:hint="default"/>
                <w:sz w:val="18"/>
                <w:szCs w:val="18"/>
              </w:rPr>
            </w:pPr>
            <w:r>
              <w:rPr>
                <w:rFonts w:ascii="Times New Roman"/>
                <w:sz w:val="18"/>
              </w:rPr>
              <w:t>100%</w:t>
            </w:r>
          </w:p>
        </w:tc>
        <w:tc>
          <w:tcPr>
            <w:tcW w:w="22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253,216,897.20</w:t>
            </w:r>
          </w:p>
        </w:tc>
        <w:tc>
          <w:tcPr>
            <w:tcW w:w="19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1227" w:top="1100" w:bottom="1420" w:left="980" w:right="880"/>
        </w:sectPr>
      </w:pPr>
    </w:p>
    <w:p>
      <w:pPr>
        <w:spacing w:line="240" w:lineRule="auto" w:before="11"/>
        <w:rPr>
          <w:rFonts w:ascii="宋体" w:hAnsi="宋体" w:cs="宋体" w:eastAsia="宋体" w:hint="default"/>
          <w:sz w:val="21"/>
          <w:szCs w:val="21"/>
        </w:rPr>
      </w:pPr>
    </w:p>
    <w:p>
      <w:pPr>
        <w:pStyle w:val="BodyText"/>
        <w:spacing w:line="240" w:lineRule="auto" w:before="44"/>
        <w:ind w:right="88"/>
        <w:jc w:val="left"/>
      </w:pPr>
      <w:r>
        <w:rPr/>
        <w:t>净利润存在的季节性规律：</w:t>
      </w:r>
    </w:p>
    <w:p>
      <w:pPr>
        <w:spacing w:line="240" w:lineRule="auto" w:before="4"/>
        <w:rPr>
          <w:rFonts w:ascii="宋体" w:hAnsi="宋体" w:cs="宋体" w:eastAsia="宋体" w:hint="default"/>
          <w:sz w:val="26"/>
          <w:szCs w:val="26"/>
        </w:rPr>
      </w:pPr>
    </w:p>
    <w:p>
      <w:pPr>
        <w:pStyle w:val="BodyText"/>
        <w:spacing w:line="240" w:lineRule="auto" w:before="44"/>
        <w:ind w:left="0" w:right="191"/>
        <w:jc w:val="right"/>
      </w:pPr>
      <w:r>
        <w:rPr/>
        <w:t>单位：元</w:t>
      </w:r>
    </w:p>
    <w:p>
      <w:pPr>
        <w:spacing w:line="240" w:lineRule="auto" w:before="11"/>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1349"/>
        <w:gridCol w:w="2180"/>
        <w:gridCol w:w="2000"/>
        <w:gridCol w:w="2179"/>
        <w:gridCol w:w="2000"/>
      </w:tblGrid>
      <w:tr>
        <w:trPr>
          <w:trHeight w:val="364" w:hRule="exact"/>
        </w:trPr>
        <w:tc>
          <w:tcPr>
            <w:tcW w:w="1349" w:type="dxa"/>
            <w:vMerge w:val="restart"/>
            <w:tcBorders>
              <w:top w:val="single" w:sz="12" w:space="0" w:color="000000"/>
              <w:left w:val="single" w:sz="12" w:space="0" w:color="000000"/>
              <w:right w:val="single" w:sz="12" w:space="0" w:color="000000"/>
            </w:tcBorders>
            <w:shd w:val="clear" w:color="auto" w:fill="C0C0C0"/>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79" w:type="dxa"/>
            <w:gridSpan w:val="2"/>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179" w:type="dxa"/>
            <w:gridSpan w:val="2"/>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6"/>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64" w:hRule="exact"/>
        </w:trPr>
        <w:tc>
          <w:tcPr>
            <w:tcW w:w="1349" w:type="dxa"/>
            <w:vMerge/>
            <w:tcBorders>
              <w:left w:val="single" w:sz="12" w:space="0" w:color="000000"/>
              <w:bottom w:val="single" w:sz="12" w:space="0" w:color="000000"/>
              <w:right w:val="single" w:sz="12" w:space="0" w:color="000000"/>
            </w:tcBorders>
            <w:shd w:val="clear" w:color="auto" w:fill="C0C0C0"/>
          </w:tcPr>
          <w:p>
            <w:pPr/>
          </w:p>
        </w:tc>
        <w:tc>
          <w:tcPr>
            <w:tcW w:w="2180"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00"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2179"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00"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66" w:hRule="exact"/>
        </w:trPr>
        <w:tc>
          <w:tcPr>
            <w:tcW w:w="13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一季度</w:t>
            </w:r>
          </w:p>
        </w:tc>
        <w:tc>
          <w:tcPr>
            <w:tcW w:w="2180" w:type="dxa"/>
            <w:tcBorders>
              <w:top w:val="single" w:sz="18" w:space="0" w:color="000000"/>
              <w:left w:val="single" w:sz="12" w:space="0" w:color="000000"/>
              <w:bottom w:val="single" w:sz="12" w:space="0" w:color="000000"/>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3,976,899.55</w:t>
            </w:r>
          </w:p>
        </w:tc>
        <w:tc>
          <w:tcPr>
            <w:tcW w:w="2000" w:type="dxa"/>
            <w:tcBorders>
              <w:top w:val="single" w:sz="18" w:space="0" w:color="000000"/>
              <w:left w:val="single" w:sz="12" w:space="0" w:color="000000"/>
              <w:bottom w:val="single" w:sz="12" w:space="0" w:color="000000"/>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5.19%</w:t>
            </w:r>
          </w:p>
        </w:tc>
        <w:tc>
          <w:tcPr>
            <w:tcW w:w="2179" w:type="dxa"/>
            <w:tcBorders>
              <w:top w:val="single" w:sz="18" w:space="0" w:color="000000"/>
              <w:left w:val="single" w:sz="12" w:space="0" w:color="000000"/>
              <w:bottom w:val="single" w:sz="12" w:space="0" w:color="000000"/>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3,052,051.59</w:t>
            </w:r>
          </w:p>
        </w:tc>
        <w:tc>
          <w:tcPr>
            <w:tcW w:w="2000" w:type="dxa"/>
            <w:tcBorders>
              <w:top w:val="single" w:sz="18" w:space="0" w:color="000000"/>
              <w:left w:val="single" w:sz="12" w:space="0" w:color="000000"/>
              <w:bottom w:val="single" w:sz="12" w:space="0" w:color="000000"/>
              <w:right w:val="single" w:sz="12"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5.14%</w:t>
            </w:r>
          </w:p>
        </w:tc>
      </w:tr>
      <w:tr>
        <w:trPr>
          <w:trHeight w:val="355" w:hRule="exact"/>
        </w:trPr>
        <w:tc>
          <w:tcPr>
            <w:tcW w:w="13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二季度</w:t>
            </w:r>
          </w:p>
        </w:tc>
        <w:tc>
          <w:tcPr>
            <w:tcW w:w="21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18,686,973.02</w:t>
            </w:r>
          </w:p>
        </w:tc>
        <w:tc>
          <w:tcPr>
            <w:tcW w:w="20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24.40%</w:t>
            </w:r>
          </w:p>
        </w:tc>
        <w:tc>
          <w:tcPr>
            <w:tcW w:w="21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14,660,444.03</w:t>
            </w:r>
          </w:p>
        </w:tc>
        <w:tc>
          <w:tcPr>
            <w:tcW w:w="20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24.67%</w:t>
            </w:r>
          </w:p>
        </w:tc>
      </w:tr>
      <w:tr>
        <w:trPr>
          <w:trHeight w:val="358" w:hRule="exact"/>
        </w:trPr>
        <w:tc>
          <w:tcPr>
            <w:tcW w:w="13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三季度</w:t>
            </w:r>
          </w:p>
        </w:tc>
        <w:tc>
          <w:tcPr>
            <w:tcW w:w="21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21,463,730.25</w:t>
            </w:r>
          </w:p>
        </w:tc>
        <w:tc>
          <w:tcPr>
            <w:tcW w:w="20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28.03%</w:t>
            </w:r>
          </w:p>
        </w:tc>
        <w:tc>
          <w:tcPr>
            <w:tcW w:w="21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13,673,935.57</w:t>
            </w:r>
          </w:p>
        </w:tc>
        <w:tc>
          <w:tcPr>
            <w:tcW w:w="20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23.01%</w:t>
            </w:r>
          </w:p>
        </w:tc>
      </w:tr>
      <w:tr>
        <w:trPr>
          <w:trHeight w:val="358" w:hRule="exact"/>
        </w:trPr>
        <w:tc>
          <w:tcPr>
            <w:tcW w:w="13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四季度</w:t>
            </w:r>
          </w:p>
        </w:tc>
        <w:tc>
          <w:tcPr>
            <w:tcW w:w="21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32,447,814.01</w:t>
            </w:r>
          </w:p>
        </w:tc>
        <w:tc>
          <w:tcPr>
            <w:tcW w:w="20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42.37%</w:t>
            </w:r>
          </w:p>
        </w:tc>
        <w:tc>
          <w:tcPr>
            <w:tcW w:w="21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28,037,906.85</w:t>
            </w:r>
          </w:p>
        </w:tc>
        <w:tc>
          <w:tcPr>
            <w:tcW w:w="20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47.18%</w:t>
            </w:r>
          </w:p>
        </w:tc>
      </w:tr>
      <w:tr>
        <w:trPr>
          <w:trHeight w:val="358" w:hRule="exact"/>
        </w:trPr>
        <w:tc>
          <w:tcPr>
            <w:tcW w:w="13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76,575,416.83</w:t>
            </w:r>
          </w:p>
        </w:tc>
        <w:tc>
          <w:tcPr>
            <w:tcW w:w="20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sz w:val="18"/>
              </w:rPr>
              <w:t>100%</w:t>
            </w:r>
          </w:p>
        </w:tc>
        <w:tc>
          <w:tcPr>
            <w:tcW w:w="21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59,424,338.04</w:t>
            </w:r>
          </w:p>
        </w:tc>
        <w:tc>
          <w:tcPr>
            <w:tcW w:w="20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319" w:lineRule="auto" w:before="49"/>
        <w:ind w:right="190" w:firstLine="360"/>
        <w:jc w:val="both"/>
      </w:pPr>
      <w:r>
        <w:rPr>
          <w:spacing w:val="-2"/>
        </w:rPr>
        <w:t>公司营业收入和净利润呈现季节性特点，是由于公司的对讲产品是在楼盘竣工的后工序阶段才进行施工安装，而新建楼</w:t>
      </w:r>
      <w:r>
        <w:rPr/>
        <w:t> </w:t>
      </w:r>
      <w:r>
        <w:rPr>
          <w:spacing w:val="-2"/>
        </w:rPr>
        <w:t>盘竣工时间一般在三、四季度较为集中，所以工程施工商一般会集中在三、四季度进行大批量的采购提货，体现出公司营业</w:t>
      </w:r>
      <w:r>
        <w:rPr>
          <w:spacing w:val="-62"/>
        </w:rPr>
        <w:t> </w:t>
      </w:r>
      <w:r>
        <w:rPr>
          <w:spacing w:val="-62"/>
        </w:rPr>
      </w:r>
      <w:r>
        <w:rPr/>
        <w:t>收入和净利润</w:t>
      </w:r>
      <w:r>
        <w:rPr>
          <w:rFonts w:ascii="Times New Roman" w:hAnsi="Times New Roman" w:cs="Times New Roman" w:eastAsia="Times New Roman" w:hint="default"/>
        </w:rPr>
        <w:t>“</w:t>
      </w:r>
      <w:r>
        <w:rPr/>
        <w:t>前低后高</w:t>
      </w:r>
      <w:r>
        <w:rPr>
          <w:rFonts w:ascii="Times New Roman" w:hAnsi="Times New Roman" w:cs="Times New Roman" w:eastAsia="Times New Roman" w:hint="default"/>
        </w:rPr>
        <w:t>”</w:t>
      </w:r>
      <w:r>
        <w:rPr/>
        <w:t>的特点，呈现较强的季节性特征。因此，季节性因素对公司业绩产生一定程度的影响。</w:t>
      </w:r>
    </w:p>
    <w:p>
      <w:pPr>
        <w:pStyle w:val="BodyText"/>
        <w:spacing w:line="240" w:lineRule="auto" w:before="38"/>
        <w:ind w:left="530" w:right="88"/>
        <w:jc w:val="left"/>
      </w:pPr>
      <w:r>
        <w:rPr/>
        <w:t>针对此风险，公司主要采取以下措施：</w:t>
      </w:r>
    </w:p>
    <w:p>
      <w:pPr>
        <w:pStyle w:val="BodyText"/>
        <w:spacing w:line="240" w:lineRule="auto" w:before="115"/>
        <w:ind w:left="438" w:right="88"/>
        <w:jc w:val="left"/>
      </w:pPr>
      <w:r>
        <w:rPr/>
        <w:t>（</w:t>
      </w:r>
      <w:r>
        <w:rPr>
          <w:rFonts w:ascii="Times New Roman" w:hAnsi="Times New Roman" w:cs="Times New Roman" w:eastAsia="Times New Roman" w:hint="default"/>
        </w:rPr>
        <w:t>1</w:t>
      </w:r>
      <w:r>
        <w:rPr/>
        <w:t>）加大营销服务网络建设与深耕，进一步拓展客户范围。</w:t>
      </w:r>
    </w:p>
    <w:p>
      <w:pPr>
        <w:pStyle w:val="BodyText"/>
        <w:spacing w:line="240" w:lineRule="auto" w:before="103"/>
        <w:ind w:left="438" w:right="88"/>
        <w:jc w:val="left"/>
      </w:pPr>
      <w:r>
        <w:rPr/>
        <w:t>（</w:t>
      </w:r>
      <w:r>
        <w:rPr>
          <w:rFonts w:ascii="Times New Roman" w:hAnsi="Times New Roman" w:cs="Times New Roman" w:eastAsia="Times New Roman" w:hint="default"/>
        </w:rPr>
        <w:t>2</w:t>
      </w:r>
      <w:r>
        <w:rPr/>
        <w:t>）丰富公司产品线，增加新产品的销售，以降低公司营业收入和净利润的季节性风险。</w:t>
      </w:r>
    </w:p>
    <w:p>
      <w:pPr>
        <w:spacing w:after="0" w:line="240" w:lineRule="auto"/>
        <w:jc w:val="left"/>
        <w:sectPr>
          <w:pgSz w:w="11910" w:h="16840"/>
          <w:pgMar w:header="0" w:footer="1227" w:top="1100" w:bottom="142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3590" w:right="3631"/>
        <w:jc w:val="center"/>
        <w:rPr>
          <w:b w:val="0"/>
          <w:bCs w:val="0"/>
        </w:rPr>
      </w:pPr>
      <w:bookmarkStart w:name="_TOC_250006"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一、管理层讨论与分析</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190" w:firstLine="360"/>
        <w:jc w:val="both"/>
      </w:pPr>
      <w:r>
        <w:rPr>
          <w:spacing w:val="-2"/>
        </w:rPr>
        <w:t>报告期内，面对国家对房地产行业调控的不利影响，公司在董事会的正确领导和全体员工的不懈努力下，以追求卓越为</w:t>
      </w:r>
      <w:r>
        <w:rPr/>
        <w:t> </w:t>
      </w:r>
      <w:r>
        <w:rPr>
          <w:spacing w:val="-2"/>
        </w:rPr>
        <w:t>经营理念，在</w:t>
      </w:r>
      <w:r>
        <w:rPr>
          <w:rFonts w:ascii="Times New Roman" w:hAnsi="Times New Roman" w:cs="Times New Roman" w:eastAsia="Times New Roman" w:hint="default"/>
          <w:spacing w:val="-2"/>
        </w:rPr>
        <w:t>“</w:t>
      </w:r>
      <w:r>
        <w:rPr>
          <w:spacing w:val="-2"/>
        </w:rPr>
        <w:t>有序、细致、进取、创新</w:t>
      </w:r>
      <w:r>
        <w:rPr>
          <w:rFonts w:ascii="Times New Roman" w:hAnsi="Times New Roman" w:cs="Times New Roman" w:eastAsia="Times New Roman" w:hint="default"/>
          <w:spacing w:val="-2"/>
        </w:rPr>
        <w:t>”</w:t>
      </w:r>
      <w:r>
        <w:rPr>
          <w:spacing w:val="-2"/>
        </w:rPr>
        <w:t>的企业文化指引下，紧紧围绕公司的经营目标，紧贴市场，加大营销服务网点的建</w:t>
      </w:r>
      <w:r>
        <w:rPr>
          <w:spacing w:val="-48"/>
        </w:rPr>
        <w:t> </w:t>
      </w:r>
      <w:r>
        <w:rPr>
          <w:spacing w:val="-48"/>
        </w:rPr>
      </w:r>
      <w:r>
        <w:rPr>
          <w:spacing w:val="-2"/>
        </w:rPr>
        <w:t>设及深耕力度，并通过加大研发力度、丰富产品线、提高产品质量等多项措施，提升公司的整体盈利能力和行业地位，较好</w:t>
      </w:r>
      <w:r>
        <w:rPr>
          <w:spacing w:val="-67"/>
        </w:rPr>
        <w:t> </w:t>
      </w:r>
      <w:r>
        <w:rPr>
          <w:spacing w:val="-67"/>
        </w:rPr>
      </w:r>
      <w:r>
        <w:rPr/>
        <w:t>地完成了</w:t>
      </w:r>
      <w:r>
        <w:rPr>
          <w:rFonts w:ascii="Times New Roman" w:hAnsi="Times New Roman" w:cs="Times New Roman" w:eastAsia="Times New Roman" w:hint="default"/>
        </w:rPr>
        <w:t>2012</w:t>
      </w:r>
      <w:r>
        <w:rPr/>
        <w:t>年度经营目标。</w:t>
      </w:r>
    </w:p>
    <w:p>
      <w:pPr>
        <w:pStyle w:val="BodyText"/>
        <w:spacing w:line="360" w:lineRule="auto" w:before="41"/>
        <w:ind w:left="513" w:right="88" w:hanging="89"/>
        <w:jc w:val="left"/>
      </w:pPr>
      <w:r>
        <w:rPr/>
        <w:t>（一）公司产品行业基本情况 </w:t>
      </w:r>
      <w:r>
        <w:rPr>
          <w:spacing w:val="-2"/>
        </w:rPr>
        <w:t>根据《上市公司行业分类指引》，公司属于</w:t>
      </w:r>
      <w:r>
        <w:rPr>
          <w:rFonts w:ascii="Times New Roman" w:hAnsi="Times New Roman" w:cs="Times New Roman" w:eastAsia="Times New Roman" w:hint="default"/>
          <w:spacing w:val="-2"/>
        </w:rPr>
        <w:t>“</w:t>
      </w:r>
      <w:r>
        <w:rPr>
          <w:spacing w:val="-2"/>
        </w:rPr>
        <w:t>其他电子设备制造业</w:t>
      </w:r>
      <w:r>
        <w:rPr>
          <w:rFonts w:ascii="Times New Roman" w:hAnsi="Times New Roman" w:cs="Times New Roman" w:eastAsia="Times New Roman" w:hint="default"/>
          <w:spacing w:val="-2"/>
        </w:rPr>
        <w:t>”</w:t>
      </w:r>
      <w:r>
        <w:rPr>
          <w:spacing w:val="-2"/>
        </w:rPr>
        <w:t>。公司的产品主要用于住宅小区，与房地产行业政策</w:t>
      </w:r>
    </w:p>
    <w:p>
      <w:pPr>
        <w:pStyle w:val="BodyText"/>
        <w:spacing w:line="316" w:lineRule="auto" w:before="4"/>
        <w:ind w:right="193"/>
        <w:jc w:val="both"/>
      </w:pPr>
      <w:r>
        <w:rPr>
          <w:spacing w:val="-2"/>
        </w:rPr>
        <w:t>密切相关，国家对房地产的调控会对公司业务产生一定影响。在面临挑战的同时，公司也存在较好的发展机遇，近年来，物</w:t>
      </w:r>
      <w:r>
        <w:rPr>
          <w:spacing w:val="-67"/>
        </w:rPr>
        <w:t> </w:t>
      </w:r>
      <w:r>
        <w:rPr>
          <w:spacing w:val="-67"/>
        </w:rPr>
      </w:r>
      <w:r>
        <w:rPr>
          <w:spacing w:val="-2"/>
        </w:rPr>
        <w:t>联网国家战略对安防利好、安防十二五规划引导产业政策对安防行业的倾斜及各地政府对当地安防企业的关注度和扶持力度</w:t>
      </w:r>
      <w:r>
        <w:rPr>
          <w:spacing w:val="-64"/>
        </w:rPr>
        <w:t> </w:t>
      </w:r>
      <w:r>
        <w:rPr>
          <w:spacing w:val="-64"/>
        </w:rPr>
      </w:r>
      <w:r>
        <w:rPr/>
        <w:t>持续增加。面对竞争激烈的市场，公司将进一步加大研发力度，丰富产品线，紧抓机遇。</w:t>
      </w:r>
    </w:p>
    <w:p>
      <w:pPr>
        <w:pStyle w:val="BodyText"/>
        <w:spacing w:line="360" w:lineRule="auto" w:before="57"/>
        <w:ind w:left="513" w:right="88" w:hanging="89"/>
        <w:jc w:val="left"/>
      </w:pPr>
      <w:r>
        <w:rPr/>
        <w:t>（二）公司主营业务回顾 </w:t>
      </w:r>
      <w:r>
        <w:rPr>
          <w:spacing w:val="-2"/>
        </w:rPr>
        <w:t>公司主营业务为楼宇对讲、智能家居系统和防盗报警系统的研发、生产和销售，致力于成为社区安防整体方案解决商及</w:t>
      </w:r>
    </w:p>
    <w:p>
      <w:pPr>
        <w:pStyle w:val="BodyText"/>
        <w:spacing w:line="236" w:lineRule="exact"/>
        <w:ind w:right="0"/>
        <w:jc w:val="both"/>
      </w:pPr>
      <w:r>
        <w:rPr/>
        <w:t>器材供应商。报告期内，公司实现销售收入</w:t>
      </w:r>
      <w:r>
        <w:rPr>
          <w:rFonts w:ascii="Times New Roman" w:hAnsi="Times New Roman" w:cs="Times New Roman" w:eastAsia="Times New Roman" w:hint="default"/>
        </w:rPr>
        <w:t>36,324.20</w:t>
      </w:r>
      <w:r>
        <w:rPr/>
        <w:t>万元，比上年同期增长</w:t>
      </w:r>
      <w:r>
        <w:rPr>
          <w:rFonts w:ascii="Times New Roman" w:hAnsi="Times New Roman" w:cs="Times New Roman" w:eastAsia="Times New Roman" w:hint="default"/>
        </w:rPr>
        <w:t>43.45%</w:t>
      </w:r>
      <w:r>
        <w:rPr/>
        <w:t>；实现营业利润</w:t>
      </w:r>
      <w:r>
        <w:rPr>
          <w:rFonts w:ascii="Times New Roman" w:hAnsi="Times New Roman" w:cs="Times New Roman" w:eastAsia="Times New Roman" w:hint="default"/>
        </w:rPr>
        <w:t>6,990.33</w:t>
      </w:r>
      <w:r>
        <w:rPr/>
        <w:t>万元，比上年同</w:t>
      </w:r>
    </w:p>
    <w:p>
      <w:pPr>
        <w:pStyle w:val="BodyText"/>
        <w:spacing w:line="300" w:lineRule="auto" w:before="63"/>
        <w:ind w:right="188"/>
        <w:jc w:val="both"/>
      </w:pPr>
      <w:r>
        <w:rPr/>
        <w:t>期增长</w:t>
      </w:r>
      <w:r>
        <w:rPr>
          <w:rFonts w:ascii="Times New Roman" w:hAnsi="Times New Roman" w:cs="Times New Roman" w:eastAsia="Times New Roman" w:hint="default"/>
        </w:rPr>
        <w:t>44.35%</w:t>
      </w:r>
      <w:r>
        <w:rPr/>
        <w:t>；实现净利润</w:t>
      </w:r>
      <w:r>
        <w:rPr>
          <w:rFonts w:ascii="Times New Roman" w:hAnsi="Times New Roman" w:cs="Times New Roman" w:eastAsia="Times New Roman" w:hint="default"/>
        </w:rPr>
        <w:t>7,533.18</w:t>
      </w:r>
      <w:r>
        <w:rPr/>
        <w:t>万元，比上年同期增长</w:t>
      </w:r>
      <w:r>
        <w:rPr>
          <w:rFonts w:ascii="Times New Roman" w:hAnsi="Times New Roman" w:cs="Times New Roman" w:eastAsia="Times New Roman" w:hint="default"/>
        </w:rPr>
        <w:t>28.66%</w:t>
      </w:r>
      <w:r>
        <w:rPr/>
        <w:t>，其中归属于上市公司股东净利润</w:t>
      </w:r>
      <w:r>
        <w:rPr>
          <w:rFonts w:ascii="Times New Roman" w:hAnsi="Times New Roman" w:cs="Times New Roman" w:eastAsia="Times New Roman" w:hint="default"/>
        </w:rPr>
        <w:t>7,575.50</w:t>
      </w:r>
      <w:r>
        <w:rPr/>
        <w:t>万元，比上年</w:t>
      </w:r>
      <w:r>
        <w:rPr>
          <w:spacing w:val="-35"/>
        </w:rPr>
        <w:t> </w:t>
      </w:r>
      <w:r>
        <w:rPr>
          <w:spacing w:val="-35"/>
        </w:rPr>
      </w:r>
      <w:r>
        <w:rPr/>
        <w:t>同期增长</w:t>
      </w:r>
      <w:r>
        <w:rPr>
          <w:rFonts w:ascii="Times New Roman" w:hAnsi="Times New Roman" w:cs="Times New Roman" w:eastAsia="Times New Roman" w:hint="default"/>
        </w:rPr>
        <w:t>29.27%</w:t>
      </w:r>
      <w:r>
        <w:rPr/>
        <w:t>。截至报告期末，公司资产总额为</w:t>
      </w:r>
      <w:r>
        <w:rPr>
          <w:rFonts w:ascii="Times New Roman" w:hAnsi="Times New Roman" w:cs="Times New Roman" w:eastAsia="Times New Roman" w:hint="default"/>
        </w:rPr>
        <w:t>123,906.62</w:t>
      </w:r>
      <w:r>
        <w:rPr/>
        <w:t>万元，负债总额</w:t>
      </w:r>
      <w:r>
        <w:rPr>
          <w:rFonts w:ascii="Times New Roman" w:hAnsi="Times New Roman" w:cs="Times New Roman" w:eastAsia="Times New Roman" w:hint="default"/>
        </w:rPr>
        <w:t>21,771.48</w:t>
      </w:r>
      <w:r>
        <w:rPr/>
        <w:t>万元，股东权益总额为</w:t>
      </w:r>
      <w:r>
        <w:rPr>
          <w:rFonts w:ascii="Times New Roman" w:hAnsi="Times New Roman" w:cs="Times New Roman" w:eastAsia="Times New Roman" w:hint="default"/>
        </w:rPr>
        <w:t>102,135.14</w:t>
      </w:r>
      <w:r>
        <w:rPr/>
        <w:t>万</w:t>
      </w:r>
      <w:r>
        <w:rPr>
          <w:spacing w:val="-30"/>
        </w:rPr>
        <w:t> </w:t>
      </w:r>
      <w:r>
        <w:rPr/>
        <w:t>元，资产负债率为</w:t>
      </w:r>
      <w:r>
        <w:rPr>
          <w:rFonts w:ascii="Times New Roman" w:hAnsi="Times New Roman" w:cs="Times New Roman" w:eastAsia="Times New Roman" w:hint="default"/>
        </w:rPr>
        <w:t>17.57%</w:t>
      </w:r>
      <w:r>
        <w:rPr/>
        <w:t>。</w:t>
      </w:r>
    </w:p>
    <w:p>
      <w:pPr>
        <w:pStyle w:val="BodyText"/>
        <w:spacing w:line="240" w:lineRule="auto" w:before="13"/>
        <w:ind w:left="424" w:right="88"/>
        <w:jc w:val="left"/>
      </w:pPr>
      <w:r>
        <w:rPr/>
        <w:t>（三）主要工作概述</w:t>
      </w:r>
    </w:p>
    <w:p>
      <w:pPr>
        <w:pStyle w:val="BodyText"/>
        <w:spacing w:line="240" w:lineRule="auto" w:before="76"/>
        <w:ind w:left="513" w:right="88"/>
        <w:jc w:val="left"/>
      </w:pPr>
      <w:r>
        <w:rPr>
          <w:rFonts w:ascii="Times New Roman" w:hAnsi="Times New Roman" w:cs="Times New Roman" w:eastAsia="Times New Roman" w:hint="default"/>
        </w:rPr>
        <w:t>1</w:t>
      </w:r>
      <w:r>
        <w:rPr/>
        <w:t>、技术研发方面</w:t>
      </w:r>
    </w:p>
    <w:p>
      <w:pPr>
        <w:pStyle w:val="BodyText"/>
        <w:spacing w:line="309" w:lineRule="auto" w:before="63"/>
        <w:ind w:right="191" w:firstLine="360"/>
        <w:jc w:val="both"/>
      </w:pPr>
      <w:r>
        <w:rPr/>
        <w:t>公司启动</w:t>
      </w:r>
      <w:r>
        <w:rPr>
          <w:rFonts w:ascii="Times New Roman" w:hAnsi="Times New Roman" w:cs="Times New Roman" w:eastAsia="Times New Roman" w:hint="default"/>
        </w:rPr>
        <w:t>“</w:t>
      </w:r>
      <w:r>
        <w:rPr/>
        <w:t>能力成熟度模型集成</w:t>
      </w:r>
      <w:r>
        <w:rPr>
          <w:rFonts w:ascii="Times New Roman" w:hAnsi="Times New Roman" w:cs="Times New Roman" w:eastAsia="Times New Roman" w:hint="default"/>
        </w:rPr>
        <w:t>”</w:t>
      </w:r>
      <w:r>
        <w:rPr/>
        <w:t>等级</w:t>
      </w:r>
      <w:r>
        <w:rPr>
          <w:rFonts w:ascii="Times New Roman" w:hAnsi="Times New Roman" w:cs="Times New Roman" w:eastAsia="Times New Roman" w:hint="default"/>
        </w:rPr>
        <w:t>3</w:t>
      </w:r>
      <w:r>
        <w:rPr/>
        <w:t>（简称</w:t>
      </w:r>
      <w:r>
        <w:rPr>
          <w:rFonts w:ascii="Times New Roman" w:hAnsi="Times New Roman" w:cs="Times New Roman" w:eastAsia="Times New Roman" w:hint="default"/>
        </w:rPr>
        <w:t>CMMI</w:t>
      </w:r>
      <w:r>
        <w:rPr>
          <w:rFonts w:ascii="Times New Roman" w:hAnsi="Times New Roman" w:cs="Times New Roman" w:eastAsia="Times New Roman" w:hint="default"/>
          <w:spacing w:val="-4"/>
        </w:rPr>
        <w:t> </w:t>
      </w:r>
      <w:r>
        <w:rPr>
          <w:rFonts w:ascii="Times New Roman" w:hAnsi="Times New Roman" w:cs="Times New Roman" w:eastAsia="Times New Roman" w:hint="default"/>
        </w:rPr>
        <w:t>L3</w:t>
      </w:r>
      <w:r>
        <w:rPr/>
        <w:t>）认证标准，规范和优化研发流程，提高研发效率，及时合理的 </w:t>
      </w:r>
      <w:r>
        <w:rPr>
          <w:spacing w:val="-2"/>
        </w:rPr>
        <w:t>配备研发力量，降低新品开发失败风险。研发部门与市场营销部门建立协作沟通机制，及时了解市场需求，确保研发的产品</w:t>
      </w:r>
      <w:r>
        <w:rPr>
          <w:spacing w:val="-65"/>
        </w:rPr>
        <w:t> </w:t>
      </w:r>
      <w:r>
        <w:rPr>
          <w:spacing w:val="-65"/>
        </w:rPr>
      </w:r>
      <w:r>
        <w:rPr/>
        <w:t>贴近市场。</w:t>
      </w:r>
    </w:p>
    <w:p>
      <w:pPr>
        <w:pStyle w:val="BodyText"/>
        <w:spacing w:line="300" w:lineRule="auto" w:before="24"/>
        <w:ind w:left="212" w:right="88" w:firstLine="360"/>
        <w:jc w:val="left"/>
      </w:pPr>
      <w:r>
        <w:rPr>
          <w:rFonts w:ascii="Times New Roman" w:hAnsi="Times New Roman" w:cs="Times New Roman" w:eastAsia="Times New Roman" w:hint="default"/>
        </w:rPr>
        <w:t>2012</w:t>
      </w:r>
      <w:r>
        <w:rPr/>
        <w:t>年公司在研发领域成绩突出，先后被评为广州市市级企业技术中心、广州市创新型试点企业、广州市社区安防工 </w:t>
      </w:r>
      <w:r>
        <w:rPr>
          <w:spacing w:val="-3"/>
        </w:rPr>
        <w:t>程技术研发中心、广州市创新型企业、广州市民营企业地方经济社会贡献优秀企业，</w:t>
      </w:r>
      <w:r>
        <w:rPr>
          <w:rFonts w:ascii="Times New Roman" w:hAnsi="Times New Roman" w:cs="Times New Roman" w:eastAsia="Times New Roman" w:hint="default"/>
          <w:spacing w:val="-3"/>
        </w:rPr>
        <w:t>3</w:t>
      </w:r>
      <w:r>
        <w:rPr>
          <w:spacing w:val="-3"/>
        </w:rPr>
        <w:t>项产品获得广东省高新技术产品证书，</w:t>
      </w:r>
      <w:r>
        <w:rPr>
          <w:spacing w:val="-69"/>
        </w:rPr>
        <w:t> </w:t>
      </w:r>
      <w:r>
        <w:rPr/>
        <w:t>公司在</w:t>
      </w:r>
      <w:r>
        <w:rPr>
          <w:rFonts w:ascii="Times New Roman" w:hAnsi="Times New Roman" w:cs="Times New Roman" w:eastAsia="Times New Roman" w:hint="default"/>
        </w:rPr>
        <w:t>2012</w:t>
      </w:r>
      <w:r>
        <w:rPr/>
        <w:t>年新申请并受理的专利</w:t>
      </w:r>
      <w:r>
        <w:rPr>
          <w:rFonts w:ascii="Times New Roman" w:hAnsi="Times New Roman" w:cs="Times New Roman" w:eastAsia="Times New Roman" w:hint="default"/>
        </w:rPr>
        <w:t>21</w:t>
      </w:r>
      <w:r>
        <w:rPr/>
        <w:t>项，其中发明</w:t>
      </w:r>
      <w:r>
        <w:rPr>
          <w:rFonts w:ascii="Times New Roman" w:hAnsi="Times New Roman" w:cs="Times New Roman" w:eastAsia="Times New Roman" w:hint="default"/>
        </w:rPr>
        <w:t>5</w:t>
      </w:r>
      <w:r>
        <w:rPr/>
        <w:t>项、实用新型</w:t>
      </w:r>
      <w:r>
        <w:rPr>
          <w:rFonts w:ascii="Times New Roman" w:hAnsi="Times New Roman" w:cs="Times New Roman" w:eastAsia="Times New Roman" w:hint="default"/>
        </w:rPr>
        <w:t>10</w:t>
      </w:r>
      <w:r>
        <w:rPr/>
        <w:t>项、外观设计</w:t>
      </w:r>
      <w:r>
        <w:rPr>
          <w:rFonts w:ascii="Times New Roman" w:hAnsi="Times New Roman" w:cs="Times New Roman" w:eastAsia="Times New Roman" w:hint="default"/>
        </w:rPr>
        <w:t>6</w:t>
      </w:r>
      <w:r>
        <w:rPr/>
        <w:t>项，共申请软件著作权</w:t>
      </w:r>
      <w:r>
        <w:rPr>
          <w:rFonts w:ascii="Times New Roman" w:hAnsi="Times New Roman" w:cs="Times New Roman" w:eastAsia="Times New Roman" w:hint="default"/>
        </w:rPr>
        <w:t>2</w:t>
      </w:r>
      <w:r>
        <w:rPr/>
        <w:t>项。</w:t>
      </w:r>
      <w:r>
        <w:rPr>
          <w:rFonts w:ascii="Times New Roman" w:hAnsi="Times New Roman" w:cs="Times New Roman" w:eastAsia="Times New Roman" w:hint="default"/>
        </w:rPr>
        <w:t>2012</w:t>
      </w:r>
      <w:r>
        <w:rPr/>
        <w:t>年新获 得授权的外观设计专利</w:t>
      </w:r>
      <w:r>
        <w:rPr>
          <w:rFonts w:ascii="Times New Roman" w:hAnsi="Times New Roman" w:cs="Times New Roman" w:eastAsia="Times New Roman" w:hint="default"/>
        </w:rPr>
        <w:t>10</w:t>
      </w:r>
      <w:r>
        <w:rPr/>
        <w:t>项，获得软件著作权</w:t>
      </w:r>
      <w:r>
        <w:rPr>
          <w:rFonts w:ascii="Times New Roman" w:hAnsi="Times New Roman" w:cs="Times New Roman" w:eastAsia="Times New Roman" w:hint="default"/>
        </w:rPr>
        <w:t>2</w:t>
      </w:r>
      <w:r>
        <w:rPr/>
        <w:t>项。</w:t>
      </w:r>
    </w:p>
    <w:p>
      <w:pPr>
        <w:pStyle w:val="BodyText"/>
        <w:spacing w:line="300" w:lineRule="auto" w:before="13"/>
        <w:ind w:left="513" w:right="183"/>
        <w:jc w:val="left"/>
      </w:pPr>
      <w:r>
        <w:rPr>
          <w:rFonts w:ascii="Times New Roman" w:hAnsi="Times New Roman" w:cs="Times New Roman" w:eastAsia="Times New Roman" w:hint="default"/>
        </w:rPr>
        <w:t>2</w:t>
      </w:r>
      <w:r>
        <w:rPr/>
        <w:t>、市场开拓方面 公司不断加强营销团队建设，增设营销服务网点，截止报告期末，公司在全国各地营销服务网点共计</w:t>
      </w:r>
      <w:r>
        <w:rPr>
          <w:rFonts w:ascii="Times New Roman" w:hAnsi="Times New Roman" w:cs="Times New Roman" w:eastAsia="Times New Roman" w:hint="default"/>
        </w:rPr>
        <w:t>111</w:t>
      </w:r>
      <w:r>
        <w:rPr/>
        <w:t>个。在产品推</w:t>
      </w:r>
    </w:p>
    <w:p>
      <w:pPr>
        <w:pStyle w:val="BodyText"/>
        <w:spacing w:line="319" w:lineRule="auto" w:before="13"/>
        <w:ind w:right="190"/>
        <w:jc w:val="both"/>
      </w:pPr>
      <w:r>
        <w:rPr>
          <w:spacing w:val="-2"/>
        </w:rPr>
        <w:t>广方面，积极参加各种大型展会、全国巡回推广培训会，并取得了良好的效果；加大对重点大客户、项目的跟进，提升公司</w:t>
      </w:r>
      <w:r>
        <w:rPr>
          <w:spacing w:val="-67"/>
        </w:rPr>
        <w:t> </w:t>
      </w:r>
      <w:r>
        <w:rPr>
          <w:spacing w:val="-67"/>
        </w:rPr>
      </w:r>
      <w:r>
        <w:rPr>
          <w:spacing w:val="-2"/>
        </w:rPr>
        <w:t>业绩；为强化优势项目市场占有率及提升品牌号召力，携手工程商共渡金融寒冬，适时推出工程合作资金资助计划的营销创</w:t>
      </w:r>
      <w:r>
        <w:rPr>
          <w:spacing w:val="-63"/>
        </w:rPr>
        <w:t> </w:t>
      </w:r>
      <w:r>
        <w:rPr>
          <w:spacing w:val="-63"/>
        </w:rPr>
      </w:r>
      <w:r>
        <w:rPr/>
        <w:t>新方案。</w:t>
      </w:r>
    </w:p>
    <w:p>
      <w:pPr>
        <w:pStyle w:val="BodyText"/>
        <w:spacing w:line="300" w:lineRule="auto" w:before="17"/>
        <w:ind w:left="513" w:right="88"/>
        <w:jc w:val="left"/>
      </w:pPr>
      <w:r>
        <w:rPr>
          <w:rFonts w:ascii="Times New Roman" w:hAnsi="Times New Roman" w:cs="Times New Roman" w:eastAsia="Times New Roman" w:hint="default"/>
        </w:rPr>
        <w:t>3</w:t>
      </w:r>
      <w:r>
        <w:rPr/>
        <w:t>、人才队伍建设方面 </w:t>
      </w:r>
      <w:r>
        <w:rPr>
          <w:spacing w:val="-2"/>
        </w:rPr>
        <w:t>公司不断完善并发展人力资源管理体系建设，建立并完善了员工晋升的流程和标准。在绩效考核方面，公司在加强绩效</w:t>
      </w:r>
    </w:p>
    <w:p>
      <w:pPr>
        <w:pStyle w:val="BodyText"/>
        <w:spacing w:line="300" w:lineRule="auto" w:before="31"/>
        <w:ind w:right="186"/>
        <w:jc w:val="both"/>
      </w:pPr>
      <w:r>
        <w:rPr>
          <w:spacing w:val="-3"/>
        </w:rPr>
        <w:t>管理的同时，大幅提升了员工整体的薪酬福利水平，有效地吸引和留住高素质人才。截止</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日，公司员工总数</w:t>
      </w:r>
      <w:r>
        <w:rPr>
          <w:rFonts w:ascii="Times New Roman" w:hAnsi="Times New Roman" w:cs="Times New Roman" w:eastAsia="Times New Roman" w:hint="default"/>
          <w:spacing w:val="-3"/>
        </w:rPr>
        <w:t>692</w:t>
      </w:r>
      <w:r>
        <w:rPr>
          <w:rFonts w:ascii="Times New Roman" w:hAnsi="Times New Roman" w:cs="Times New Roman" w:eastAsia="Times New Roman" w:hint="default"/>
          <w:spacing w:val="-36"/>
        </w:rPr>
        <w:t> </w:t>
      </w:r>
      <w:r>
        <w:rPr/>
        <w:t>人，较年初增长</w:t>
      </w:r>
      <w:r>
        <w:rPr>
          <w:rFonts w:ascii="Times New Roman" w:hAnsi="Times New Roman" w:cs="Times New Roman" w:eastAsia="Times New Roman" w:hint="default"/>
        </w:rPr>
        <w:t>26.97%</w:t>
      </w:r>
      <w:r>
        <w:rPr/>
        <w:t>。</w:t>
      </w:r>
    </w:p>
    <w:p>
      <w:pPr>
        <w:spacing w:after="0" w:line="300" w:lineRule="auto"/>
        <w:jc w:val="both"/>
        <w:sectPr>
          <w:pgSz w:w="11910" w:h="16840"/>
          <w:pgMar w:header="0" w:footer="1227" w:top="1100" w:bottom="1420" w:left="980" w:right="94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二、报告期内主要经营情况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t>（一）、主营业务分析</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374"/>
        <w:jc w:val="right"/>
      </w:pPr>
      <w:r>
        <w:rPr>
          <w:spacing w:val="-1"/>
        </w:rPr>
        <w:t>单位</w:t>
      </w:r>
      <w:r>
        <w:rPr>
          <w:rFonts w:ascii="Times New Roman" w:hAnsi="Times New Roman" w:cs="Times New Roman" w:eastAsia="Times New Roman" w:hint="default"/>
          <w:spacing w:val="-1"/>
        </w:rPr>
        <w:t>:</w:t>
      </w:r>
      <w:r>
        <w:rPr>
          <w:spacing w:val="-1"/>
        </w:rPr>
        <w:t>元</w:t>
      </w:r>
    </w:p>
    <w:p>
      <w:pPr>
        <w:spacing w:line="240" w:lineRule="auto" w:before="1"/>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403"/>
        <w:gridCol w:w="2417"/>
        <w:gridCol w:w="2693"/>
        <w:gridCol w:w="1988"/>
      </w:tblGrid>
      <w:tr>
        <w:trPr>
          <w:trHeight w:val="362" w:hRule="exact"/>
        </w:trPr>
        <w:tc>
          <w:tcPr>
            <w:tcW w:w="2403"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417"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2693"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上年金额</w:t>
            </w:r>
          </w:p>
        </w:tc>
        <w:tc>
          <w:tcPr>
            <w:tcW w:w="1988"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62" w:hRule="exact"/>
        </w:trPr>
        <w:tc>
          <w:tcPr>
            <w:tcW w:w="24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363,180,530.76</w:t>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253,094,445.08</w:t>
            </w:r>
          </w:p>
        </w:tc>
        <w:tc>
          <w:tcPr>
            <w:tcW w:w="19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43.50%</w:t>
            </w:r>
          </w:p>
        </w:tc>
      </w:tr>
      <w:tr>
        <w:trPr>
          <w:trHeight w:val="362" w:hRule="exact"/>
        </w:trPr>
        <w:tc>
          <w:tcPr>
            <w:tcW w:w="24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61,500.50</w:t>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122,452.12</w:t>
            </w:r>
          </w:p>
        </w:tc>
        <w:tc>
          <w:tcPr>
            <w:tcW w:w="19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-49.78%</w:t>
            </w:r>
          </w:p>
        </w:tc>
      </w:tr>
      <w:tr>
        <w:trPr>
          <w:trHeight w:val="362" w:hRule="exact"/>
        </w:trPr>
        <w:tc>
          <w:tcPr>
            <w:tcW w:w="24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2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363,242,031.26</w:t>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253,216,897.20</w:t>
            </w:r>
          </w:p>
        </w:tc>
        <w:tc>
          <w:tcPr>
            <w:tcW w:w="19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43.45%</w:t>
            </w:r>
          </w:p>
        </w:tc>
      </w:tr>
    </w:tbl>
    <w:p>
      <w:pPr>
        <w:pStyle w:val="BodyText"/>
        <w:spacing w:line="316" w:lineRule="auto" w:before="49"/>
        <w:ind w:right="151" w:firstLine="360"/>
        <w:jc w:val="both"/>
      </w:pPr>
      <w:r>
        <w:rPr/>
        <w:t>报告期内，公司共销售楼宇对讲系统</w:t>
      </w:r>
      <w:r>
        <w:rPr>
          <w:rFonts w:ascii="宋体" w:hAnsi="宋体" w:cs="宋体" w:eastAsia="宋体" w:hint="default"/>
        </w:rPr>
        <w:t>1,179,426</w:t>
      </w:r>
      <w:r>
        <w:rPr/>
        <w:t>套，比去年同期增长</w:t>
      </w:r>
      <w:r>
        <w:rPr>
          <w:rFonts w:ascii="宋体" w:hAnsi="宋体" w:cs="宋体" w:eastAsia="宋体" w:hint="default"/>
        </w:rPr>
        <w:t>37.72%</w:t>
      </w:r>
      <w:r>
        <w:rPr/>
        <w:t>；智能家居系统</w:t>
      </w:r>
      <w:r>
        <w:rPr>
          <w:rFonts w:ascii="宋体" w:hAnsi="宋体" w:cs="宋体" w:eastAsia="宋体" w:hint="default"/>
        </w:rPr>
        <w:t>20,034</w:t>
      </w:r>
      <w:r>
        <w:rPr/>
        <w:t>套，比去年同期增长 </w:t>
      </w:r>
      <w:r>
        <w:rPr>
          <w:rFonts w:ascii="宋体" w:hAnsi="宋体" w:cs="宋体" w:eastAsia="宋体" w:hint="default"/>
        </w:rPr>
        <w:t>99.11%</w:t>
      </w:r>
      <w:r>
        <w:rPr/>
        <w:t>；停车场系统</w:t>
      </w:r>
      <w:r>
        <w:rPr>
          <w:rFonts w:ascii="宋体" w:hAnsi="宋体" w:cs="宋体" w:eastAsia="宋体" w:hint="default"/>
        </w:rPr>
        <w:t>490</w:t>
      </w:r>
      <w:r>
        <w:rPr/>
        <w:t>套；全年合计实现营业收入</w:t>
      </w:r>
      <w:r>
        <w:rPr>
          <w:rFonts w:ascii="宋体" w:hAnsi="宋体" w:cs="宋体" w:eastAsia="宋体" w:hint="default"/>
        </w:rPr>
        <w:t>363,242,031.26</w:t>
      </w:r>
      <w:r>
        <w:rPr/>
        <w:t>元，比去年同期增长</w:t>
      </w:r>
      <w:r>
        <w:rPr>
          <w:rFonts w:ascii="宋体" w:hAnsi="宋体" w:cs="宋体" w:eastAsia="宋体" w:hint="default"/>
        </w:rPr>
        <w:t>43.45%</w:t>
      </w:r>
      <w:r>
        <w:rPr/>
        <w:t>。面对国家对房地产行业调 </w:t>
      </w:r>
      <w:r>
        <w:rPr>
          <w:spacing w:val="-2"/>
        </w:rPr>
        <w:t>控的不利影响，公司一方面紧贴市场，加大营销服务网点的建设及深耕力度，积极拓展新客户；另一方面通过加大新产品的</w:t>
      </w:r>
      <w:r>
        <w:rPr>
          <w:spacing w:val="-65"/>
        </w:rPr>
        <w:t> </w:t>
      </w:r>
      <w:r>
        <w:rPr>
          <w:spacing w:val="-65"/>
        </w:rPr>
      </w:r>
      <w:r>
        <w:rPr/>
        <w:t>推广力度，在停车场系统领域取得了一定的成效，保证了主营业务的稳步增长，市场份额进一步扩大。</w:t>
      </w:r>
    </w:p>
    <w:p>
      <w:pPr>
        <w:pStyle w:val="Heading5"/>
        <w:spacing w:line="240" w:lineRule="auto" w:before="57"/>
        <w:ind w:right="0"/>
        <w:jc w:val="left"/>
        <w:rPr>
          <w:b w:val="0"/>
          <w:bCs w:val="0"/>
        </w:rPr>
      </w:pPr>
      <w:r>
        <w:rPr/>
        <w:t>公司实物销售收入是否大于劳务收入</w:t>
      </w:r>
      <w:r>
        <w:rPr>
          <w:b w:val="0"/>
          <w:bCs w:val="0"/>
        </w:rPr>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28"/>
        <w:gridCol w:w="1891"/>
        <w:gridCol w:w="1926"/>
        <w:gridCol w:w="1913"/>
        <w:gridCol w:w="1916"/>
      </w:tblGrid>
      <w:tr>
        <w:trPr>
          <w:trHeight w:val="401"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29"/>
              <w:jc w:val="left"/>
              <w:rPr>
                <w:rFonts w:ascii="宋体" w:hAnsi="宋体" w:cs="宋体" w:eastAsia="宋体" w:hint="default"/>
                <w:sz w:val="18"/>
                <w:szCs w:val="18"/>
              </w:rPr>
            </w:pPr>
            <w:r>
              <w:rPr>
                <w:rFonts w:ascii="宋体" w:hAnsi="宋体" w:cs="宋体" w:eastAsia="宋体" w:hint="default"/>
                <w:spacing w:val="-6"/>
                <w:sz w:val="18"/>
                <w:szCs w:val="18"/>
              </w:rPr>
              <w:t>楼宇对讲系统（台、套）</w:t>
            </w:r>
            <w:r>
              <w:rPr>
                <w:rFonts w:ascii="宋体" w:hAnsi="宋体" w:cs="宋体" w:eastAsia="宋体" w:hint="default"/>
                <w:sz w:val="18"/>
                <w:szCs w:val="18"/>
              </w:rPr>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1,179,426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856,391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37.72%</w:t>
            </w:r>
          </w:p>
        </w:tc>
      </w:tr>
      <w:tr>
        <w:trPr>
          <w:trHeight w:val="401"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1,262,843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955,335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32.19%</w:t>
            </w:r>
          </w:p>
        </w:tc>
      </w:tr>
      <w:tr>
        <w:trPr>
          <w:trHeight w:val="403"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68.59%</w:t>
            </w:r>
          </w:p>
        </w:tc>
      </w:tr>
      <w:tr>
        <w:trPr>
          <w:trHeight w:val="401"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29"/>
              <w:jc w:val="left"/>
              <w:rPr>
                <w:rFonts w:ascii="宋体" w:hAnsi="宋体" w:cs="宋体" w:eastAsia="宋体" w:hint="default"/>
                <w:sz w:val="18"/>
                <w:szCs w:val="18"/>
              </w:rPr>
            </w:pPr>
            <w:r>
              <w:rPr>
                <w:rFonts w:ascii="宋体" w:hAnsi="宋体" w:cs="宋体" w:eastAsia="宋体" w:hint="default"/>
                <w:spacing w:val="-6"/>
                <w:sz w:val="18"/>
                <w:szCs w:val="18"/>
              </w:rPr>
              <w:t>智能家居系统（台、套）</w:t>
            </w:r>
            <w:r>
              <w:rPr>
                <w:rFonts w:ascii="宋体" w:hAnsi="宋体" w:cs="宋体" w:eastAsia="宋体" w:hint="default"/>
                <w:sz w:val="18"/>
                <w:szCs w:val="18"/>
              </w:rPr>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99.11%</w:t>
            </w:r>
          </w:p>
        </w:tc>
      </w:tr>
      <w:tr>
        <w:trPr>
          <w:trHeight w:val="403"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70.94%</w:t>
            </w:r>
          </w:p>
        </w:tc>
      </w:tr>
      <w:tr>
        <w:trPr>
          <w:trHeight w:val="401"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64.17%</w:t>
            </w:r>
          </w:p>
        </w:tc>
      </w:tr>
      <w:tr>
        <w:trPr>
          <w:trHeight w:val="403"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停车场系统（台、套）</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300%</w:t>
            </w:r>
          </w:p>
        </w:tc>
      </w:tr>
    </w:tbl>
    <w:p>
      <w:pPr>
        <w:pStyle w:val="BodyText"/>
        <w:spacing w:line="240" w:lineRule="auto" w:before="49"/>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40" w:lineRule="auto" w:before="101"/>
        <w:ind w:left="513" w:right="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报告期内，公司销售楼宇对讲系统</w:t>
      </w:r>
      <w:r>
        <w:rPr>
          <w:rFonts w:ascii="宋体" w:hAnsi="宋体" w:cs="宋体" w:eastAsia="宋体" w:hint="default"/>
          <w:spacing w:val="-2"/>
        </w:rPr>
        <w:t>1,179,426</w:t>
      </w:r>
      <w:r>
        <w:rPr>
          <w:spacing w:val="-2"/>
        </w:rPr>
        <w:t>套</w:t>
      </w:r>
      <w:r>
        <w:rPr>
          <w:rFonts w:ascii="宋体" w:hAnsi="宋体" w:cs="宋体" w:eastAsia="宋体" w:hint="default"/>
          <w:spacing w:val="-2"/>
        </w:rPr>
        <w:t>,</w:t>
      </w:r>
      <w:r>
        <w:rPr>
          <w:spacing w:val="-2"/>
        </w:rPr>
        <w:t>比去年同期增长</w:t>
      </w:r>
      <w:r>
        <w:rPr>
          <w:rFonts w:ascii="宋体" w:hAnsi="宋体" w:cs="宋体" w:eastAsia="宋体" w:hint="default"/>
          <w:spacing w:val="-2"/>
        </w:rPr>
        <w:t>37.72%</w:t>
      </w:r>
      <w:r>
        <w:rPr>
          <w:spacing w:val="-2"/>
        </w:rPr>
        <w:t>，主要是报告期内公司取得楼宇对讲系统销售收</w:t>
      </w:r>
    </w:p>
    <w:p>
      <w:pPr>
        <w:pStyle w:val="BodyText"/>
        <w:spacing w:line="319" w:lineRule="auto" w:before="1"/>
        <w:ind w:left="513" w:right="0" w:hanging="361"/>
        <w:jc w:val="left"/>
      </w:pPr>
      <w:r>
        <w:rPr/>
        <w:t>入</w:t>
      </w:r>
      <w:r>
        <w:rPr>
          <w:rFonts w:ascii="宋体" w:hAnsi="宋体" w:cs="宋体" w:eastAsia="宋体" w:hint="default"/>
        </w:rPr>
        <w:t>324,831,064.32</w:t>
      </w:r>
      <w:r>
        <w:rPr/>
        <w:t>元，比去年同期增长</w:t>
      </w:r>
      <w:r>
        <w:rPr>
          <w:rFonts w:ascii="宋体" w:hAnsi="宋体" w:cs="宋体" w:eastAsia="宋体" w:hint="default"/>
        </w:rPr>
        <w:t>39.95%</w:t>
      </w:r>
      <w:r>
        <w:rPr/>
        <w:t>； </w:t>
      </w:r>
      <w:r>
        <w:rPr>
          <w:spacing w:val="-2"/>
        </w:rPr>
        <w:t>报告期内，公司销售智能家居系统</w:t>
      </w:r>
      <w:r>
        <w:rPr>
          <w:rFonts w:ascii="宋体" w:hAnsi="宋体" w:cs="宋体" w:eastAsia="宋体" w:hint="default"/>
          <w:spacing w:val="-2"/>
        </w:rPr>
        <w:t>20,034</w:t>
      </w:r>
      <w:r>
        <w:rPr>
          <w:spacing w:val="-2"/>
        </w:rPr>
        <w:t>套，比去年同期增长</w:t>
      </w:r>
      <w:r>
        <w:rPr>
          <w:rFonts w:ascii="宋体" w:hAnsi="宋体" w:cs="宋体" w:eastAsia="宋体" w:hint="default"/>
          <w:spacing w:val="-2"/>
        </w:rPr>
        <w:t>99.11%</w:t>
      </w:r>
      <w:r>
        <w:rPr>
          <w:spacing w:val="-2"/>
        </w:rPr>
        <w:t>，主要是报告期内公司取得智能家居产品销售收入</w:t>
      </w:r>
    </w:p>
    <w:p>
      <w:pPr>
        <w:pStyle w:val="BodyText"/>
        <w:spacing w:line="316" w:lineRule="auto" w:before="17"/>
        <w:ind w:left="513" w:right="3113" w:hanging="361"/>
        <w:jc w:val="left"/>
      </w:pPr>
      <w:r>
        <w:rPr>
          <w:rFonts w:ascii="宋体" w:hAnsi="宋体" w:cs="宋体" w:eastAsia="宋体" w:hint="default"/>
        </w:rPr>
        <w:t>18,076,487.02</w:t>
      </w:r>
      <w:r>
        <w:rPr/>
        <w:t>元，比去年同期增长</w:t>
      </w:r>
      <w:r>
        <w:rPr>
          <w:rFonts w:ascii="宋体" w:hAnsi="宋体" w:cs="宋体" w:eastAsia="宋体" w:hint="default"/>
        </w:rPr>
        <w:t>40.27%</w:t>
      </w:r>
      <w:r>
        <w:rPr/>
        <w:t>； 报告期内，公司销售新产品停车场系统</w:t>
      </w:r>
      <w:r>
        <w:rPr>
          <w:rFonts w:ascii="宋体" w:hAnsi="宋体" w:cs="宋体" w:eastAsia="宋体" w:hint="default"/>
        </w:rPr>
        <w:t>490</w:t>
      </w:r>
      <w:r>
        <w:rPr/>
        <w:t>套，取得销售收入</w:t>
      </w:r>
      <w:r>
        <w:rPr>
          <w:rFonts w:ascii="宋体" w:hAnsi="宋体" w:cs="宋体" w:eastAsia="宋体" w:hint="default"/>
        </w:rPr>
        <w:t>11,181,257.47</w:t>
      </w:r>
      <w:r>
        <w:rPr/>
        <w:t>元。</w:t>
      </w:r>
    </w:p>
    <w:p>
      <w:pPr>
        <w:pStyle w:val="BodyText"/>
        <w:spacing w:line="240" w:lineRule="auto" w:before="59"/>
        <w:ind w:right="0"/>
        <w:jc w:val="left"/>
      </w:pPr>
      <w:r>
        <w:rPr/>
        <w:t>公司重大的在手订单情况</w:t>
      </w:r>
    </w:p>
    <w:p>
      <w:pPr>
        <w:pStyle w:val="BodyText"/>
        <w:spacing w:line="340" w:lineRule="auto" w:before="115"/>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数量分散的订单情况</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513" w:right="0"/>
        <w:jc w:val="left"/>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45"/>
        </w:rPr>
        <w:t> </w:t>
      </w:r>
      <w:r>
        <w:rPr/>
        <w:t>年，公司签订合同</w:t>
      </w:r>
      <w:r>
        <w:rPr>
          <w:spacing w:val="-49"/>
        </w:rPr>
        <w:t> </w:t>
      </w:r>
      <w:r>
        <w:rPr>
          <w:rFonts w:ascii="宋体" w:hAnsi="宋体" w:cs="宋体" w:eastAsia="宋体" w:hint="default"/>
        </w:rPr>
        <w:t>5,729</w:t>
      </w:r>
      <w:r>
        <w:rPr>
          <w:rFonts w:ascii="宋体" w:hAnsi="宋体" w:cs="宋体" w:eastAsia="宋体" w:hint="default"/>
          <w:spacing w:val="-47"/>
        </w:rPr>
        <w:t> </w:t>
      </w:r>
      <w:r>
        <w:rPr/>
        <w:t>份，合同总金额</w:t>
      </w:r>
      <w:r>
        <w:rPr>
          <w:spacing w:val="-47"/>
        </w:rPr>
        <w:t> </w:t>
      </w:r>
      <w:r>
        <w:rPr>
          <w:rFonts w:ascii="宋体" w:hAnsi="宋体" w:cs="宋体" w:eastAsia="宋体" w:hint="default"/>
        </w:rPr>
        <w:t>53,371.57</w:t>
      </w:r>
      <w:r>
        <w:rPr>
          <w:rFonts w:ascii="宋体" w:hAnsi="宋体" w:cs="宋体" w:eastAsia="宋体" w:hint="default"/>
          <w:spacing w:val="-45"/>
        </w:rPr>
        <w:t> </w:t>
      </w:r>
      <w:r>
        <w:rPr/>
        <w:t>万元，与上年同期相比，合同金额增长</w:t>
      </w:r>
      <w:r>
        <w:rPr>
          <w:spacing w:val="-46"/>
        </w:rPr>
        <w:t> </w:t>
      </w:r>
      <w:r>
        <w:rPr>
          <w:rFonts w:ascii="宋体" w:hAnsi="宋体" w:cs="宋体" w:eastAsia="宋体" w:hint="default"/>
        </w:rPr>
        <w:t>41.47%</w:t>
      </w:r>
      <w:r>
        <w:rPr/>
        <w:t>（公司</w:t>
      </w:r>
      <w:r>
        <w:rPr>
          <w:spacing w:val="-49"/>
        </w:rPr>
        <w:t> </w:t>
      </w:r>
      <w:r>
        <w:rPr>
          <w:rFonts w:ascii="宋体" w:hAnsi="宋体" w:cs="宋体" w:eastAsia="宋体" w:hint="default"/>
        </w:rPr>
        <w:t>2011</w:t>
      </w:r>
    </w:p>
    <w:p>
      <w:pPr>
        <w:spacing w:after="0" w:line="240" w:lineRule="auto"/>
        <w:jc w:val="left"/>
        <w:rPr>
          <w:rFonts w:ascii="宋体" w:hAnsi="宋体" w:cs="宋体" w:eastAsia="宋体" w:hint="default"/>
        </w:rPr>
        <w:sectPr>
          <w:pgSz w:w="11910" w:h="16840"/>
          <w:pgMar w:header="0" w:footer="1227" w:top="1100" w:bottom="1420" w:left="980" w:right="980"/>
        </w:sectPr>
      </w:pPr>
    </w:p>
    <w:p>
      <w:pPr>
        <w:spacing w:line="240" w:lineRule="auto" w:before="11"/>
        <w:rPr>
          <w:rFonts w:ascii="宋体" w:hAnsi="宋体" w:cs="宋体" w:eastAsia="宋体" w:hint="default"/>
          <w:sz w:val="21"/>
          <w:szCs w:val="21"/>
        </w:rPr>
      </w:pPr>
    </w:p>
    <w:p>
      <w:pPr>
        <w:pStyle w:val="BodyText"/>
        <w:spacing w:line="360" w:lineRule="auto" w:before="44"/>
        <w:ind w:right="5454"/>
        <w:jc w:val="left"/>
      </w:pPr>
      <w:r>
        <w:rPr/>
        <w:t>年签订合同</w:t>
      </w:r>
      <w:r>
        <w:rPr>
          <w:spacing w:val="-47"/>
        </w:rPr>
        <w:t> </w:t>
      </w:r>
      <w:r>
        <w:rPr>
          <w:rFonts w:ascii="宋体" w:hAnsi="宋体" w:cs="宋体" w:eastAsia="宋体" w:hint="default"/>
        </w:rPr>
        <w:t>5,544</w:t>
      </w:r>
      <w:r>
        <w:rPr>
          <w:rFonts w:ascii="宋体" w:hAnsi="宋体" w:cs="宋体" w:eastAsia="宋体" w:hint="default"/>
          <w:spacing w:val="-46"/>
        </w:rPr>
        <w:t> </w:t>
      </w:r>
      <w:r>
        <w:rPr/>
        <w:t>份，合同总金额</w:t>
      </w:r>
      <w:r>
        <w:rPr>
          <w:spacing w:val="-47"/>
        </w:rPr>
        <w:t> </w:t>
      </w:r>
      <w:r>
        <w:rPr>
          <w:rFonts w:ascii="宋体" w:hAnsi="宋体" w:cs="宋体" w:eastAsia="宋体" w:hint="default"/>
        </w:rPr>
        <w:t>37,726.99</w:t>
      </w:r>
      <w:r>
        <w:rPr>
          <w:rFonts w:ascii="宋体" w:hAnsi="宋体" w:cs="宋体" w:eastAsia="宋体" w:hint="default"/>
          <w:spacing w:val="-46"/>
        </w:rPr>
        <w:t> </w:t>
      </w:r>
      <w:r>
        <w:rPr/>
        <w:t>万元）。 公司报告期内产品或服务发生重大变化或调整有关情况</w:t>
      </w:r>
    </w:p>
    <w:p>
      <w:pPr>
        <w:pStyle w:val="BodyText"/>
        <w:spacing w:line="240" w:lineRule="auto" w:before="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5"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170,434,782.40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90.18%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6" w:right="0"/>
              <w:jc w:val="left"/>
              <w:rPr>
                <w:rFonts w:ascii="Times New Roman" w:hAnsi="Times New Roman" w:cs="Times New Roman" w:eastAsia="Times New Roman" w:hint="default"/>
                <w:sz w:val="18"/>
                <w:szCs w:val="18"/>
              </w:rPr>
            </w:pPr>
            <w:r>
              <w:rPr>
                <w:rFonts w:ascii="Times New Roman"/>
                <w:sz w:val="18"/>
              </w:rPr>
              <w:t>119,755,571.56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90.41%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42.32%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63,689,910.59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49,022,257.86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29.92%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营业收入增加，相关销售费用增加</w:t>
            </w:r>
          </w:p>
        </w:tc>
      </w:tr>
      <w:tr>
        <w:trPr>
          <w:trHeight w:val="163"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57,491,489.41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38,408,012.10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49.69%</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3"/>
              <w:jc w:val="left"/>
              <w:rPr>
                <w:rFonts w:ascii="宋体" w:hAnsi="宋体" w:cs="宋体" w:eastAsia="宋体" w:hint="default"/>
                <w:sz w:val="18"/>
                <w:szCs w:val="18"/>
              </w:rPr>
            </w:pPr>
            <w:r>
              <w:rPr>
                <w:rFonts w:ascii="宋体" w:hAnsi="宋体" w:cs="宋体" w:eastAsia="宋体" w:hint="default"/>
                <w:sz w:val="18"/>
                <w:szCs w:val="18"/>
              </w:rPr>
              <w:t>本年人工福利费用增加，办公费用、 研发费用增加</w:t>
            </w:r>
          </w:p>
        </w:tc>
      </w:tr>
      <w:tr>
        <w:trPr>
          <w:trHeight w:val="391"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00" w:right="0"/>
              <w:jc w:val="left"/>
              <w:rPr>
                <w:rFonts w:ascii="Times New Roman" w:hAnsi="Times New Roman" w:cs="Times New Roman" w:eastAsia="Times New Roman" w:hint="default"/>
                <w:sz w:val="18"/>
                <w:szCs w:val="18"/>
              </w:rPr>
            </w:pPr>
            <w:r>
              <w:rPr>
                <w:rFonts w:ascii="Times New Roman"/>
                <w:sz w:val="18"/>
              </w:rPr>
              <w:t>-23,194,461.52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-22,022,570.81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565" w:right="0"/>
              <w:jc w:val="left"/>
              <w:rPr>
                <w:rFonts w:ascii="Times New Roman" w:hAnsi="Times New Roman" w:cs="Times New Roman" w:eastAsia="Times New Roman" w:hint="default"/>
                <w:sz w:val="18"/>
                <w:szCs w:val="18"/>
              </w:rPr>
            </w:pPr>
            <w:r>
              <w:rPr>
                <w:rFonts w:ascii="Times New Roman"/>
                <w:sz w:val="18"/>
              </w:rPr>
              <w:t>11,410,219.57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6,065,013.35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88.13%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本年利润增加，所得税费用增加</w:t>
            </w:r>
          </w:p>
        </w:tc>
      </w:tr>
    </w:tbl>
    <w:p>
      <w:pPr>
        <w:spacing w:line="240" w:lineRule="auto" w:before="2"/>
        <w:rPr>
          <w:rFonts w:ascii="宋体" w:hAnsi="宋体" w:cs="宋体" w:eastAsia="宋体" w:hint="default"/>
          <w:sz w:val="20"/>
          <w:szCs w:val="20"/>
        </w:rPr>
      </w:pPr>
    </w:p>
    <w:p>
      <w:pPr>
        <w:pStyle w:val="BodyText"/>
        <w:spacing w:line="307" w:lineRule="auto" w:before="44"/>
        <w:ind w:right="149" w:firstLine="360"/>
        <w:jc w:val="both"/>
      </w:pPr>
      <w:r>
        <w:rPr/>
        <w:t>总体而言</w:t>
      </w:r>
      <w:r>
        <w:rPr>
          <w:rFonts w:ascii="Times New Roman" w:hAnsi="Times New Roman" w:cs="Times New Roman" w:eastAsia="Times New Roman" w:hint="default"/>
        </w:rPr>
        <w:t>,</w:t>
      </w:r>
      <w:r>
        <w:rPr/>
        <w:t>报告期内公司销售费用、管理费用合计 </w:t>
      </w:r>
      <w:r>
        <w:rPr>
          <w:rFonts w:ascii="Times New Roman" w:hAnsi="Times New Roman" w:cs="Times New Roman" w:eastAsia="Times New Roman" w:hint="default"/>
        </w:rPr>
        <w:t>12,118.14 </w:t>
      </w:r>
      <w:r>
        <w:rPr/>
        <w:t>万元</w:t>
      </w:r>
      <w:r>
        <w:rPr>
          <w:rFonts w:ascii="Times New Roman" w:hAnsi="Times New Roman" w:cs="Times New Roman" w:eastAsia="Times New Roman" w:hint="default"/>
        </w:rPr>
        <w:t>,</w:t>
      </w:r>
      <w:r>
        <w:rPr/>
        <w:t>比去年同期增长</w:t>
      </w:r>
      <w:r>
        <w:rPr>
          <w:spacing w:val="64"/>
        </w:rPr>
        <w:t> </w:t>
      </w:r>
      <w:r>
        <w:rPr>
          <w:rFonts w:ascii="Times New Roman" w:hAnsi="Times New Roman" w:cs="Times New Roman" w:eastAsia="Times New Roman" w:hint="default"/>
        </w:rPr>
        <w:t>38.60%</w:t>
      </w:r>
      <w:r>
        <w:rPr/>
        <w:t>，低于主营业务收入的增幅 </w:t>
      </w:r>
      <w:r>
        <w:rPr>
          <w:rFonts w:ascii="Times New Roman" w:hAnsi="Times New Roman" w:cs="Times New Roman" w:eastAsia="Times New Roman" w:hint="default"/>
        </w:rPr>
        <w:t>4.9%</w:t>
      </w:r>
      <w:r>
        <w:rPr/>
        <w:t>。报告期内，公司销售费用比去年同期增长</w:t>
      </w:r>
      <w:r>
        <w:rPr>
          <w:spacing w:val="-50"/>
        </w:rPr>
        <w:t> </w:t>
      </w:r>
      <w:r>
        <w:rPr>
          <w:rFonts w:ascii="宋体" w:hAnsi="宋体" w:cs="宋体" w:eastAsia="宋体" w:hint="default"/>
        </w:rPr>
        <w:t>29.92%,</w:t>
      </w:r>
      <w:r>
        <w:rPr/>
        <w:t>低于主营业务收入的增幅</w:t>
      </w:r>
      <w:r>
        <w:rPr>
          <w:spacing w:val="-50"/>
        </w:rPr>
        <w:t> </w:t>
      </w:r>
      <w:r>
        <w:rPr>
          <w:rFonts w:ascii="宋体" w:hAnsi="宋体" w:cs="宋体" w:eastAsia="宋体" w:hint="default"/>
        </w:rPr>
        <w:t>13.58%</w:t>
      </w:r>
      <w:r>
        <w:rPr/>
        <w:t>，得益于</w:t>
      </w:r>
      <w:r>
        <w:rPr>
          <w:spacing w:val="-49"/>
        </w:rPr>
        <w:t> </w:t>
      </w:r>
      <w:r>
        <w:rPr>
          <w:rFonts w:ascii="宋体" w:hAnsi="宋体" w:cs="宋体" w:eastAsia="宋体" w:hint="default"/>
        </w:rPr>
        <w:t>2012</w:t>
      </w:r>
      <w:r>
        <w:rPr>
          <w:rFonts w:ascii="宋体" w:hAnsi="宋体" w:cs="宋体" w:eastAsia="宋体" w:hint="default"/>
          <w:spacing w:val="-48"/>
        </w:rPr>
        <w:t> </w:t>
      </w:r>
      <w:r>
        <w:rPr/>
        <w:t>年营销服务网点的 进一步建设和深耕，逐步发挥了公司营销渠道的优势，</w:t>
      </w:r>
      <w:r>
        <w:rPr>
          <w:spacing w:val="-29"/>
        </w:rPr>
        <w:t> </w:t>
      </w:r>
      <w:r>
        <w:rPr>
          <w:rFonts w:ascii="宋体" w:hAnsi="宋体" w:cs="宋体" w:eastAsia="宋体" w:hint="default"/>
        </w:rPr>
        <w:t>2013</w:t>
      </w:r>
      <w:r>
        <w:rPr>
          <w:rFonts w:ascii="宋体" w:hAnsi="宋体" w:cs="宋体" w:eastAsia="宋体" w:hint="default"/>
          <w:spacing w:val="-55"/>
        </w:rPr>
        <w:t> </w:t>
      </w:r>
      <w:r>
        <w:rPr/>
        <w:t>年随着公司营销服务网点建设的逐步完工，将会充分发挥公司 营销渠道的优势，销售费用率的增长将会趋于平稳。</w:t>
      </w:r>
    </w:p>
    <w:p>
      <w:pPr>
        <w:spacing w:line="240" w:lineRule="auto" w:before="12"/>
        <w:rPr>
          <w:rFonts w:ascii="宋体" w:hAnsi="宋体" w:cs="宋体" w:eastAsia="宋体" w:hint="default"/>
          <w:sz w:val="24"/>
          <w:szCs w:val="24"/>
        </w:rPr>
      </w:pPr>
    </w:p>
    <w:p>
      <w:pPr>
        <w:pStyle w:val="BodyText"/>
        <w:spacing w:line="316" w:lineRule="auto"/>
        <w:ind w:right="148" w:firstLine="360"/>
        <w:jc w:val="both"/>
      </w:pPr>
      <w:r>
        <w:rPr/>
        <w:t>报告期内</w:t>
      </w:r>
      <w:r>
        <w:rPr>
          <w:rFonts w:ascii="宋体" w:hAnsi="宋体" w:cs="宋体" w:eastAsia="宋体" w:hint="default"/>
        </w:rPr>
        <w:t>,</w:t>
      </w:r>
      <w:r>
        <w:rPr/>
        <w:t>公司管理费用比去年同期增长</w:t>
      </w:r>
      <w:r>
        <w:rPr>
          <w:spacing w:val="-42"/>
        </w:rPr>
        <w:t> </w:t>
      </w:r>
      <w:r>
        <w:rPr>
          <w:rFonts w:ascii="宋体" w:hAnsi="宋体" w:cs="宋体" w:eastAsia="宋体" w:hint="default"/>
        </w:rPr>
        <w:t>49.69%,</w:t>
      </w:r>
      <w:r>
        <w:rPr/>
        <w:t>主要原因是人工福利费比去年同期增长</w:t>
      </w:r>
      <w:r>
        <w:rPr>
          <w:spacing w:val="-43"/>
        </w:rPr>
        <w:t> </w:t>
      </w:r>
      <w:r>
        <w:rPr>
          <w:rFonts w:ascii="宋体" w:hAnsi="宋体" w:cs="宋体" w:eastAsia="宋体" w:hint="default"/>
        </w:rPr>
        <w:t>49.03%</w:t>
      </w:r>
      <w:r>
        <w:rPr/>
        <w:t>；研究开发费比去年同 期增长</w:t>
      </w:r>
      <w:r>
        <w:rPr>
          <w:spacing w:val="-31"/>
        </w:rPr>
        <w:t> </w:t>
      </w:r>
      <w:r>
        <w:rPr>
          <w:rFonts w:ascii="宋体" w:hAnsi="宋体" w:cs="宋体" w:eastAsia="宋体" w:hint="default"/>
        </w:rPr>
        <w:t>59.20%</w:t>
      </w:r>
      <w:r>
        <w:rPr/>
        <w:t>；办公费用比去年同期增长</w:t>
      </w:r>
      <w:r>
        <w:rPr>
          <w:spacing w:val="-31"/>
        </w:rPr>
        <w:t> </w:t>
      </w:r>
      <w:r>
        <w:rPr>
          <w:rFonts w:ascii="宋体" w:hAnsi="宋体" w:cs="宋体" w:eastAsia="宋体" w:hint="default"/>
        </w:rPr>
        <w:t>107.15%</w:t>
      </w:r>
      <w:r>
        <w:rPr/>
        <w:t>。</w:t>
      </w:r>
      <w:r>
        <w:rPr>
          <w:rFonts w:ascii="宋体" w:hAnsi="宋体" w:cs="宋体" w:eastAsia="宋体" w:hint="default"/>
        </w:rPr>
        <w:t>2013</w:t>
      </w:r>
      <w:r>
        <w:rPr>
          <w:rFonts w:ascii="宋体" w:hAnsi="宋体" w:cs="宋体" w:eastAsia="宋体" w:hint="default"/>
          <w:spacing w:val="-30"/>
        </w:rPr>
        <w:t> </w:t>
      </w:r>
      <w:r>
        <w:rPr/>
        <w:t>年，在保障员工工作积极性的前提下，公司将合理控制员工薪酬 的增长幅度；同时为提升核心竞争力，公司将持续加大在技术研发方面的投入，更好地为公司发展提供技术支撑。</w:t>
      </w:r>
    </w:p>
    <w:p>
      <w:pPr>
        <w:spacing w:line="240" w:lineRule="auto" w:before="5"/>
        <w:rPr>
          <w:rFonts w:ascii="宋体" w:hAnsi="宋体" w:cs="宋体" w:eastAsia="宋体" w:hint="default"/>
          <w:sz w:val="24"/>
          <w:szCs w:val="24"/>
        </w:rPr>
      </w:pPr>
    </w:p>
    <w:p>
      <w:pPr>
        <w:pStyle w:val="BodyText"/>
        <w:spacing w:line="309" w:lineRule="auto"/>
        <w:ind w:right="148" w:firstLine="360"/>
        <w:jc w:val="both"/>
      </w:pPr>
      <w:r>
        <w:rPr>
          <w:spacing w:val="-2"/>
        </w:rPr>
        <w:t>报告期内，公司财务费用主要为募集资金利息收入，未来随着募投项目建设的不断推进和超募资金的逐步使用，募集资</w:t>
      </w:r>
      <w:r>
        <w:rPr/>
        <w:t> </w:t>
      </w:r>
      <w:r>
        <w:rPr>
          <w:spacing w:val="-2"/>
        </w:rPr>
        <w:t>金产生的利息收入将逐步下降，而公司净利润将呈现持续稳定增长的态势，预计在未来</w:t>
      </w:r>
      <w:r>
        <w:rPr>
          <w:spacing w:val="-32"/>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spacing w:val="-2"/>
        </w:rPr>
        <w:t>年内，募集资金利息收入对公司净</w:t>
      </w:r>
      <w:r>
        <w:rPr>
          <w:spacing w:val="-88"/>
        </w:rPr>
        <w:t> </w:t>
      </w:r>
      <w:r>
        <w:rPr>
          <w:spacing w:val="-88"/>
        </w:rPr>
      </w:r>
      <w:r>
        <w:rPr/>
        <w:t>利润的影响将呈下降趋势。</w:t>
      </w:r>
    </w:p>
    <w:p>
      <w:pPr>
        <w:pStyle w:val="BodyText"/>
        <w:spacing w:line="240" w:lineRule="auto" w:before="65"/>
        <w:ind w:left="513" w:right="0"/>
        <w:jc w:val="left"/>
      </w:pPr>
      <w:r>
        <w:rPr/>
        <w:t>报告期内，所得税费用比去年同期增长</w:t>
      </w:r>
      <w:r>
        <w:rPr>
          <w:spacing w:val="-46"/>
        </w:rPr>
        <w:t> </w:t>
      </w:r>
      <w:r>
        <w:rPr>
          <w:rFonts w:ascii="Times New Roman" w:hAnsi="Times New Roman" w:cs="Times New Roman" w:eastAsia="Times New Roman" w:hint="default"/>
        </w:rPr>
        <w:t>88.13%</w:t>
      </w:r>
      <w:r>
        <w:rPr/>
        <w:t>，主要原因是本年利润增加。</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）近三年公司研发投入金额及占营业收入的比例</w:t>
      </w:r>
      <w:r>
        <w:rPr>
          <w:b w:val="0"/>
          <w:bCs w:val="0"/>
        </w:rPr>
      </w:r>
    </w:p>
    <w:p>
      <w:pPr>
        <w:spacing w:line="240" w:lineRule="auto" w:before="4"/>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1325" w:right="0"/>
              <w:jc w:val="left"/>
              <w:rPr>
                <w:rFonts w:ascii="Times New Roman" w:hAnsi="Times New Roman" w:cs="Times New Roman" w:eastAsia="Times New Roman" w:hint="default"/>
                <w:sz w:val="18"/>
                <w:szCs w:val="18"/>
              </w:rPr>
            </w:pPr>
            <w:r>
              <w:rPr>
                <w:rFonts w:ascii="Times New Roman"/>
                <w:sz w:val="18"/>
              </w:rPr>
              <w:t>24,649,802.41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25" w:right="0"/>
              <w:jc w:val="left"/>
              <w:rPr>
                <w:rFonts w:ascii="Times New Roman" w:hAnsi="Times New Roman" w:cs="Times New Roman" w:eastAsia="Times New Roman" w:hint="default"/>
                <w:sz w:val="18"/>
                <w:szCs w:val="18"/>
              </w:rPr>
            </w:pPr>
            <w:r>
              <w:rPr>
                <w:rFonts w:ascii="Times New Roman"/>
                <w:sz w:val="18"/>
              </w:rPr>
              <w:t>15,483,732.20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25" w:right="0"/>
              <w:jc w:val="left"/>
              <w:rPr>
                <w:rFonts w:ascii="Times New Roman" w:hAnsi="Times New Roman" w:cs="Times New Roman" w:eastAsia="Times New Roman" w:hint="default"/>
                <w:sz w:val="18"/>
                <w:szCs w:val="18"/>
              </w:rPr>
            </w:pPr>
            <w:r>
              <w:rPr>
                <w:rFonts w:ascii="Times New Roman"/>
                <w:sz w:val="18"/>
              </w:rPr>
              <w:t>14,670,392.70</w:t>
            </w:r>
          </w:p>
        </w:tc>
      </w:tr>
    </w:tbl>
    <w:p>
      <w:pPr>
        <w:spacing w:after="0" w:line="240" w:lineRule="auto"/>
        <w:jc w:val="left"/>
        <w:rPr>
          <w:rFonts w:ascii="Times New Roman" w:hAnsi="Times New Roman" w:cs="Times New Roman" w:eastAsia="Times New Roman" w:hint="default"/>
          <w:sz w:val="18"/>
          <w:szCs w:val="18"/>
        </w:rPr>
        <w:sectPr>
          <w:pgSz w:w="11910" w:h="16840"/>
          <w:pgMar w:header="0" w:footer="1227" w:top="1100" w:bottom="1420" w:left="980" w:right="980"/>
        </w:sectPr>
      </w:pPr>
    </w:p>
    <w:p>
      <w:pPr>
        <w:spacing w:line="240" w:lineRule="auto" w:before="8"/>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2404"/>
        <w:gridCol w:w="2379"/>
        <w:gridCol w:w="2393"/>
        <w:gridCol w:w="2393"/>
      </w:tblGrid>
      <w:tr>
        <w:trPr>
          <w:trHeight w:val="404" w:hRule="exact"/>
        </w:trPr>
        <w:tc>
          <w:tcPr>
            <w:tcW w:w="2404"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研发投入占营业收入比例（</w:t>
            </w:r>
            <w:r>
              <w:rPr>
                <w:rFonts w:ascii="Times New Roman" w:hAnsi="Times New Roman" w:cs="Times New Roman" w:eastAsia="Times New Roman" w:hint="default"/>
                <w:spacing w:val="-5"/>
                <w:sz w:val="18"/>
                <w:szCs w:val="18"/>
              </w:rPr>
              <w:t>%</w:t>
            </w:r>
          </w:p>
        </w:tc>
        <w:tc>
          <w:tcPr>
            <w:tcW w:w="2379" w:type="dxa"/>
            <w:tcBorders>
              <w:top w:val="single" w:sz="4" w:space="0" w:color="000000"/>
              <w:left w:val="single" w:sz="10" w:space="0" w:color="FFFFFF"/>
              <w:bottom w:val="single" w:sz="4" w:space="0" w:color="000000"/>
              <w:right w:val="single" w:sz="4" w:space="0" w:color="000000"/>
            </w:tcBorders>
          </w:tcPr>
          <w:p>
            <w:pPr>
              <w:pStyle w:val="TableParagraph"/>
              <w:tabs>
                <w:tab w:pos="1874" w:val="left" w:leader="none"/>
              </w:tabs>
              <w:spacing w:line="240" w:lineRule="auto" w:before="49"/>
              <w:ind w:left="-1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6.79%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6.03%</w:t>
            </w:r>
          </w:p>
        </w:tc>
      </w:tr>
    </w:tbl>
    <w:p>
      <w:pPr>
        <w:spacing w:line="240" w:lineRule="auto" w:before="2"/>
        <w:rPr>
          <w:rFonts w:ascii="宋体" w:hAnsi="宋体" w:cs="宋体" w:eastAsia="宋体" w:hint="default"/>
          <w:b/>
          <w:bCs/>
          <w:sz w:val="20"/>
          <w:szCs w:val="20"/>
        </w:rPr>
      </w:pPr>
    </w:p>
    <w:p>
      <w:pPr>
        <w:pStyle w:val="Heading5"/>
        <w:spacing w:line="240" w:lineRule="auto" w:before="44"/>
        <w:ind w:right="0"/>
        <w:jc w:val="left"/>
        <w:rPr>
          <w:b w:val="0"/>
          <w:bCs w:val="0"/>
        </w:rPr>
      </w:pPr>
      <w:r>
        <w:rPr/>
        <w:pict>
          <v:group style="position:absolute;margin-left:177.740005pt;margin-top:-33.392254pt;width:116.8pt;height:19.6pt;mso-position-horizontal-relative:page;mso-position-vertical-relative:paragraph;z-index:-760240" coordorigin="3555,-668" coordsize="2336,392">
            <v:shape style="position:absolute;left:3555;top:-668;width:2336;height:392" coordorigin="3555,-668" coordsize="2336,392" path="m3555,-276l5890,-276,5890,-668,3555,-668,3555,-276xe" filled="true" fillcolor="#ffffff" stroked="false">
              <v:path arrowok="t"/>
              <v:fill type="solid"/>
            </v:shape>
            <w10:wrap type="none"/>
          </v:group>
        </w:pict>
      </w:r>
      <w:r>
        <w:rPr/>
        <w:t>（</w:t>
      </w:r>
      <w:r>
        <w:rPr>
          <w:rFonts w:ascii="Times New Roman" w:hAnsi="Times New Roman" w:cs="Times New Roman" w:eastAsia="Times New Roman" w:hint="default"/>
        </w:rPr>
        <w:t>2</w:t>
      </w:r>
      <w:r>
        <w:rPr/>
        <w:t>）公司取得的荣誉资质情况</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right="0"/>
        <w:jc w:val="left"/>
      </w:pPr>
      <w:r>
        <w:rPr>
          <w:rFonts w:ascii="Times New Roman" w:hAnsi="Times New Roman" w:cs="Times New Roman" w:eastAsia="Times New Roman" w:hint="default"/>
        </w:rPr>
        <w:t>2012</w:t>
      </w:r>
      <w:r>
        <w:rPr/>
        <w:t>年，公司在技术研发领域获得诸多荣誉：</w:t>
      </w:r>
    </w:p>
    <w:p>
      <w:pPr>
        <w:spacing w:line="240" w:lineRule="auto" w:before="5"/>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708"/>
        <w:gridCol w:w="3970"/>
        <w:gridCol w:w="2410"/>
        <w:gridCol w:w="1419"/>
        <w:gridCol w:w="1133"/>
      </w:tblGrid>
      <w:tr>
        <w:trPr>
          <w:trHeight w:val="329" w:hRule="exact"/>
        </w:trPr>
        <w:tc>
          <w:tcPr>
            <w:tcW w:w="70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
              <w:ind w:left="7"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9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
              <w:ind w:left="1" w:right="0"/>
              <w:jc w:val="center"/>
              <w:rPr>
                <w:rFonts w:ascii="宋体" w:hAnsi="宋体" w:cs="宋体" w:eastAsia="宋体" w:hint="default"/>
                <w:sz w:val="18"/>
                <w:szCs w:val="18"/>
              </w:rPr>
            </w:pPr>
            <w:r>
              <w:rPr>
                <w:rFonts w:ascii="宋体" w:hAnsi="宋体" w:cs="宋体" w:eastAsia="宋体" w:hint="default"/>
                <w:b/>
                <w:bCs/>
                <w:sz w:val="18"/>
                <w:szCs w:val="18"/>
              </w:rPr>
              <w:t>资质名称</w:t>
            </w:r>
            <w:r>
              <w:rPr>
                <w:rFonts w:ascii="宋体" w:hAnsi="宋体" w:cs="宋体" w:eastAsia="宋体" w:hint="default"/>
                <w:sz w:val="18"/>
                <w:szCs w:val="18"/>
              </w:rPr>
            </w:r>
          </w:p>
        </w:tc>
        <w:tc>
          <w:tcPr>
            <w:tcW w:w="24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b/>
                <w:bCs/>
                <w:sz w:val="18"/>
                <w:szCs w:val="18"/>
              </w:rPr>
              <w:t>组织单位</w:t>
            </w:r>
            <w:r>
              <w:rPr>
                <w:rFonts w:ascii="宋体" w:hAnsi="宋体" w:cs="宋体" w:eastAsia="宋体" w:hint="default"/>
                <w:sz w:val="18"/>
                <w:szCs w:val="18"/>
              </w:rPr>
            </w:r>
          </w:p>
        </w:tc>
        <w:tc>
          <w:tcPr>
            <w:tcW w:w="141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b/>
                <w:bCs/>
                <w:sz w:val="18"/>
                <w:szCs w:val="18"/>
              </w:rPr>
              <w:t>认定时间</w:t>
            </w:r>
            <w:r>
              <w:rPr>
                <w:rFonts w:ascii="宋体" w:hAnsi="宋体" w:cs="宋体" w:eastAsia="宋体" w:hint="default"/>
                <w:sz w:val="18"/>
                <w:szCs w:val="18"/>
              </w:rPr>
            </w:r>
          </w:p>
        </w:tc>
        <w:tc>
          <w:tcPr>
            <w:tcW w:w="11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b/>
                <w:bCs/>
                <w:sz w:val="18"/>
                <w:szCs w:val="18"/>
              </w:rPr>
              <w:t>所属主体</w:t>
            </w:r>
            <w:r>
              <w:rPr>
                <w:rFonts w:ascii="宋体" w:hAnsi="宋体" w:cs="宋体" w:eastAsia="宋体" w:hint="default"/>
                <w:sz w:val="18"/>
                <w:szCs w:val="18"/>
              </w:rPr>
            </w:r>
          </w:p>
        </w:tc>
      </w:tr>
      <w:tr>
        <w:trPr>
          <w:trHeight w:val="348" w:hRule="exact"/>
        </w:trPr>
        <w:tc>
          <w:tcPr>
            <w:tcW w:w="70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1</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hyperlink r:id="rId16">
              <w:r>
                <w:rPr>
                  <w:rFonts w:ascii="宋体" w:hAnsi="宋体" w:cs="宋体" w:eastAsia="宋体" w:hint="default"/>
                  <w:sz w:val="18"/>
                  <w:szCs w:val="18"/>
                </w:rPr>
                <w:t>2011</w:t>
              </w:r>
              <w:r>
                <w:rPr>
                  <w:rFonts w:ascii="宋体" w:hAnsi="宋体" w:cs="宋体" w:eastAsia="宋体" w:hint="default"/>
                  <w:sz w:val="18"/>
                  <w:szCs w:val="18"/>
                </w:rPr>
                <w:t>年广州市市级企业技术中心</w:t>
              </w:r>
            </w:hyperlink>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广州市经贸委</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6"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hyperlink r:id="rId16">
              <w:r>
                <w:rPr>
                  <w:rFonts w:ascii="宋体" w:hAnsi="宋体" w:cs="宋体" w:eastAsia="宋体" w:hint="default"/>
                  <w:sz w:val="18"/>
                  <w:szCs w:val="18"/>
                </w:rPr>
                <w:t>广州市创新型试点企业</w:t>
              </w:r>
            </w:hyperlink>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广州市科技兴市领导小组</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3</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hyperlink r:id="rId16">
              <w:r>
                <w:rPr>
                  <w:rFonts w:ascii="宋体" w:hAnsi="宋体" w:cs="宋体" w:eastAsia="宋体" w:hint="default"/>
                  <w:sz w:val="18"/>
                  <w:szCs w:val="18"/>
                </w:rPr>
                <w:t>广东省高新技术产品证书</w:t>
              </w:r>
              <w:r>
                <w:rPr>
                  <w:rFonts w:ascii="宋体" w:hAnsi="宋体" w:cs="宋体" w:eastAsia="宋体" w:hint="default"/>
                  <w:sz w:val="18"/>
                  <w:szCs w:val="18"/>
                </w:rPr>
                <w:t>-</w:t>
              </w:r>
              <w:r>
                <w:rPr>
                  <w:rFonts w:ascii="宋体" w:hAnsi="宋体" w:cs="宋体" w:eastAsia="宋体" w:hint="default"/>
                  <w:sz w:val="18"/>
                  <w:szCs w:val="18"/>
                </w:rPr>
                <w:t>安居宝分机系统</w:t>
              </w:r>
            </w:hyperlink>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广东省科学技术厅</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4</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hyperlink r:id="rId16">
              <w:r>
                <w:rPr>
                  <w:rFonts w:ascii="宋体" w:hAnsi="宋体" w:cs="宋体" w:eastAsia="宋体" w:hint="default"/>
                  <w:sz w:val="18"/>
                  <w:szCs w:val="18"/>
                </w:rPr>
                <w:t>广东省高新技术产品证书</w:t>
              </w:r>
              <w:r>
                <w:rPr>
                  <w:rFonts w:ascii="宋体" w:hAnsi="宋体" w:cs="宋体" w:eastAsia="宋体" w:hint="default"/>
                  <w:sz w:val="18"/>
                  <w:szCs w:val="18"/>
                </w:rPr>
                <w:t>-</w:t>
              </w:r>
              <w:r>
                <w:rPr>
                  <w:rFonts w:ascii="宋体" w:hAnsi="宋体" w:cs="宋体" w:eastAsia="宋体" w:hint="default"/>
                  <w:sz w:val="18"/>
                  <w:szCs w:val="18"/>
                </w:rPr>
                <w:t>安居宝管理机系统</w:t>
              </w:r>
            </w:hyperlink>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广东省科学技术厅</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6"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5</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hyperlink r:id="rId16">
              <w:r>
                <w:rPr>
                  <w:rFonts w:ascii="宋体" w:hAnsi="宋体" w:cs="宋体" w:eastAsia="宋体" w:hint="default"/>
                  <w:sz w:val="18"/>
                  <w:szCs w:val="18"/>
                </w:rPr>
                <w:t>广东省高新技术产品证书</w:t>
              </w:r>
              <w:r>
                <w:rPr>
                  <w:rFonts w:ascii="宋体" w:hAnsi="宋体" w:cs="宋体" w:eastAsia="宋体" w:hint="default"/>
                  <w:sz w:val="18"/>
                  <w:szCs w:val="18"/>
                </w:rPr>
                <w:t>-</w:t>
              </w:r>
              <w:r>
                <w:rPr>
                  <w:rFonts w:ascii="宋体" w:hAnsi="宋体" w:cs="宋体" w:eastAsia="宋体" w:hint="default"/>
                  <w:sz w:val="18"/>
                  <w:szCs w:val="18"/>
                </w:rPr>
                <w:t>安居宝智能终端系统</w:t>
              </w:r>
            </w:hyperlink>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广东省科学技术厅</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6</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hyperlink r:id="rId16">
              <w:r>
                <w:rPr>
                  <w:rFonts w:ascii="宋体" w:hAnsi="宋体" w:cs="宋体" w:eastAsia="宋体" w:hint="default"/>
                  <w:sz w:val="18"/>
                  <w:szCs w:val="18"/>
                </w:rPr>
                <w:t>广州市社区安防工程技术研究开发中心</w:t>
              </w:r>
            </w:hyperlink>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广州市科信局</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6"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7</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广州市创新型企业</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广州市科信局</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8</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广州市民营企业地方经济社会贡献优秀企业</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广州市民营经济发展服务局</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bl>
    <w:p>
      <w:pPr>
        <w:spacing w:line="240" w:lineRule="auto" w:before="2"/>
        <w:rPr>
          <w:rFonts w:ascii="宋体" w:hAnsi="宋体" w:cs="宋体" w:eastAsia="宋体" w:hint="default"/>
          <w:sz w:val="20"/>
          <w:szCs w:val="20"/>
        </w:rPr>
      </w:pPr>
    </w:p>
    <w:p>
      <w:pPr>
        <w:pStyle w:val="Heading5"/>
        <w:spacing w:line="240" w:lineRule="auto" w:before="44"/>
        <w:ind w:right="0"/>
        <w:jc w:val="left"/>
        <w:rPr>
          <w:b w:val="0"/>
          <w:bCs w:val="0"/>
        </w:rPr>
      </w:pPr>
      <w:r>
        <w:rPr/>
        <w:t>（</w:t>
      </w:r>
      <w:r>
        <w:rPr>
          <w:rFonts w:ascii="Times New Roman" w:hAnsi="Times New Roman" w:cs="Times New Roman" w:eastAsia="Times New Roman" w:hint="default"/>
        </w:rPr>
        <w:t>3</w:t>
      </w:r>
      <w:r>
        <w:rPr/>
        <w:t>）正在研发的主要项目情况</w:t>
      </w:r>
      <w:r>
        <w:rPr>
          <w:b w:val="0"/>
          <w:bCs w:val="0"/>
        </w:rPr>
      </w:r>
    </w:p>
    <w:p>
      <w:pPr>
        <w:spacing w:line="240" w:lineRule="auto" w:before="1"/>
        <w:rPr>
          <w:rFonts w:ascii="宋体" w:hAnsi="宋体" w:cs="宋体" w:eastAsia="宋体" w:hint="default"/>
          <w:b/>
          <w:bCs/>
          <w:sz w:val="27"/>
          <w:szCs w:val="27"/>
        </w:rPr>
      </w:pPr>
    </w:p>
    <w:tbl>
      <w:tblPr>
        <w:tblW w:w="0" w:type="auto"/>
        <w:jc w:val="left"/>
        <w:tblInd w:w="145" w:type="dxa"/>
        <w:tblLayout w:type="fixed"/>
        <w:tblCellMar>
          <w:top w:w="0" w:type="dxa"/>
          <w:left w:w="0" w:type="dxa"/>
          <w:bottom w:w="0" w:type="dxa"/>
          <w:right w:w="0" w:type="dxa"/>
        </w:tblCellMar>
        <w:tblLook w:val="01E0"/>
      </w:tblPr>
      <w:tblGrid>
        <w:gridCol w:w="675"/>
        <w:gridCol w:w="2269"/>
        <w:gridCol w:w="994"/>
        <w:gridCol w:w="5804"/>
      </w:tblGrid>
      <w:tr>
        <w:trPr>
          <w:trHeight w:val="348" w:hRule="exact"/>
        </w:trPr>
        <w:tc>
          <w:tcPr>
            <w:tcW w:w="6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2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29" w:right="0"/>
              <w:jc w:val="left"/>
              <w:rPr>
                <w:rFonts w:ascii="宋体" w:hAnsi="宋体" w:cs="宋体" w:eastAsia="宋体" w:hint="default"/>
                <w:sz w:val="18"/>
                <w:szCs w:val="18"/>
              </w:rPr>
            </w:pPr>
            <w:r>
              <w:rPr>
                <w:rFonts w:ascii="宋体" w:hAnsi="宋体" w:cs="宋体" w:eastAsia="宋体" w:hint="default"/>
                <w:sz w:val="18"/>
                <w:szCs w:val="18"/>
              </w:rPr>
              <w:t>进展情况</w:t>
            </w:r>
          </w:p>
        </w:tc>
        <w:tc>
          <w:tcPr>
            <w:tcW w:w="5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拟达到目标</w:t>
            </w:r>
          </w:p>
        </w:tc>
      </w:tr>
      <w:tr>
        <w:trPr>
          <w:trHeight w:val="346"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寸简化数字终端</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样机试制</w:t>
            </w:r>
          </w:p>
        </w:tc>
        <w:tc>
          <w:tcPr>
            <w:tcW w:w="5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作为数字对讲的主要性价比高的终端</w:t>
            </w:r>
          </w:p>
        </w:tc>
      </w:tr>
      <w:tr>
        <w:trPr>
          <w:trHeight w:val="348"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w:t>
            </w:r>
            <w:r>
              <w:rPr>
                <w:rFonts w:ascii="宋体" w:hAnsi="宋体" w:cs="宋体" w:eastAsia="宋体" w:hint="default"/>
                <w:sz w:val="18"/>
                <w:szCs w:val="18"/>
              </w:rPr>
              <w:t>寸数字终端</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样机试制</w:t>
            </w:r>
          </w:p>
        </w:tc>
        <w:tc>
          <w:tcPr>
            <w:tcW w:w="5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数字社区高端终端</w:t>
            </w:r>
          </w:p>
        </w:tc>
      </w:tr>
      <w:tr>
        <w:trPr>
          <w:trHeight w:val="346"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3</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A-BUS</w:t>
            </w:r>
            <w:r>
              <w:rPr>
                <w:rFonts w:ascii="宋体" w:hAnsi="宋体" w:cs="宋体" w:eastAsia="宋体" w:hint="default"/>
                <w:sz w:val="18"/>
                <w:szCs w:val="18"/>
              </w:rPr>
              <w:t>有线智能家居系统</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试产</w:t>
            </w:r>
          </w:p>
        </w:tc>
        <w:tc>
          <w:tcPr>
            <w:tcW w:w="5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家居智能化设备，可作为数字社区配套产品，也可独立用于酒店，公寓</w:t>
            </w:r>
          </w:p>
        </w:tc>
      </w:tr>
      <w:tr>
        <w:trPr>
          <w:trHeight w:val="348"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4</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网络摄像机</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样机试制</w:t>
            </w:r>
          </w:p>
        </w:tc>
        <w:tc>
          <w:tcPr>
            <w:tcW w:w="5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作为安防社区中监控产品</w:t>
            </w:r>
          </w:p>
        </w:tc>
      </w:tr>
      <w:tr>
        <w:trPr>
          <w:trHeight w:val="348"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5</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寸屏主机</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试产</w:t>
            </w:r>
          </w:p>
        </w:tc>
        <w:tc>
          <w:tcPr>
            <w:tcW w:w="5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高端模拟对讲产品主机</w:t>
            </w:r>
          </w:p>
        </w:tc>
      </w:tr>
    </w:tbl>
    <w:p>
      <w:pPr>
        <w:spacing w:line="240" w:lineRule="auto" w:before="2"/>
        <w:rPr>
          <w:rFonts w:ascii="宋体" w:hAnsi="宋体" w:cs="宋体" w:eastAsia="宋体" w:hint="default"/>
          <w:b/>
          <w:bCs/>
          <w:sz w:val="20"/>
          <w:szCs w:val="20"/>
        </w:rPr>
      </w:pPr>
    </w:p>
    <w:p>
      <w:pPr>
        <w:pStyle w:val="Heading5"/>
        <w:spacing w:line="240" w:lineRule="auto" w:before="44"/>
        <w:ind w:right="0"/>
        <w:jc w:val="left"/>
        <w:rPr>
          <w:b w:val="0"/>
          <w:bCs w:val="0"/>
        </w:rPr>
      </w:pPr>
      <w:r>
        <w:rPr/>
        <w:t>（</w:t>
      </w:r>
      <w:r>
        <w:rPr>
          <w:rFonts w:ascii="Times New Roman" w:hAnsi="Times New Roman" w:cs="Times New Roman" w:eastAsia="Times New Roman" w:hint="default"/>
        </w:rPr>
        <w:t>4</w:t>
      </w:r>
      <w:r>
        <w:rPr/>
        <w:t>）报告期内，公司未对研发支出进行资本化处理。</w:t>
      </w:r>
      <w:r>
        <w:rPr>
          <w:b w:val="0"/>
          <w:bCs w:val="0"/>
        </w:rPr>
      </w:r>
    </w:p>
    <w:p>
      <w:pPr>
        <w:spacing w:line="240" w:lineRule="auto" w:before="0"/>
        <w:rPr>
          <w:rFonts w:ascii="宋体" w:hAnsi="宋体" w:cs="宋体" w:eastAsia="宋体" w:hint="default"/>
          <w:b/>
          <w:bCs/>
          <w:sz w:val="18"/>
          <w:szCs w:val="18"/>
        </w:rPr>
      </w:pPr>
    </w:p>
    <w:p>
      <w:pPr>
        <w:pStyle w:val="Heading5"/>
        <w:spacing w:line="240" w:lineRule="auto" w:before="127"/>
        <w:ind w:right="0"/>
        <w:jc w:val="left"/>
        <w:rPr>
          <w:b w:val="0"/>
          <w:bCs w:val="0"/>
        </w:rPr>
      </w:pPr>
      <w:r>
        <w:rPr/>
        <w:t>（</w:t>
      </w:r>
      <w:r>
        <w:rPr>
          <w:rFonts w:ascii="Times New Roman" w:hAnsi="Times New Roman" w:cs="Times New Roman" w:eastAsia="Times New Roman" w:hint="default"/>
        </w:rPr>
        <w:t>5</w:t>
      </w:r>
      <w:r>
        <w:rPr/>
        <w:t>）专利情况</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27"/>
        <w:ind w:right="0" w:firstLine="360"/>
        <w:jc w:val="left"/>
      </w:pPr>
      <w:r>
        <w:rPr>
          <w:spacing w:val="-2"/>
        </w:rPr>
        <w:t>截止</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日，公司拥有专利权</w:t>
      </w:r>
      <w:r>
        <w:rPr>
          <w:rFonts w:ascii="Times New Roman" w:hAnsi="Times New Roman" w:cs="Times New Roman" w:eastAsia="Times New Roman" w:hint="default"/>
          <w:spacing w:val="-2"/>
        </w:rPr>
        <w:t>50</w:t>
      </w:r>
      <w:r>
        <w:rPr>
          <w:spacing w:val="-2"/>
        </w:rPr>
        <w:t>项，其中</w:t>
      </w:r>
      <w:r>
        <w:rPr>
          <w:rFonts w:ascii="Times New Roman" w:hAnsi="Times New Roman" w:cs="Times New Roman" w:eastAsia="Times New Roman" w:hint="default"/>
          <w:spacing w:val="-2"/>
        </w:rPr>
        <w:t>1</w:t>
      </w:r>
      <w:r>
        <w:rPr>
          <w:spacing w:val="-2"/>
        </w:rPr>
        <w:t>项为发明专利、</w:t>
      </w:r>
      <w:r>
        <w:rPr>
          <w:rFonts w:ascii="Times New Roman" w:hAnsi="Times New Roman" w:cs="Times New Roman" w:eastAsia="Times New Roman" w:hint="default"/>
          <w:spacing w:val="-2"/>
        </w:rPr>
        <w:t>2</w:t>
      </w:r>
      <w:r>
        <w:rPr>
          <w:spacing w:val="-2"/>
        </w:rPr>
        <w:t>项为实用新型专利、</w:t>
      </w:r>
      <w:r>
        <w:rPr>
          <w:rFonts w:ascii="Times New Roman" w:hAnsi="Times New Roman" w:cs="Times New Roman" w:eastAsia="Times New Roman" w:hint="default"/>
          <w:spacing w:val="-2"/>
        </w:rPr>
        <w:t>47</w:t>
      </w:r>
      <w:r>
        <w:rPr>
          <w:spacing w:val="-2"/>
        </w:rPr>
        <w:t>项外观设计专利。专利列表</w:t>
      </w:r>
      <w:r>
        <w:rPr/>
        <w:t> 如下：</w:t>
      </w:r>
    </w:p>
    <w:p>
      <w:pPr>
        <w:spacing w:line="240" w:lineRule="auto" w:before="9"/>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708"/>
        <w:gridCol w:w="2696"/>
        <w:gridCol w:w="1985"/>
        <w:gridCol w:w="1274"/>
        <w:gridCol w:w="1702"/>
        <w:gridCol w:w="1416"/>
      </w:tblGrid>
      <w:tr>
        <w:trPr>
          <w:trHeight w:val="427" w:hRule="exact"/>
        </w:trPr>
        <w:tc>
          <w:tcPr>
            <w:tcW w:w="7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6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2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b/>
                <w:bCs/>
                <w:sz w:val="18"/>
                <w:szCs w:val="18"/>
              </w:rPr>
              <w:t>专利期限</w:t>
            </w:r>
            <w:r>
              <w:rPr>
                <w:rFonts w:ascii="宋体" w:hAnsi="宋体" w:cs="宋体" w:eastAsia="宋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b/>
                <w:bCs/>
                <w:sz w:val="18"/>
                <w:szCs w:val="18"/>
              </w:rPr>
              <w:t>专利类型</w:t>
            </w:r>
            <w:r>
              <w:rPr>
                <w:rFonts w:ascii="宋体" w:hAnsi="宋体" w:cs="宋体" w:eastAsia="宋体" w:hint="default"/>
                <w:sz w:val="18"/>
                <w:szCs w:val="18"/>
              </w:rPr>
            </w:r>
          </w:p>
        </w:tc>
        <w:tc>
          <w:tcPr>
            <w:tcW w:w="14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b/>
                <w:bCs/>
                <w:sz w:val="18"/>
                <w:szCs w:val="18"/>
              </w:rPr>
              <w:t>所属主体</w:t>
            </w:r>
            <w:r>
              <w:rPr>
                <w:rFonts w:ascii="宋体" w:hAnsi="宋体" w:cs="宋体" w:eastAsia="宋体" w:hint="default"/>
                <w:sz w:val="18"/>
                <w:szCs w:val="18"/>
              </w:rPr>
            </w:r>
          </w:p>
        </w:tc>
      </w:tr>
      <w:tr>
        <w:trPr>
          <w:trHeight w:val="42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1</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报警控制装置的控制方法</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Times New Roman" w:hAnsi="Times New Roman" w:cs="Times New Roman" w:eastAsia="Times New Roman" w:hint="default"/>
                <w:sz w:val="18"/>
                <w:szCs w:val="18"/>
              </w:rPr>
            </w:pPr>
            <w:r>
              <w:rPr>
                <w:rFonts w:ascii="Times New Roman"/>
                <w:sz w:val="18"/>
              </w:rPr>
              <w:t>ZL200810029757.8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Times New Roman" w:hAnsi="Times New Roman" w:cs="Times New Roman" w:eastAsia="Times New Roman" w:hint="default"/>
                <w:sz w:val="18"/>
                <w:szCs w:val="18"/>
              </w:rPr>
            </w:pPr>
            <w:r>
              <w:rPr>
                <w:rFonts w:ascii="Times New Roman"/>
                <w:sz w:val="18"/>
              </w:rPr>
              <w:t>20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一种接警中心机</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ZL200820051319.7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3</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一种报警控制器</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ZL200820051320.X</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73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4</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小区楼宇可视对讲门铃（安居宝</w:t>
            </w:r>
          </w:p>
          <w:p>
            <w:pPr>
              <w:pStyle w:val="TableParagraph"/>
              <w:spacing w:line="240" w:lineRule="auto" w:before="7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05C</w:t>
            </w:r>
            <w:r>
              <w:rPr>
                <w:rFonts w:ascii="宋体" w:hAnsi="宋体" w:cs="宋体" w:eastAsia="宋体" w:hint="default"/>
                <w:sz w:val="18"/>
                <w:szCs w:val="18"/>
              </w:rPr>
              <w:t>主机）</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ZL200630065734.4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5</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红外发射器</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ZL200630069559.6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3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6</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智能遥控器</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ZL200630069558.1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bl>
    <w:p>
      <w:pPr>
        <w:spacing w:after="0" w:line="240" w:lineRule="auto"/>
        <w:jc w:val="center"/>
        <w:rPr>
          <w:rFonts w:ascii="宋体" w:hAnsi="宋体" w:cs="宋体" w:eastAsia="宋体" w:hint="default"/>
          <w:sz w:val="18"/>
          <w:szCs w:val="18"/>
        </w:rPr>
        <w:sectPr>
          <w:pgSz w:w="11910" w:h="16840"/>
          <w:pgMar w:header="0" w:footer="1227" w:top="1100" w:bottom="1420" w:left="980" w:right="860"/>
        </w:sectPr>
      </w:pPr>
    </w:p>
    <w:p>
      <w:pPr>
        <w:spacing w:line="240" w:lineRule="auto" w:before="11"/>
        <w:rPr>
          <w:rFonts w:ascii="Times New Roman" w:hAnsi="Times New Roman" w:cs="Times New Roman" w:eastAsia="Times New Roman"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708"/>
        <w:gridCol w:w="2696"/>
        <w:gridCol w:w="1985"/>
        <w:gridCol w:w="1274"/>
        <w:gridCol w:w="1702"/>
        <w:gridCol w:w="1416"/>
      </w:tblGrid>
      <w:tr>
        <w:trPr>
          <w:trHeight w:val="74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99"/>
              <w:jc w:val="right"/>
              <w:rPr>
                <w:rFonts w:ascii="Times New Roman" w:hAnsi="Times New Roman" w:cs="Times New Roman" w:eastAsia="Times New Roman" w:hint="default"/>
                <w:sz w:val="18"/>
                <w:szCs w:val="18"/>
              </w:rPr>
            </w:pPr>
            <w:r>
              <w:rPr>
                <w:rFonts w:ascii="Times New Roman"/>
                <w:sz w:val="18"/>
              </w:rPr>
              <w:t>7</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小区楼宇可视对讲门铃（安居宝</w:t>
            </w:r>
          </w:p>
          <w:p>
            <w:pPr>
              <w:pStyle w:val="TableParagraph"/>
              <w:spacing w:line="240" w:lineRule="auto" w:before="7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05B</w:t>
            </w:r>
            <w:r>
              <w:rPr>
                <w:rFonts w:ascii="宋体" w:hAnsi="宋体" w:cs="宋体" w:eastAsia="宋体" w:hint="default"/>
                <w:sz w:val="18"/>
                <w:szCs w:val="18"/>
              </w:rPr>
              <w:t>分机）</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7"/>
              <w:jc w:val="right"/>
              <w:rPr>
                <w:rFonts w:ascii="Times New Roman" w:hAnsi="Times New Roman" w:cs="Times New Roman" w:eastAsia="Times New Roman" w:hint="default"/>
                <w:sz w:val="18"/>
                <w:szCs w:val="18"/>
              </w:rPr>
            </w:pPr>
            <w:r>
              <w:rPr>
                <w:rFonts w:ascii="Times New Roman"/>
                <w:spacing w:val="-1"/>
                <w:sz w:val="18"/>
              </w:rPr>
              <w:t>ZL200630065735.9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99"/>
              <w:jc w:val="right"/>
              <w:rPr>
                <w:rFonts w:ascii="Times New Roman" w:hAnsi="Times New Roman" w:cs="Times New Roman" w:eastAsia="Times New Roman" w:hint="default"/>
                <w:sz w:val="18"/>
                <w:szCs w:val="18"/>
              </w:rPr>
            </w:pPr>
            <w:r>
              <w:rPr>
                <w:rFonts w:ascii="Times New Roman"/>
                <w:sz w:val="18"/>
              </w:rPr>
              <w:t>8</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10" w:right="0"/>
              <w:jc w:val="left"/>
              <w:rPr>
                <w:rFonts w:ascii="宋体" w:hAnsi="宋体" w:cs="宋体" w:eastAsia="宋体" w:hint="default"/>
                <w:sz w:val="18"/>
                <w:szCs w:val="18"/>
              </w:rPr>
            </w:pPr>
            <w:r>
              <w:rPr>
                <w:rFonts w:ascii="宋体" w:hAnsi="宋体" w:cs="宋体" w:eastAsia="宋体" w:hint="default"/>
                <w:sz w:val="18"/>
                <w:szCs w:val="18"/>
              </w:rPr>
              <w:t>灯光开关控制器</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7"/>
              <w:jc w:val="right"/>
              <w:rPr>
                <w:rFonts w:ascii="Times New Roman" w:hAnsi="Times New Roman" w:cs="Times New Roman" w:eastAsia="Times New Roman" w:hint="default"/>
                <w:sz w:val="18"/>
                <w:szCs w:val="18"/>
              </w:rPr>
            </w:pPr>
            <w:r>
              <w:rPr>
                <w:rFonts w:ascii="Times New Roman"/>
                <w:spacing w:val="-1"/>
                <w:sz w:val="18"/>
              </w:rPr>
              <w:t>ZL200630069560.9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73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99"/>
              <w:jc w:val="right"/>
              <w:rPr>
                <w:rFonts w:ascii="Times New Roman" w:hAnsi="Times New Roman" w:cs="Times New Roman" w:eastAsia="Times New Roman" w:hint="default"/>
                <w:sz w:val="18"/>
                <w:szCs w:val="18"/>
              </w:rPr>
            </w:pPr>
            <w:r>
              <w:rPr>
                <w:rFonts w:ascii="Times New Roman"/>
                <w:sz w:val="18"/>
              </w:rPr>
              <w:t>9</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小区楼宇可视对讲门铃（安居宝</w:t>
            </w:r>
          </w:p>
          <w:p>
            <w:pPr>
              <w:pStyle w:val="TableParagraph"/>
              <w:spacing w:line="240" w:lineRule="auto" w:before="7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07C</w:t>
            </w:r>
            <w:r>
              <w:rPr>
                <w:rFonts w:ascii="宋体" w:hAnsi="宋体" w:cs="宋体" w:eastAsia="宋体" w:hint="default"/>
                <w:sz w:val="18"/>
                <w:szCs w:val="18"/>
              </w:rPr>
              <w:t>主机）</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7"/>
              <w:jc w:val="right"/>
              <w:rPr>
                <w:rFonts w:ascii="Times New Roman" w:hAnsi="Times New Roman" w:cs="Times New Roman" w:eastAsia="Times New Roman" w:hint="default"/>
                <w:sz w:val="18"/>
                <w:szCs w:val="18"/>
              </w:rPr>
            </w:pPr>
            <w:r>
              <w:rPr>
                <w:rFonts w:ascii="Times New Roman"/>
                <w:spacing w:val="-1"/>
                <w:sz w:val="18"/>
              </w:rPr>
              <w:t>ZL200630065736.3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73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51"/>
              <w:jc w:val="right"/>
              <w:rPr>
                <w:rFonts w:ascii="Times New Roman" w:hAnsi="Times New Roman" w:cs="Times New Roman" w:eastAsia="Times New Roman" w:hint="default"/>
                <w:sz w:val="18"/>
                <w:szCs w:val="18"/>
              </w:rPr>
            </w:pPr>
            <w:r>
              <w:rPr>
                <w:rFonts w:ascii="Times New Roman"/>
                <w:sz w:val="18"/>
              </w:rPr>
              <w:t>10</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小区楼宇可视对讲门铃（安居宝</w:t>
            </w:r>
          </w:p>
          <w:p>
            <w:pPr>
              <w:pStyle w:val="TableParagraph"/>
              <w:spacing w:line="240" w:lineRule="auto" w:before="76"/>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07A</w:t>
            </w:r>
            <w:r>
              <w:rPr>
                <w:rFonts w:ascii="宋体" w:hAnsi="宋体" w:cs="宋体" w:eastAsia="宋体" w:hint="default"/>
                <w:sz w:val="18"/>
                <w:szCs w:val="18"/>
              </w:rPr>
              <w:t>分机）</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7"/>
              <w:jc w:val="right"/>
              <w:rPr>
                <w:rFonts w:ascii="Times New Roman" w:hAnsi="Times New Roman" w:cs="Times New Roman" w:eastAsia="Times New Roman" w:hint="default"/>
                <w:sz w:val="18"/>
                <w:szCs w:val="18"/>
              </w:rPr>
            </w:pPr>
            <w:r>
              <w:rPr>
                <w:rFonts w:ascii="Times New Roman"/>
                <w:spacing w:val="-1"/>
                <w:sz w:val="18"/>
              </w:rPr>
              <w:t>ZL200630065737.8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51"/>
              <w:jc w:val="right"/>
              <w:rPr>
                <w:rFonts w:ascii="Times New Roman" w:hAnsi="Times New Roman" w:cs="Times New Roman" w:eastAsia="Times New Roman" w:hint="default"/>
                <w:sz w:val="18"/>
                <w:szCs w:val="18"/>
              </w:rPr>
            </w:pPr>
            <w:r>
              <w:rPr>
                <w:rFonts w:ascii="Times New Roman"/>
                <w:sz w:val="18"/>
              </w:rPr>
              <w:t>11</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90" w:right="0"/>
              <w:jc w:val="left"/>
              <w:rPr>
                <w:rFonts w:ascii="宋体" w:hAnsi="宋体" w:cs="宋体" w:eastAsia="宋体" w:hint="default"/>
                <w:sz w:val="18"/>
                <w:szCs w:val="18"/>
              </w:rPr>
            </w:pPr>
            <w:r>
              <w:rPr>
                <w:rFonts w:ascii="宋体" w:hAnsi="宋体" w:cs="宋体" w:eastAsia="宋体" w:hint="default"/>
                <w:sz w:val="18"/>
                <w:szCs w:val="18"/>
              </w:rPr>
              <w:t>门口主机（安居宝</w:t>
            </w:r>
            <w:r>
              <w:rPr>
                <w:rFonts w:ascii="Times New Roman" w:hAnsi="Times New Roman" w:cs="Times New Roman" w:eastAsia="Times New Roman" w:hint="default"/>
                <w:sz w:val="18"/>
                <w:szCs w:val="18"/>
              </w:rPr>
              <w:t>08B</w:t>
            </w:r>
            <w:r>
              <w:rPr>
                <w:rFonts w:ascii="宋体" w:hAnsi="宋体" w:cs="宋体" w:eastAsia="宋体" w:hint="default"/>
                <w:sz w:val="18"/>
                <w:szCs w:val="18"/>
              </w:rPr>
              <w:t>款）</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7"/>
              <w:jc w:val="right"/>
              <w:rPr>
                <w:rFonts w:ascii="Times New Roman" w:hAnsi="Times New Roman" w:cs="Times New Roman" w:eastAsia="Times New Roman" w:hint="default"/>
                <w:sz w:val="18"/>
                <w:szCs w:val="18"/>
              </w:rPr>
            </w:pPr>
            <w:r>
              <w:rPr>
                <w:rFonts w:ascii="Times New Roman"/>
                <w:spacing w:val="-1"/>
                <w:sz w:val="18"/>
              </w:rPr>
              <w:t>ZL200830041213.4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5"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51"/>
              <w:jc w:val="right"/>
              <w:rPr>
                <w:rFonts w:ascii="Times New Roman" w:hAnsi="Times New Roman" w:cs="Times New Roman" w:eastAsia="Times New Roman" w:hint="default"/>
                <w:sz w:val="18"/>
                <w:szCs w:val="18"/>
              </w:rPr>
            </w:pPr>
            <w:r>
              <w:rPr>
                <w:rFonts w:ascii="Times New Roman"/>
                <w:sz w:val="18"/>
              </w:rPr>
              <w:t>12</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41" w:right="0"/>
              <w:jc w:val="left"/>
              <w:rPr>
                <w:rFonts w:ascii="宋体" w:hAnsi="宋体" w:cs="宋体" w:eastAsia="宋体" w:hint="default"/>
                <w:sz w:val="18"/>
                <w:szCs w:val="18"/>
              </w:rPr>
            </w:pPr>
            <w:r>
              <w:rPr>
                <w:rFonts w:ascii="宋体" w:hAnsi="宋体" w:cs="宋体" w:eastAsia="宋体" w:hint="default"/>
                <w:sz w:val="18"/>
                <w:szCs w:val="18"/>
              </w:rPr>
              <w:t>可视分机（晶彩系列）</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7"/>
              <w:jc w:val="right"/>
              <w:rPr>
                <w:rFonts w:ascii="Times New Roman" w:hAnsi="Times New Roman" w:cs="Times New Roman" w:eastAsia="Times New Roman" w:hint="default"/>
                <w:sz w:val="18"/>
                <w:szCs w:val="18"/>
              </w:rPr>
            </w:pPr>
            <w:r>
              <w:rPr>
                <w:rFonts w:ascii="Times New Roman"/>
                <w:spacing w:val="-1"/>
                <w:sz w:val="18"/>
              </w:rPr>
              <w:t>ZL200830045589.2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51"/>
              <w:jc w:val="right"/>
              <w:rPr>
                <w:rFonts w:ascii="Times New Roman" w:hAnsi="Times New Roman" w:cs="Times New Roman" w:eastAsia="Times New Roman" w:hint="default"/>
                <w:sz w:val="18"/>
                <w:szCs w:val="18"/>
              </w:rPr>
            </w:pPr>
            <w:r>
              <w:rPr>
                <w:rFonts w:ascii="Times New Roman"/>
                <w:sz w:val="18"/>
              </w:rPr>
              <w:t>13</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3"/>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无线被动红外探测器（</w:t>
            </w:r>
            <w:r>
              <w:rPr>
                <w:rFonts w:ascii="Times New Roman" w:hAnsi="Times New Roman" w:cs="Times New Roman" w:eastAsia="Times New Roman" w:hint="default"/>
                <w:spacing w:val="-1"/>
                <w:sz w:val="18"/>
                <w:szCs w:val="18"/>
              </w:rPr>
              <w:t>AJB-A601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9" w:right="246"/>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80"/>
                <w:sz w:val="18"/>
                <w:szCs w:val="18"/>
              </w:rPr>
              <w:t> </w:t>
            </w:r>
            <w:r>
              <w:rPr>
                <w:rFonts w:ascii="Times New Roman" w:hAnsi="Times New Roman" w:cs="Times New Roman" w:eastAsia="Times New Roman" w:hint="default"/>
                <w:sz w:val="18"/>
                <w:szCs w:val="18"/>
              </w:rPr>
              <w:t>ZL200830056464.X</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51"/>
              <w:jc w:val="right"/>
              <w:rPr>
                <w:rFonts w:ascii="Times New Roman" w:hAnsi="Times New Roman" w:cs="Times New Roman" w:eastAsia="Times New Roman" w:hint="default"/>
                <w:sz w:val="18"/>
                <w:szCs w:val="18"/>
              </w:rPr>
            </w:pPr>
            <w:r>
              <w:rPr>
                <w:rFonts w:ascii="Times New Roman"/>
                <w:sz w:val="18"/>
              </w:rPr>
              <w:t>14</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37"/>
              <w:jc w:val="right"/>
              <w:rPr>
                <w:rFonts w:ascii="宋体" w:hAnsi="宋体" w:cs="宋体" w:eastAsia="宋体" w:hint="default"/>
                <w:sz w:val="18"/>
                <w:szCs w:val="18"/>
              </w:rPr>
            </w:pPr>
            <w:r>
              <w:rPr>
                <w:rFonts w:ascii="宋体" w:hAnsi="宋体" w:cs="宋体" w:eastAsia="宋体" w:hint="default"/>
                <w:spacing w:val="-1"/>
                <w:sz w:val="18"/>
                <w:szCs w:val="18"/>
              </w:rPr>
              <w:t>无线报警控制器（</w:t>
            </w:r>
            <w:r>
              <w:rPr>
                <w:rFonts w:ascii="Times New Roman" w:hAnsi="Times New Roman" w:cs="Times New Roman" w:eastAsia="Times New Roman" w:hint="default"/>
                <w:spacing w:val="-1"/>
                <w:sz w:val="18"/>
                <w:szCs w:val="18"/>
              </w:rPr>
              <w:t>AJB-A801</w:t>
            </w:r>
            <w:r>
              <w:rPr>
                <w:rFonts w:ascii="宋体" w:hAnsi="宋体" w:cs="宋体" w:eastAsia="宋体" w:hint="default"/>
                <w:spacing w:val="-1"/>
                <w:sz w:val="18"/>
                <w:szCs w:val="18"/>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67"/>
              <w:jc w:val="right"/>
              <w:rPr>
                <w:rFonts w:ascii="Times New Roman" w:hAnsi="Times New Roman" w:cs="Times New Roman" w:eastAsia="Times New Roman" w:hint="default"/>
                <w:sz w:val="18"/>
                <w:szCs w:val="18"/>
              </w:rPr>
            </w:pPr>
            <w:r>
              <w:rPr>
                <w:rFonts w:ascii="Times New Roman"/>
                <w:spacing w:val="-1"/>
                <w:sz w:val="18"/>
              </w:rPr>
              <w:t>ZL200830056462.0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51"/>
              <w:jc w:val="right"/>
              <w:rPr>
                <w:rFonts w:ascii="Times New Roman" w:hAnsi="Times New Roman" w:cs="Times New Roman" w:eastAsia="Times New Roman" w:hint="default"/>
                <w:sz w:val="18"/>
                <w:szCs w:val="18"/>
              </w:rPr>
            </w:pPr>
            <w:r>
              <w:rPr>
                <w:rFonts w:ascii="Times New Roman"/>
                <w:sz w:val="18"/>
              </w:rPr>
              <w:t>15</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遥控插座</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67"/>
              <w:jc w:val="right"/>
              <w:rPr>
                <w:rFonts w:ascii="Times New Roman" w:hAnsi="Times New Roman" w:cs="Times New Roman" w:eastAsia="Times New Roman" w:hint="default"/>
                <w:sz w:val="18"/>
                <w:szCs w:val="18"/>
              </w:rPr>
            </w:pPr>
            <w:r>
              <w:rPr>
                <w:rFonts w:ascii="Times New Roman"/>
                <w:spacing w:val="-1"/>
                <w:sz w:val="18"/>
              </w:rPr>
              <w:t>ZL200830056439.1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51"/>
              <w:jc w:val="right"/>
              <w:rPr>
                <w:rFonts w:ascii="Times New Roman" w:hAnsi="Times New Roman" w:cs="Times New Roman" w:eastAsia="Times New Roman" w:hint="default"/>
                <w:sz w:val="18"/>
                <w:szCs w:val="18"/>
              </w:rPr>
            </w:pPr>
            <w:r>
              <w:rPr>
                <w:rFonts w:ascii="Times New Roman"/>
                <w:sz w:val="18"/>
              </w:rPr>
              <w:t>16</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0" w:right="0"/>
              <w:jc w:val="left"/>
              <w:rPr>
                <w:rFonts w:ascii="宋体" w:hAnsi="宋体" w:cs="宋体" w:eastAsia="宋体" w:hint="default"/>
                <w:sz w:val="18"/>
                <w:szCs w:val="18"/>
              </w:rPr>
            </w:pPr>
            <w:r>
              <w:rPr>
                <w:rFonts w:ascii="宋体" w:hAnsi="宋体" w:cs="宋体" w:eastAsia="宋体" w:hint="default"/>
                <w:sz w:val="18"/>
                <w:szCs w:val="18"/>
              </w:rPr>
              <w:t>无线紧急按钮（</w:t>
            </w:r>
            <w:r>
              <w:rPr>
                <w:rFonts w:ascii="Times New Roman" w:hAnsi="Times New Roman" w:cs="Times New Roman" w:eastAsia="Times New Roman" w:hint="default"/>
                <w:sz w:val="18"/>
                <w:szCs w:val="18"/>
              </w:rPr>
              <w:t>AJB-A501</w:t>
            </w:r>
            <w:r>
              <w:rPr>
                <w:rFonts w:ascii="宋体" w:hAnsi="宋体" w:cs="宋体" w:eastAsia="宋体" w:hint="default"/>
                <w:sz w:val="18"/>
                <w:szCs w:val="18"/>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67"/>
              <w:jc w:val="right"/>
              <w:rPr>
                <w:rFonts w:ascii="Times New Roman" w:hAnsi="Times New Roman" w:cs="Times New Roman" w:eastAsia="Times New Roman" w:hint="default"/>
                <w:sz w:val="18"/>
                <w:szCs w:val="18"/>
              </w:rPr>
            </w:pPr>
            <w:r>
              <w:rPr>
                <w:rFonts w:ascii="Times New Roman"/>
                <w:spacing w:val="-1"/>
                <w:sz w:val="18"/>
              </w:rPr>
              <w:t>ZL200830056437.2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51"/>
              <w:jc w:val="right"/>
              <w:rPr>
                <w:rFonts w:ascii="Times New Roman" w:hAnsi="Times New Roman" w:cs="Times New Roman" w:eastAsia="Times New Roman" w:hint="default"/>
                <w:sz w:val="18"/>
                <w:szCs w:val="18"/>
              </w:rPr>
            </w:pPr>
            <w:r>
              <w:rPr>
                <w:rFonts w:ascii="Times New Roman"/>
                <w:sz w:val="18"/>
              </w:rPr>
              <w:t>17</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90" w:right="0"/>
              <w:jc w:val="left"/>
              <w:rPr>
                <w:rFonts w:ascii="宋体" w:hAnsi="宋体" w:cs="宋体" w:eastAsia="宋体" w:hint="default"/>
                <w:sz w:val="18"/>
                <w:szCs w:val="18"/>
              </w:rPr>
            </w:pPr>
            <w:r>
              <w:rPr>
                <w:rFonts w:ascii="宋体" w:hAnsi="宋体" w:cs="宋体" w:eastAsia="宋体" w:hint="default"/>
                <w:sz w:val="18"/>
                <w:szCs w:val="18"/>
              </w:rPr>
              <w:t>小门口主机</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67"/>
              <w:jc w:val="right"/>
              <w:rPr>
                <w:rFonts w:ascii="Times New Roman" w:hAnsi="Times New Roman" w:cs="Times New Roman" w:eastAsia="Times New Roman" w:hint="default"/>
                <w:sz w:val="18"/>
                <w:szCs w:val="18"/>
              </w:rPr>
            </w:pPr>
            <w:r>
              <w:rPr>
                <w:rFonts w:ascii="Times New Roman"/>
                <w:spacing w:val="-1"/>
                <w:sz w:val="18"/>
              </w:rPr>
              <w:t>ZL200830217724.7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51"/>
              <w:jc w:val="right"/>
              <w:rPr>
                <w:rFonts w:ascii="Times New Roman" w:hAnsi="Times New Roman" w:cs="Times New Roman" w:eastAsia="Times New Roman" w:hint="default"/>
                <w:sz w:val="18"/>
                <w:szCs w:val="18"/>
              </w:rPr>
            </w:pPr>
            <w:r>
              <w:rPr>
                <w:rFonts w:ascii="Times New Roman"/>
                <w:sz w:val="18"/>
              </w:rPr>
              <w:t>18</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41" w:right="0"/>
              <w:jc w:val="left"/>
              <w:rPr>
                <w:rFonts w:ascii="宋体" w:hAnsi="宋体" w:cs="宋体" w:eastAsia="宋体" w:hint="default"/>
                <w:sz w:val="18"/>
                <w:szCs w:val="18"/>
              </w:rPr>
            </w:pPr>
            <w:r>
              <w:rPr>
                <w:rFonts w:ascii="宋体" w:hAnsi="宋体" w:cs="宋体" w:eastAsia="宋体" w:hint="default"/>
                <w:sz w:val="18"/>
                <w:szCs w:val="18"/>
              </w:rPr>
              <w:t>室内分机（精巧系列）</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7"/>
              <w:jc w:val="right"/>
              <w:rPr>
                <w:rFonts w:ascii="Times New Roman" w:hAnsi="Times New Roman" w:cs="Times New Roman" w:eastAsia="Times New Roman" w:hint="default"/>
                <w:sz w:val="18"/>
                <w:szCs w:val="18"/>
              </w:rPr>
            </w:pPr>
            <w:r>
              <w:rPr>
                <w:rFonts w:ascii="Times New Roman"/>
                <w:spacing w:val="-1"/>
                <w:sz w:val="18"/>
              </w:rPr>
              <w:t>ZL200830217723.2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51"/>
              <w:jc w:val="right"/>
              <w:rPr>
                <w:rFonts w:ascii="Times New Roman" w:hAnsi="Times New Roman" w:cs="Times New Roman" w:eastAsia="Times New Roman" w:hint="default"/>
                <w:sz w:val="18"/>
                <w:szCs w:val="18"/>
              </w:rPr>
            </w:pPr>
            <w:r>
              <w:rPr>
                <w:rFonts w:ascii="Times New Roman"/>
                <w:sz w:val="18"/>
              </w:rPr>
              <w:t>19</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z w:val="18"/>
                <w:szCs w:val="18"/>
              </w:rPr>
              <w:t>无线遥控器（</w:t>
            </w:r>
            <w:r>
              <w:rPr>
                <w:rFonts w:ascii="Times New Roman" w:hAnsi="Times New Roman" w:cs="Times New Roman" w:eastAsia="Times New Roman" w:hint="default"/>
                <w:sz w:val="18"/>
                <w:szCs w:val="18"/>
              </w:rPr>
              <w:t>AJB-A121</w:t>
            </w:r>
            <w:r>
              <w:rPr>
                <w:rFonts w:ascii="宋体" w:hAnsi="宋体" w:cs="宋体" w:eastAsia="宋体" w:hint="default"/>
                <w:sz w:val="18"/>
                <w:szCs w:val="18"/>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7"/>
              <w:jc w:val="right"/>
              <w:rPr>
                <w:rFonts w:ascii="Times New Roman" w:hAnsi="Times New Roman" w:cs="Times New Roman" w:eastAsia="Times New Roman" w:hint="default"/>
                <w:sz w:val="18"/>
                <w:szCs w:val="18"/>
              </w:rPr>
            </w:pPr>
            <w:r>
              <w:rPr>
                <w:rFonts w:ascii="Times New Roman"/>
                <w:spacing w:val="-1"/>
                <w:sz w:val="18"/>
              </w:rPr>
              <w:t>ZL200830056438.7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51"/>
              <w:jc w:val="right"/>
              <w:rPr>
                <w:rFonts w:ascii="Times New Roman" w:hAnsi="Times New Roman" w:cs="Times New Roman" w:eastAsia="Times New Roman" w:hint="default"/>
                <w:sz w:val="18"/>
                <w:szCs w:val="18"/>
              </w:rPr>
            </w:pPr>
            <w:r>
              <w:rPr>
                <w:rFonts w:ascii="Times New Roman"/>
                <w:sz w:val="18"/>
              </w:rPr>
              <w:t>20</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61" w:right="0"/>
              <w:jc w:val="left"/>
              <w:rPr>
                <w:rFonts w:ascii="宋体" w:hAnsi="宋体" w:cs="宋体" w:eastAsia="宋体" w:hint="default"/>
                <w:sz w:val="18"/>
                <w:szCs w:val="18"/>
              </w:rPr>
            </w:pPr>
            <w:r>
              <w:rPr>
                <w:rFonts w:ascii="宋体" w:hAnsi="宋体" w:cs="宋体" w:eastAsia="宋体" w:hint="default"/>
                <w:sz w:val="18"/>
                <w:szCs w:val="18"/>
              </w:rPr>
              <w:t>门口主机（</w:t>
            </w:r>
            <w:r>
              <w:rPr>
                <w:rFonts w:ascii="Times New Roman" w:hAnsi="Times New Roman" w:cs="Times New Roman" w:eastAsia="Times New Roman" w:hint="default"/>
                <w:sz w:val="18"/>
                <w:szCs w:val="18"/>
              </w:rPr>
              <w:t>08C</w:t>
            </w:r>
            <w:r>
              <w:rPr>
                <w:rFonts w:ascii="宋体" w:hAnsi="宋体" w:cs="宋体" w:eastAsia="宋体" w:hint="default"/>
                <w:sz w:val="18"/>
                <w:szCs w:val="18"/>
              </w:rPr>
              <w:t>款）</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7"/>
              <w:jc w:val="right"/>
              <w:rPr>
                <w:rFonts w:ascii="Times New Roman" w:hAnsi="Times New Roman" w:cs="Times New Roman" w:eastAsia="Times New Roman" w:hint="default"/>
                <w:sz w:val="18"/>
                <w:szCs w:val="18"/>
              </w:rPr>
            </w:pPr>
            <w:r>
              <w:rPr>
                <w:rFonts w:ascii="Times New Roman"/>
                <w:spacing w:val="-1"/>
                <w:sz w:val="18"/>
              </w:rPr>
              <w:t>ZL200830056851.3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51"/>
              <w:jc w:val="right"/>
              <w:rPr>
                <w:rFonts w:ascii="Times New Roman" w:hAnsi="Times New Roman" w:cs="Times New Roman" w:eastAsia="Times New Roman" w:hint="default"/>
                <w:sz w:val="18"/>
                <w:szCs w:val="18"/>
              </w:rPr>
            </w:pPr>
            <w:r>
              <w:rPr>
                <w:rFonts w:ascii="Times New Roman"/>
                <w:sz w:val="18"/>
              </w:rPr>
              <w:t>21</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10" w:right="0"/>
              <w:jc w:val="left"/>
              <w:rPr>
                <w:rFonts w:ascii="宋体" w:hAnsi="宋体" w:cs="宋体" w:eastAsia="宋体" w:hint="default"/>
                <w:sz w:val="18"/>
                <w:szCs w:val="18"/>
              </w:rPr>
            </w:pPr>
            <w:r>
              <w:rPr>
                <w:rFonts w:ascii="宋体" w:hAnsi="宋体" w:cs="宋体" w:eastAsia="宋体" w:hint="default"/>
                <w:sz w:val="18"/>
                <w:szCs w:val="18"/>
              </w:rPr>
              <w:t>无线门磁（</w:t>
            </w:r>
            <w:r>
              <w:rPr>
                <w:rFonts w:ascii="Times New Roman" w:hAnsi="Times New Roman" w:cs="Times New Roman" w:eastAsia="Times New Roman" w:hint="default"/>
                <w:sz w:val="18"/>
                <w:szCs w:val="18"/>
              </w:rPr>
              <w:t>AJB-A401</w:t>
            </w:r>
            <w:r>
              <w:rPr>
                <w:rFonts w:ascii="宋体" w:hAnsi="宋体" w:cs="宋体" w:eastAsia="宋体" w:hint="default"/>
                <w:sz w:val="18"/>
                <w:szCs w:val="18"/>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7"/>
              <w:jc w:val="right"/>
              <w:rPr>
                <w:rFonts w:ascii="Times New Roman" w:hAnsi="Times New Roman" w:cs="Times New Roman" w:eastAsia="Times New Roman" w:hint="default"/>
                <w:sz w:val="18"/>
                <w:szCs w:val="18"/>
              </w:rPr>
            </w:pPr>
            <w:r>
              <w:rPr>
                <w:rFonts w:ascii="Times New Roman"/>
                <w:spacing w:val="-1"/>
                <w:sz w:val="18"/>
              </w:rPr>
              <w:t>ZL200830056465.4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51"/>
              <w:jc w:val="right"/>
              <w:rPr>
                <w:rFonts w:ascii="Times New Roman" w:hAnsi="Times New Roman" w:cs="Times New Roman" w:eastAsia="Times New Roman" w:hint="default"/>
                <w:sz w:val="18"/>
                <w:szCs w:val="18"/>
              </w:rPr>
            </w:pPr>
            <w:r>
              <w:rPr>
                <w:rFonts w:ascii="Times New Roman"/>
                <w:sz w:val="18"/>
              </w:rPr>
              <w:t>22</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48"/>
              <w:jc w:val="right"/>
              <w:rPr>
                <w:rFonts w:ascii="宋体" w:hAnsi="宋体" w:cs="宋体" w:eastAsia="宋体" w:hint="default"/>
                <w:sz w:val="18"/>
                <w:szCs w:val="18"/>
              </w:rPr>
            </w:pPr>
            <w:r>
              <w:rPr>
                <w:rFonts w:ascii="宋体" w:hAnsi="宋体" w:cs="宋体" w:eastAsia="宋体" w:hint="default"/>
                <w:spacing w:val="-1"/>
                <w:sz w:val="18"/>
                <w:szCs w:val="18"/>
              </w:rPr>
              <w:t>无线被动红外幕帘（</w:t>
            </w:r>
            <w:r>
              <w:rPr>
                <w:rFonts w:ascii="Times New Roman" w:hAnsi="Times New Roman" w:cs="Times New Roman" w:eastAsia="Times New Roman" w:hint="default"/>
                <w:spacing w:val="-1"/>
                <w:sz w:val="18"/>
                <w:szCs w:val="18"/>
              </w:rPr>
              <w:t>AJB-A611</w:t>
            </w:r>
            <w:r>
              <w:rPr>
                <w:rFonts w:ascii="宋体" w:hAnsi="宋体" w:cs="宋体" w:eastAsia="宋体" w:hint="default"/>
                <w:spacing w:val="-1"/>
                <w:sz w:val="18"/>
                <w:szCs w:val="18"/>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67"/>
              <w:jc w:val="right"/>
              <w:rPr>
                <w:rFonts w:ascii="Times New Roman" w:hAnsi="Times New Roman" w:cs="Times New Roman" w:eastAsia="Times New Roman" w:hint="default"/>
                <w:sz w:val="18"/>
                <w:szCs w:val="18"/>
              </w:rPr>
            </w:pPr>
            <w:r>
              <w:rPr>
                <w:rFonts w:ascii="Times New Roman"/>
                <w:spacing w:val="-1"/>
                <w:sz w:val="18"/>
              </w:rPr>
              <w:t>ZL200830056463.5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51"/>
              <w:jc w:val="right"/>
              <w:rPr>
                <w:rFonts w:ascii="Times New Roman" w:hAnsi="Times New Roman" w:cs="Times New Roman" w:eastAsia="Times New Roman" w:hint="default"/>
                <w:sz w:val="18"/>
                <w:szCs w:val="18"/>
              </w:rPr>
            </w:pPr>
            <w:r>
              <w:rPr>
                <w:rFonts w:ascii="Times New Roman"/>
                <w:sz w:val="18"/>
              </w:rPr>
              <w:t>23</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10" w:right="0"/>
              <w:jc w:val="left"/>
              <w:rPr>
                <w:rFonts w:ascii="宋体" w:hAnsi="宋体" w:cs="宋体" w:eastAsia="宋体" w:hint="default"/>
                <w:sz w:val="18"/>
                <w:szCs w:val="18"/>
              </w:rPr>
            </w:pPr>
            <w:r>
              <w:rPr>
                <w:rFonts w:ascii="宋体" w:hAnsi="宋体" w:cs="宋体" w:eastAsia="宋体" w:hint="default"/>
                <w:sz w:val="18"/>
                <w:szCs w:val="18"/>
              </w:rPr>
              <w:t>胁迫按钮（</w:t>
            </w:r>
            <w:r>
              <w:rPr>
                <w:rFonts w:ascii="Times New Roman" w:hAnsi="Times New Roman" w:cs="Times New Roman" w:eastAsia="Times New Roman" w:hint="default"/>
                <w:sz w:val="18"/>
                <w:szCs w:val="18"/>
              </w:rPr>
              <w:t>AJB-A511</w:t>
            </w:r>
            <w:r>
              <w:rPr>
                <w:rFonts w:ascii="宋体" w:hAnsi="宋体" w:cs="宋体" w:eastAsia="宋体" w:hint="default"/>
                <w:sz w:val="18"/>
                <w:szCs w:val="18"/>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7"/>
              <w:jc w:val="right"/>
              <w:rPr>
                <w:rFonts w:ascii="Times New Roman" w:hAnsi="Times New Roman" w:cs="Times New Roman" w:eastAsia="Times New Roman" w:hint="default"/>
                <w:sz w:val="18"/>
                <w:szCs w:val="18"/>
              </w:rPr>
            </w:pPr>
            <w:r>
              <w:rPr>
                <w:rFonts w:ascii="Times New Roman"/>
                <w:spacing w:val="-1"/>
                <w:sz w:val="18"/>
              </w:rPr>
              <w:t>ZL200930067452.1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5"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51"/>
              <w:jc w:val="right"/>
              <w:rPr>
                <w:rFonts w:ascii="Times New Roman" w:hAnsi="Times New Roman" w:cs="Times New Roman" w:eastAsia="Times New Roman" w:hint="default"/>
                <w:sz w:val="18"/>
                <w:szCs w:val="18"/>
              </w:rPr>
            </w:pPr>
            <w:r>
              <w:rPr>
                <w:rFonts w:ascii="Times New Roman"/>
                <w:sz w:val="18"/>
              </w:rPr>
              <w:t>24</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无线紧急按钮（</w:t>
            </w:r>
            <w:r>
              <w:rPr>
                <w:rFonts w:ascii="Times New Roman" w:hAnsi="Times New Roman" w:cs="Times New Roman" w:eastAsia="Times New Roman" w:hint="default"/>
                <w:sz w:val="18"/>
                <w:szCs w:val="18"/>
              </w:rPr>
              <w:t>AJB-A502</w:t>
            </w:r>
            <w:r>
              <w:rPr>
                <w:rFonts w:ascii="宋体" w:hAnsi="宋体" w:cs="宋体" w:eastAsia="宋体" w:hint="default"/>
                <w:sz w:val="18"/>
                <w:szCs w:val="18"/>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7"/>
              <w:jc w:val="right"/>
              <w:rPr>
                <w:rFonts w:ascii="Times New Roman" w:hAnsi="Times New Roman" w:cs="Times New Roman" w:eastAsia="Times New Roman" w:hint="default"/>
                <w:sz w:val="18"/>
                <w:szCs w:val="18"/>
              </w:rPr>
            </w:pPr>
            <w:r>
              <w:rPr>
                <w:rFonts w:ascii="Times New Roman"/>
                <w:spacing w:val="-1"/>
                <w:sz w:val="18"/>
              </w:rPr>
              <w:t>ZL200930067453.6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51"/>
              <w:jc w:val="right"/>
              <w:rPr>
                <w:rFonts w:ascii="Times New Roman" w:hAnsi="Times New Roman" w:cs="Times New Roman" w:eastAsia="Times New Roman" w:hint="default"/>
                <w:sz w:val="18"/>
                <w:szCs w:val="18"/>
              </w:rPr>
            </w:pPr>
            <w:r>
              <w:rPr>
                <w:rFonts w:ascii="Times New Roman"/>
                <w:sz w:val="18"/>
              </w:rPr>
              <w:t>25</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01" w:right="0"/>
              <w:jc w:val="left"/>
              <w:rPr>
                <w:rFonts w:ascii="宋体" w:hAnsi="宋体" w:cs="宋体" w:eastAsia="宋体" w:hint="default"/>
                <w:sz w:val="18"/>
                <w:szCs w:val="18"/>
              </w:rPr>
            </w:pPr>
            <w:r>
              <w:rPr>
                <w:rFonts w:ascii="宋体" w:hAnsi="宋体" w:cs="宋体" w:eastAsia="宋体" w:hint="default"/>
                <w:sz w:val="18"/>
                <w:szCs w:val="18"/>
              </w:rPr>
              <w:t>报警控制面板</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67"/>
              <w:jc w:val="right"/>
              <w:rPr>
                <w:rFonts w:ascii="Times New Roman" w:hAnsi="Times New Roman" w:cs="Times New Roman" w:eastAsia="Times New Roman" w:hint="default"/>
                <w:sz w:val="18"/>
                <w:szCs w:val="18"/>
              </w:rPr>
            </w:pPr>
            <w:r>
              <w:rPr>
                <w:rFonts w:ascii="Times New Roman"/>
                <w:spacing w:val="-1"/>
                <w:sz w:val="18"/>
              </w:rPr>
              <w:t>ZL200930086111.9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51"/>
              <w:jc w:val="right"/>
              <w:rPr>
                <w:rFonts w:ascii="Times New Roman" w:hAnsi="Times New Roman" w:cs="Times New Roman" w:eastAsia="Times New Roman" w:hint="default"/>
                <w:sz w:val="18"/>
                <w:szCs w:val="18"/>
              </w:rPr>
            </w:pPr>
            <w:r>
              <w:rPr>
                <w:rFonts w:ascii="Times New Roman"/>
                <w:sz w:val="18"/>
              </w:rPr>
              <w:t>26</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01" w:right="0"/>
              <w:jc w:val="left"/>
              <w:rPr>
                <w:rFonts w:ascii="宋体" w:hAnsi="宋体" w:cs="宋体" w:eastAsia="宋体" w:hint="default"/>
                <w:sz w:val="18"/>
                <w:szCs w:val="18"/>
              </w:rPr>
            </w:pPr>
            <w:r>
              <w:rPr>
                <w:rFonts w:ascii="宋体" w:hAnsi="宋体" w:cs="宋体" w:eastAsia="宋体" w:hint="default"/>
                <w:sz w:val="18"/>
                <w:szCs w:val="18"/>
              </w:rPr>
              <w:t>腕式求助按钮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67"/>
              <w:jc w:val="right"/>
              <w:rPr>
                <w:rFonts w:ascii="Times New Roman" w:hAnsi="Times New Roman" w:cs="Times New Roman" w:eastAsia="Times New Roman" w:hint="default"/>
                <w:sz w:val="18"/>
                <w:szCs w:val="18"/>
              </w:rPr>
            </w:pPr>
            <w:r>
              <w:rPr>
                <w:rFonts w:ascii="Times New Roman"/>
                <w:spacing w:val="-1"/>
                <w:sz w:val="18"/>
              </w:rPr>
              <w:t>ZL200930086136.9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51"/>
              <w:jc w:val="right"/>
              <w:rPr>
                <w:rFonts w:ascii="Times New Roman" w:hAnsi="Times New Roman" w:cs="Times New Roman" w:eastAsia="Times New Roman" w:hint="default"/>
                <w:sz w:val="18"/>
                <w:szCs w:val="18"/>
              </w:rPr>
            </w:pPr>
            <w:r>
              <w:rPr>
                <w:rFonts w:ascii="Times New Roman"/>
                <w:sz w:val="18"/>
              </w:rPr>
              <w:t>27</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30" w:right="0"/>
              <w:jc w:val="left"/>
              <w:rPr>
                <w:rFonts w:ascii="宋体" w:hAnsi="宋体" w:cs="宋体" w:eastAsia="宋体" w:hint="default"/>
                <w:sz w:val="18"/>
                <w:szCs w:val="18"/>
              </w:rPr>
            </w:pPr>
            <w:r>
              <w:rPr>
                <w:rFonts w:ascii="宋体" w:hAnsi="宋体" w:cs="宋体" w:eastAsia="宋体" w:hint="default"/>
                <w:sz w:val="18"/>
                <w:szCs w:val="18"/>
              </w:rPr>
              <w:t>被动红外微波探测器</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67"/>
              <w:jc w:val="right"/>
              <w:rPr>
                <w:rFonts w:ascii="Times New Roman" w:hAnsi="Times New Roman" w:cs="Times New Roman" w:eastAsia="Times New Roman" w:hint="default"/>
                <w:sz w:val="18"/>
                <w:szCs w:val="18"/>
              </w:rPr>
            </w:pPr>
            <w:r>
              <w:rPr>
                <w:rFonts w:ascii="Times New Roman"/>
                <w:spacing w:val="-1"/>
                <w:sz w:val="18"/>
              </w:rPr>
              <w:t>ZL200930086135.4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51"/>
              <w:jc w:val="right"/>
              <w:rPr>
                <w:rFonts w:ascii="Times New Roman" w:hAnsi="Times New Roman" w:cs="Times New Roman" w:eastAsia="Times New Roman" w:hint="default"/>
                <w:sz w:val="18"/>
                <w:szCs w:val="18"/>
              </w:rPr>
            </w:pPr>
            <w:r>
              <w:rPr>
                <w:rFonts w:ascii="Times New Roman"/>
                <w:sz w:val="18"/>
              </w:rPr>
              <w:t>28</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10" w:right="0"/>
              <w:jc w:val="left"/>
              <w:rPr>
                <w:rFonts w:ascii="宋体" w:hAnsi="宋体" w:cs="宋体" w:eastAsia="宋体" w:hint="default"/>
                <w:sz w:val="18"/>
                <w:szCs w:val="18"/>
              </w:rPr>
            </w:pPr>
            <w:r>
              <w:rPr>
                <w:rFonts w:ascii="宋体" w:hAnsi="宋体" w:cs="宋体" w:eastAsia="宋体" w:hint="default"/>
                <w:sz w:val="18"/>
                <w:szCs w:val="18"/>
              </w:rPr>
              <w:t>吊坠式求助按钮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67"/>
              <w:jc w:val="right"/>
              <w:rPr>
                <w:rFonts w:ascii="Times New Roman" w:hAnsi="Times New Roman" w:cs="Times New Roman" w:eastAsia="Times New Roman" w:hint="default"/>
                <w:sz w:val="18"/>
                <w:szCs w:val="18"/>
              </w:rPr>
            </w:pPr>
            <w:r>
              <w:rPr>
                <w:rFonts w:ascii="Times New Roman"/>
                <w:spacing w:val="-1"/>
                <w:sz w:val="18"/>
              </w:rPr>
              <w:t>ZL200930086137.3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51"/>
              <w:jc w:val="right"/>
              <w:rPr>
                <w:rFonts w:ascii="Times New Roman" w:hAnsi="Times New Roman" w:cs="Times New Roman" w:eastAsia="Times New Roman" w:hint="default"/>
                <w:sz w:val="18"/>
                <w:szCs w:val="18"/>
              </w:rPr>
            </w:pPr>
            <w:r>
              <w:rPr>
                <w:rFonts w:ascii="Times New Roman"/>
                <w:sz w:val="18"/>
              </w:rPr>
              <w:t>29</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4" w:right="0"/>
              <w:jc w:val="left"/>
              <w:rPr>
                <w:rFonts w:ascii="宋体" w:hAnsi="宋体" w:cs="宋体" w:eastAsia="宋体" w:hint="default"/>
                <w:sz w:val="18"/>
                <w:szCs w:val="18"/>
              </w:rPr>
            </w:pPr>
            <w:r>
              <w:rPr>
                <w:rFonts w:ascii="宋体" w:hAnsi="宋体" w:cs="宋体" w:eastAsia="宋体" w:hint="default"/>
                <w:sz w:val="18"/>
                <w:szCs w:val="18"/>
              </w:rPr>
              <w:t>室内机（</w:t>
            </w:r>
            <w:r>
              <w:rPr>
                <w:rFonts w:ascii="Times New Roman" w:hAnsi="Times New Roman" w:cs="Times New Roman" w:eastAsia="Times New Roman" w:hint="default"/>
                <w:sz w:val="18"/>
                <w:szCs w:val="18"/>
              </w:rPr>
              <w:t>HY-152BVC8</w:t>
            </w:r>
            <w:r>
              <w:rPr>
                <w:rFonts w:ascii="宋体" w:hAnsi="宋体" w:cs="宋体" w:eastAsia="宋体" w:hint="default"/>
                <w:sz w:val="18"/>
                <w:szCs w:val="18"/>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67"/>
              <w:jc w:val="right"/>
              <w:rPr>
                <w:rFonts w:ascii="Times New Roman" w:hAnsi="Times New Roman" w:cs="Times New Roman" w:eastAsia="Times New Roman" w:hint="default"/>
                <w:sz w:val="18"/>
                <w:szCs w:val="18"/>
              </w:rPr>
            </w:pPr>
            <w:r>
              <w:rPr>
                <w:rFonts w:ascii="Times New Roman"/>
                <w:spacing w:val="-1"/>
                <w:sz w:val="18"/>
              </w:rPr>
              <w:t>ZL200930250415.4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51"/>
              <w:jc w:val="right"/>
              <w:rPr>
                <w:rFonts w:ascii="Times New Roman" w:hAnsi="Times New Roman" w:cs="Times New Roman" w:eastAsia="Times New Roman" w:hint="default"/>
                <w:sz w:val="18"/>
                <w:szCs w:val="18"/>
              </w:rPr>
            </w:pPr>
            <w:r>
              <w:rPr>
                <w:rFonts w:ascii="Times New Roman"/>
                <w:sz w:val="18"/>
              </w:rPr>
              <w:t>30</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35" w:right="0"/>
              <w:jc w:val="left"/>
              <w:rPr>
                <w:rFonts w:ascii="宋体" w:hAnsi="宋体" w:cs="宋体" w:eastAsia="宋体" w:hint="default"/>
                <w:sz w:val="18"/>
                <w:szCs w:val="18"/>
              </w:rPr>
            </w:pPr>
            <w:r>
              <w:rPr>
                <w:rFonts w:ascii="宋体" w:hAnsi="宋体" w:cs="宋体" w:eastAsia="宋体" w:hint="default"/>
                <w:sz w:val="18"/>
                <w:szCs w:val="18"/>
              </w:rPr>
              <w:t>室内分机（</w:t>
            </w:r>
            <w:r>
              <w:rPr>
                <w:rFonts w:ascii="Times New Roman" w:hAnsi="Times New Roman" w:cs="Times New Roman" w:eastAsia="Times New Roman" w:hint="default"/>
                <w:sz w:val="18"/>
                <w:szCs w:val="18"/>
              </w:rPr>
              <w:t>HY-159BV6</w:t>
            </w:r>
            <w:r>
              <w:rPr>
                <w:rFonts w:ascii="宋体" w:hAnsi="宋体" w:cs="宋体" w:eastAsia="宋体" w:hint="default"/>
                <w:sz w:val="18"/>
                <w:szCs w:val="18"/>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67"/>
              <w:jc w:val="right"/>
              <w:rPr>
                <w:rFonts w:ascii="Times New Roman" w:hAnsi="Times New Roman" w:cs="Times New Roman" w:eastAsia="Times New Roman" w:hint="default"/>
                <w:sz w:val="18"/>
                <w:szCs w:val="18"/>
              </w:rPr>
            </w:pPr>
            <w:r>
              <w:rPr>
                <w:rFonts w:ascii="Times New Roman"/>
                <w:spacing w:val="-1"/>
                <w:sz w:val="18"/>
              </w:rPr>
              <w:t>ZL200930250418.8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73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51"/>
              <w:jc w:val="right"/>
              <w:rPr>
                <w:rFonts w:ascii="Times New Roman" w:hAnsi="Times New Roman" w:cs="Times New Roman" w:eastAsia="Times New Roman" w:hint="default"/>
                <w:sz w:val="18"/>
                <w:szCs w:val="18"/>
              </w:rPr>
            </w:pPr>
            <w:r>
              <w:rPr>
                <w:rFonts w:ascii="Times New Roman"/>
                <w:sz w:val="18"/>
              </w:rPr>
              <w:t>31</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报警控制面板</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AJB-A751A/AJB-A751F</w:t>
            </w:r>
            <w:r>
              <w:rPr>
                <w:rFonts w:ascii="宋体" w:hAnsi="宋体" w:cs="宋体" w:eastAsia="宋体" w:hint="default"/>
                <w:sz w:val="18"/>
                <w:szCs w:val="18"/>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7"/>
              <w:jc w:val="right"/>
              <w:rPr>
                <w:rFonts w:ascii="Times New Roman" w:hAnsi="Times New Roman" w:cs="Times New Roman" w:eastAsia="Times New Roman" w:hint="default"/>
                <w:sz w:val="18"/>
                <w:szCs w:val="18"/>
              </w:rPr>
            </w:pPr>
            <w:r>
              <w:rPr>
                <w:rFonts w:ascii="Times New Roman"/>
                <w:spacing w:val="-1"/>
                <w:sz w:val="18"/>
              </w:rPr>
              <w:t>ZL200930250420.5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51"/>
              <w:jc w:val="right"/>
              <w:rPr>
                <w:rFonts w:ascii="Times New Roman" w:hAnsi="Times New Roman" w:cs="Times New Roman" w:eastAsia="Times New Roman" w:hint="default"/>
                <w:sz w:val="18"/>
                <w:szCs w:val="18"/>
              </w:rPr>
            </w:pPr>
            <w:r>
              <w:rPr>
                <w:rFonts w:ascii="Times New Roman"/>
                <w:sz w:val="18"/>
              </w:rPr>
              <w:t>32</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64" w:right="0"/>
              <w:jc w:val="left"/>
              <w:rPr>
                <w:rFonts w:ascii="宋体" w:hAnsi="宋体" w:cs="宋体" w:eastAsia="宋体" w:hint="default"/>
                <w:sz w:val="18"/>
                <w:szCs w:val="18"/>
              </w:rPr>
            </w:pPr>
            <w:r>
              <w:rPr>
                <w:rFonts w:ascii="宋体" w:hAnsi="宋体" w:cs="宋体" w:eastAsia="宋体" w:hint="default"/>
                <w:sz w:val="18"/>
                <w:szCs w:val="18"/>
              </w:rPr>
              <w:t>室内机（</w:t>
            </w:r>
            <w:r>
              <w:rPr>
                <w:rFonts w:ascii="Times New Roman" w:hAnsi="Times New Roman" w:cs="Times New Roman" w:eastAsia="Times New Roman" w:hint="default"/>
                <w:sz w:val="18"/>
                <w:szCs w:val="18"/>
              </w:rPr>
              <w:t>HY-152BVC7</w:t>
            </w:r>
            <w:r>
              <w:rPr>
                <w:rFonts w:ascii="宋体" w:hAnsi="宋体" w:cs="宋体" w:eastAsia="宋体" w:hint="default"/>
                <w:sz w:val="18"/>
                <w:szCs w:val="18"/>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7"/>
              <w:jc w:val="right"/>
              <w:rPr>
                <w:rFonts w:ascii="Times New Roman" w:hAnsi="Times New Roman" w:cs="Times New Roman" w:eastAsia="Times New Roman" w:hint="default"/>
                <w:sz w:val="18"/>
                <w:szCs w:val="18"/>
              </w:rPr>
            </w:pPr>
            <w:r>
              <w:rPr>
                <w:rFonts w:ascii="Times New Roman"/>
                <w:spacing w:val="-1"/>
                <w:sz w:val="18"/>
              </w:rPr>
              <w:t>ZL200930250416.9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51"/>
              <w:jc w:val="right"/>
              <w:rPr>
                <w:rFonts w:ascii="Times New Roman" w:hAnsi="Times New Roman" w:cs="Times New Roman" w:eastAsia="Times New Roman" w:hint="default"/>
                <w:sz w:val="18"/>
                <w:szCs w:val="18"/>
              </w:rPr>
            </w:pPr>
            <w:r>
              <w:rPr>
                <w:rFonts w:ascii="Times New Roman"/>
                <w:sz w:val="18"/>
              </w:rPr>
              <w:t>33</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35" w:right="0"/>
              <w:jc w:val="left"/>
              <w:rPr>
                <w:rFonts w:ascii="宋体" w:hAnsi="宋体" w:cs="宋体" w:eastAsia="宋体" w:hint="default"/>
                <w:sz w:val="18"/>
                <w:szCs w:val="18"/>
              </w:rPr>
            </w:pPr>
            <w:r>
              <w:rPr>
                <w:rFonts w:ascii="宋体" w:hAnsi="宋体" w:cs="宋体" w:eastAsia="宋体" w:hint="default"/>
                <w:sz w:val="18"/>
                <w:szCs w:val="18"/>
              </w:rPr>
              <w:t>室内分机（</w:t>
            </w:r>
            <w:r>
              <w:rPr>
                <w:rFonts w:ascii="Times New Roman" w:hAnsi="Times New Roman" w:cs="Times New Roman" w:eastAsia="Times New Roman" w:hint="default"/>
                <w:sz w:val="18"/>
                <w:szCs w:val="18"/>
              </w:rPr>
              <w:t>HY-152BV6</w:t>
            </w:r>
            <w:r>
              <w:rPr>
                <w:rFonts w:ascii="宋体" w:hAnsi="宋体" w:cs="宋体" w:eastAsia="宋体" w:hint="default"/>
                <w:sz w:val="18"/>
                <w:szCs w:val="18"/>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7"/>
              <w:jc w:val="right"/>
              <w:rPr>
                <w:rFonts w:ascii="Times New Roman" w:hAnsi="Times New Roman" w:cs="Times New Roman" w:eastAsia="Times New Roman" w:hint="default"/>
                <w:sz w:val="18"/>
                <w:szCs w:val="18"/>
              </w:rPr>
            </w:pPr>
            <w:r>
              <w:rPr>
                <w:rFonts w:ascii="Times New Roman"/>
                <w:spacing w:val="-1"/>
                <w:sz w:val="18"/>
              </w:rPr>
              <w:t>ZL200930250417.3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51"/>
              <w:jc w:val="right"/>
              <w:rPr>
                <w:rFonts w:ascii="Times New Roman" w:hAnsi="Times New Roman" w:cs="Times New Roman" w:eastAsia="Times New Roman" w:hint="default"/>
                <w:sz w:val="18"/>
                <w:szCs w:val="18"/>
              </w:rPr>
            </w:pPr>
            <w:r>
              <w:rPr>
                <w:rFonts w:ascii="Times New Roman"/>
                <w:sz w:val="18"/>
              </w:rPr>
              <w:t>34</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95" w:right="0"/>
              <w:jc w:val="left"/>
              <w:rPr>
                <w:rFonts w:ascii="宋体" w:hAnsi="宋体" w:cs="宋体" w:eastAsia="宋体" w:hint="default"/>
                <w:sz w:val="18"/>
                <w:szCs w:val="18"/>
              </w:rPr>
            </w:pPr>
            <w:r>
              <w:rPr>
                <w:rFonts w:ascii="宋体" w:hAnsi="宋体" w:cs="宋体" w:eastAsia="宋体" w:hint="default"/>
                <w:sz w:val="18"/>
                <w:szCs w:val="18"/>
              </w:rPr>
              <w:t>室外机（</w:t>
            </w:r>
            <w:r>
              <w:rPr>
                <w:rFonts w:ascii="Times New Roman" w:hAnsi="Times New Roman" w:cs="Times New Roman" w:eastAsia="Times New Roman" w:hint="default"/>
                <w:sz w:val="18"/>
                <w:szCs w:val="18"/>
              </w:rPr>
              <w:t>DF2000ATV/11</w:t>
            </w:r>
            <w:r>
              <w:rPr>
                <w:rFonts w:ascii="宋体" w:hAnsi="宋体" w:cs="宋体" w:eastAsia="宋体" w:hint="default"/>
                <w:sz w:val="18"/>
                <w:szCs w:val="18"/>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7"/>
              <w:jc w:val="right"/>
              <w:rPr>
                <w:rFonts w:ascii="Times New Roman" w:hAnsi="Times New Roman" w:cs="Times New Roman" w:eastAsia="Times New Roman" w:hint="default"/>
                <w:sz w:val="18"/>
                <w:szCs w:val="18"/>
              </w:rPr>
            </w:pPr>
            <w:r>
              <w:rPr>
                <w:rFonts w:ascii="Times New Roman"/>
                <w:spacing w:val="-1"/>
                <w:sz w:val="18"/>
              </w:rPr>
              <w:t>ZL200930250419.2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51"/>
              <w:jc w:val="right"/>
              <w:rPr>
                <w:rFonts w:ascii="Times New Roman" w:hAnsi="Times New Roman" w:cs="Times New Roman" w:eastAsia="Times New Roman" w:hint="default"/>
                <w:sz w:val="18"/>
                <w:szCs w:val="18"/>
              </w:rPr>
            </w:pPr>
            <w:r>
              <w:rPr>
                <w:rFonts w:ascii="Times New Roman"/>
                <w:sz w:val="18"/>
              </w:rPr>
              <w:t>35</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06" w:right="0"/>
              <w:jc w:val="left"/>
              <w:rPr>
                <w:rFonts w:ascii="宋体" w:hAnsi="宋体" w:cs="宋体" w:eastAsia="宋体" w:hint="default"/>
                <w:sz w:val="18"/>
                <w:szCs w:val="18"/>
              </w:rPr>
            </w:pPr>
            <w:r>
              <w:rPr>
                <w:rFonts w:ascii="宋体" w:hAnsi="宋体" w:cs="宋体" w:eastAsia="宋体" w:hint="default"/>
                <w:sz w:val="18"/>
                <w:szCs w:val="18"/>
              </w:rPr>
              <w:t>拉绳式求助按钮（</w:t>
            </w:r>
            <w:r>
              <w:rPr>
                <w:rFonts w:ascii="Times New Roman" w:hAnsi="Times New Roman" w:cs="Times New Roman" w:eastAsia="Times New Roman" w:hint="default"/>
                <w:sz w:val="18"/>
                <w:szCs w:val="18"/>
              </w:rPr>
              <w:t>AJB-523</w:t>
            </w:r>
            <w:r>
              <w:rPr>
                <w:rFonts w:ascii="宋体" w:hAnsi="宋体" w:cs="宋体" w:eastAsia="宋体" w:hint="default"/>
                <w:sz w:val="18"/>
                <w:szCs w:val="18"/>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7"/>
              <w:jc w:val="right"/>
              <w:rPr>
                <w:rFonts w:ascii="Times New Roman" w:hAnsi="Times New Roman" w:cs="Times New Roman" w:eastAsia="Times New Roman" w:hint="default"/>
                <w:sz w:val="18"/>
                <w:szCs w:val="18"/>
              </w:rPr>
            </w:pPr>
            <w:r>
              <w:rPr>
                <w:rFonts w:ascii="Times New Roman"/>
                <w:spacing w:val="-1"/>
                <w:sz w:val="18"/>
              </w:rPr>
              <w:t>ZL200930067454.0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bl>
    <w:p>
      <w:pPr>
        <w:spacing w:after="0" w:line="240" w:lineRule="auto"/>
        <w:jc w:val="center"/>
        <w:rPr>
          <w:rFonts w:ascii="宋体" w:hAnsi="宋体" w:cs="宋体" w:eastAsia="宋体" w:hint="default"/>
          <w:sz w:val="18"/>
          <w:szCs w:val="18"/>
        </w:rPr>
        <w:sectPr>
          <w:pgSz w:w="11910" w:h="16840"/>
          <w:pgMar w:header="0" w:footer="1227" w:top="1100" w:bottom="1420" w:left="980" w:right="860"/>
        </w:sectPr>
      </w:pPr>
    </w:p>
    <w:p>
      <w:pPr>
        <w:spacing w:line="240" w:lineRule="auto" w:before="11"/>
        <w:rPr>
          <w:rFonts w:ascii="Times New Roman" w:hAnsi="Times New Roman" w:cs="Times New Roman" w:eastAsia="Times New Roman"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708"/>
        <w:gridCol w:w="2696"/>
        <w:gridCol w:w="1985"/>
        <w:gridCol w:w="1274"/>
        <w:gridCol w:w="1702"/>
        <w:gridCol w:w="1416"/>
      </w:tblGrid>
      <w:tr>
        <w:trPr>
          <w:trHeight w:val="42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36</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80" w:right="0"/>
              <w:jc w:val="left"/>
              <w:rPr>
                <w:rFonts w:ascii="宋体" w:hAnsi="宋体" w:cs="宋体" w:eastAsia="宋体" w:hint="default"/>
                <w:sz w:val="18"/>
                <w:szCs w:val="18"/>
              </w:rPr>
            </w:pPr>
            <w:r>
              <w:rPr>
                <w:rFonts w:ascii="宋体" w:hAnsi="宋体" w:cs="宋体" w:eastAsia="宋体" w:hint="default"/>
                <w:sz w:val="18"/>
                <w:szCs w:val="18"/>
              </w:rPr>
              <w:t>彩色免提分机（</w:t>
            </w:r>
            <w:r>
              <w:rPr>
                <w:rFonts w:ascii="Times New Roman" w:hAnsi="Times New Roman" w:cs="Times New Roman" w:eastAsia="Times New Roman" w:hint="default"/>
                <w:sz w:val="18"/>
                <w:szCs w:val="18"/>
              </w:rPr>
              <w:t>F10D7</w:t>
            </w:r>
            <w:r>
              <w:rPr>
                <w:rFonts w:ascii="宋体" w:hAnsi="宋体" w:cs="宋体" w:eastAsia="宋体" w:hint="default"/>
                <w:sz w:val="18"/>
                <w:szCs w:val="18"/>
              </w:rPr>
              <w:t>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7"/>
              <w:jc w:val="right"/>
              <w:rPr>
                <w:rFonts w:ascii="Times New Roman" w:hAnsi="Times New Roman" w:cs="Times New Roman" w:eastAsia="Times New Roman" w:hint="default"/>
                <w:sz w:val="18"/>
                <w:szCs w:val="18"/>
              </w:rPr>
            </w:pPr>
            <w:r>
              <w:rPr>
                <w:rFonts w:ascii="Times New Roman"/>
                <w:spacing w:val="-1"/>
                <w:sz w:val="18"/>
              </w:rPr>
              <w:t>ZL201030569295.7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37</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8" w:right="0"/>
              <w:jc w:val="left"/>
              <w:rPr>
                <w:rFonts w:ascii="宋体" w:hAnsi="宋体" w:cs="宋体" w:eastAsia="宋体" w:hint="default"/>
                <w:sz w:val="18"/>
                <w:szCs w:val="18"/>
              </w:rPr>
            </w:pPr>
            <w:r>
              <w:rPr>
                <w:rFonts w:ascii="宋体" w:hAnsi="宋体" w:cs="宋体" w:eastAsia="宋体" w:hint="default"/>
                <w:sz w:val="18"/>
                <w:szCs w:val="18"/>
              </w:rPr>
              <w:t>彩色免提分机（</w:t>
            </w:r>
            <w:r>
              <w:rPr>
                <w:rFonts w:ascii="Times New Roman" w:hAnsi="Times New Roman" w:cs="Times New Roman" w:eastAsia="Times New Roman" w:hint="default"/>
                <w:sz w:val="18"/>
                <w:szCs w:val="18"/>
              </w:rPr>
              <w:t>F10B3.5</w:t>
            </w:r>
            <w:r>
              <w:rPr>
                <w:rFonts w:ascii="宋体" w:hAnsi="宋体" w:cs="宋体" w:eastAsia="宋体" w:hint="default"/>
                <w:sz w:val="18"/>
                <w:szCs w:val="18"/>
              </w:rPr>
              <w:t>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7"/>
              <w:jc w:val="right"/>
              <w:rPr>
                <w:rFonts w:ascii="Times New Roman" w:hAnsi="Times New Roman" w:cs="Times New Roman" w:eastAsia="Times New Roman" w:hint="default"/>
                <w:sz w:val="18"/>
                <w:szCs w:val="18"/>
              </w:rPr>
            </w:pPr>
            <w:r>
              <w:rPr>
                <w:rFonts w:ascii="Times New Roman"/>
                <w:spacing w:val="-1"/>
                <w:sz w:val="18"/>
              </w:rPr>
              <w:t>ZL201030569296.1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38</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74" w:right="0"/>
              <w:jc w:val="left"/>
              <w:rPr>
                <w:rFonts w:ascii="宋体" w:hAnsi="宋体" w:cs="宋体" w:eastAsia="宋体" w:hint="default"/>
                <w:sz w:val="18"/>
                <w:szCs w:val="18"/>
              </w:rPr>
            </w:pPr>
            <w:r>
              <w:rPr>
                <w:rFonts w:ascii="宋体" w:hAnsi="宋体" w:cs="宋体" w:eastAsia="宋体" w:hint="default"/>
                <w:sz w:val="18"/>
                <w:szCs w:val="18"/>
              </w:rPr>
              <w:t>可视对讲终端（</w:t>
            </w:r>
            <w:r>
              <w:rPr>
                <w:rFonts w:ascii="Times New Roman" w:hAnsi="Times New Roman" w:cs="Times New Roman" w:eastAsia="Times New Roman" w:hint="default"/>
                <w:sz w:val="18"/>
                <w:szCs w:val="18"/>
              </w:rPr>
              <w:t>10.1</w:t>
            </w:r>
            <w:r>
              <w:rPr>
                <w:rFonts w:ascii="宋体" w:hAnsi="宋体" w:cs="宋体" w:eastAsia="宋体" w:hint="default"/>
                <w:sz w:val="18"/>
                <w:szCs w:val="18"/>
              </w:rPr>
              <w:t>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7"/>
              <w:jc w:val="right"/>
              <w:rPr>
                <w:rFonts w:ascii="Times New Roman" w:hAnsi="Times New Roman" w:cs="Times New Roman" w:eastAsia="Times New Roman" w:hint="default"/>
                <w:sz w:val="18"/>
                <w:szCs w:val="18"/>
              </w:rPr>
            </w:pPr>
            <w:r>
              <w:rPr>
                <w:rFonts w:ascii="Times New Roman"/>
                <w:spacing w:val="-1"/>
                <w:sz w:val="18"/>
              </w:rPr>
              <w:t>ZL201030289093.7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39</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84" w:right="0"/>
              <w:jc w:val="left"/>
              <w:rPr>
                <w:rFonts w:ascii="宋体" w:hAnsi="宋体" w:cs="宋体" w:eastAsia="宋体" w:hint="default"/>
                <w:sz w:val="18"/>
                <w:szCs w:val="18"/>
              </w:rPr>
            </w:pPr>
            <w:r>
              <w:rPr>
                <w:rFonts w:ascii="宋体" w:hAnsi="宋体" w:cs="宋体" w:eastAsia="宋体" w:hint="default"/>
                <w:sz w:val="18"/>
                <w:szCs w:val="18"/>
              </w:rPr>
              <w:t>可视对讲终端（</w:t>
            </w:r>
            <w:r>
              <w:rPr>
                <w:rFonts w:ascii="Times New Roman" w:hAnsi="Times New Roman" w:cs="Times New Roman" w:eastAsia="Times New Roman" w:hint="default"/>
                <w:sz w:val="18"/>
                <w:szCs w:val="18"/>
              </w:rPr>
              <w:t>7</w:t>
            </w:r>
            <w:r>
              <w:rPr>
                <w:rFonts w:ascii="宋体" w:hAnsi="宋体" w:cs="宋体" w:eastAsia="宋体" w:hint="default"/>
                <w:sz w:val="18"/>
                <w:szCs w:val="18"/>
              </w:rPr>
              <w:t>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46"/>
              <w:jc w:val="right"/>
              <w:rPr>
                <w:rFonts w:ascii="Times New Roman" w:hAnsi="Times New Roman" w:cs="Times New Roman" w:eastAsia="Times New Roman" w:hint="default"/>
                <w:sz w:val="18"/>
                <w:szCs w:val="18"/>
              </w:rPr>
            </w:pPr>
            <w:r>
              <w:rPr>
                <w:rFonts w:ascii="Times New Roman"/>
                <w:spacing w:val="-1"/>
                <w:sz w:val="18"/>
              </w:rPr>
              <w:t>ZL201030289115.X</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40</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04" w:right="0"/>
              <w:jc w:val="left"/>
              <w:rPr>
                <w:rFonts w:ascii="宋体" w:hAnsi="宋体" w:cs="宋体" w:eastAsia="宋体" w:hint="default"/>
                <w:sz w:val="18"/>
                <w:szCs w:val="18"/>
              </w:rPr>
            </w:pPr>
            <w:r>
              <w:rPr>
                <w:rFonts w:ascii="宋体" w:hAnsi="宋体" w:cs="宋体" w:eastAsia="宋体" w:hint="default"/>
                <w:sz w:val="18"/>
                <w:szCs w:val="18"/>
              </w:rPr>
              <w:t>台式可视对讲终端（</w:t>
            </w:r>
            <w:r>
              <w:rPr>
                <w:rFonts w:ascii="Times New Roman" w:hAnsi="Times New Roman" w:cs="Times New Roman" w:eastAsia="Times New Roman" w:hint="default"/>
                <w:sz w:val="18"/>
                <w:szCs w:val="18"/>
              </w:rPr>
              <w:t>7</w:t>
            </w:r>
            <w:r>
              <w:rPr>
                <w:rFonts w:ascii="宋体" w:hAnsi="宋体" w:cs="宋体" w:eastAsia="宋体" w:hint="default"/>
                <w:sz w:val="18"/>
                <w:szCs w:val="18"/>
              </w:rPr>
              <w:t>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95"/>
              <w:jc w:val="right"/>
              <w:rPr>
                <w:rFonts w:ascii="Times New Roman" w:hAnsi="Times New Roman" w:cs="Times New Roman" w:eastAsia="Times New Roman" w:hint="default"/>
                <w:sz w:val="18"/>
                <w:szCs w:val="18"/>
              </w:rPr>
            </w:pPr>
            <w:r>
              <w:rPr>
                <w:rFonts w:ascii="Times New Roman"/>
                <w:spacing w:val="-1"/>
                <w:sz w:val="18"/>
              </w:rPr>
              <w:t>ZL201030289113.0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5"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41</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27" w:right="0"/>
              <w:jc w:val="left"/>
              <w:rPr>
                <w:rFonts w:ascii="宋体" w:hAnsi="宋体" w:cs="宋体" w:eastAsia="宋体" w:hint="default"/>
                <w:sz w:val="18"/>
                <w:szCs w:val="18"/>
              </w:rPr>
            </w:pPr>
            <w:r>
              <w:rPr>
                <w:rFonts w:ascii="宋体" w:hAnsi="宋体" w:cs="宋体" w:eastAsia="宋体" w:hint="default"/>
                <w:sz w:val="18"/>
                <w:szCs w:val="18"/>
              </w:rPr>
              <w:t>彩色免提分机（</w:t>
            </w:r>
            <w:r>
              <w:rPr>
                <w:rFonts w:ascii="Times New Roman" w:hAnsi="Times New Roman" w:cs="Times New Roman" w:eastAsia="Times New Roman" w:hint="default"/>
                <w:sz w:val="18"/>
                <w:szCs w:val="18"/>
              </w:rPr>
              <w:t>FJ11B 4</w:t>
            </w:r>
            <w:r>
              <w:rPr>
                <w:rFonts w:ascii="宋体" w:hAnsi="宋体" w:cs="宋体" w:eastAsia="宋体" w:hint="default"/>
                <w:sz w:val="18"/>
                <w:szCs w:val="18"/>
              </w:rPr>
              <w:t>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76" w:right="0"/>
              <w:jc w:val="left"/>
              <w:rPr>
                <w:rFonts w:ascii="Times New Roman" w:hAnsi="Times New Roman" w:cs="Times New Roman" w:eastAsia="Times New Roman" w:hint="default"/>
                <w:sz w:val="18"/>
                <w:szCs w:val="18"/>
              </w:rPr>
            </w:pPr>
            <w:r>
              <w:rPr>
                <w:rFonts w:ascii="Times New Roman"/>
                <w:sz w:val="18"/>
              </w:rPr>
              <w:t>201130369597.4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 w:right="0"/>
              <w:jc w:val="center"/>
              <w:rPr>
                <w:rFonts w:ascii="Times New Roman" w:hAnsi="Times New Roman" w:cs="Times New Roman" w:eastAsia="Times New Roman" w:hint="default"/>
                <w:sz w:val="18"/>
                <w:szCs w:val="18"/>
              </w:rPr>
            </w:pPr>
            <w:r>
              <w:rPr>
                <w:rFonts w:ascii="Times New Roman"/>
                <w:sz w:val="18"/>
              </w:rPr>
              <w:t>42</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27" w:right="0"/>
              <w:jc w:val="left"/>
              <w:rPr>
                <w:rFonts w:ascii="宋体" w:hAnsi="宋体" w:cs="宋体" w:eastAsia="宋体" w:hint="default"/>
                <w:sz w:val="18"/>
                <w:szCs w:val="18"/>
              </w:rPr>
            </w:pPr>
            <w:r>
              <w:rPr>
                <w:rFonts w:ascii="宋体" w:hAnsi="宋体" w:cs="宋体" w:eastAsia="宋体" w:hint="default"/>
                <w:sz w:val="18"/>
                <w:szCs w:val="18"/>
              </w:rPr>
              <w:t>彩色免提分机（</w:t>
            </w:r>
            <w:r>
              <w:rPr>
                <w:rFonts w:ascii="Times New Roman" w:hAnsi="Times New Roman" w:cs="Times New Roman" w:eastAsia="Times New Roman" w:hint="default"/>
                <w:sz w:val="18"/>
                <w:szCs w:val="18"/>
              </w:rPr>
              <w:t>FJ11C 7</w:t>
            </w:r>
            <w:r>
              <w:rPr>
                <w:rFonts w:ascii="宋体" w:hAnsi="宋体" w:cs="宋体" w:eastAsia="宋体" w:hint="default"/>
                <w:sz w:val="18"/>
                <w:szCs w:val="18"/>
              </w:rPr>
              <w:t>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76" w:right="0"/>
              <w:jc w:val="left"/>
              <w:rPr>
                <w:rFonts w:ascii="Times New Roman" w:hAnsi="Times New Roman" w:cs="Times New Roman" w:eastAsia="Times New Roman" w:hint="default"/>
                <w:sz w:val="18"/>
                <w:szCs w:val="18"/>
              </w:rPr>
            </w:pPr>
            <w:r>
              <w:rPr>
                <w:rFonts w:ascii="Times New Roman"/>
                <w:sz w:val="18"/>
              </w:rPr>
              <w:t>201130369594.0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 w:right="0"/>
              <w:jc w:val="center"/>
              <w:rPr>
                <w:rFonts w:ascii="Times New Roman" w:hAnsi="Times New Roman" w:cs="Times New Roman" w:eastAsia="Times New Roman" w:hint="default"/>
                <w:sz w:val="18"/>
                <w:szCs w:val="18"/>
              </w:rPr>
            </w:pPr>
            <w:r>
              <w:rPr>
                <w:rFonts w:ascii="Times New Roman"/>
                <w:sz w:val="18"/>
              </w:rPr>
              <w:t>43</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23" w:right="0"/>
              <w:jc w:val="left"/>
              <w:rPr>
                <w:rFonts w:ascii="宋体" w:hAnsi="宋体" w:cs="宋体" w:eastAsia="宋体" w:hint="default"/>
                <w:sz w:val="18"/>
                <w:szCs w:val="18"/>
              </w:rPr>
            </w:pPr>
            <w:r>
              <w:rPr>
                <w:rFonts w:ascii="宋体" w:hAnsi="宋体" w:cs="宋体" w:eastAsia="宋体" w:hint="default"/>
                <w:sz w:val="18"/>
                <w:szCs w:val="18"/>
              </w:rPr>
              <w:t>彩色免提分机（</w:t>
            </w:r>
            <w:r>
              <w:rPr>
                <w:rFonts w:ascii="Times New Roman" w:hAnsi="Times New Roman" w:cs="Times New Roman" w:eastAsia="Times New Roman" w:hint="default"/>
                <w:sz w:val="18"/>
                <w:szCs w:val="18"/>
              </w:rPr>
              <w:t>FJ11D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76" w:right="0"/>
              <w:jc w:val="left"/>
              <w:rPr>
                <w:rFonts w:ascii="Times New Roman" w:hAnsi="Times New Roman" w:cs="Times New Roman" w:eastAsia="Times New Roman" w:hint="default"/>
                <w:sz w:val="18"/>
                <w:szCs w:val="18"/>
              </w:rPr>
            </w:pPr>
            <w:r>
              <w:rPr>
                <w:rFonts w:ascii="Times New Roman"/>
                <w:sz w:val="18"/>
              </w:rPr>
              <w:t>201130369570.5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 w:right="0"/>
              <w:jc w:val="center"/>
              <w:rPr>
                <w:rFonts w:ascii="Times New Roman" w:hAnsi="Times New Roman" w:cs="Times New Roman" w:eastAsia="Times New Roman" w:hint="default"/>
                <w:sz w:val="18"/>
                <w:szCs w:val="18"/>
              </w:rPr>
            </w:pPr>
            <w:r>
              <w:rPr>
                <w:rFonts w:ascii="Times New Roman"/>
                <w:sz w:val="18"/>
              </w:rPr>
              <w:t>44</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50" w:right="0"/>
              <w:jc w:val="left"/>
              <w:rPr>
                <w:rFonts w:ascii="宋体" w:hAnsi="宋体" w:cs="宋体" w:eastAsia="宋体" w:hint="default"/>
                <w:sz w:val="18"/>
                <w:szCs w:val="18"/>
              </w:rPr>
            </w:pPr>
            <w:r>
              <w:rPr>
                <w:rFonts w:ascii="宋体" w:hAnsi="宋体" w:cs="宋体" w:eastAsia="宋体" w:hint="default"/>
                <w:sz w:val="18"/>
                <w:szCs w:val="18"/>
              </w:rPr>
              <w:t>室外机（</w:t>
            </w:r>
            <w:r>
              <w:rPr>
                <w:rFonts w:ascii="Times New Roman" w:hAnsi="Times New Roman" w:cs="Times New Roman" w:eastAsia="Times New Roman" w:hint="default"/>
                <w:sz w:val="18"/>
                <w:szCs w:val="18"/>
              </w:rPr>
              <w:t>ZJ10B</w:t>
            </w:r>
            <w:r>
              <w:rPr>
                <w:rFonts w:ascii="宋体" w:hAnsi="宋体" w:cs="宋体" w:eastAsia="宋体" w:hint="default"/>
                <w:sz w:val="18"/>
                <w:szCs w:val="18"/>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76" w:right="0"/>
              <w:jc w:val="left"/>
              <w:rPr>
                <w:rFonts w:ascii="Times New Roman" w:hAnsi="Times New Roman" w:cs="Times New Roman" w:eastAsia="Times New Roman" w:hint="default"/>
                <w:sz w:val="18"/>
                <w:szCs w:val="18"/>
              </w:rPr>
            </w:pPr>
            <w:r>
              <w:rPr>
                <w:rFonts w:ascii="Times New Roman"/>
                <w:sz w:val="18"/>
              </w:rPr>
              <w:t>201130369585.1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 w:right="0"/>
              <w:jc w:val="center"/>
              <w:rPr>
                <w:rFonts w:ascii="Times New Roman" w:hAnsi="Times New Roman" w:cs="Times New Roman" w:eastAsia="Times New Roman" w:hint="default"/>
                <w:sz w:val="18"/>
                <w:szCs w:val="18"/>
              </w:rPr>
            </w:pPr>
            <w:r>
              <w:rPr>
                <w:rFonts w:ascii="Times New Roman"/>
                <w:sz w:val="18"/>
              </w:rPr>
              <w:t>45</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50" w:right="0"/>
              <w:jc w:val="left"/>
              <w:rPr>
                <w:rFonts w:ascii="宋体" w:hAnsi="宋体" w:cs="宋体" w:eastAsia="宋体" w:hint="default"/>
                <w:sz w:val="18"/>
                <w:szCs w:val="18"/>
              </w:rPr>
            </w:pPr>
            <w:r>
              <w:rPr>
                <w:rFonts w:ascii="宋体" w:hAnsi="宋体" w:cs="宋体" w:eastAsia="宋体" w:hint="default"/>
                <w:sz w:val="18"/>
                <w:szCs w:val="18"/>
              </w:rPr>
              <w:t>室外机（</w:t>
            </w:r>
            <w:r>
              <w:rPr>
                <w:rFonts w:ascii="Times New Roman" w:hAnsi="Times New Roman" w:cs="Times New Roman" w:eastAsia="Times New Roman" w:hint="default"/>
                <w:sz w:val="18"/>
                <w:szCs w:val="18"/>
              </w:rPr>
              <w:t>ZJ11B</w:t>
            </w:r>
            <w:r>
              <w:rPr>
                <w:rFonts w:ascii="宋体" w:hAnsi="宋体" w:cs="宋体" w:eastAsia="宋体" w:hint="default"/>
                <w:sz w:val="18"/>
                <w:szCs w:val="18"/>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76" w:right="0"/>
              <w:jc w:val="left"/>
              <w:rPr>
                <w:rFonts w:ascii="Times New Roman" w:hAnsi="Times New Roman" w:cs="Times New Roman" w:eastAsia="Times New Roman" w:hint="default"/>
                <w:sz w:val="18"/>
                <w:szCs w:val="18"/>
              </w:rPr>
            </w:pPr>
            <w:r>
              <w:rPr>
                <w:rFonts w:ascii="Times New Roman"/>
                <w:sz w:val="18"/>
              </w:rPr>
              <w:t>201130369604.0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 w:right="0"/>
              <w:jc w:val="center"/>
              <w:rPr>
                <w:rFonts w:ascii="Times New Roman" w:hAnsi="Times New Roman" w:cs="Times New Roman" w:eastAsia="Times New Roman" w:hint="default"/>
                <w:sz w:val="18"/>
                <w:szCs w:val="18"/>
              </w:rPr>
            </w:pPr>
            <w:r>
              <w:rPr>
                <w:rFonts w:ascii="Times New Roman"/>
                <w:sz w:val="18"/>
              </w:rPr>
              <w:t>46</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50" w:right="0"/>
              <w:jc w:val="left"/>
              <w:rPr>
                <w:rFonts w:ascii="宋体" w:hAnsi="宋体" w:cs="宋体" w:eastAsia="宋体" w:hint="default"/>
                <w:sz w:val="18"/>
                <w:szCs w:val="18"/>
              </w:rPr>
            </w:pPr>
            <w:r>
              <w:rPr>
                <w:rFonts w:ascii="宋体" w:hAnsi="宋体" w:cs="宋体" w:eastAsia="宋体" w:hint="default"/>
                <w:sz w:val="18"/>
                <w:szCs w:val="18"/>
              </w:rPr>
              <w:t>室外机（</w:t>
            </w:r>
            <w:r>
              <w:rPr>
                <w:rFonts w:ascii="Times New Roman" w:hAnsi="Times New Roman" w:cs="Times New Roman" w:eastAsia="Times New Roman" w:hint="default"/>
                <w:sz w:val="18"/>
                <w:szCs w:val="18"/>
              </w:rPr>
              <w:t>ZJ11C</w:t>
            </w:r>
            <w:r>
              <w:rPr>
                <w:rFonts w:ascii="宋体" w:hAnsi="宋体" w:cs="宋体" w:eastAsia="宋体" w:hint="default"/>
                <w:sz w:val="18"/>
                <w:szCs w:val="18"/>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76" w:right="0"/>
              <w:jc w:val="left"/>
              <w:rPr>
                <w:rFonts w:ascii="Times New Roman" w:hAnsi="Times New Roman" w:cs="Times New Roman" w:eastAsia="Times New Roman" w:hint="default"/>
                <w:sz w:val="18"/>
                <w:szCs w:val="18"/>
              </w:rPr>
            </w:pPr>
            <w:r>
              <w:rPr>
                <w:rFonts w:ascii="Times New Roman"/>
                <w:sz w:val="18"/>
              </w:rPr>
              <w:t>201130369695.8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47</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z w:val="18"/>
                <w:szCs w:val="18"/>
              </w:rPr>
              <w:t>报警拍录器（</w:t>
            </w:r>
            <w:r>
              <w:rPr>
                <w:rFonts w:ascii="Times New Roman" w:hAnsi="Times New Roman" w:cs="Times New Roman" w:eastAsia="Times New Roman" w:hint="default"/>
                <w:sz w:val="18"/>
                <w:szCs w:val="18"/>
              </w:rPr>
              <w:t>AJB-A781</w:t>
            </w:r>
            <w:r>
              <w:rPr>
                <w:rFonts w:ascii="宋体" w:hAnsi="宋体" w:cs="宋体" w:eastAsia="宋体" w:hint="default"/>
                <w:sz w:val="18"/>
                <w:szCs w:val="18"/>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76" w:right="0"/>
              <w:jc w:val="left"/>
              <w:rPr>
                <w:rFonts w:ascii="Times New Roman" w:hAnsi="Times New Roman" w:cs="Times New Roman" w:eastAsia="Times New Roman" w:hint="default"/>
                <w:sz w:val="18"/>
                <w:szCs w:val="18"/>
              </w:rPr>
            </w:pPr>
            <w:r>
              <w:rPr>
                <w:rFonts w:ascii="Times New Roman"/>
                <w:sz w:val="18"/>
              </w:rPr>
              <w:t>201130369694.3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48</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56"/>
              <w:jc w:val="right"/>
              <w:rPr>
                <w:rFonts w:ascii="宋体" w:hAnsi="宋体" w:cs="宋体" w:eastAsia="宋体" w:hint="default"/>
                <w:sz w:val="18"/>
                <w:szCs w:val="18"/>
              </w:rPr>
            </w:pPr>
            <w:r>
              <w:rPr>
                <w:rFonts w:ascii="宋体" w:hAnsi="宋体" w:cs="宋体" w:eastAsia="宋体" w:hint="default"/>
                <w:w w:val="95"/>
                <w:sz w:val="18"/>
                <w:szCs w:val="18"/>
              </w:rPr>
              <w:t>情景控制器（</w:t>
            </w:r>
            <w:r>
              <w:rPr>
                <w:rFonts w:ascii="Times New Roman" w:hAnsi="Times New Roman" w:cs="Times New Roman" w:eastAsia="Times New Roman" w:hint="default"/>
                <w:w w:val="95"/>
                <w:sz w:val="18"/>
                <w:szCs w:val="18"/>
              </w:rPr>
              <w:t>AJB-JD11BCF</w:t>
            </w:r>
            <w:r>
              <w:rPr>
                <w:rFonts w:ascii="宋体" w:hAnsi="宋体" w:cs="宋体" w:eastAsia="宋体" w:hint="default"/>
                <w:w w:val="95"/>
                <w:sz w:val="18"/>
                <w:szCs w:val="18"/>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76" w:right="0"/>
              <w:jc w:val="left"/>
              <w:rPr>
                <w:rFonts w:ascii="Times New Roman" w:hAnsi="Times New Roman" w:cs="Times New Roman" w:eastAsia="Times New Roman" w:hint="default"/>
                <w:sz w:val="18"/>
                <w:szCs w:val="18"/>
              </w:rPr>
            </w:pPr>
            <w:r>
              <w:rPr>
                <w:rFonts w:ascii="Times New Roman"/>
                <w:sz w:val="18"/>
              </w:rPr>
              <w:t>201130369764.5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49</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96" w:right="0"/>
              <w:jc w:val="left"/>
              <w:rPr>
                <w:rFonts w:ascii="宋体" w:hAnsi="宋体" w:cs="宋体" w:eastAsia="宋体" w:hint="default"/>
                <w:sz w:val="18"/>
                <w:szCs w:val="18"/>
              </w:rPr>
            </w:pPr>
            <w:r>
              <w:rPr>
                <w:rFonts w:ascii="宋体" w:hAnsi="宋体" w:cs="宋体" w:eastAsia="宋体" w:hint="default"/>
                <w:sz w:val="18"/>
                <w:szCs w:val="18"/>
              </w:rPr>
              <w:t>智能插座（</w:t>
            </w:r>
            <w:r>
              <w:rPr>
                <w:rFonts w:ascii="Times New Roman" w:hAnsi="Times New Roman" w:cs="Times New Roman" w:eastAsia="Times New Roman" w:hint="default"/>
                <w:sz w:val="18"/>
                <w:szCs w:val="18"/>
              </w:rPr>
              <w:t>AJB-JD11BSFA</w:t>
            </w:r>
            <w:r>
              <w:rPr>
                <w:rFonts w:ascii="宋体" w:hAnsi="宋体" w:cs="宋体" w:eastAsia="宋体" w:hint="default"/>
                <w:sz w:val="18"/>
                <w:szCs w:val="18"/>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76" w:right="0"/>
              <w:jc w:val="left"/>
              <w:rPr>
                <w:rFonts w:ascii="Times New Roman" w:hAnsi="Times New Roman" w:cs="Times New Roman" w:eastAsia="Times New Roman" w:hint="default"/>
                <w:sz w:val="18"/>
                <w:szCs w:val="18"/>
              </w:rPr>
            </w:pPr>
            <w:r>
              <w:rPr>
                <w:rFonts w:ascii="Times New Roman"/>
                <w:sz w:val="18"/>
              </w:rPr>
              <w:t>201130369762.6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50</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91"/>
              <w:jc w:val="right"/>
              <w:rPr>
                <w:rFonts w:ascii="宋体" w:hAnsi="宋体" w:cs="宋体" w:eastAsia="宋体" w:hint="default"/>
                <w:sz w:val="18"/>
                <w:szCs w:val="18"/>
              </w:rPr>
            </w:pPr>
            <w:r>
              <w:rPr>
                <w:rFonts w:ascii="宋体" w:hAnsi="宋体" w:cs="宋体" w:eastAsia="宋体" w:hint="default"/>
                <w:sz w:val="18"/>
                <w:szCs w:val="18"/>
              </w:rPr>
              <w:t>彩色免提分机（</w:t>
            </w:r>
            <w:r>
              <w:rPr>
                <w:rFonts w:ascii="Times New Roman" w:hAnsi="Times New Roman" w:cs="Times New Roman" w:eastAsia="Times New Roman" w:hint="default"/>
                <w:sz w:val="18"/>
                <w:szCs w:val="18"/>
              </w:rPr>
              <w:t>AJB-F12A</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10.1</w:t>
            </w:r>
            <w:r>
              <w:rPr>
                <w:rFonts w:ascii="宋体" w:hAnsi="宋体" w:cs="宋体" w:eastAsia="宋体" w:hint="default"/>
                <w:sz w:val="18"/>
                <w:szCs w:val="18"/>
              </w:rPr>
              <w:t>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tabs>
                <w:tab w:pos="376" w:val="left" w:leader="none"/>
              </w:tabs>
              <w:spacing w:line="240" w:lineRule="auto" w:before="58"/>
              <w:ind w:left="-1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201230361566.9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82"/>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安居宝</w:t>
            </w:r>
          </w:p>
        </w:tc>
      </w:tr>
    </w:tbl>
    <w:p>
      <w:pPr>
        <w:spacing w:line="240" w:lineRule="auto" w:before="11"/>
        <w:rPr>
          <w:rFonts w:ascii="Times New Roman" w:hAnsi="Times New Roman" w:cs="Times New Roman" w:eastAsia="Times New Roman" w:hint="default"/>
          <w:sz w:val="22"/>
          <w:szCs w:val="22"/>
        </w:rPr>
      </w:pPr>
    </w:p>
    <w:p>
      <w:pPr>
        <w:pStyle w:val="BodyText"/>
        <w:spacing w:line="590" w:lineRule="auto" w:before="44"/>
        <w:ind w:left="441" w:right="1505" w:hanging="289"/>
        <w:jc w:val="left"/>
      </w:pPr>
      <w:r>
        <w:rPr>
          <w:rFonts w:ascii="宋体" w:hAnsi="宋体" w:cs="宋体" w:eastAsia="宋体" w:hint="default"/>
          <w:b/>
          <w:bCs/>
        </w:rPr>
        <w:t>（</w:t>
      </w:r>
      <w:r>
        <w:rPr>
          <w:rFonts w:ascii="Times New Roman" w:hAnsi="Times New Roman" w:cs="Times New Roman" w:eastAsia="Times New Roman" w:hint="default"/>
          <w:b/>
          <w:bCs/>
        </w:rPr>
        <w:t>6</w:t>
      </w:r>
      <w:r>
        <w:rPr>
          <w:rFonts w:ascii="宋体" w:hAnsi="宋体" w:cs="宋体" w:eastAsia="宋体" w:hint="default"/>
          <w:b/>
          <w:bCs/>
        </w:rPr>
        <w:t>）专利申请情况</w:t>
      </w:r>
      <w:r>
        <w:rPr>
          <w:rFonts w:ascii="宋体" w:hAnsi="宋体" w:cs="宋体" w:eastAsia="宋体" w:hint="default"/>
          <w:b/>
          <w:bCs/>
          <w:w w:val="99"/>
        </w:rPr>
        <w:t> </w:t>
      </w:r>
      <w:r>
        <w:rPr/>
        <w:t>公司在</w:t>
      </w:r>
      <w:r>
        <w:rPr>
          <w:rFonts w:ascii="Times New Roman" w:hAnsi="Times New Roman" w:cs="Times New Roman" w:eastAsia="Times New Roman" w:hint="default"/>
        </w:rPr>
        <w:t>2012</w:t>
      </w:r>
      <w:r>
        <w:rPr/>
        <w:t>年新申请并受理的专利</w:t>
      </w:r>
      <w:r>
        <w:rPr>
          <w:rFonts w:ascii="Times New Roman" w:hAnsi="Times New Roman" w:cs="Times New Roman" w:eastAsia="Times New Roman" w:hint="default"/>
        </w:rPr>
        <w:t>21</w:t>
      </w:r>
      <w:r>
        <w:rPr/>
        <w:t>项，其中发明</w:t>
      </w:r>
      <w:r>
        <w:rPr>
          <w:rFonts w:ascii="Times New Roman" w:hAnsi="Times New Roman" w:cs="Times New Roman" w:eastAsia="Times New Roman" w:hint="default"/>
        </w:rPr>
        <w:t>5</w:t>
      </w:r>
      <w:r>
        <w:rPr/>
        <w:t>项、实用新型</w:t>
      </w:r>
      <w:r>
        <w:rPr>
          <w:rFonts w:ascii="Times New Roman" w:hAnsi="Times New Roman" w:cs="Times New Roman" w:eastAsia="Times New Roman" w:hint="default"/>
        </w:rPr>
        <w:t>10</w:t>
      </w:r>
      <w:r>
        <w:rPr/>
        <w:t>项、外观设计</w:t>
      </w:r>
      <w:r>
        <w:rPr>
          <w:rFonts w:ascii="Times New Roman" w:hAnsi="Times New Roman" w:cs="Times New Roman" w:eastAsia="Times New Roman" w:hint="default"/>
        </w:rPr>
        <w:t>6</w:t>
      </w:r>
      <w:r>
        <w:rPr/>
        <w:t>项。具体列表如下：</w:t>
      </w:r>
    </w:p>
    <w:p>
      <w:pPr>
        <w:spacing w:line="240" w:lineRule="auto" w:before="11"/>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708"/>
        <w:gridCol w:w="2696"/>
        <w:gridCol w:w="1560"/>
        <w:gridCol w:w="1558"/>
        <w:gridCol w:w="1561"/>
        <w:gridCol w:w="1699"/>
      </w:tblGrid>
      <w:tr>
        <w:trPr>
          <w:trHeight w:val="427" w:hRule="exact"/>
        </w:trPr>
        <w:tc>
          <w:tcPr>
            <w:tcW w:w="7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6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5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b/>
                <w:bCs/>
                <w:sz w:val="18"/>
                <w:szCs w:val="18"/>
              </w:rPr>
              <w:t>申请日期</w:t>
            </w:r>
            <w:r>
              <w:rPr>
                <w:rFonts w:ascii="宋体" w:hAnsi="宋体" w:cs="宋体" w:eastAsia="宋体" w:hint="default"/>
                <w:sz w:val="18"/>
                <w:szCs w:val="18"/>
              </w:rPr>
            </w:r>
          </w:p>
        </w:tc>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b/>
                <w:bCs/>
                <w:sz w:val="18"/>
                <w:szCs w:val="18"/>
              </w:rPr>
              <w:t>专利类型</w:t>
            </w:r>
            <w:r>
              <w:rPr>
                <w:rFonts w:ascii="宋体" w:hAnsi="宋体" w:cs="宋体" w:eastAsia="宋体" w:hint="default"/>
                <w:sz w:val="18"/>
                <w:szCs w:val="18"/>
              </w:rPr>
            </w:r>
          </w:p>
        </w:tc>
        <w:tc>
          <w:tcPr>
            <w:tcW w:w="16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b/>
                <w:bCs/>
                <w:sz w:val="18"/>
                <w:szCs w:val="18"/>
              </w:rPr>
              <w:t>所属主体</w:t>
            </w:r>
            <w:r>
              <w:rPr>
                <w:rFonts w:ascii="宋体" w:hAnsi="宋体" w:cs="宋体" w:eastAsia="宋体" w:hint="default"/>
                <w:sz w:val="18"/>
                <w:szCs w:val="18"/>
              </w:rPr>
            </w:r>
          </w:p>
        </w:tc>
      </w:tr>
      <w:tr>
        <w:trPr>
          <w:trHeight w:val="73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1</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350" w:right="77" w:hanging="269"/>
              <w:jc w:val="left"/>
              <w:rPr>
                <w:rFonts w:ascii="宋体" w:hAnsi="宋体" w:cs="宋体" w:eastAsia="宋体" w:hint="default"/>
                <w:sz w:val="18"/>
                <w:szCs w:val="18"/>
              </w:rPr>
            </w:pPr>
            <w:r>
              <w:rPr>
                <w:rFonts w:ascii="宋体" w:hAnsi="宋体" w:cs="宋体" w:eastAsia="宋体" w:hint="default"/>
                <w:sz w:val="18"/>
                <w:szCs w:val="18"/>
              </w:rPr>
              <w:t>基于楼宇对讲系统的语音传输方 法、装置及楼宇对讲系统</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201210311639.2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触摸开关</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201210442856.5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73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3</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1161" w:right="77" w:hanging="1080"/>
              <w:jc w:val="left"/>
              <w:rPr>
                <w:rFonts w:ascii="宋体" w:hAnsi="宋体" w:cs="宋体" w:eastAsia="宋体" w:hint="default"/>
                <w:sz w:val="18"/>
                <w:szCs w:val="18"/>
              </w:rPr>
            </w:pPr>
            <w:r>
              <w:rPr>
                <w:rFonts w:ascii="宋体" w:hAnsi="宋体" w:cs="宋体" w:eastAsia="宋体" w:hint="default"/>
                <w:sz w:val="18"/>
                <w:szCs w:val="18"/>
              </w:rPr>
              <w:t>楼宇对讲系统的通信方法和通信 装置</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201210410703.2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73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4</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41" w:right="0" w:hanging="437"/>
              <w:jc w:val="left"/>
              <w:rPr>
                <w:rFonts w:ascii="宋体" w:hAnsi="宋体" w:cs="宋体" w:eastAsia="宋体" w:hint="default"/>
                <w:sz w:val="18"/>
                <w:szCs w:val="18"/>
              </w:rPr>
            </w:pPr>
            <w:r>
              <w:rPr>
                <w:rFonts w:ascii="宋体" w:hAnsi="宋体" w:cs="宋体" w:eastAsia="宋体" w:hint="default"/>
                <w:spacing w:val="-2"/>
                <w:sz w:val="18"/>
                <w:szCs w:val="18"/>
              </w:rPr>
              <w:t>基于楼宇对讲系统的寻址方法、终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端及一种楼宇对讲系统</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201210505109.1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5"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5</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移动滤光片切换驱动电路</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center"/>
              <w:rPr>
                <w:rFonts w:ascii="Times New Roman" w:hAnsi="Times New Roman" w:cs="Times New Roman" w:eastAsia="Times New Roman" w:hint="default"/>
                <w:sz w:val="18"/>
                <w:szCs w:val="18"/>
              </w:rPr>
            </w:pPr>
            <w:r>
              <w:rPr>
                <w:rFonts w:ascii="Times New Roman"/>
                <w:sz w:val="18"/>
              </w:rPr>
              <w:t>201210545976.8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6</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门禁电梯控制系统</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center"/>
              <w:rPr>
                <w:rFonts w:ascii="Times New Roman" w:hAnsi="Times New Roman" w:cs="Times New Roman" w:eastAsia="Times New Roman" w:hint="default"/>
                <w:sz w:val="18"/>
                <w:szCs w:val="18"/>
              </w:rPr>
            </w:pPr>
            <w:r>
              <w:rPr>
                <w:rFonts w:ascii="Times New Roman"/>
                <w:sz w:val="18"/>
              </w:rPr>
              <w:t>201220397992.2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73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7</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621" w:right="77" w:hanging="540"/>
              <w:jc w:val="left"/>
              <w:rPr>
                <w:rFonts w:ascii="宋体" w:hAnsi="宋体" w:cs="宋体" w:eastAsia="宋体" w:hint="default"/>
                <w:sz w:val="18"/>
                <w:szCs w:val="18"/>
              </w:rPr>
            </w:pPr>
            <w:r>
              <w:rPr>
                <w:rFonts w:ascii="宋体" w:hAnsi="宋体" w:cs="宋体" w:eastAsia="宋体" w:hint="default"/>
                <w:sz w:val="18"/>
                <w:szCs w:val="18"/>
              </w:rPr>
              <w:t>基于楼宇对讲系统的语音传输装 置及楼宇对讲系统</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center"/>
              <w:rPr>
                <w:rFonts w:ascii="Times New Roman" w:hAnsi="Times New Roman" w:cs="Times New Roman" w:eastAsia="Times New Roman" w:hint="default"/>
                <w:sz w:val="18"/>
                <w:szCs w:val="18"/>
              </w:rPr>
            </w:pPr>
            <w:r>
              <w:rPr>
                <w:rFonts w:ascii="Times New Roman"/>
                <w:sz w:val="18"/>
              </w:rPr>
              <w:t>201220433108.6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8</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楼宇可视对讲门禁系统</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center"/>
              <w:rPr>
                <w:rFonts w:ascii="Times New Roman" w:hAnsi="Times New Roman" w:cs="Times New Roman" w:eastAsia="Times New Roman" w:hint="default"/>
                <w:sz w:val="18"/>
                <w:szCs w:val="18"/>
              </w:rPr>
            </w:pPr>
            <w:r>
              <w:rPr>
                <w:rFonts w:ascii="Times New Roman"/>
                <w:sz w:val="18"/>
              </w:rPr>
              <w:t>201220430922.4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9</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单声音线消侧音电路</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center"/>
              <w:rPr>
                <w:rFonts w:ascii="Times New Roman" w:hAnsi="Times New Roman" w:cs="Times New Roman" w:eastAsia="Times New Roman" w:hint="default"/>
                <w:sz w:val="18"/>
                <w:szCs w:val="18"/>
              </w:rPr>
            </w:pPr>
            <w:r>
              <w:rPr>
                <w:rFonts w:ascii="Times New Roman"/>
                <w:sz w:val="18"/>
              </w:rPr>
              <w:t>201220464756.8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 w:right="0"/>
              <w:jc w:val="center"/>
              <w:rPr>
                <w:rFonts w:ascii="Times New Roman" w:hAnsi="Times New Roman" w:cs="Times New Roman" w:eastAsia="Times New Roman" w:hint="default"/>
                <w:sz w:val="18"/>
                <w:szCs w:val="18"/>
              </w:rPr>
            </w:pPr>
            <w:r>
              <w:rPr>
                <w:rFonts w:ascii="Times New Roman"/>
                <w:sz w:val="18"/>
              </w:rPr>
              <w:t>10</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单数据总线收发电路</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center"/>
              <w:rPr>
                <w:rFonts w:ascii="Times New Roman" w:hAnsi="Times New Roman" w:cs="Times New Roman" w:eastAsia="Times New Roman" w:hint="default"/>
                <w:sz w:val="18"/>
                <w:szCs w:val="18"/>
              </w:rPr>
            </w:pPr>
            <w:r>
              <w:rPr>
                <w:rFonts w:ascii="Times New Roman"/>
                <w:sz w:val="18"/>
              </w:rPr>
              <w:t>201220481282.8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bl>
    <w:p>
      <w:pPr>
        <w:spacing w:after="0" w:line="240" w:lineRule="auto"/>
        <w:jc w:val="center"/>
        <w:rPr>
          <w:rFonts w:ascii="宋体" w:hAnsi="宋体" w:cs="宋体" w:eastAsia="宋体" w:hint="default"/>
          <w:sz w:val="18"/>
          <w:szCs w:val="18"/>
        </w:rPr>
        <w:sectPr>
          <w:pgSz w:w="11910" w:h="16840"/>
          <w:pgMar w:header="0" w:footer="1227" w:top="1100" w:bottom="1420" w:left="980" w:right="86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708"/>
        <w:gridCol w:w="2696"/>
        <w:gridCol w:w="1560"/>
        <w:gridCol w:w="1558"/>
        <w:gridCol w:w="1561"/>
        <w:gridCol w:w="1699"/>
      </w:tblGrid>
      <w:tr>
        <w:trPr>
          <w:trHeight w:val="42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11</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印刷线路板</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65"/>
              <w:jc w:val="right"/>
              <w:rPr>
                <w:rFonts w:ascii="Times New Roman" w:hAnsi="Times New Roman" w:cs="Times New Roman" w:eastAsia="Times New Roman" w:hint="default"/>
                <w:sz w:val="18"/>
                <w:szCs w:val="18"/>
              </w:rPr>
            </w:pPr>
            <w:r>
              <w:rPr>
                <w:rFonts w:ascii="Times New Roman"/>
                <w:spacing w:val="-1"/>
                <w:sz w:val="18"/>
              </w:rPr>
              <w:t>201220499726.0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82"/>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12</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电源智能监测装置</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65"/>
              <w:jc w:val="right"/>
              <w:rPr>
                <w:rFonts w:ascii="Times New Roman" w:hAnsi="Times New Roman" w:cs="Times New Roman" w:eastAsia="Times New Roman" w:hint="default"/>
                <w:sz w:val="18"/>
                <w:szCs w:val="18"/>
              </w:rPr>
            </w:pPr>
            <w:r>
              <w:rPr>
                <w:rFonts w:ascii="Times New Roman"/>
                <w:spacing w:val="-1"/>
                <w:sz w:val="18"/>
              </w:rPr>
              <w:t>201220553268.4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3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26</w:t>
            </w:r>
            <w:r>
              <w:rPr>
                <w:rFonts w:ascii="宋体" w:hAnsi="宋体" w:cs="宋体" w:eastAsia="宋体" w:hint="default"/>
                <w:spacing w:val="-1"/>
                <w:sz w:val="18"/>
                <w:szCs w:val="18"/>
              </w:rPr>
              <w:t>日</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13</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触摸开关</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65"/>
              <w:jc w:val="right"/>
              <w:rPr>
                <w:rFonts w:ascii="Times New Roman" w:hAnsi="Times New Roman" w:cs="Times New Roman" w:eastAsia="Times New Roman" w:hint="default"/>
                <w:sz w:val="18"/>
                <w:szCs w:val="18"/>
              </w:rPr>
            </w:pPr>
            <w:r>
              <w:rPr>
                <w:rFonts w:ascii="Times New Roman"/>
                <w:spacing w:val="-1"/>
                <w:sz w:val="18"/>
              </w:rPr>
              <w:t>201220585124.7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82"/>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14</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移动滤光片切换驱动电路</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65"/>
              <w:jc w:val="right"/>
              <w:rPr>
                <w:rFonts w:ascii="Times New Roman" w:hAnsi="Times New Roman" w:cs="Times New Roman" w:eastAsia="Times New Roman" w:hint="default"/>
                <w:sz w:val="18"/>
                <w:szCs w:val="18"/>
              </w:rPr>
            </w:pPr>
            <w:r>
              <w:rPr>
                <w:rFonts w:ascii="Times New Roman"/>
                <w:spacing w:val="-1"/>
                <w:sz w:val="18"/>
              </w:rPr>
              <w:t>201220696178.0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3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14</w:t>
            </w:r>
            <w:r>
              <w:rPr>
                <w:rFonts w:ascii="宋体" w:hAnsi="宋体" w:cs="宋体" w:eastAsia="宋体" w:hint="default"/>
                <w:spacing w:val="-1"/>
                <w:sz w:val="18"/>
                <w:szCs w:val="18"/>
              </w:rPr>
              <w:t>日</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15</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基于二维码的电子巡更系统</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65"/>
              <w:jc w:val="right"/>
              <w:rPr>
                <w:rFonts w:ascii="Times New Roman" w:hAnsi="Times New Roman" w:cs="Times New Roman" w:eastAsia="Times New Roman" w:hint="default"/>
                <w:sz w:val="18"/>
                <w:szCs w:val="18"/>
              </w:rPr>
            </w:pPr>
            <w:r>
              <w:rPr>
                <w:rFonts w:ascii="Times New Roman"/>
                <w:spacing w:val="-1"/>
                <w:sz w:val="18"/>
              </w:rPr>
              <w:t>201220729853.5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3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25</w:t>
            </w:r>
            <w:r>
              <w:rPr>
                <w:rFonts w:ascii="宋体" w:hAnsi="宋体" w:cs="宋体" w:eastAsia="宋体" w:hint="default"/>
                <w:spacing w:val="-1"/>
                <w:sz w:val="18"/>
                <w:szCs w:val="18"/>
              </w:rPr>
              <w:t>日</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5"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16</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86"/>
              <w:jc w:val="center"/>
              <w:rPr>
                <w:rFonts w:ascii="宋体" w:hAnsi="宋体" w:cs="宋体" w:eastAsia="宋体" w:hint="default"/>
                <w:sz w:val="18"/>
                <w:szCs w:val="18"/>
              </w:rPr>
            </w:pPr>
            <w:hyperlink r:id="rId16">
              <w:r>
                <w:rPr>
                  <w:rFonts w:ascii="宋体" w:hAnsi="宋体" w:cs="宋体" w:eastAsia="宋体" w:hint="default"/>
                  <w:sz w:val="18"/>
                  <w:szCs w:val="18"/>
                </w:rPr>
                <w:t>彩色免提分机（</w:t>
              </w:r>
              <w:r>
                <w:rPr>
                  <w:rFonts w:ascii="Times New Roman" w:hAnsi="Times New Roman" w:cs="Times New Roman" w:eastAsia="Times New Roman" w:hint="default"/>
                  <w:sz w:val="18"/>
                  <w:szCs w:val="18"/>
                </w:rPr>
                <w:t>AJB-F12A</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10.1</w:t>
              </w:r>
              <w:r>
                <w:rPr>
                  <w:rFonts w:ascii="宋体" w:hAnsi="宋体" w:cs="宋体" w:eastAsia="宋体" w:hint="default"/>
                  <w:sz w:val="18"/>
                  <w:szCs w:val="18"/>
                </w:rPr>
                <w:t>寸</w:t>
              </w:r>
            </w:hyperlink>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9" w:right="165"/>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201230361566.9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28"/>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 w:right="0"/>
              <w:jc w:val="center"/>
              <w:rPr>
                <w:rFonts w:ascii="Times New Roman" w:hAnsi="Times New Roman" w:cs="Times New Roman" w:eastAsia="Times New Roman" w:hint="default"/>
                <w:sz w:val="18"/>
                <w:szCs w:val="18"/>
              </w:rPr>
            </w:pPr>
            <w:r>
              <w:rPr>
                <w:rFonts w:ascii="Times New Roman"/>
                <w:sz w:val="18"/>
              </w:rPr>
              <w:t>17</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室外机（</w:t>
            </w:r>
            <w:r>
              <w:rPr>
                <w:rFonts w:ascii="Times New Roman" w:hAnsi="Times New Roman" w:cs="Times New Roman" w:eastAsia="Times New Roman" w:hint="default"/>
                <w:sz w:val="18"/>
                <w:szCs w:val="18"/>
              </w:rPr>
              <w:t>AJB-ZJ11E</w:t>
            </w:r>
            <w:r>
              <w:rPr>
                <w:rFonts w:ascii="宋体" w:hAnsi="宋体" w:cs="宋体" w:eastAsia="宋体" w:hint="default"/>
                <w:sz w:val="18"/>
                <w:szCs w:val="18"/>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45"/>
              <w:jc w:val="right"/>
              <w:rPr>
                <w:rFonts w:ascii="Times New Roman" w:hAnsi="Times New Roman" w:cs="Times New Roman" w:eastAsia="Times New Roman" w:hint="default"/>
                <w:sz w:val="18"/>
                <w:szCs w:val="18"/>
              </w:rPr>
            </w:pPr>
            <w:r>
              <w:rPr>
                <w:rFonts w:ascii="Times New Roman"/>
                <w:spacing w:val="-1"/>
                <w:sz w:val="18"/>
              </w:rPr>
              <w:t>201230361557.X</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28"/>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 w:right="0"/>
              <w:jc w:val="center"/>
              <w:rPr>
                <w:rFonts w:ascii="Times New Roman" w:hAnsi="Times New Roman" w:cs="Times New Roman" w:eastAsia="Times New Roman" w:hint="default"/>
                <w:sz w:val="18"/>
                <w:szCs w:val="18"/>
              </w:rPr>
            </w:pPr>
            <w:r>
              <w:rPr>
                <w:rFonts w:ascii="Times New Roman"/>
                <w:sz w:val="18"/>
              </w:rPr>
              <w:t>18</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室外机（</w:t>
            </w:r>
            <w:r>
              <w:rPr>
                <w:rFonts w:ascii="Times New Roman" w:hAnsi="Times New Roman" w:cs="Times New Roman" w:eastAsia="Times New Roman" w:hint="default"/>
                <w:sz w:val="18"/>
                <w:szCs w:val="18"/>
              </w:rPr>
              <w:t>AJB-ZJ12A</w:t>
            </w:r>
            <w:r>
              <w:rPr>
                <w:rFonts w:ascii="宋体" w:hAnsi="宋体" w:cs="宋体" w:eastAsia="宋体" w:hint="default"/>
                <w:sz w:val="18"/>
                <w:szCs w:val="18"/>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65"/>
              <w:jc w:val="right"/>
              <w:rPr>
                <w:rFonts w:ascii="Times New Roman" w:hAnsi="Times New Roman" w:cs="Times New Roman" w:eastAsia="Times New Roman" w:hint="default"/>
                <w:sz w:val="18"/>
                <w:szCs w:val="18"/>
              </w:rPr>
            </w:pPr>
            <w:r>
              <w:rPr>
                <w:rFonts w:ascii="Times New Roman"/>
                <w:spacing w:val="-1"/>
                <w:sz w:val="18"/>
              </w:rPr>
              <w:t>201230361556.5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28"/>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 w:right="0"/>
              <w:jc w:val="center"/>
              <w:rPr>
                <w:rFonts w:ascii="Times New Roman" w:hAnsi="Times New Roman" w:cs="Times New Roman" w:eastAsia="Times New Roman" w:hint="default"/>
                <w:sz w:val="18"/>
                <w:szCs w:val="18"/>
              </w:rPr>
            </w:pPr>
            <w:r>
              <w:rPr>
                <w:rFonts w:ascii="Times New Roman"/>
                <w:sz w:val="18"/>
              </w:rPr>
              <w:t>19</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两路调光开关</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90"/>
              <w:jc w:val="right"/>
              <w:rPr>
                <w:rFonts w:ascii="Times New Roman" w:hAnsi="Times New Roman" w:cs="Times New Roman" w:eastAsia="Times New Roman" w:hint="default"/>
                <w:sz w:val="18"/>
                <w:szCs w:val="18"/>
              </w:rPr>
            </w:pPr>
            <w:r>
              <w:rPr>
                <w:rFonts w:ascii="Times New Roman"/>
                <w:spacing w:val="-1"/>
                <w:sz w:val="18"/>
              </w:rPr>
              <w:t>20123052442.X</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2"/>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 w:right="0"/>
              <w:jc w:val="center"/>
              <w:rPr>
                <w:rFonts w:ascii="Times New Roman" w:hAnsi="Times New Roman" w:cs="Times New Roman" w:eastAsia="Times New Roman" w:hint="default"/>
                <w:sz w:val="18"/>
                <w:szCs w:val="18"/>
              </w:rPr>
            </w:pPr>
            <w:r>
              <w:rPr>
                <w:rFonts w:ascii="Times New Roman"/>
                <w:sz w:val="18"/>
              </w:rPr>
              <w:t>20</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人体红外感应器</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65"/>
              <w:jc w:val="right"/>
              <w:rPr>
                <w:rFonts w:ascii="Times New Roman" w:hAnsi="Times New Roman" w:cs="Times New Roman" w:eastAsia="Times New Roman" w:hint="default"/>
                <w:sz w:val="18"/>
                <w:szCs w:val="18"/>
              </w:rPr>
            </w:pPr>
            <w:r>
              <w:rPr>
                <w:rFonts w:ascii="Times New Roman"/>
                <w:spacing w:val="-1"/>
                <w:sz w:val="18"/>
              </w:rPr>
              <w:t>201230525417.1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2"/>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 w:right="0"/>
              <w:jc w:val="center"/>
              <w:rPr>
                <w:rFonts w:ascii="Times New Roman" w:hAnsi="Times New Roman" w:cs="Times New Roman" w:eastAsia="Times New Roman" w:hint="default"/>
                <w:sz w:val="18"/>
                <w:szCs w:val="18"/>
              </w:rPr>
            </w:pPr>
            <w:r>
              <w:rPr>
                <w:rFonts w:ascii="Times New Roman"/>
                <w:sz w:val="18"/>
              </w:rPr>
              <w:t>21</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红外转发器（</w:t>
            </w:r>
            <w:r>
              <w:rPr>
                <w:rFonts w:ascii="Times New Roman" w:hAnsi="Times New Roman" w:cs="Times New Roman" w:eastAsia="Times New Roman" w:hint="default"/>
                <w:sz w:val="18"/>
                <w:szCs w:val="18"/>
              </w:rPr>
              <w:t>A-BUS</w:t>
            </w:r>
            <w:r>
              <w:rPr>
                <w:rFonts w:ascii="宋体" w:hAnsi="宋体" w:cs="宋体" w:eastAsia="宋体" w:hint="default"/>
                <w:sz w:val="18"/>
                <w:szCs w:val="18"/>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65"/>
              <w:jc w:val="right"/>
              <w:rPr>
                <w:rFonts w:ascii="Times New Roman" w:hAnsi="Times New Roman" w:cs="Times New Roman" w:eastAsia="Times New Roman" w:hint="default"/>
                <w:sz w:val="18"/>
                <w:szCs w:val="18"/>
              </w:rPr>
            </w:pPr>
            <w:r>
              <w:rPr>
                <w:rFonts w:ascii="Times New Roman"/>
                <w:spacing w:val="-1"/>
                <w:sz w:val="18"/>
              </w:rPr>
              <w:t>201230525350.1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2"/>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bl>
    <w:p>
      <w:pPr>
        <w:spacing w:line="240" w:lineRule="auto" w:before="2"/>
        <w:rPr>
          <w:rFonts w:ascii="宋体" w:hAnsi="宋体" w:cs="宋体" w:eastAsia="宋体" w:hint="default"/>
          <w:sz w:val="20"/>
          <w:szCs w:val="20"/>
        </w:rPr>
      </w:pPr>
    </w:p>
    <w:p>
      <w:pPr>
        <w:pStyle w:val="BodyText"/>
        <w:spacing w:line="590" w:lineRule="auto" w:before="44"/>
        <w:ind w:right="1264"/>
        <w:jc w:val="left"/>
      </w:pPr>
      <w:r>
        <w:rPr>
          <w:rFonts w:ascii="宋体" w:hAnsi="宋体" w:cs="宋体" w:eastAsia="宋体" w:hint="default"/>
          <w:b/>
          <w:bCs/>
        </w:rPr>
        <w:t>（</w:t>
      </w:r>
      <w:r>
        <w:rPr>
          <w:rFonts w:ascii="Times New Roman" w:hAnsi="Times New Roman" w:cs="Times New Roman" w:eastAsia="Times New Roman" w:hint="default"/>
          <w:b/>
          <w:bCs/>
        </w:rPr>
        <w:t>7</w:t>
      </w:r>
      <w:r>
        <w:rPr>
          <w:rFonts w:ascii="宋体" w:hAnsi="宋体" w:cs="宋体" w:eastAsia="宋体" w:hint="default"/>
          <w:b/>
          <w:bCs/>
        </w:rPr>
        <w:t>）软件著作权情况</w:t>
      </w:r>
      <w:r>
        <w:rPr>
          <w:rFonts w:ascii="宋体" w:hAnsi="宋体" w:cs="宋体" w:eastAsia="宋体" w:hint="default"/>
          <w:b/>
          <w:bCs/>
          <w:w w:val="99"/>
        </w:rPr>
        <w:t> </w:t>
      </w:r>
      <w:r>
        <w:rPr/>
        <w:t>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日，公司拥有软件著作权</w:t>
      </w:r>
      <w:r>
        <w:rPr>
          <w:rFonts w:ascii="Times New Roman" w:hAnsi="Times New Roman" w:cs="Times New Roman" w:eastAsia="Times New Roman" w:hint="default"/>
        </w:rPr>
        <w:t>13</w:t>
      </w:r>
      <w:r>
        <w:rPr/>
        <w:t>项，其中</w:t>
      </w:r>
      <w:r>
        <w:rPr>
          <w:rFonts w:ascii="Times New Roman" w:hAnsi="Times New Roman" w:cs="Times New Roman" w:eastAsia="Times New Roman" w:hint="default"/>
        </w:rPr>
        <w:t>2</w:t>
      </w:r>
      <w:r>
        <w:rPr/>
        <w:t>项为</w:t>
      </w:r>
      <w:r>
        <w:rPr>
          <w:rFonts w:ascii="Times New Roman" w:hAnsi="Times New Roman" w:cs="Times New Roman" w:eastAsia="Times New Roman" w:hint="default"/>
        </w:rPr>
        <w:t>2012</w:t>
      </w:r>
      <w:r>
        <w:rPr/>
        <w:t>年申请并已取得授权。软件著作权列表如下：</w:t>
      </w:r>
    </w:p>
    <w:p>
      <w:pPr>
        <w:spacing w:line="240" w:lineRule="auto" w:before="11"/>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816"/>
        <w:gridCol w:w="3121"/>
        <w:gridCol w:w="1560"/>
        <w:gridCol w:w="1133"/>
        <w:gridCol w:w="1561"/>
        <w:gridCol w:w="1699"/>
      </w:tblGrid>
      <w:tr>
        <w:trPr>
          <w:trHeight w:val="427"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7"/>
              <w:jc w:val="right"/>
              <w:rPr>
                <w:rFonts w:ascii="宋体" w:hAnsi="宋体" w:cs="宋体" w:eastAsia="宋体" w:hint="default"/>
                <w:sz w:val="18"/>
                <w:szCs w:val="18"/>
              </w:rPr>
            </w:pPr>
            <w:r>
              <w:rPr>
                <w:rFonts w:ascii="宋体" w:hAnsi="宋体" w:cs="宋体" w:eastAsia="宋体" w:hint="default"/>
                <w:b/>
                <w:bCs/>
                <w:w w:val="95"/>
                <w:sz w:val="18"/>
                <w:szCs w:val="18"/>
              </w:rPr>
              <w:t>证书编号</w:t>
            </w:r>
            <w:r>
              <w:rPr>
                <w:rFonts w:ascii="宋体" w:hAnsi="宋体" w:cs="宋体" w:eastAsia="宋体" w:hint="default"/>
                <w:sz w:val="18"/>
                <w:szCs w:val="18"/>
              </w:rPr>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29"/>
              <w:jc w:val="right"/>
              <w:rPr>
                <w:rFonts w:ascii="宋体" w:hAnsi="宋体" w:cs="宋体" w:eastAsia="宋体" w:hint="default"/>
                <w:sz w:val="18"/>
                <w:szCs w:val="18"/>
              </w:rPr>
            </w:pPr>
            <w:r>
              <w:rPr>
                <w:rFonts w:ascii="宋体" w:hAnsi="宋体" w:cs="宋体" w:eastAsia="宋体" w:hint="default"/>
                <w:b/>
                <w:bCs/>
                <w:w w:val="95"/>
                <w:sz w:val="18"/>
                <w:szCs w:val="18"/>
              </w:rPr>
              <w:t>首次发表日期</w:t>
            </w:r>
            <w:r>
              <w:rPr>
                <w:rFonts w:ascii="宋体" w:hAnsi="宋体" w:cs="宋体" w:eastAsia="宋体" w:hint="default"/>
                <w:sz w:val="18"/>
                <w:szCs w:val="18"/>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所属主体</w:t>
            </w:r>
            <w:r>
              <w:rPr>
                <w:rFonts w:ascii="宋体" w:hAnsi="宋体" w:cs="宋体" w:eastAsia="宋体" w:hint="default"/>
                <w:sz w:val="18"/>
                <w:szCs w:val="18"/>
              </w:rPr>
            </w:r>
          </w:p>
        </w:tc>
      </w:tr>
      <w:tr>
        <w:trPr>
          <w:trHeight w:val="739"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1</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安居宝管理机系统</w:t>
            </w:r>
            <w:r>
              <w:rPr>
                <w:rFonts w:ascii="Times New Roman" w:hAnsi="Times New Roman" w:cs="Times New Roman" w:eastAsia="Times New Roman" w:hint="default"/>
                <w:sz w:val="18"/>
                <w:szCs w:val="18"/>
              </w:rPr>
              <w:t>V1.0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2008SR13121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100300</w:t>
            </w:r>
            <w:r>
              <w:rPr>
                <w:rFonts w:ascii="宋体" w:hAnsi="宋体" w:cs="宋体" w:eastAsia="宋体" w:hint="default"/>
                <w:sz w:val="18"/>
                <w:szCs w:val="18"/>
              </w:rPr>
              <w:t>号</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28"/>
              <w:jc w:val="righ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740"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2</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安居宝分机系统</w:t>
            </w:r>
            <w:r>
              <w:rPr>
                <w:rFonts w:ascii="Times New Roman" w:hAnsi="Times New Roman" w:cs="Times New Roman" w:eastAsia="Times New Roman" w:hint="default"/>
                <w:sz w:val="18"/>
                <w:szCs w:val="18"/>
              </w:rPr>
              <w:t>V1.0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2008SR13122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100301</w:t>
            </w:r>
            <w:r>
              <w:rPr>
                <w:rFonts w:ascii="宋体" w:hAnsi="宋体" w:cs="宋体" w:eastAsia="宋体" w:hint="default"/>
                <w:sz w:val="18"/>
                <w:szCs w:val="18"/>
              </w:rPr>
              <w:t>号</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2"/>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739"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3</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安居宝网络摄像机系统</w:t>
            </w:r>
            <w:r>
              <w:rPr>
                <w:rFonts w:ascii="Times New Roman" w:hAnsi="Times New Roman" w:cs="Times New Roman" w:eastAsia="Times New Roman" w:hint="default"/>
                <w:sz w:val="18"/>
                <w:szCs w:val="18"/>
              </w:rPr>
              <w:t>V1.0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2008SR12872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100051</w:t>
            </w:r>
            <w:r>
              <w:rPr>
                <w:rFonts w:ascii="宋体" w:hAnsi="宋体" w:cs="宋体" w:eastAsia="宋体" w:hint="default"/>
                <w:sz w:val="18"/>
                <w:szCs w:val="18"/>
              </w:rPr>
              <w:t>号</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82"/>
              <w:jc w:val="righ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739"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4</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安居宝网络视频服务器系统</w:t>
            </w:r>
            <w:r>
              <w:rPr>
                <w:rFonts w:ascii="Times New Roman" w:hAnsi="Times New Roman" w:cs="Times New Roman" w:eastAsia="Times New Roman" w:hint="default"/>
                <w:sz w:val="18"/>
                <w:szCs w:val="18"/>
              </w:rPr>
              <w:t>V1.0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2008SR12873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100052</w:t>
            </w:r>
            <w:r>
              <w:rPr>
                <w:rFonts w:ascii="宋体" w:hAnsi="宋体" w:cs="宋体" w:eastAsia="宋体" w:hint="default"/>
                <w:sz w:val="18"/>
                <w:szCs w:val="18"/>
              </w:rPr>
              <w:t>号</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28"/>
              <w:jc w:val="righ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739"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5</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安居宝智能终端系统</w:t>
            </w:r>
            <w:r>
              <w:rPr>
                <w:rFonts w:ascii="Times New Roman" w:hAnsi="Times New Roman" w:cs="Times New Roman" w:eastAsia="Times New Roman" w:hint="default"/>
                <w:sz w:val="18"/>
                <w:szCs w:val="18"/>
              </w:rPr>
              <w:t>V1.0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2008SR12976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100155</w:t>
            </w:r>
            <w:r>
              <w:rPr>
                <w:rFonts w:ascii="宋体" w:hAnsi="宋体" w:cs="宋体" w:eastAsia="宋体" w:hint="default"/>
                <w:sz w:val="18"/>
                <w:szCs w:val="18"/>
              </w:rPr>
              <w:t>号</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28"/>
              <w:jc w:val="righ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740"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6</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安居宝主机系统</w:t>
            </w:r>
            <w:r>
              <w:rPr>
                <w:rFonts w:ascii="Times New Roman" w:hAnsi="Times New Roman" w:cs="Times New Roman" w:eastAsia="Times New Roman" w:hint="default"/>
                <w:sz w:val="18"/>
                <w:szCs w:val="18"/>
              </w:rPr>
              <w:t>V1.0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2008SR12977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100156</w:t>
            </w:r>
            <w:r>
              <w:rPr>
                <w:rFonts w:ascii="宋体" w:hAnsi="宋体" w:cs="宋体" w:eastAsia="宋体" w:hint="default"/>
                <w:sz w:val="18"/>
                <w:szCs w:val="18"/>
              </w:rPr>
              <w:t>号</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28"/>
              <w:jc w:val="righ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739"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7</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安居宝数字社区软件</w:t>
            </w:r>
            <w:r>
              <w:rPr>
                <w:rFonts w:ascii="Times New Roman" w:hAnsi="Times New Roman" w:cs="Times New Roman" w:eastAsia="Times New Roman" w:hint="default"/>
                <w:sz w:val="18"/>
                <w:szCs w:val="18"/>
              </w:rPr>
              <w:t>V2.0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2008SR31335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118514</w:t>
            </w:r>
            <w:r>
              <w:rPr>
                <w:rFonts w:ascii="宋体" w:hAnsi="宋体" w:cs="宋体" w:eastAsia="宋体" w:hint="default"/>
                <w:sz w:val="18"/>
                <w:szCs w:val="18"/>
              </w:rPr>
              <w:t>号</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82"/>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739"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8</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安居宝无线报警系统</w:t>
            </w:r>
            <w:r>
              <w:rPr>
                <w:rFonts w:ascii="Times New Roman" w:hAnsi="Times New Roman" w:cs="Times New Roman" w:eastAsia="Times New Roman" w:hint="default"/>
                <w:sz w:val="18"/>
                <w:szCs w:val="18"/>
              </w:rPr>
              <w:t>V1.0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2009SR02350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128529</w:t>
            </w:r>
            <w:r>
              <w:rPr>
                <w:rFonts w:ascii="宋体" w:hAnsi="宋体" w:cs="宋体" w:eastAsia="宋体" w:hint="default"/>
                <w:sz w:val="18"/>
                <w:szCs w:val="18"/>
              </w:rPr>
              <w:t>号</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3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2008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日</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737"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9</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安居宝</w:t>
            </w:r>
            <w:r>
              <w:rPr>
                <w:rFonts w:ascii="Times New Roman" w:hAnsi="Times New Roman" w:cs="Times New Roman" w:eastAsia="Times New Roman" w:hint="default"/>
                <w:sz w:val="18"/>
                <w:szCs w:val="18"/>
              </w:rPr>
              <w:t>15</w:t>
            </w:r>
            <w:r>
              <w:rPr>
                <w:rFonts w:ascii="宋体" w:hAnsi="宋体" w:cs="宋体" w:eastAsia="宋体" w:hint="default"/>
                <w:sz w:val="18"/>
                <w:szCs w:val="18"/>
              </w:rPr>
              <w:t>吋触摸屏主机系统</w:t>
            </w:r>
            <w:r>
              <w:rPr>
                <w:rFonts w:ascii="Times New Roman" w:hAnsi="Times New Roman" w:cs="Times New Roman" w:eastAsia="Times New Roman" w:hint="default"/>
                <w:sz w:val="18"/>
                <w:szCs w:val="18"/>
              </w:rPr>
              <w:t>V1.0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2010SR067287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0255560</w:t>
            </w:r>
            <w:r>
              <w:rPr>
                <w:rFonts w:ascii="宋体" w:hAnsi="宋体" w:cs="宋体" w:eastAsia="宋体" w:hint="default"/>
                <w:sz w:val="18"/>
                <w:szCs w:val="18"/>
              </w:rPr>
              <w:t>号</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82"/>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30"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10</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安居宝</w:t>
            </w:r>
            <w:r>
              <w:rPr>
                <w:rFonts w:ascii="Times New Roman" w:hAnsi="Times New Roman" w:cs="Times New Roman" w:eastAsia="Times New Roman" w:hint="default"/>
                <w:sz w:val="18"/>
                <w:szCs w:val="18"/>
              </w:rPr>
              <w:t>7</w:t>
            </w:r>
            <w:r>
              <w:rPr>
                <w:rFonts w:ascii="宋体" w:hAnsi="宋体" w:cs="宋体" w:eastAsia="宋体" w:hint="default"/>
                <w:sz w:val="18"/>
                <w:szCs w:val="18"/>
              </w:rPr>
              <w:t>吋触摸屏管理机系统</w:t>
            </w:r>
            <w:r>
              <w:rPr>
                <w:rFonts w:ascii="Times New Roman" w:hAnsi="Times New Roman" w:cs="Times New Roman" w:eastAsia="Times New Roman" w:hint="default"/>
                <w:sz w:val="18"/>
                <w:szCs w:val="18"/>
              </w:rPr>
              <w:t>V1.0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2010SR067290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15"/>
              <w:jc w:val="right"/>
              <w:rPr>
                <w:rFonts w:ascii="宋体" w:hAnsi="宋体" w:cs="宋体" w:eastAsia="宋体" w:hint="default"/>
                <w:sz w:val="18"/>
                <w:szCs w:val="18"/>
              </w:rPr>
            </w:pPr>
            <w:r>
              <w:rPr>
                <w:rFonts w:ascii="宋体" w:hAnsi="宋体" w:cs="宋体" w:eastAsia="宋体" w:hint="default"/>
                <w:sz w:val="18"/>
                <w:szCs w:val="18"/>
              </w:rPr>
              <w:t>软著登字第</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3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2010</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日</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bl>
    <w:p>
      <w:pPr>
        <w:spacing w:after="0" w:line="240" w:lineRule="auto"/>
        <w:jc w:val="center"/>
        <w:rPr>
          <w:rFonts w:ascii="宋体" w:hAnsi="宋体" w:cs="宋体" w:eastAsia="宋体" w:hint="default"/>
          <w:sz w:val="18"/>
          <w:szCs w:val="18"/>
        </w:rPr>
        <w:sectPr>
          <w:pgSz w:w="11910" w:h="16840"/>
          <w:pgMar w:header="0" w:footer="1227" w:top="1100" w:bottom="1420" w:left="980" w:right="76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816"/>
        <w:gridCol w:w="3121"/>
        <w:gridCol w:w="1560"/>
        <w:gridCol w:w="1133"/>
        <w:gridCol w:w="1561"/>
        <w:gridCol w:w="1699"/>
      </w:tblGrid>
      <w:tr>
        <w:trPr>
          <w:trHeight w:val="387" w:hRule="exact"/>
        </w:trPr>
        <w:tc>
          <w:tcPr>
            <w:tcW w:w="816"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0255563</w:t>
            </w:r>
            <w:r>
              <w:rPr>
                <w:rFonts w:ascii="宋体" w:hAnsi="宋体" w:cs="宋体" w:eastAsia="宋体" w:hint="default"/>
                <w:sz w:val="18"/>
                <w:szCs w:val="18"/>
              </w:rPr>
              <w:t>号</w:t>
            </w:r>
          </w:p>
        </w:tc>
        <w:tc>
          <w:tcPr>
            <w:tcW w:w="1561"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11</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安居宝</w:t>
            </w:r>
            <w:r>
              <w:rPr>
                <w:rFonts w:ascii="Times New Roman" w:hAnsi="Times New Roman" w:cs="Times New Roman" w:eastAsia="Times New Roman" w:hint="default"/>
                <w:sz w:val="18"/>
                <w:szCs w:val="18"/>
              </w:rPr>
              <w:t>7</w:t>
            </w:r>
            <w:r>
              <w:rPr>
                <w:rFonts w:ascii="宋体" w:hAnsi="宋体" w:cs="宋体" w:eastAsia="宋体" w:hint="default"/>
                <w:sz w:val="18"/>
                <w:szCs w:val="18"/>
              </w:rPr>
              <w:t>吋触摸屏主机系统</w:t>
            </w:r>
            <w:r>
              <w:rPr>
                <w:rFonts w:ascii="Times New Roman" w:hAnsi="Times New Roman" w:cs="Times New Roman" w:eastAsia="Times New Roman" w:hint="default"/>
                <w:sz w:val="18"/>
                <w:szCs w:val="18"/>
              </w:rPr>
              <w:t>V1.0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2010SR067292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0255565</w:t>
            </w:r>
            <w:r>
              <w:rPr>
                <w:rFonts w:ascii="宋体" w:hAnsi="宋体" w:cs="宋体" w:eastAsia="宋体" w:hint="default"/>
                <w:sz w:val="18"/>
                <w:szCs w:val="18"/>
              </w:rPr>
              <w:t>号</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2"/>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739"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12</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安居宝智能家居情景控制软件</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2012R11L164551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0494478</w:t>
            </w:r>
            <w:r>
              <w:rPr>
                <w:rFonts w:ascii="宋体" w:hAnsi="宋体" w:cs="宋体" w:eastAsia="宋体" w:hint="default"/>
                <w:sz w:val="18"/>
                <w:szCs w:val="18"/>
              </w:rPr>
              <w:t>号</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28"/>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427"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13</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安居宝智能家电配置软件</w:t>
            </w: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686" w:right="0"/>
              <w:jc w:val="left"/>
              <w:rPr>
                <w:rFonts w:ascii="Times New Roman" w:hAnsi="Times New Roman" w:cs="Times New Roman" w:eastAsia="Times New Roman" w:hint="default"/>
                <w:sz w:val="18"/>
                <w:szCs w:val="18"/>
              </w:rPr>
            </w:pPr>
            <w:r>
              <w:rPr>
                <w:rFonts w:ascii="Times New Roman"/>
                <w:sz w:val="18"/>
              </w:rPr>
              <w:t>2012R11L164601</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28"/>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bl>
    <w:p>
      <w:pPr>
        <w:spacing w:line="240" w:lineRule="auto" w:before="3"/>
        <w:rPr>
          <w:rFonts w:ascii="宋体" w:hAnsi="宋体" w:cs="宋体" w:eastAsia="宋体" w:hint="default"/>
          <w:sz w:val="19"/>
          <w:szCs w:val="19"/>
        </w:rPr>
      </w:pPr>
    </w:p>
    <w:p>
      <w:pPr>
        <w:pStyle w:val="Heading3"/>
        <w:spacing w:line="240" w:lineRule="auto" w:before="36"/>
        <w:ind w:right="1264"/>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37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29"/>
        <w:gridCol w:w="2243"/>
        <w:gridCol w:w="2393"/>
        <w:gridCol w:w="2393"/>
      </w:tblGrid>
      <w:tr>
        <w:trPr>
          <w:trHeight w:val="40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461,747,861.69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315,072,702.81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46.55%</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395,952,978.36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270,501,109.79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46.38%</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65,794,883.33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44,571,593.02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47.62%</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-84.62%</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59,857,264.57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51,273,151.05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16.74%</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-59,847,264.57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-51,208,151.05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16.87%</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20,337,472.45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-31.75%</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61,060,000.00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90,999,310.09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-32.9%</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-40,722,527.55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-61,199,310.09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-33.46%</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-34,774,908.79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-67,835,868.12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-48.74%</w:t>
            </w:r>
          </w:p>
        </w:tc>
      </w:tr>
    </w:tbl>
    <w:p>
      <w:pPr>
        <w:pStyle w:val="BodyText"/>
        <w:spacing w:line="240" w:lineRule="auto" w:before="49"/>
        <w:ind w:right="1264"/>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40" w:lineRule="auto" w:before="101"/>
        <w:ind w:left="513" w:right="365"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报告期内，公司经营活动产生的现金流量净额为</w:t>
      </w:r>
      <w:r>
        <w:rPr>
          <w:rFonts w:ascii="Times New Roman" w:hAnsi="Times New Roman" w:cs="Times New Roman" w:eastAsia="Times New Roman" w:hint="default"/>
          <w:spacing w:val="-1"/>
        </w:rPr>
        <w:t>65,794,883.33</w:t>
      </w:r>
      <w:r>
        <w:rPr>
          <w:spacing w:val="-1"/>
        </w:rPr>
        <w:t>元，比上年同期上升</w:t>
      </w:r>
      <w:r>
        <w:rPr>
          <w:rFonts w:ascii="Times New Roman" w:hAnsi="Times New Roman" w:cs="Times New Roman" w:eastAsia="Times New Roman" w:hint="default"/>
          <w:spacing w:val="-1"/>
        </w:rPr>
        <w:t>47.62%</w:t>
      </w:r>
      <w:r>
        <w:rPr>
          <w:spacing w:val="-1"/>
        </w:rPr>
        <w:t>，主要是报告期营业收入增长</w:t>
      </w:r>
    </w:p>
    <w:p>
      <w:pPr>
        <w:pStyle w:val="BodyText"/>
        <w:spacing w:line="215" w:lineRule="exact"/>
        <w:ind w:right="365"/>
        <w:jc w:val="left"/>
      </w:pPr>
      <w:r>
        <w:rPr/>
        <w:t>及公司严控应收账款风险，加大催收力度，并取得了较好的成果。同时随着规模采购的增加，部分供应商付款周期加长。</w:t>
      </w:r>
    </w:p>
    <w:p>
      <w:pPr>
        <w:pStyle w:val="BodyText"/>
        <w:spacing w:line="300" w:lineRule="auto" w:before="76"/>
        <w:ind w:right="365" w:firstLine="360"/>
        <w:jc w:val="left"/>
      </w:pPr>
      <w:r>
        <w:rPr>
          <w:spacing w:val="-2"/>
        </w:rPr>
        <w:t>报告期内，公司筹资活动产生的现金流量净额为</w:t>
      </w:r>
      <w:r>
        <w:rPr>
          <w:rFonts w:ascii="Times New Roman" w:hAnsi="Times New Roman" w:cs="Times New Roman" w:eastAsia="Times New Roman" w:hint="default"/>
          <w:spacing w:val="-2"/>
        </w:rPr>
        <w:t>-40,722,527.55</w:t>
      </w:r>
      <w:r>
        <w:rPr>
          <w:spacing w:val="-2"/>
        </w:rPr>
        <w:t>元，比上年同期减少</w:t>
      </w:r>
      <w:r>
        <w:rPr>
          <w:rFonts w:ascii="Times New Roman" w:hAnsi="Times New Roman" w:cs="Times New Roman" w:eastAsia="Times New Roman" w:hint="default"/>
          <w:spacing w:val="-2"/>
        </w:rPr>
        <w:t>33.46%</w:t>
      </w:r>
      <w:r>
        <w:rPr>
          <w:spacing w:val="-2"/>
        </w:rPr>
        <w:t>，主要原因是本年度实施</w:t>
      </w:r>
      <w:r>
        <w:rPr>
          <w:rFonts w:ascii="Times New Roman" w:hAnsi="Times New Roman" w:cs="Times New Roman" w:eastAsia="Times New Roman" w:hint="default"/>
          <w:spacing w:val="-2"/>
        </w:rPr>
        <w:t>2011</w:t>
      </w:r>
      <w:r>
        <w:rPr>
          <w:rFonts w:ascii="Times New Roman" w:hAnsi="Times New Roman" w:cs="Times New Roman" w:eastAsia="Times New Roman" w:hint="default"/>
        </w:rPr>
        <w:t> </w:t>
      </w:r>
      <w:r>
        <w:rPr/>
        <w:t>年度利润分配方案，分派现金红利。</w:t>
      </w:r>
    </w:p>
    <w:p>
      <w:pPr>
        <w:pStyle w:val="BodyText"/>
        <w:spacing w:line="240" w:lineRule="auto" w:before="72"/>
        <w:ind w:right="1264"/>
        <w:jc w:val="left"/>
      </w:pPr>
      <w:r>
        <w:rPr/>
        <w:t>报告期内公司经营活动的现金流量与本年度净利润存在重大差异的原因说明</w:t>
      </w:r>
    </w:p>
    <w:p>
      <w:pPr>
        <w:spacing w:line="547" w:lineRule="auto" w:before="115"/>
        <w:ind w:left="152" w:right="7162" w:firstLine="0"/>
        <w:jc w:val="left"/>
        <w:rPr>
          <w:rFonts w:ascii="宋体" w:hAnsi="宋体" w:cs="宋体" w:eastAsia="宋体" w:hint="default"/>
          <w:sz w:val="18"/>
          <w:szCs w:val="18"/>
        </w:rPr>
      </w:pPr>
      <w:r>
        <w:rPr/>
        <w:pict>
          <v:shape style="position:absolute;margin-left:56.459999pt;margin-top:84.331726pt;width:479.2pt;height:40.7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19,621,787.81</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6</w:t>
      </w:r>
      <w:r>
        <w:rPr>
          <w:rFonts w:ascii="宋体" w:hAnsi="宋体" w:cs="宋体" w:eastAsia="宋体" w:hint="default"/>
          <w:b/>
          <w:bCs/>
          <w:spacing w:val="-1"/>
          <w:sz w:val="21"/>
          <w:szCs w:val="21"/>
        </w:rPr>
        <w:t>、公司主要供应商、客户情况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right="1264"/>
        <w:jc w:val="left"/>
      </w:pPr>
      <w:r>
        <w:rPr/>
        <w:t>向单一客户销售比例超过</w:t>
      </w:r>
      <w:r>
        <w:rPr>
          <w:spacing w:val="-46"/>
        </w:rPr>
        <w:t> </w:t>
      </w:r>
      <w:r>
        <w:rPr>
          <w:rFonts w:ascii="Times New Roman" w:hAnsi="Times New Roman" w:cs="Times New Roman" w:eastAsia="Times New Roman" w:hint="default"/>
        </w:rPr>
        <w:t>30%</w:t>
      </w:r>
      <w:r>
        <w:rPr/>
        <w:t>的客户资料</w:t>
      </w:r>
    </w:p>
    <w:p>
      <w:pPr>
        <w:pStyle w:val="BodyText"/>
        <w:spacing w:line="340" w:lineRule="auto" w:before="101"/>
        <w:ind w:right="83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after="0" w:line="340" w:lineRule="auto"/>
        <w:jc w:val="left"/>
        <w:sectPr>
          <w:pgSz w:w="11910" w:h="16840"/>
          <w:pgMar w:header="0" w:footer="1227" w:top="1100" w:bottom="1420" w:left="980" w:right="76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42,742,646.21</w:t>
            </w:r>
          </w:p>
        </w:tc>
      </w:tr>
      <w:tr>
        <w:trPr>
          <w:trHeight w:val="402" w:hRule="exact"/>
        </w:trPr>
        <w:tc>
          <w:tcPr>
            <w:tcW w:w="42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3" w:space="0" w:color="FFFFFF"/>
              <w:bottom w:val="single" w:sz="4" w:space="0" w:color="000000"/>
              <w:right w:val="single" w:sz="4" w:space="0" w:color="000000"/>
            </w:tcBorders>
          </w:tcPr>
          <w:p>
            <w:pPr>
              <w:pStyle w:val="TableParagraph"/>
              <w:tabs>
                <w:tab w:pos="4714" w:val="left" w:leader="none"/>
              </w:tabs>
              <w:spacing w:line="240" w:lineRule="auto" w:before="50"/>
              <w:ind w:left="-137" w:right="16"/>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25.97%</w:t>
            </w:r>
          </w:p>
        </w:tc>
      </w:tr>
    </w:tbl>
    <w:p>
      <w:pPr>
        <w:pStyle w:val="BodyText"/>
        <w:spacing w:line="240" w:lineRule="auto" w:before="49"/>
        <w:ind w:right="0"/>
        <w:jc w:val="left"/>
      </w:pPr>
      <w:r>
        <w:rPr/>
        <w:pict>
          <v:group style="position:absolute;margin-left:271.010010pt;margin-top:-20.038271pt;width:262.75pt;height:19.6pt;mso-position-horizontal-relative:page;mso-position-vertical-relative:paragraph;z-index:-760192" coordorigin="5420,-401" coordsize="5255,392">
            <v:shape style="position:absolute;left:5420;top:-401;width:5255;height:392" coordorigin="5420,-401" coordsize="5255,392" path="m5420,-10l10675,-10,10675,-401,5420,-401,5420,-10xe" filled="true" fillcolor="#ffffff" stroked="false">
              <v:path arrowok="t"/>
              <v:fill type="solid"/>
            </v:shape>
            <w10:wrap type="none"/>
          </v:group>
        </w:pict>
      </w:r>
      <w:r>
        <w:rPr/>
        <w:t>向单一供应商采购比例超过</w:t>
      </w:r>
      <w:r>
        <w:rPr>
          <w:spacing w:val="-46"/>
        </w:rPr>
        <w:t> </w:t>
      </w:r>
      <w:r>
        <w:rPr>
          <w:rFonts w:ascii="Times New Roman" w:hAnsi="Times New Roman" w:cs="Times New Roman" w:eastAsia="Times New Roman" w:hint="default"/>
        </w:rPr>
        <w:t>30%</w:t>
      </w:r>
      <w:r>
        <w:rPr/>
        <w:t>的客户资料</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w:t>
      </w:r>
      <w:r>
        <w:rPr/>
        <w:t>、公司未来发展与规划延续至报告期的说明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首次公开发行招股说明书中披露的未来发展与规划在本报告期的实施情况</w:t>
      </w:r>
    </w:p>
    <w:p>
      <w:pPr>
        <w:pStyle w:val="BodyText"/>
        <w:spacing w:line="338" w:lineRule="auto" w:before="117"/>
        <w:ind w:right="43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公司回顾总结前期披露的发展战略和经营计划在报告期内的进展情况</w:t>
      </w:r>
    </w:p>
    <w:p>
      <w:pPr>
        <w:pStyle w:val="BodyText"/>
        <w:spacing w:line="300" w:lineRule="auto" w:before="43"/>
        <w:ind w:right="144" w:firstLine="360"/>
        <w:jc w:val="left"/>
      </w:pPr>
      <w:r>
        <w:rPr>
          <w:rFonts w:ascii="Times New Roman" w:hAnsi="Times New Roman" w:cs="Times New Roman" w:eastAsia="Times New Roman" w:hint="default"/>
        </w:rPr>
        <w:t>2012</w:t>
      </w:r>
      <w:r>
        <w:rPr/>
        <w:t>年，公司加大营销服务网络的建设，共在全国各地成立营销服务网点</w:t>
      </w:r>
      <w:r>
        <w:rPr>
          <w:rFonts w:ascii="Times New Roman" w:hAnsi="Times New Roman" w:cs="Times New Roman" w:eastAsia="Times New Roman" w:hint="default"/>
        </w:rPr>
        <w:t>111</w:t>
      </w:r>
      <w:r>
        <w:rPr/>
        <w:t>个，进一步提高了楼宇对讲产品市场占有 率，产品线丰富方面新增了停车场系统的市场收入。</w:t>
      </w:r>
    </w:p>
    <w:p>
      <w:pPr>
        <w:pStyle w:val="BodyText"/>
        <w:spacing w:line="300" w:lineRule="auto" w:before="72"/>
        <w:ind w:right="194" w:firstLine="360"/>
        <w:jc w:val="left"/>
      </w:pPr>
      <w:r>
        <w:rPr>
          <w:rFonts w:ascii="Times New Roman" w:hAnsi="Times New Roman" w:cs="Times New Roman" w:eastAsia="Times New Roman" w:hint="default"/>
        </w:rPr>
        <w:t>2012</w:t>
      </w:r>
      <w:r>
        <w:rPr/>
        <w:t>年，公司加强管理，完善内控制度，包括建立</w:t>
      </w:r>
      <w:r>
        <w:rPr>
          <w:rFonts w:ascii="Times New Roman" w:hAnsi="Times New Roman" w:cs="Times New Roman" w:eastAsia="Times New Roman" w:hint="default"/>
        </w:rPr>
        <w:t>4A</w:t>
      </w:r>
      <w:r>
        <w:rPr/>
        <w:t>标准化文件，完善人力资源绩效考核制度，完善工作流程，提高 信息披露质量，持续规范运作，逐步形成专业化管理团队。</w:t>
      </w:r>
    </w:p>
    <w:p>
      <w:pPr>
        <w:pStyle w:val="BodyText"/>
        <w:spacing w:line="300" w:lineRule="auto" w:before="70"/>
        <w:ind w:right="144" w:firstLine="360"/>
        <w:jc w:val="left"/>
      </w:pPr>
      <w:r>
        <w:rPr>
          <w:rFonts w:ascii="Times New Roman" w:hAnsi="Times New Roman" w:cs="Times New Roman" w:eastAsia="Times New Roman" w:hint="default"/>
          <w:spacing w:val="-1"/>
        </w:rPr>
        <w:t>2012</w:t>
      </w:r>
      <w:r>
        <w:rPr>
          <w:spacing w:val="-1"/>
        </w:rPr>
        <w:t>年，公司实现销售收入</w:t>
      </w:r>
      <w:r>
        <w:rPr>
          <w:rFonts w:ascii="Times New Roman" w:hAnsi="Times New Roman" w:cs="Times New Roman" w:eastAsia="Times New Roman" w:hint="default"/>
          <w:spacing w:val="-1"/>
        </w:rPr>
        <w:t>36,324</w:t>
      </w:r>
      <w:r>
        <w:rPr>
          <w:spacing w:val="-1"/>
        </w:rPr>
        <w:t>万元，比上年同期增长</w:t>
      </w:r>
      <w:r>
        <w:rPr>
          <w:rFonts w:ascii="Times New Roman" w:hAnsi="Times New Roman" w:cs="Times New Roman" w:eastAsia="Times New Roman" w:hint="default"/>
          <w:spacing w:val="-1"/>
        </w:rPr>
        <w:t>43.45%</w:t>
      </w:r>
      <w:r>
        <w:rPr>
          <w:spacing w:val="-1"/>
        </w:rPr>
        <w:t>，得益于营销服务网点的进一步建设和深耕及产品线的</w:t>
      </w:r>
      <w:r>
        <w:rPr/>
        <w:t> 丰富。</w:t>
      </w:r>
    </w:p>
    <w:p>
      <w:pPr>
        <w:pStyle w:val="BodyText"/>
        <w:spacing w:line="240" w:lineRule="auto" w:before="72"/>
        <w:ind w:right="0"/>
        <w:jc w:val="left"/>
      </w:pPr>
      <w:r>
        <w:rPr/>
        <w:t>公司实际经营业绩较曾公开披露过的本年度盈利预测低于或高于</w:t>
      </w:r>
      <w:r>
        <w:rPr>
          <w:spacing w:val="-43"/>
        </w:rPr>
        <w:t> </w:t>
      </w:r>
      <w:r>
        <w:rPr>
          <w:rFonts w:ascii="Times New Roman" w:hAnsi="Times New Roman" w:cs="Times New Roman" w:eastAsia="Times New Roman" w:hint="default"/>
        </w:rPr>
        <w:t>20%</w:t>
      </w:r>
      <w:r>
        <w:rPr/>
        <w:t>以上的差异原因</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（二）、主营业务分部报告</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5"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）工业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363,180,530.76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188,994,587.27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楼宇对讲系统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324,831,064.32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168,668,247.53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智能家居系统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18,076,487.02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8,782,092.16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40.27%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64.36%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停车场系统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11,181,257.47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6,770,320.34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39.45%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9,091,721.95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4,773,927.24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47.49%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71.94%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-18.25%</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45,353,308.37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25,250,501.70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46.32%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49.91%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53,764,170.24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31,424,702.13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96.06%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106,116,859.75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49,805,510.95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53.07%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10.29%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73,085,195.29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39,434,223.19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24,372,353.42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12,531,857.24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57.14%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58.61%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13,628,759.38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7,049,141.27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46,859,884.31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23,498,650.79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49.85%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33.62%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34.65%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3" w:right="0"/>
              <w:jc w:val="left"/>
              <w:rPr>
                <w:rFonts w:ascii="Times New Roman" w:hAnsi="Times New Roman" w:cs="Times New Roman" w:eastAsia="Times New Roman" w:hint="default"/>
                <w:sz w:val="18"/>
                <w:szCs w:val="18"/>
              </w:rPr>
            </w:pPr>
            <w:r>
              <w:rPr>
                <w:rFonts w:ascii="Times New Roman"/>
                <w:sz w:val="18"/>
              </w:rPr>
              <w:t>-0.38%</w:t>
            </w:r>
          </w:p>
        </w:tc>
      </w:tr>
    </w:tbl>
    <w:p>
      <w:pPr>
        <w:pStyle w:val="BodyText"/>
        <w:spacing w:line="240" w:lineRule="auto" w:before="49"/>
        <w:ind w:right="88"/>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8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Heading5"/>
        <w:spacing w:line="240" w:lineRule="auto" w:before="103"/>
        <w:ind w:right="88"/>
        <w:jc w:val="left"/>
        <w:rPr>
          <w:b w:val="0"/>
          <w:bCs w:val="0"/>
        </w:rPr>
      </w:pPr>
      <w:r>
        <w:rPr>
          <w:rFonts w:ascii="Times New Roman" w:hAnsi="Times New Roman" w:cs="Times New Roman" w:eastAsia="Times New Roman" w:hint="default"/>
        </w:rPr>
        <w:t>1</w:t>
      </w:r>
      <w:r>
        <w:rPr/>
        <w:t>、营业收入分析</w:t>
      </w:r>
      <w:r>
        <w:rPr>
          <w:b w:val="0"/>
          <w:bCs w:val="0"/>
        </w:rPr>
      </w:r>
    </w:p>
    <w:p>
      <w:pPr>
        <w:pStyle w:val="BodyText"/>
        <w:spacing w:line="300" w:lineRule="auto" w:before="101"/>
        <w:ind w:right="88" w:firstLine="360"/>
        <w:jc w:val="left"/>
      </w:pPr>
      <w:r>
        <w:rPr/>
        <w:t>随着公司营销服务网点的进一步建设和深耕，报告期内，公司实现主营业务收入</w:t>
      </w:r>
      <w:r>
        <w:rPr>
          <w:spacing w:val="-48"/>
        </w:rPr>
        <w:t> </w:t>
      </w:r>
      <w:r>
        <w:rPr>
          <w:rFonts w:ascii="Times New Roman" w:hAnsi="Times New Roman" w:cs="Times New Roman" w:eastAsia="Times New Roman" w:hint="default"/>
        </w:rPr>
        <w:t>36,318</w:t>
      </w:r>
      <w:r>
        <w:rPr>
          <w:rFonts w:ascii="Times New Roman" w:hAnsi="Times New Roman" w:cs="Times New Roman" w:eastAsia="Times New Roman" w:hint="default"/>
          <w:spacing w:val="-3"/>
        </w:rPr>
        <w:t> </w:t>
      </w:r>
      <w:r>
        <w:rPr/>
        <w:t>万元，比去年同期增长</w:t>
      </w:r>
      <w:r>
        <w:rPr>
          <w:spacing w:val="-48"/>
        </w:rPr>
        <w:t> </w:t>
      </w:r>
      <w:r>
        <w:rPr>
          <w:rFonts w:ascii="Times New Roman" w:hAnsi="Times New Roman" w:cs="Times New Roman" w:eastAsia="Times New Roman" w:hint="default"/>
        </w:rPr>
        <w:t>43.5%</w:t>
      </w:r>
      <w:r>
        <w:rPr/>
        <w:t>。 其中楼宇对讲系统实现销售</w:t>
      </w:r>
      <w:r>
        <w:rPr>
          <w:spacing w:val="-45"/>
        </w:rPr>
        <w:t> </w:t>
      </w:r>
      <w:r>
        <w:rPr>
          <w:rFonts w:ascii="Times New Roman" w:hAnsi="Times New Roman" w:cs="Times New Roman" w:eastAsia="Times New Roman" w:hint="default"/>
        </w:rPr>
        <w:t>32,483</w:t>
      </w:r>
      <w:r>
        <w:rPr>
          <w:rFonts w:ascii="Times New Roman" w:hAnsi="Times New Roman" w:cs="Times New Roman" w:eastAsia="Times New Roman" w:hint="default"/>
          <w:spacing w:val="1"/>
        </w:rPr>
        <w:t> </w:t>
      </w:r>
      <w:r>
        <w:rPr/>
        <w:t>万元，比去年同期增长</w:t>
      </w:r>
      <w:r>
        <w:rPr>
          <w:spacing w:val="-46"/>
        </w:rPr>
        <w:t> </w:t>
      </w:r>
      <w:r>
        <w:rPr>
          <w:rFonts w:ascii="Times New Roman" w:hAnsi="Times New Roman" w:cs="Times New Roman" w:eastAsia="Times New Roman" w:hint="default"/>
        </w:rPr>
        <w:t>39.95%</w:t>
      </w:r>
      <w:r>
        <w:rPr/>
        <w:t>；智能家居系统实现销售</w:t>
      </w:r>
      <w:r>
        <w:rPr>
          <w:spacing w:val="-46"/>
        </w:rPr>
        <w:t> </w:t>
      </w:r>
      <w:r>
        <w:rPr>
          <w:rFonts w:ascii="Times New Roman" w:hAnsi="Times New Roman" w:cs="Times New Roman" w:eastAsia="Times New Roman" w:hint="default"/>
        </w:rPr>
        <w:t>1807</w:t>
      </w:r>
      <w:r>
        <w:rPr>
          <w:rFonts w:ascii="Times New Roman" w:hAnsi="Times New Roman" w:cs="Times New Roman" w:eastAsia="Times New Roman" w:hint="default"/>
          <w:spacing w:val="1"/>
        </w:rPr>
        <w:t> </w:t>
      </w:r>
      <w:r>
        <w:rPr/>
        <w:t>万元，比去年同期增长 </w:t>
      </w:r>
      <w:r>
        <w:rPr>
          <w:rFonts w:ascii="Times New Roman" w:hAnsi="Times New Roman" w:cs="Times New Roman" w:eastAsia="Times New Roman" w:hint="default"/>
        </w:rPr>
        <w:t>40.27%</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年，公司在社区推出停车场系统，并在全国接近</w:t>
      </w:r>
      <w:r>
        <w:rPr>
          <w:spacing w:val="-57"/>
        </w:rPr>
        <w:t> </w:t>
      </w:r>
      <w:r>
        <w:rPr>
          <w:rFonts w:ascii="Times New Roman" w:hAnsi="Times New Roman" w:cs="Times New Roman" w:eastAsia="Times New Roman" w:hint="default"/>
        </w:rPr>
        <w:t>60</w:t>
      </w:r>
      <w:r>
        <w:rPr>
          <w:rFonts w:ascii="Times New Roman" w:hAnsi="Times New Roman" w:cs="Times New Roman" w:eastAsia="Times New Roman" w:hint="default"/>
          <w:spacing w:val="-11"/>
        </w:rPr>
        <w:t> </w:t>
      </w:r>
      <w:r>
        <w:rPr/>
        <w:t>个城市举行了巡回推广活动，同时在各重要的营销服务网 点建立了样板以便客户亲身体验公司的产品，报告期内共实现销售</w:t>
      </w:r>
      <w:r>
        <w:rPr>
          <w:spacing w:val="-48"/>
        </w:rPr>
        <w:t> </w:t>
      </w:r>
      <w:r>
        <w:rPr>
          <w:rFonts w:ascii="Times New Roman" w:hAnsi="Times New Roman" w:cs="Times New Roman" w:eastAsia="Times New Roman" w:hint="default"/>
        </w:rPr>
        <w:t>1,118</w:t>
      </w:r>
      <w:r>
        <w:rPr>
          <w:rFonts w:ascii="Times New Roman" w:hAnsi="Times New Roman" w:cs="Times New Roman" w:eastAsia="Times New Roman" w:hint="default"/>
          <w:spacing w:val="-2"/>
        </w:rPr>
        <w:t> </w:t>
      </w:r>
      <w:r>
        <w:rPr/>
        <w:t>万元，占主营业务收入的</w:t>
      </w:r>
      <w:r>
        <w:rPr>
          <w:spacing w:val="-48"/>
        </w:rPr>
        <w:t> </w:t>
      </w:r>
      <w:r>
        <w:rPr>
          <w:rFonts w:ascii="Times New Roman" w:hAnsi="Times New Roman" w:cs="Times New Roman" w:eastAsia="Times New Roman" w:hint="default"/>
        </w:rPr>
        <w:t>3.08%</w:t>
      </w:r>
      <w:r>
        <w:rPr/>
        <w:t>。</w:t>
      </w:r>
    </w:p>
    <w:p>
      <w:pPr>
        <w:pStyle w:val="Heading5"/>
        <w:spacing w:line="240" w:lineRule="auto" w:before="53"/>
        <w:ind w:right="88"/>
        <w:jc w:val="left"/>
        <w:rPr>
          <w:b w:val="0"/>
          <w:bCs w:val="0"/>
        </w:rPr>
      </w:pPr>
      <w:r>
        <w:rPr>
          <w:rFonts w:ascii="Times New Roman" w:hAnsi="Times New Roman" w:cs="Times New Roman" w:eastAsia="Times New Roman" w:hint="default"/>
        </w:rPr>
        <w:t>2</w:t>
      </w:r>
      <w:r>
        <w:rPr/>
        <w:t>、分地区分析</w:t>
      </w:r>
      <w:r>
        <w:rPr>
          <w:b w:val="0"/>
          <w:bCs w:val="0"/>
        </w:rPr>
      </w:r>
    </w:p>
    <w:p>
      <w:pPr>
        <w:pStyle w:val="BodyText"/>
        <w:spacing w:line="300" w:lineRule="auto" w:before="103"/>
        <w:ind w:right="88" w:firstLine="360"/>
        <w:jc w:val="left"/>
      </w:pPr>
      <w:r>
        <w:rPr/>
        <w:t>报告期内，各地区销售收入都出现了较快的增长速度</w:t>
      </w:r>
      <w:r>
        <w:rPr>
          <w:rFonts w:ascii="Times New Roman" w:hAnsi="Times New Roman" w:cs="Times New Roman" w:eastAsia="Times New Roman" w:hint="default"/>
        </w:rPr>
        <w:t>,</w:t>
      </w:r>
      <w:r>
        <w:rPr/>
        <w:t>其中东北地区实现销售收入</w:t>
      </w:r>
      <w:r>
        <w:rPr>
          <w:spacing w:val="-45"/>
        </w:rPr>
        <w:t> </w:t>
      </w:r>
      <w:r>
        <w:rPr>
          <w:rFonts w:ascii="Times New Roman" w:hAnsi="Times New Roman" w:cs="Times New Roman" w:eastAsia="Times New Roman" w:hint="default"/>
        </w:rPr>
        <w:t>45,353,308.37</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占主营业务收入 </w:t>
      </w:r>
      <w:r>
        <w:rPr>
          <w:rFonts w:ascii="Times New Roman" w:hAnsi="Times New Roman" w:cs="Times New Roman" w:eastAsia="Times New Roman" w:hint="default"/>
        </w:rPr>
        <w:t>12.49%,</w:t>
      </w:r>
      <w:r>
        <w:rPr/>
        <w:t>比去年同期增长</w:t>
      </w:r>
      <w:r>
        <w:rPr>
          <w:spacing w:val="-49"/>
        </w:rPr>
        <w:t> </w:t>
      </w:r>
      <w:r>
        <w:rPr>
          <w:rFonts w:ascii="Times New Roman" w:hAnsi="Times New Roman" w:cs="Times New Roman" w:eastAsia="Times New Roman" w:hint="default"/>
        </w:rPr>
        <w:t>46.32%;</w:t>
      </w:r>
      <w:r>
        <w:rPr/>
        <w:t>华北地区实现销售收入</w:t>
      </w:r>
      <w:r>
        <w:rPr>
          <w:spacing w:val="-47"/>
        </w:rPr>
        <w:t> </w:t>
      </w:r>
      <w:r>
        <w:rPr>
          <w:rFonts w:ascii="Times New Roman" w:hAnsi="Times New Roman" w:cs="Times New Roman" w:eastAsia="Times New Roman" w:hint="default"/>
        </w:rPr>
        <w:t>53,764,170.24</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占主营业务收入</w:t>
      </w:r>
      <w:r>
        <w:rPr>
          <w:spacing w:val="-47"/>
        </w:rPr>
        <w:t> </w:t>
      </w:r>
      <w:r>
        <w:rPr>
          <w:rFonts w:ascii="Times New Roman" w:hAnsi="Times New Roman" w:cs="Times New Roman" w:eastAsia="Times New Roman" w:hint="default"/>
        </w:rPr>
        <w:t>14.80%,</w:t>
      </w:r>
      <w:r>
        <w:rPr/>
        <w:t>比去年同期增长</w:t>
      </w:r>
      <w:r>
        <w:rPr>
          <w:spacing w:val="-46"/>
        </w:rPr>
        <w:t> </w:t>
      </w:r>
      <w:r>
        <w:rPr>
          <w:rFonts w:ascii="Times New Roman" w:hAnsi="Times New Roman" w:cs="Times New Roman" w:eastAsia="Times New Roman" w:hint="default"/>
        </w:rPr>
        <w:t>96.54%; </w:t>
      </w:r>
      <w:r>
        <w:rPr/>
        <w:t>华东地区实现销售收入</w:t>
      </w:r>
      <w:r>
        <w:rPr>
          <w:spacing w:val="-45"/>
        </w:rPr>
        <w:t> </w:t>
      </w:r>
      <w:r>
        <w:rPr>
          <w:rFonts w:ascii="Times New Roman" w:hAnsi="Times New Roman" w:cs="Times New Roman" w:eastAsia="Times New Roman" w:hint="default"/>
        </w:rPr>
        <w:t>106,116,859.75</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占主营业务收入</w:t>
      </w:r>
      <w:r>
        <w:rPr>
          <w:spacing w:val="-48"/>
        </w:rPr>
        <w:t> </w:t>
      </w:r>
      <w:r>
        <w:rPr>
          <w:rFonts w:ascii="Times New Roman" w:hAnsi="Times New Roman" w:cs="Times New Roman" w:eastAsia="Times New Roman" w:hint="default"/>
        </w:rPr>
        <w:t>29.22%,</w:t>
      </w:r>
      <w:r>
        <w:rPr/>
        <w:t>比去年同期增长</w:t>
      </w:r>
      <w:r>
        <w:rPr>
          <w:spacing w:val="-46"/>
        </w:rPr>
        <w:t> </w:t>
      </w:r>
      <w:r>
        <w:rPr>
          <w:rFonts w:ascii="Times New Roman" w:hAnsi="Times New Roman" w:cs="Times New Roman" w:eastAsia="Times New Roman" w:hint="default"/>
        </w:rPr>
        <w:t>22.03%;</w:t>
      </w:r>
      <w:r>
        <w:rPr/>
        <w:t>华南地区实现销售收入 </w:t>
      </w:r>
      <w:r>
        <w:rPr>
          <w:rFonts w:ascii="Times New Roman" w:hAnsi="Times New Roman" w:cs="Times New Roman" w:eastAsia="Times New Roman" w:hint="default"/>
        </w:rPr>
        <w:t>73,085,195.29</w:t>
      </w:r>
      <w:r>
        <w:rPr>
          <w:rFonts w:ascii="Times New Roman" w:hAnsi="Times New Roman" w:cs="Times New Roman" w:eastAsia="Times New Roman" w:hint="default"/>
          <w:spacing w:val="-13"/>
        </w:rPr>
        <w:t> </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占主营业务收入</w:t>
      </w:r>
      <w:r>
        <w:rPr>
          <w:spacing w:val="-61"/>
        </w:rPr>
        <w:t> </w:t>
      </w:r>
      <w:r>
        <w:rPr>
          <w:rFonts w:ascii="Times New Roman" w:hAnsi="Times New Roman" w:cs="Times New Roman" w:eastAsia="Times New Roman" w:hint="default"/>
        </w:rPr>
        <w:t>20.12%,</w:t>
      </w:r>
      <w:r>
        <w:rPr/>
        <w:t>比去年同期增长</w:t>
      </w:r>
      <w:r>
        <w:rPr>
          <w:spacing w:val="-64"/>
        </w:rPr>
        <w:t> </w:t>
      </w:r>
      <w:r>
        <w:rPr>
          <w:rFonts w:ascii="Times New Roman" w:hAnsi="Times New Roman" w:cs="Times New Roman" w:eastAsia="Times New Roman" w:hint="default"/>
        </w:rPr>
        <w:t>52.19%;</w:t>
      </w:r>
      <w:r>
        <w:rPr/>
        <w:t>华中地区实现销售收入</w:t>
      </w:r>
      <w:r>
        <w:rPr>
          <w:spacing w:val="-61"/>
        </w:rPr>
        <w:t> </w:t>
      </w:r>
      <w:r>
        <w:rPr>
          <w:rFonts w:ascii="Times New Roman" w:hAnsi="Times New Roman" w:cs="Times New Roman" w:eastAsia="Times New Roman" w:hint="default"/>
        </w:rPr>
        <w:t>24,372,353.42</w:t>
      </w:r>
      <w:r>
        <w:rPr>
          <w:rFonts w:ascii="Times New Roman" w:hAnsi="Times New Roman" w:cs="Times New Roman" w:eastAsia="Times New Roman" w:hint="default"/>
          <w:spacing w:val="-13"/>
        </w:rPr>
        <w:t> </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40"/>
        </w:rPr>
        <w:t> </w:t>
      </w:r>
      <w:r>
        <w:rPr/>
        <w:t>占主营业务收入</w:t>
      </w:r>
    </w:p>
    <w:p>
      <w:pPr>
        <w:pStyle w:val="BodyText"/>
        <w:spacing w:line="300" w:lineRule="auto" w:before="13"/>
        <w:ind w:right="88"/>
        <w:jc w:val="left"/>
      </w:pPr>
      <w:r>
        <w:rPr>
          <w:rFonts w:ascii="Times New Roman" w:hAnsi="Times New Roman" w:cs="Times New Roman" w:eastAsia="Times New Roman" w:hint="default"/>
        </w:rPr>
        <w:t>6.71%,</w:t>
      </w:r>
      <w:r>
        <w:rPr/>
        <w:t>比去年同期增长</w:t>
      </w:r>
      <w:r>
        <w:rPr>
          <w:spacing w:val="-48"/>
        </w:rPr>
        <w:t> </w:t>
      </w:r>
      <w:r>
        <w:rPr>
          <w:rFonts w:ascii="Times New Roman" w:hAnsi="Times New Roman" w:cs="Times New Roman" w:eastAsia="Times New Roman" w:hint="default"/>
        </w:rPr>
        <w:t>57.14%;</w:t>
      </w:r>
      <w:r>
        <w:rPr/>
        <w:t>西北地区实现销售收入</w:t>
      </w:r>
      <w:r>
        <w:rPr>
          <w:spacing w:val="-47"/>
        </w:rPr>
        <w:t> </w:t>
      </w:r>
      <w:r>
        <w:rPr>
          <w:rFonts w:ascii="Times New Roman" w:hAnsi="Times New Roman" w:cs="Times New Roman" w:eastAsia="Times New Roman" w:hint="default"/>
        </w:rPr>
        <w:t>13,628,759.38</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占主营业务收入</w:t>
      </w:r>
      <w:r>
        <w:rPr>
          <w:spacing w:val="-48"/>
        </w:rPr>
        <w:t> </w:t>
      </w:r>
      <w:r>
        <w:rPr>
          <w:rFonts w:ascii="Times New Roman" w:hAnsi="Times New Roman" w:cs="Times New Roman" w:eastAsia="Times New Roman" w:hint="default"/>
        </w:rPr>
        <w:t>3.75%,</w:t>
      </w:r>
      <w:r>
        <w:rPr/>
        <w:t>比去年同期增长</w:t>
      </w:r>
      <w:r>
        <w:rPr>
          <w:spacing w:val="-47"/>
        </w:rPr>
        <w:t> </w:t>
      </w:r>
      <w:r>
        <w:rPr>
          <w:rFonts w:ascii="Times New Roman" w:hAnsi="Times New Roman" w:cs="Times New Roman" w:eastAsia="Times New Roman" w:hint="default"/>
        </w:rPr>
        <w:t>48.43%;</w:t>
      </w:r>
      <w:r>
        <w:rPr/>
        <w:t>西 南地区实现销售收入</w:t>
      </w:r>
      <w:r>
        <w:rPr>
          <w:spacing w:val="-47"/>
        </w:rPr>
        <w:t> </w:t>
      </w:r>
      <w:r>
        <w:rPr>
          <w:rFonts w:ascii="Times New Roman" w:hAnsi="Times New Roman" w:cs="Times New Roman" w:eastAsia="Times New Roman" w:hint="default"/>
        </w:rPr>
        <w:t>46,859,884.31</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占主营业务收入</w:t>
      </w:r>
      <w:r>
        <w:rPr>
          <w:spacing w:val="-47"/>
        </w:rPr>
        <w:t> </w:t>
      </w:r>
      <w:r>
        <w:rPr>
          <w:rFonts w:ascii="Times New Roman" w:hAnsi="Times New Roman" w:cs="Times New Roman" w:eastAsia="Times New Roman" w:hint="default"/>
        </w:rPr>
        <w:t>12.90%,</w:t>
      </w:r>
      <w:r>
        <w:rPr/>
        <w:t>比去年同期增长</w:t>
      </w:r>
      <w:r>
        <w:rPr>
          <w:spacing w:val="-46"/>
        </w:rPr>
        <w:t> </w:t>
      </w:r>
      <w:r>
        <w:rPr>
          <w:rFonts w:ascii="Times New Roman" w:hAnsi="Times New Roman" w:cs="Times New Roman" w:eastAsia="Times New Roman" w:hint="default"/>
        </w:rPr>
        <w:t>33.62%.</w:t>
      </w:r>
      <w:r>
        <w:rPr/>
        <w:t>。</w:t>
      </w:r>
    </w:p>
    <w:p>
      <w:pPr>
        <w:pStyle w:val="BodyText"/>
        <w:spacing w:line="312" w:lineRule="auto" w:before="51"/>
        <w:ind w:right="88" w:firstLine="360"/>
        <w:jc w:val="left"/>
      </w:pPr>
      <w:r>
        <w:rPr>
          <w:spacing w:val="-4"/>
        </w:rPr>
        <w:t>近年来，公司出台了针对在各分公司下设二级网点、二级网点升级分公司、促进新客户拓展的新措施等一系列组合措施，</w:t>
      </w:r>
      <w:r>
        <w:rPr/>
        <w:t> 并得到了各营销服务网点的积极配合落实。报告期末，公司在全国各地建立了</w:t>
      </w:r>
      <w:r>
        <w:rPr>
          <w:spacing w:val="-61"/>
        </w:rPr>
        <w:t> </w:t>
      </w:r>
      <w:r>
        <w:rPr>
          <w:rFonts w:ascii="Times New Roman" w:hAnsi="Times New Roman" w:cs="Times New Roman" w:eastAsia="Times New Roman" w:hint="default"/>
        </w:rPr>
        <w:t>111</w:t>
      </w:r>
      <w:r>
        <w:rPr>
          <w:rFonts w:ascii="Times New Roman" w:hAnsi="Times New Roman" w:cs="Times New Roman" w:eastAsia="Times New Roman" w:hint="default"/>
          <w:spacing w:val="-22"/>
        </w:rPr>
        <w:t> </w:t>
      </w:r>
      <w:r>
        <w:rPr/>
        <w:t>个营销服务网点，比上年同期增长</w:t>
      </w:r>
      <w:r>
        <w:rPr>
          <w:spacing w:val="-61"/>
        </w:rPr>
        <w:t> </w:t>
      </w:r>
      <w:r>
        <w:rPr>
          <w:rFonts w:ascii="Times New Roman" w:hAnsi="Times New Roman" w:cs="Times New Roman" w:eastAsia="Times New Roman" w:hint="default"/>
        </w:rPr>
        <w:t>9.9%</w:t>
      </w:r>
      <w:r>
        <w:rPr/>
        <w:t>， </w:t>
      </w:r>
      <w:r>
        <w:rPr>
          <w:spacing w:val="-2"/>
        </w:rPr>
        <w:t>公司营销服务网点的进一步建设和深耕，有效地提升了服务质量水平和产品推广力度，其中华北、华东、西北的分公司在销</w:t>
      </w:r>
      <w:r>
        <w:rPr>
          <w:spacing w:val="-64"/>
        </w:rPr>
        <w:t> </w:t>
      </w:r>
      <w:r>
        <w:rPr>
          <w:spacing w:val="-64"/>
        </w:rPr>
      </w:r>
      <w:r>
        <w:rPr/>
        <w:t>售平台建设和提升业绩方面取得了非常显著的成绩，为公司实现</w:t>
      </w:r>
      <w:r>
        <w:rPr>
          <w:spacing w:val="-46"/>
        </w:rPr>
        <w:t> </w:t>
      </w:r>
      <w:r>
        <w:rPr>
          <w:rFonts w:ascii="宋体" w:hAnsi="宋体" w:cs="宋体" w:eastAsia="宋体" w:hint="default"/>
        </w:rPr>
        <w:t>2012</w:t>
      </w:r>
      <w:r>
        <w:rPr>
          <w:rFonts w:ascii="宋体" w:hAnsi="宋体" w:cs="宋体" w:eastAsia="宋体" w:hint="default"/>
          <w:spacing w:val="-45"/>
        </w:rPr>
        <w:t> </w:t>
      </w:r>
      <w:r>
        <w:rPr/>
        <w:t>年业绩目标做出了很大贡献。</w:t>
      </w:r>
    </w:p>
    <w:p>
      <w:pPr>
        <w:pStyle w:val="Heading5"/>
        <w:spacing w:line="240" w:lineRule="auto" w:before="63"/>
        <w:ind w:right="88"/>
        <w:jc w:val="left"/>
        <w:rPr>
          <w:b w:val="0"/>
          <w:bCs w:val="0"/>
        </w:rPr>
      </w:pPr>
      <w:r>
        <w:rPr>
          <w:rFonts w:ascii="Times New Roman" w:hAnsi="Times New Roman" w:cs="Times New Roman" w:eastAsia="Times New Roman" w:hint="default"/>
        </w:rPr>
        <w:t>3</w:t>
      </w:r>
      <w:r>
        <w:rPr/>
        <w:t>、毛利率分析</w:t>
      </w:r>
      <w:r>
        <w:rPr>
          <w:b w:val="0"/>
          <w:bCs w:val="0"/>
        </w:rPr>
      </w:r>
    </w:p>
    <w:p>
      <w:pPr>
        <w:pStyle w:val="BodyText"/>
        <w:spacing w:line="240" w:lineRule="auto" w:before="127"/>
        <w:ind w:left="513" w:right="88"/>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年，公司综合毛利率与去年同期相比，变化不大。报告期内，公司中高端产品销量有所增加。</w:t>
      </w:r>
    </w:p>
    <w:p>
      <w:pPr>
        <w:spacing w:line="240" w:lineRule="auto" w:before="0"/>
        <w:rPr>
          <w:rFonts w:ascii="宋体" w:hAnsi="宋体" w:cs="宋体" w:eastAsia="宋体" w:hint="default"/>
          <w:sz w:val="18"/>
          <w:szCs w:val="18"/>
        </w:rPr>
      </w:pPr>
    </w:p>
    <w:p>
      <w:pPr>
        <w:pStyle w:val="Heading3"/>
        <w:spacing w:line="240" w:lineRule="auto" w:before="128"/>
        <w:ind w:right="88"/>
        <w:jc w:val="left"/>
        <w:rPr>
          <w:b w:val="0"/>
          <w:bCs w:val="0"/>
        </w:rPr>
      </w:pPr>
      <w:r>
        <w:rPr/>
        <w:t>（三）、资产、负债状况分析</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88"/>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28"/>
        <w:gridCol w:w="991"/>
        <w:gridCol w:w="1558"/>
        <w:gridCol w:w="994"/>
        <w:gridCol w:w="1561"/>
        <w:gridCol w:w="1771"/>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比重增减（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变动幅度</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46" w:right="38"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48" w:right="38"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61"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823,762,702.21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66.48%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858,915,083.45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74.21%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-7.72%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-4.09%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4,626,831.19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1,936,160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0.21%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9" w:right="0"/>
              <w:jc w:val="left"/>
              <w:rPr>
                <w:rFonts w:ascii="Times New Roman" w:hAnsi="Times New Roman" w:cs="Times New Roman" w:eastAsia="Times New Roman" w:hint="default"/>
                <w:sz w:val="18"/>
                <w:szCs w:val="18"/>
              </w:rPr>
            </w:pPr>
            <w:r>
              <w:rPr>
                <w:rFonts w:ascii="Times New Roman"/>
                <w:sz w:val="18"/>
              </w:rPr>
              <w:t>138.97%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68,596,971.85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50,953,731.30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4" w:right="0"/>
              <w:jc w:val="left"/>
              <w:rPr>
                <w:rFonts w:ascii="Times New Roman" w:hAnsi="Times New Roman" w:cs="Times New Roman" w:eastAsia="Times New Roman" w:hint="default"/>
                <w:sz w:val="18"/>
                <w:szCs w:val="18"/>
              </w:rPr>
            </w:pPr>
            <w:r>
              <w:rPr>
                <w:rFonts w:ascii="Times New Roman"/>
                <w:sz w:val="18"/>
              </w:rPr>
              <w:t>34.63%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3,305,065.33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2,765,082.96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0.03%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4" w:right="0"/>
              <w:jc w:val="left"/>
              <w:rPr>
                <w:rFonts w:ascii="Times New Roman" w:hAnsi="Times New Roman" w:cs="Times New Roman" w:eastAsia="Times New Roman" w:hint="default"/>
                <w:sz w:val="18"/>
                <w:szCs w:val="18"/>
              </w:rPr>
            </w:pPr>
            <w:r>
              <w:rPr>
                <w:rFonts w:ascii="Times New Roman"/>
                <w:sz w:val="18"/>
              </w:rPr>
              <w:t>19.53%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23,139,233.32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18,448,273.40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0.27%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4" w:right="0"/>
              <w:jc w:val="left"/>
              <w:rPr>
                <w:rFonts w:ascii="Times New Roman" w:hAnsi="Times New Roman" w:cs="Times New Roman" w:eastAsia="Times New Roman" w:hint="default"/>
                <w:sz w:val="18"/>
                <w:szCs w:val="18"/>
              </w:rPr>
            </w:pPr>
            <w:r>
              <w:rPr>
                <w:rFonts w:ascii="Times New Roman"/>
                <w:sz w:val="18"/>
              </w:rPr>
              <w:t>25.43%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其它应收款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3,993,404.53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6,016,576.21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-0.20%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3" w:right="0"/>
              <w:jc w:val="left"/>
              <w:rPr>
                <w:rFonts w:ascii="Times New Roman" w:hAnsi="Times New Roman" w:cs="Times New Roman" w:eastAsia="Times New Roman" w:hint="default"/>
                <w:sz w:val="18"/>
                <w:szCs w:val="18"/>
              </w:rPr>
            </w:pPr>
            <w:r>
              <w:rPr>
                <w:rFonts w:ascii="Times New Roman"/>
                <w:sz w:val="18"/>
              </w:rPr>
              <w:t>-33.63%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84,479,794.29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58,323,820.15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4" w:right="0"/>
              <w:jc w:val="left"/>
              <w:rPr>
                <w:rFonts w:ascii="Times New Roman" w:hAnsi="Times New Roman" w:cs="Times New Roman" w:eastAsia="Times New Roman" w:hint="default"/>
                <w:sz w:val="18"/>
                <w:szCs w:val="18"/>
              </w:rPr>
            </w:pPr>
            <w:r>
              <w:rPr>
                <w:rFonts w:ascii="Times New Roman"/>
                <w:sz w:val="18"/>
              </w:rPr>
              <w:t>44.85%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1,012,991,919.91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81.75%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998,333,436.39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86.25%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-4.50%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7" w:right="0"/>
              <w:jc w:val="left"/>
              <w:rPr>
                <w:rFonts w:ascii="Times New Roman" w:hAnsi="Times New Roman" w:cs="Times New Roman" w:eastAsia="Times New Roman" w:hint="default"/>
                <w:sz w:val="18"/>
                <w:szCs w:val="18"/>
              </w:rPr>
            </w:pPr>
            <w:r>
              <w:rPr>
                <w:rFonts w:ascii="Times New Roman"/>
                <w:sz w:val="18"/>
              </w:rPr>
              <w:t>1.47%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139,369,603.43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34,787,397.48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8.24%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9" w:right="0"/>
              <w:jc w:val="left"/>
              <w:rPr>
                <w:rFonts w:ascii="Times New Roman" w:hAnsi="Times New Roman" w:cs="Times New Roman" w:eastAsia="Times New Roman" w:hint="default"/>
                <w:sz w:val="18"/>
                <w:szCs w:val="18"/>
              </w:rPr>
            </w:pPr>
            <w:r>
              <w:rPr>
                <w:rFonts w:ascii="Times New Roman"/>
                <w:sz w:val="18"/>
              </w:rPr>
              <w:t>300.63%</w:t>
            </w:r>
          </w:p>
        </w:tc>
      </w:tr>
    </w:tbl>
    <w:p>
      <w:pPr>
        <w:spacing w:after="0" w:line="240" w:lineRule="auto"/>
        <w:jc w:val="left"/>
        <w:rPr>
          <w:rFonts w:ascii="Times New Roman" w:hAnsi="Times New Roman" w:cs="Times New Roman" w:eastAsia="Times New Roman" w:hint="default"/>
          <w:sz w:val="18"/>
          <w:szCs w:val="18"/>
        </w:rPr>
        <w:sectPr>
          <w:pgSz w:w="11910" w:h="16840"/>
          <w:pgMar w:header="0" w:footer="1227" w:top="1100" w:bottom="1420" w:left="980" w:right="94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28"/>
        <w:gridCol w:w="991"/>
        <w:gridCol w:w="1558"/>
        <w:gridCol w:w="994"/>
        <w:gridCol w:w="1561"/>
        <w:gridCol w:w="1771"/>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50,973,360.86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4.11%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97,244,262.70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-4.29%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3" w:right="0"/>
              <w:jc w:val="left"/>
              <w:rPr>
                <w:rFonts w:ascii="Times New Roman" w:hAnsi="Times New Roman" w:cs="Times New Roman" w:eastAsia="Times New Roman" w:hint="default"/>
                <w:sz w:val="18"/>
                <w:szCs w:val="18"/>
              </w:rPr>
            </w:pPr>
            <w:r>
              <w:rPr>
                <w:rFonts w:ascii="Times New Roman"/>
                <w:sz w:val="18"/>
              </w:rPr>
              <w:t>-47.58%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27,310,812.93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2.20%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24,621,455.24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2.13%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0.08%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4" w:right="0"/>
              <w:jc w:val="left"/>
              <w:rPr>
                <w:rFonts w:ascii="Times New Roman" w:hAnsi="Times New Roman" w:cs="Times New Roman" w:eastAsia="Times New Roman" w:hint="default"/>
                <w:sz w:val="18"/>
                <w:szCs w:val="18"/>
              </w:rPr>
            </w:pPr>
            <w:r>
              <w:rPr>
                <w:rFonts w:ascii="Times New Roman"/>
                <w:sz w:val="18"/>
              </w:rPr>
              <w:t>10.92%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3,550,486.17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0.29%</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4,870,020.39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2,479,338.63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0.18%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4" w:right="0"/>
              <w:jc w:val="left"/>
              <w:rPr>
                <w:rFonts w:ascii="Times New Roman" w:hAnsi="Times New Roman" w:cs="Times New Roman" w:eastAsia="Times New Roman" w:hint="default"/>
                <w:sz w:val="18"/>
                <w:szCs w:val="18"/>
              </w:rPr>
            </w:pPr>
            <w:r>
              <w:rPr>
                <w:rFonts w:ascii="Times New Roman"/>
                <w:sz w:val="18"/>
              </w:rPr>
              <w:t>96.42%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226,074,283.78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18.25%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159,132,454.05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13.75%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4" w:right="0"/>
              <w:jc w:val="left"/>
              <w:rPr>
                <w:rFonts w:ascii="Times New Roman" w:hAnsi="Times New Roman" w:cs="Times New Roman" w:eastAsia="Times New Roman" w:hint="default"/>
                <w:sz w:val="18"/>
                <w:szCs w:val="18"/>
              </w:rPr>
            </w:pPr>
            <w:r>
              <w:rPr>
                <w:rFonts w:ascii="Times New Roman"/>
                <w:sz w:val="18"/>
              </w:rPr>
              <w:t>42.07%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1,239,066,203.69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1,157,465,890.44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7" w:right="0"/>
              <w:jc w:val="left"/>
              <w:rPr>
                <w:rFonts w:ascii="Times New Roman" w:hAnsi="Times New Roman" w:cs="Times New Roman" w:eastAsia="Times New Roman" w:hint="default"/>
                <w:sz w:val="18"/>
                <w:szCs w:val="18"/>
              </w:rPr>
            </w:pPr>
            <w:r>
              <w:rPr>
                <w:rFonts w:ascii="Times New Roman"/>
                <w:sz w:val="18"/>
              </w:rPr>
              <w:t>7.05%</w:t>
            </w:r>
          </w:p>
        </w:tc>
      </w:tr>
    </w:tbl>
    <w:p>
      <w:pPr>
        <w:pStyle w:val="BodyText"/>
        <w:spacing w:line="316" w:lineRule="auto" w:before="49"/>
        <w:ind w:right="88" w:firstLine="360"/>
        <w:jc w:val="left"/>
      </w:pPr>
      <w:r>
        <w:rPr>
          <w:rFonts w:ascii="宋体" w:hAnsi="宋体" w:cs="宋体" w:eastAsia="宋体" w:hint="default"/>
        </w:rPr>
        <w:t>2012</w:t>
      </w:r>
      <w:r>
        <w:rPr>
          <w:rFonts w:ascii="宋体" w:hAnsi="宋体" w:cs="宋体" w:eastAsia="宋体" w:hint="default"/>
          <w:spacing w:val="-45"/>
        </w:rPr>
        <w:t> </w:t>
      </w:r>
      <w:r>
        <w:rPr/>
        <w:t>年，公司资产总额为</w:t>
      </w:r>
      <w:r>
        <w:rPr>
          <w:spacing w:val="-47"/>
        </w:rPr>
        <w:t> </w:t>
      </w:r>
      <w:r>
        <w:rPr>
          <w:rFonts w:ascii="宋体" w:hAnsi="宋体" w:cs="宋体" w:eastAsia="宋体" w:hint="default"/>
        </w:rPr>
        <w:t>1,239,066,203.69</w:t>
      </w:r>
      <w:r>
        <w:rPr>
          <w:rFonts w:ascii="宋体" w:hAnsi="宋体" w:cs="宋体" w:eastAsia="宋体" w:hint="default"/>
          <w:spacing w:val="-45"/>
        </w:rPr>
        <w:t> </w:t>
      </w:r>
      <w:r>
        <w:rPr/>
        <w:t>元，比年初余额增加</w:t>
      </w:r>
      <w:r>
        <w:rPr>
          <w:spacing w:val="-47"/>
        </w:rPr>
        <w:t> </w:t>
      </w:r>
      <w:r>
        <w:rPr>
          <w:rFonts w:ascii="宋体" w:hAnsi="宋体" w:cs="宋体" w:eastAsia="宋体" w:hint="default"/>
        </w:rPr>
        <w:t>81,600,313.25</w:t>
      </w:r>
      <w:r>
        <w:rPr>
          <w:rFonts w:ascii="宋体" w:hAnsi="宋体" w:cs="宋体" w:eastAsia="宋体" w:hint="default"/>
          <w:spacing w:val="-45"/>
        </w:rPr>
        <w:t> </w:t>
      </w:r>
      <w:r>
        <w:rPr/>
        <w:t>元，增幅为</w:t>
      </w:r>
      <w:r>
        <w:rPr>
          <w:spacing w:val="-46"/>
        </w:rPr>
        <w:t> </w:t>
      </w:r>
      <w:r>
        <w:rPr>
          <w:rFonts w:ascii="宋体" w:hAnsi="宋体" w:cs="宋体" w:eastAsia="宋体" w:hint="default"/>
        </w:rPr>
        <w:t>7.05%</w:t>
      </w:r>
      <w:r>
        <w:rPr/>
        <w:t>。其中流动资产比 年初增长</w:t>
      </w:r>
      <w:r>
        <w:rPr>
          <w:spacing w:val="-48"/>
        </w:rPr>
        <w:t> </w:t>
      </w:r>
      <w:r>
        <w:rPr>
          <w:rFonts w:ascii="宋体" w:hAnsi="宋体" w:cs="宋体" w:eastAsia="宋体" w:hint="default"/>
        </w:rPr>
        <w:t>1.47%</w:t>
      </w:r>
      <w:r>
        <w:rPr/>
        <w:t>；非流动资产比年初增长</w:t>
      </w:r>
      <w:r>
        <w:rPr>
          <w:spacing w:val="-48"/>
        </w:rPr>
        <w:t> </w:t>
      </w:r>
      <w:r>
        <w:rPr>
          <w:rFonts w:ascii="宋体" w:hAnsi="宋体" w:cs="宋体" w:eastAsia="宋体" w:hint="default"/>
        </w:rPr>
        <w:t>42.07%</w:t>
      </w:r>
      <w:r>
        <w:rPr/>
        <w:t>。具体各项变动情况如下：</w:t>
      </w:r>
    </w:p>
    <w:p>
      <w:pPr>
        <w:pStyle w:val="BodyText"/>
        <w:spacing w:line="340" w:lineRule="auto" w:before="57"/>
        <w:ind w:right="88" w:firstLine="360"/>
        <w:jc w:val="left"/>
      </w:pPr>
      <w:r>
        <w:rPr/>
        <w:t>（</w:t>
      </w:r>
      <w:r>
        <w:rPr>
          <w:rFonts w:ascii="宋体" w:hAnsi="宋体" w:cs="宋体" w:eastAsia="宋体" w:hint="default"/>
        </w:rPr>
        <w:t>1</w:t>
      </w:r>
      <w:r>
        <w:rPr/>
        <w:t>）</w:t>
      </w:r>
      <w:r>
        <w:rPr>
          <w:spacing w:val="-63"/>
        </w:rPr>
        <w:t> </w:t>
      </w:r>
      <w:r>
        <w:rPr/>
        <w:t>应收票据</w:t>
      </w:r>
      <w:r>
        <w:rPr>
          <w:spacing w:val="-47"/>
        </w:rPr>
        <w:t> </w:t>
      </w:r>
      <w:r>
        <w:rPr>
          <w:rFonts w:ascii="宋体" w:hAnsi="宋体" w:cs="宋体" w:eastAsia="宋体" w:hint="default"/>
        </w:rPr>
        <w:t>2012</w:t>
      </w:r>
      <w:r>
        <w:rPr>
          <w:rFonts w:ascii="宋体" w:hAnsi="宋体" w:cs="宋体" w:eastAsia="宋体" w:hint="default"/>
          <w:spacing w:val="-45"/>
        </w:rPr>
        <w:t> </w:t>
      </w:r>
      <w:r>
        <w:rPr/>
        <w:t>年末余额为</w:t>
      </w:r>
      <w:r>
        <w:rPr>
          <w:spacing w:val="-46"/>
        </w:rPr>
        <w:t> </w:t>
      </w:r>
      <w:r>
        <w:rPr>
          <w:rFonts w:ascii="Times New Roman" w:hAnsi="Times New Roman" w:cs="Times New Roman" w:eastAsia="Times New Roman" w:hint="default"/>
        </w:rPr>
        <w:t>4,626,831.19 </w:t>
      </w:r>
      <w:r>
        <w:rPr/>
        <w:t>元，占总资产比重为</w:t>
      </w:r>
      <w:r>
        <w:rPr>
          <w:spacing w:val="-46"/>
        </w:rPr>
        <w:t> </w:t>
      </w:r>
      <w:r>
        <w:rPr>
          <w:rFonts w:ascii="Times New Roman" w:hAnsi="Times New Roman" w:cs="Times New Roman" w:eastAsia="Times New Roman" w:hint="default"/>
        </w:rPr>
        <w:t>0.37%</w:t>
      </w:r>
      <w:r>
        <w:rPr>
          <w:rFonts w:ascii="Times New Roman" w:hAnsi="Times New Roman" w:cs="Times New Roman" w:eastAsia="Times New Roman" w:hint="default"/>
          <w:spacing w:val="42"/>
        </w:rPr>
        <w:t> </w:t>
      </w:r>
      <w:r>
        <w:rPr/>
        <w:t>，比年初增加</w:t>
      </w:r>
      <w:r>
        <w:rPr>
          <w:spacing w:val="-49"/>
        </w:rPr>
        <w:t> </w:t>
      </w:r>
      <w:r>
        <w:rPr>
          <w:rFonts w:ascii="Times New Roman" w:hAnsi="Times New Roman" w:cs="Times New Roman" w:eastAsia="Times New Roman" w:hint="default"/>
        </w:rPr>
        <w:t>138.97%</w:t>
      </w:r>
      <w:r>
        <w:rPr/>
        <w:t>，主要原因是本年收 到银行承兑汇票增加，年末未到期。</w:t>
      </w:r>
    </w:p>
    <w:p>
      <w:pPr>
        <w:pStyle w:val="BodyText"/>
        <w:spacing w:line="338" w:lineRule="auto" w:before="42"/>
        <w:ind w:right="187" w:firstLine="360"/>
        <w:jc w:val="left"/>
      </w:pPr>
      <w:r>
        <w:rPr/>
        <w:t>（</w:t>
      </w:r>
      <w:r>
        <w:rPr>
          <w:rFonts w:ascii="宋体" w:hAnsi="宋体" w:cs="宋体" w:eastAsia="宋体" w:hint="default"/>
        </w:rPr>
        <w:t>2</w:t>
      </w:r>
      <w:r>
        <w:rPr/>
        <w:t>）</w:t>
      </w:r>
      <w:r>
        <w:rPr>
          <w:spacing w:val="-64"/>
        </w:rPr>
        <w:t> </w:t>
      </w:r>
      <w:r>
        <w:rPr/>
        <w:t>应收账款</w:t>
      </w:r>
      <w:r>
        <w:rPr>
          <w:spacing w:val="-48"/>
        </w:rPr>
        <w:t> </w:t>
      </w:r>
      <w:r>
        <w:rPr>
          <w:rFonts w:ascii="宋体" w:hAnsi="宋体" w:cs="宋体" w:eastAsia="宋体" w:hint="default"/>
        </w:rPr>
        <w:t>2012</w:t>
      </w:r>
      <w:r>
        <w:rPr>
          <w:rFonts w:ascii="宋体" w:hAnsi="宋体" w:cs="宋体" w:eastAsia="宋体" w:hint="default"/>
          <w:spacing w:val="-46"/>
        </w:rPr>
        <w:t> </w:t>
      </w:r>
      <w:r>
        <w:rPr/>
        <w:t>年末余额为</w:t>
      </w:r>
      <w:r>
        <w:rPr>
          <w:spacing w:val="-47"/>
        </w:rPr>
        <w:t> </w:t>
      </w:r>
      <w:r>
        <w:rPr>
          <w:rFonts w:ascii="Times New Roman" w:hAnsi="Times New Roman" w:cs="Times New Roman" w:eastAsia="Times New Roman" w:hint="default"/>
        </w:rPr>
        <w:t>68,596,971.85 </w:t>
      </w:r>
      <w:r>
        <w:rPr/>
        <w:t>元，占总资产比重为</w:t>
      </w:r>
      <w:r>
        <w:rPr>
          <w:spacing w:val="-50"/>
        </w:rPr>
        <w:t> </w:t>
      </w:r>
      <w:r>
        <w:rPr>
          <w:rFonts w:ascii="Times New Roman" w:hAnsi="Times New Roman" w:cs="Times New Roman" w:eastAsia="Times New Roman" w:hint="default"/>
        </w:rPr>
        <w:t>5.54%</w:t>
      </w:r>
      <w:r>
        <w:rPr/>
        <w:t>，比年初增加</w:t>
      </w:r>
      <w:r>
        <w:rPr>
          <w:spacing w:val="-48"/>
        </w:rPr>
        <w:t> </w:t>
      </w:r>
      <w:r>
        <w:rPr>
          <w:rFonts w:ascii="Times New Roman" w:hAnsi="Times New Roman" w:cs="Times New Roman" w:eastAsia="Times New Roman" w:hint="default"/>
        </w:rPr>
        <w:t>34.63%</w:t>
      </w:r>
      <w:r>
        <w:rPr/>
        <w:t>，主要原因是本年收入 增加，应收账款相应增加。</w:t>
      </w:r>
    </w:p>
    <w:p>
      <w:pPr>
        <w:pStyle w:val="BodyText"/>
        <w:spacing w:line="340" w:lineRule="auto" w:before="43"/>
        <w:ind w:right="271" w:firstLine="360"/>
        <w:jc w:val="left"/>
      </w:pPr>
      <w:r>
        <w:rPr/>
        <w:t>（</w:t>
      </w:r>
      <w:r>
        <w:rPr>
          <w:rFonts w:ascii="宋体" w:hAnsi="宋体" w:cs="宋体" w:eastAsia="宋体" w:hint="default"/>
        </w:rPr>
        <w:t>3</w:t>
      </w:r>
      <w:r>
        <w:rPr/>
        <w:t>）</w:t>
      </w:r>
      <w:r>
        <w:rPr>
          <w:spacing w:val="-64"/>
        </w:rPr>
        <w:t> </w:t>
      </w:r>
      <w:r>
        <w:rPr/>
        <w:t>其它应收款</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年年末余额为</w:t>
      </w:r>
      <w:r>
        <w:rPr>
          <w:spacing w:val="-46"/>
        </w:rPr>
        <w:t> </w:t>
      </w:r>
      <w:r>
        <w:rPr>
          <w:rFonts w:ascii="Times New Roman" w:hAnsi="Times New Roman" w:cs="Times New Roman" w:eastAsia="Times New Roman" w:hint="default"/>
        </w:rPr>
        <w:t>3,993,404.53 </w:t>
      </w:r>
      <w:r>
        <w:rPr/>
        <w:t>元，占总资产比重为</w:t>
      </w:r>
      <w:r>
        <w:rPr>
          <w:spacing w:val="-47"/>
        </w:rPr>
        <w:t> </w:t>
      </w:r>
      <w:r>
        <w:rPr>
          <w:rFonts w:ascii="Times New Roman" w:hAnsi="Times New Roman" w:cs="Times New Roman" w:eastAsia="Times New Roman" w:hint="default"/>
        </w:rPr>
        <w:t>0.32%</w:t>
      </w:r>
      <w:r>
        <w:rPr/>
        <w:t>，比年初减少</w:t>
      </w:r>
      <w:r>
        <w:rPr>
          <w:spacing w:val="-47"/>
        </w:rPr>
        <w:t> </w:t>
      </w:r>
      <w:r>
        <w:rPr>
          <w:rFonts w:ascii="Times New Roman" w:hAnsi="Times New Roman" w:cs="Times New Roman" w:eastAsia="Times New Roman" w:hint="default"/>
        </w:rPr>
        <w:t>33.63%</w:t>
      </w:r>
      <w:r>
        <w:rPr/>
        <w:t>，主要原因是本年 收回履约保证金</w:t>
      </w:r>
      <w:r>
        <w:rPr>
          <w:spacing w:val="-45"/>
        </w:rPr>
        <w:t> </w:t>
      </w:r>
      <w:r>
        <w:rPr>
          <w:rFonts w:ascii="Times New Roman" w:hAnsi="Times New Roman" w:cs="Times New Roman" w:eastAsia="Times New Roman" w:hint="default"/>
        </w:rPr>
        <w:t>242 </w:t>
      </w:r>
      <w:r>
        <w:rPr/>
        <w:t>万元。</w:t>
      </w:r>
    </w:p>
    <w:p>
      <w:pPr>
        <w:pStyle w:val="BodyText"/>
        <w:spacing w:line="340" w:lineRule="auto" w:before="17"/>
        <w:ind w:right="88" w:firstLine="360"/>
        <w:jc w:val="left"/>
      </w:pPr>
      <w:r>
        <w:rPr/>
        <w:t>（</w:t>
      </w:r>
      <w:r>
        <w:rPr>
          <w:rFonts w:ascii="宋体" w:hAnsi="宋体" w:cs="宋体" w:eastAsia="宋体" w:hint="default"/>
        </w:rPr>
        <w:t>4</w:t>
      </w:r>
      <w:r>
        <w:rPr/>
        <w:t>）</w:t>
      </w:r>
      <w:r>
        <w:rPr>
          <w:spacing w:val="-65"/>
        </w:rPr>
        <w:t> </w:t>
      </w:r>
      <w:r>
        <w:rPr/>
        <w:t>存货</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年年末余额为</w:t>
      </w:r>
      <w:r>
        <w:rPr>
          <w:spacing w:val="-49"/>
        </w:rPr>
        <w:t> </w:t>
      </w:r>
      <w:r>
        <w:rPr>
          <w:rFonts w:ascii="Times New Roman" w:hAnsi="Times New Roman" w:cs="Times New Roman" w:eastAsia="Times New Roman" w:hint="default"/>
        </w:rPr>
        <w:t>84,479,794.29</w:t>
      </w:r>
      <w:r>
        <w:rPr>
          <w:rFonts w:ascii="Times New Roman" w:hAnsi="Times New Roman" w:cs="Times New Roman" w:eastAsia="Times New Roman" w:hint="default"/>
          <w:spacing w:val="-2"/>
        </w:rPr>
        <w:t> </w:t>
      </w:r>
      <w:r>
        <w:rPr>
          <w:spacing w:val="-5"/>
        </w:rPr>
        <w:t>元，占总资产比重</w:t>
      </w:r>
      <w:r>
        <w:rPr>
          <w:spacing w:val="-50"/>
        </w:rPr>
        <w:t> </w:t>
      </w:r>
      <w:r>
        <w:rPr>
          <w:rFonts w:ascii="Times New Roman" w:hAnsi="Times New Roman" w:cs="Times New Roman" w:eastAsia="Times New Roman" w:hint="default"/>
          <w:spacing w:val="-4"/>
        </w:rPr>
        <w:t>6.82%</w:t>
      </w:r>
      <w:r>
        <w:rPr>
          <w:spacing w:val="-4"/>
        </w:rPr>
        <w:t>，比年初增加</w:t>
      </w:r>
      <w:r>
        <w:rPr>
          <w:spacing w:val="-50"/>
        </w:rPr>
        <w:t> </w:t>
      </w:r>
      <w:r>
        <w:rPr>
          <w:rFonts w:ascii="Times New Roman" w:hAnsi="Times New Roman" w:cs="Times New Roman" w:eastAsia="Times New Roman" w:hint="default"/>
        </w:rPr>
        <w:t>44.85%</w:t>
      </w:r>
      <w:r>
        <w:rPr/>
        <w:t>，主要原因是产品品种增加， 营业网点增加导致库存备货量增加；另外年底销售上升，相应备货增加。</w:t>
      </w:r>
    </w:p>
    <w:p>
      <w:pPr>
        <w:pStyle w:val="BodyText"/>
        <w:spacing w:line="338" w:lineRule="auto" w:before="41"/>
        <w:ind w:right="88" w:firstLine="360"/>
        <w:jc w:val="left"/>
      </w:pPr>
      <w:r>
        <w:rPr/>
        <w:t>（</w:t>
      </w:r>
      <w:r>
        <w:rPr>
          <w:rFonts w:ascii="宋体" w:hAnsi="宋体" w:cs="宋体" w:eastAsia="宋体" w:hint="default"/>
        </w:rPr>
        <w:t>5</w:t>
      </w:r>
      <w:r>
        <w:rPr/>
        <w:t>）</w:t>
      </w:r>
      <w:r>
        <w:rPr>
          <w:spacing w:val="-65"/>
        </w:rPr>
        <w:t> </w:t>
      </w:r>
      <w:r>
        <w:rPr/>
        <w:t>固定资产</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年年末余额为</w:t>
      </w:r>
      <w:r>
        <w:rPr>
          <w:spacing w:val="-48"/>
        </w:rPr>
        <w:t> </w:t>
      </w:r>
      <w:r>
        <w:rPr>
          <w:rFonts w:ascii="Times New Roman" w:hAnsi="Times New Roman" w:cs="Times New Roman" w:eastAsia="Times New Roman" w:hint="default"/>
        </w:rPr>
        <w:t>139,369,603.43</w:t>
      </w:r>
      <w:r>
        <w:rPr>
          <w:rFonts w:ascii="Times New Roman" w:hAnsi="Times New Roman" w:cs="Times New Roman" w:eastAsia="Times New Roman" w:hint="default"/>
          <w:spacing w:val="-1"/>
        </w:rPr>
        <w:t> </w:t>
      </w:r>
      <w:r>
        <w:rPr/>
        <w:t>元，占总资产比重</w:t>
      </w:r>
      <w:r>
        <w:rPr>
          <w:spacing w:val="-49"/>
        </w:rPr>
        <w:t> </w:t>
      </w:r>
      <w:r>
        <w:rPr>
          <w:rFonts w:ascii="Times New Roman" w:hAnsi="Times New Roman" w:cs="Times New Roman" w:eastAsia="Times New Roman" w:hint="default"/>
        </w:rPr>
        <w:t>11.25%</w:t>
      </w:r>
      <w:r>
        <w:rPr/>
        <w:t>，比年初增加</w:t>
      </w:r>
      <w:r>
        <w:rPr>
          <w:spacing w:val="-49"/>
        </w:rPr>
        <w:t> </w:t>
      </w:r>
      <w:r>
        <w:rPr>
          <w:rFonts w:ascii="Times New Roman" w:hAnsi="Times New Roman" w:cs="Times New Roman" w:eastAsia="Times New Roman" w:hint="default"/>
        </w:rPr>
        <w:t>300.63%</w:t>
      </w:r>
      <w:r>
        <w:rPr/>
        <w:t>，主要原因是本年 在建工程转固定资产约</w:t>
      </w:r>
      <w:r>
        <w:rPr>
          <w:spacing w:val="-46"/>
        </w:rPr>
        <w:t> </w:t>
      </w:r>
      <w:r>
        <w:rPr>
          <w:rFonts w:ascii="Times New Roman" w:hAnsi="Times New Roman" w:cs="Times New Roman" w:eastAsia="Times New Roman" w:hint="default"/>
        </w:rPr>
        <w:t>8158 </w:t>
      </w:r>
      <w:r>
        <w:rPr/>
        <w:t>万元。</w:t>
      </w:r>
    </w:p>
    <w:p>
      <w:pPr>
        <w:pStyle w:val="BodyText"/>
        <w:spacing w:line="340" w:lineRule="auto" w:before="22"/>
        <w:ind w:right="187" w:firstLine="360"/>
        <w:jc w:val="left"/>
      </w:pPr>
      <w:r>
        <w:rPr/>
        <w:t>（</w:t>
      </w:r>
      <w:r>
        <w:rPr>
          <w:rFonts w:ascii="宋体" w:hAnsi="宋体" w:cs="宋体" w:eastAsia="宋体" w:hint="default"/>
        </w:rPr>
        <w:t>6</w:t>
      </w:r>
      <w:r>
        <w:rPr/>
        <w:t>）</w:t>
      </w:r>
      <w:r>
        <w:rPr>
          <w:spacing w:val="-64"/>
        </w:rPr>
        <w:t> </w:t>
      </w:r>
      <w:r>
        <w:rPr/>
        <w:t>在建工程</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年年末余额</w:t>
      </w:r>
      <w:r>
        <w:rPr>
          <w:spacing w:val="-47"/>
        </w:rPr>
        <w:t> </w:t>
      </w:r>
      <w:r>
        <w:rPr>
          <w:rFonts w:ascii="Times New Roman" w:hAnsi="Times New Roman" w:cs="Times New Roman" w:eastAsia="Times New Roman" w:hint="default"/>
        </w:rPr>
        <w:t>50,973,360.86 </w:t>
      </w:r>
      <w:r>
        <w:rPr/>
        <w:t>元，占总资产比重</w:t>
      </w:r>
      <w:r>
        <w:rPr>
          <w:spacing w:val="-50"/>
        </w:rPr>
        <w:t> </w:t>
      </w:r>
      <w:r>
        <w:rPr>
          <w:rFonts w:ascii="Times New Roman" w:hAnsi="Times New Roman" w:cs="Times New Roman" w:eastAsia="Times New Roman" w:hint="default"/>
        </w:rPr>
        <w:t>4.11%</w:t>
      </w:r>
      <w:r>
        <w:rPr/>
        <w:t>，比年初减少</w:t>
      </w:r>
      <w:r>
        <w:rPr>
          <w:spacing w:val="-48"/>
        </w:rPr>
        <w:t> </w:t>
      </w:r>
      <w:r>
        <w:rPr>
          <w:rFonts w:ascii="Times New Roman" w:hAnsi="Times New Roman" w:cs="Times New Roman" w:eastAsia="Times New Roman" w:hint="default"/>
        </w:rPr>
        <w:t>47.58%</w:t>
      </w:r>
      <w:r>
        <w:rPr/>
        <w:t>，主要原因是本年在建工 程转固定资产约</w:t>
      </w:r>
      <w:r>
        <w:rPr>
          <w:spacing w:val="-44"/>
        </w:rPr>
        <w:t> </w:t>
      </w:r>
      <w:r>
        <w:rPr>
          <w:rFonts w:ascii="Times New Roman" w:hAnsi="Times New Roman" w:cs="Times New Roman" w:eastAsia="Times New Roman" w:hint="default"/>
        </w:rPr>
        <w:t>8158</w:t>
      </w:r>
      <w:r>
        <w:rPr>
          <w:rFonts w:ascii="Times New Roman" w:hAnsi="Times New Roman" w:cs="Times New Roman" w:eastAsia="Times New Roman" w:hint="default"/>
          <w:spacing w:val="2"/>
        </w:rPr>
        <w:t> </w:t>
      </w:r>
      <w:r>
        <w:rPr/>
        <w:t>万元。</w:t>
      </w:r>
    </w:p>
    <w:p>
      <w:pPr>
        <w:pStyle w:val="BodyText"/>
        <w:spacing w:line="340" w:lineRule="auto" w:before="18"/>
        <w:ind w:right="88" w:firstLine="360"/>
        <w:jc w:val="left"/>
      </w:pPr>
      <w:r>
        <w:rPr/>
        <w:t>（</w:t>
      </w:r>
      <w:r>
        <w:rPr>
          <w:rFonts w:ascii="宋体" w:hAnsi="宋体" w:cs="宋体" w:eastAsia="宋体" w:hint="default"/>
        </w:rPr>
        <w:t>7</w:t>
      </w:r>
      <w:r>
        <w:rPr/>
        <w:t>）</w:t>
      </w:r>
      <w:r>
        <w:rPr>
          <w:spacing w:val="-64"/>
        </w:rPr>
        <w:t> </w:t>
      </w:r>
      <w:r>
        <w:rPr/>
        <w:t>递延所得税资产</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年年末余额</w:t>
      </w:r>
      <w:r>
        <w:rPr>
          <w:spacing w:val="-47"/>
        </w:rPr>
        <w:t> </w:t>
      </w:r>
      <w:r>
        <w:rPr>
          <w:rFonts w:ascii="Times New Roman" w:hAnsi="Times New Roman" w:cs="Times New Roman" w:eastAsia="Times New Roman" w:hint="default"/>
        </w:rPr>
        <w:t>4,870,020.39 </w:t>
      </w:r>
      <w:r>
        <w:rPr/>
        <w:t>元，占总资产比重</w:t>
      </w:r>
      <w:r>
        <w:rPr>
          <w:spacing w:val="-48"/>
        </w:rPr>
        <w:t> </w:t>
      </w:r>
      <w:r>
        <w:rPr>
          <w:rFonts w:ascii="Times New Roman" w:hAnsi="Times New Roman" w:cs="Times New Roman" w:eastAsia="Times New Roman" w:hint="default"/>
        </w:rPr>
        <w:t>0.39%</w:t>
      </w:r>
      <w:r>
        <w:rPr/>
        <w:t>，比年初增加</w:t>
      </w:r>
      <w:r>
        <w:rPr>
          <w:spacing w:val="-48"/>
        </w:rPr>
        <w:t> </w:t>
      </w:r>
      <w:r>
        <w:rPr>
          <w:rFonts w:ascii="Times New Roman" w:hAnsi="Times New Roman" w:cs="Times New Roman" w:eastAsia="Times New Roman" w:hint="default"/>
        </w:rPr>
        <w:t>96.42%</w:t>
      </w:r>
      <w:r>
        <w:rPr/>
        <w:t>，主要原因是本年 资产减值损失、未支付的职工薪酬和递延收益余额增加。</w:t>
      </w:r>
    </w:p>
    <w:p>
      <w:pPr>
        <w:spacing w:line="240" w:lineRule="auto" w:before="5"/>
        <w:rPr>
          <w:rFonts w:ascii="宋体" w:hAnsi="宋体" w:cs="宋体" w:eastAsia="宋体" w:hint="default"/>
          <w:sz w:val="21"/>
          <w:szCs w:val="21"/>
        </w:rPr>
      </w:pPr>
    </w:p>
    <w:p>
      <w:pPr>
        <w:pStyle w:val="Heading3"/>
        <w:spacing w:line="240" w:lineRule="auto"/>
        <w:ind w:right="88"/>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8"/>
        <w:gridCol w:w="1328"/>
        <w:gridCol w:w="991"/>
        <w:gridCol w:w="1416"/>
        <w:gridCol w:w="1136"/>
        <w:gridCol w:w="1561"/>
        <w:gridCol w:w="1771"/>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比重增减（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变动幅度</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6" w:right="38" w:hanging="106"/>
              <w:jc w:val="left"/>
              <w:rPr>
                <w:rFonts w:ascii="宋体" w:hAnsi="宋体" w:cs="宋体" w:eastAsia="宋体" w:hint="default"/>
                <w:sz w:val="18"/>
                <w:szCs w:val="18"/>
              </w:rPr>
            </w:pPr>
            <w:r>
              <w:rPr>
                <w:rFonts w:ascii="宋体" w:hAnsi="宋体" w:cs="宋体" w:eastAsia="宋体" w:hint="default"/>
                <w:sz w:val="18"/>
                <w:szCs w:val="18"/>
              </w:rPr>
              <w:t>占总负债比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1" w:right="108" w:hanging="106"/>
              <w:jc w:val="left"/>
              <w:rPr>
                <w:rFonts w:ascii="宋体" w:hAnsi="宋体" w:cs="宋体" w:eastAsia="宋体" w:hint="default"/>
                <w:sz w:val="18"/>
                <w:szCs w:val="18"/>
              </w:rPr>
            </w:pPr>
            <w:r>
              <w:rPr>
                <w:rFonts w:ascii="宋体" w:hAnsi="宋体" w:cs="宋体" w:eastAsia="宋体" w:hint="default"/>
                <w:sz w:val="18"/>
                <w:szCs w:val="18"/>
              </w:rPr>
              <w:t>占总负债比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61"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52,664,225.84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3" w:right="0"/>
              <w:jc w:val="left"/>
              <w:rPr>
                <w:rFonts w:ascii="Times New Roman" w:hAnsi="Times New Roman" w:cs="Times New Roman" w:eastAsia="Times New Roman" w:hint="default"/>
                <w:sz w:val="18"/>
                <w:szCs w:val="18"/>
              </w:rPr>
            </w:pPr>
            <w:r>
              <w:rPr>
                <w:rFonts w:ascii="Times New Roman"/>
                <w:sz w:val="18"/>
              </w:rPr>
              <w:t>24.19%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39,996,815.17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38.31%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-14.12%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31.67%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23,874,396.85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3" w:right="0"/>
              <w:jc w:val="left"/>
              <w:rPr>
                <w:rFonts w:ascii="Times New Roman" w:hAnsi="Times New Roman" w:cs="Times New Roman" w:eastAsia="Times New Roman" w:hint="default"/>
                <w:sz w:val="18"/>
                <w:szCs w:val="18"/>
              </w:rPr>
            </w:pPr>
            <w:r>
              <w:rPr>
                <w:rFonts w:ascii="Times New Roman"/>
                <w:sz w:val="18"/>
              </w:rPr>
              <w:t>10.97%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10,394,469.28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9.96%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129.68%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12,339,979.70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9" w:right="0"/>
              <w:jc w:val="left"/>
              <w:rPr>
                <w:rFonts w:ascii="Times New Roman" w:hAnsi="Times New Roman" w:cs="Times New Roman" w:eastAsia="Times New Roman" w:hint="default"/>
                <w:sz w:val="18"/>
                <w:szCs w:val="18"/>
              </w:rPr>
            </w:pPr>
            <w:r>
              <w:rPr>
                <w:rFonts w:ascii="Times New Roman"/>
                <w:sz w:val="18"/>
              </w:rPr>
              <w:t>5.67%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9,097,714.68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8.71%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-3.05%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35.64%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9,650,719.56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4.43%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5,078,797.94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4.86%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-0.43%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90.02%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其它应付款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109,233,695.95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3" w:right="0"/>
              <w:jc w:val="left"/>
              <w:rPr>
                <w:rFonts w:ascii="Times New Roman" w:hAnsi="Times New Roman" w:cs="Times New Roman" w:eastAsia="Times New Roman" w:hint="default"/>
                <w:sz w:val="18"/>
                <w:szCs w:val="18"/>
              </w:rPr>
            </w:pPr>
            <w:r>
              <w:rPr>
                <w:rFonts w:ascii="Times New Roman"/>
                <w:sz w:val="18"/>
              </w:rPr>
              <w:t>50.17%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35,022,874.73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33.54%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16.63%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211.89%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207,763,017.90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3" w:right="0"/>
              <w:jc w:val="left"/>
              <w:rPr>
                <w:rFonts w:ascii="Times New Roman" w:hAnsi="Times New Roman" w:cs="Times New Roman" w:eastAsia="Times New Roman" w:hint="default"/>
                <w:sz w:val="18"/>
                <w:szCs w:val="18"/>
              </w:rPr>
            </w:pPr>
            <w:r>
              <w:rPr>
                <w:rFonts w:ascii="Times New Roman"/>
                <w:sz w:val="18"/>
              </w:rPr>
              <w:t>95.43%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99,590,671.80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95.38%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108.62%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4,546,987.35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9" w:right="0"/>
              <w:jc w:val="left"/>
              <w:rPr>
                <w:rFonts w:ascii="Times New Roman" w:hAnsi="Times New Roman" w:cs="Times New Roman" w:eastAsia="Times New Roman" w:hint="default"/>
                <w:sz w:val="18"/>
                <w:szCs w:val="18"/>
              </w:rPr>
            </w:pPr>
            <w:r>
              <w:rPr>
                <w:rFonts w:ascii="Times New Roman"/>
                <w:sz w:val="18"/>
              </w:rPr>
              <w:t>2.09%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4,116,661.92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3.94%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-1.85%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10.45%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其它非流动负债</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5,404,802.78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2.48%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706,595.00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0.68%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664.91%</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1227" w:top="1100" w:bottom="1420" w:left="980" w:right="94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368"/>
        <w:gridCol w:w="1328"/>
        <w:gridCol w:w="991"/>
        <w:gridCol w:w="1416"/>
        <w:gridCol w:w="1136"/>
        <w:gridCol w:w="1561"/>
        <w:gridCol w:w="1771"/>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非流动负债合计</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9,951,790.13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4.57%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4,823,256.92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4.62%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3" w:right="0"/>
              <w:jc w:val="left"/>
              <w:rPr>
                <w:rFonts w:ascii="Times New Roman" w:hAnsi="Times New Roman" w:cs="Times New Roman" w:eastAsia="Times New Roman" w:hint="default"/>
                <w:sz w:val="18"/>
                <w:szCs w:val="18"/>
              </w:rPr>
            </w:pPr>
            <w:r>
              <w:rPr>
                <w:rFonts w:ascii="Times New Roman"/>
                <w:sz w:val="18"/>
              </w:rPr>
              <w:t>-0.05%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106.33%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217,714,808.03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104,413,928.72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100.00%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108.51%</w:t>
            </w:r>
          </w:p>
        </w:tc>
      </w:tr>
    </w:tbl>
    <w:p>
      <w:pPr>
        <w:pStyle w:val="BodyText"/>
        <w:spacing w:line="316" w:lineRule="auto" w:before="49"/>
        <w:ind w:right="188" w:firstLine="360"/>
        <w:jc w:val="both"/>
      </w:pPr>
      <w:r>
        <w:rPr>
          <w:rFonts w:ascii="宋体" w:hAnsi="宋体" w:cs="宋体" w:eastAsia="宋体" w:hint="default"/>
        </w:rPr>
        <w:t>2012</w:t>
      </w:r>
      <w:r>
        <w:rPr>
          <w:rFonts w:ascii="宋体" w:hAnsi="宋体" w:cs="宋体" w:eastAsia="宋体" w:hint="default"/>
          <w:spacing w:val="-47"/>
        </w:rPr>
        <w:t> </w:t>
      </w:r>
      <w:r>
        <w:rPr>
          <w:spacing w:val="-3"/>
        </w:rPr>
        <w:t>年，公司负债总额为</w:t>
      </w:r>
      <w:r>
        <w:rPr>
          <w:spacing w:val="-49"/>
        </w:rPr>
        <w:t> </w:t>
      </w:r>
      <w:r>
        <w:rPr>
          <w:rFonts w:ascii="宋体" w:hAnsi="宋体" w:cs="宋体" w:eastAsia="宋体" w:hint="default"/>
        </w:rPr>
        <w:t>217,714,808.03</w:t>
      </w:r>
      <w:r>
        <w:rPr>
          <w:rFonts w:ascii="宋体" w:hAnsi="宋体" w:cs="宋体" w:eastAsia="宋体" w:hint="default"/>
          <w:spacing w:val="-46"/>
        </w:rPr>
        <w:t> </w:t>
      </w:r>
      <w:r>
        <w:rPr>
          <w:spacing w:val="-3"/>
        </w:rPr>
        <w:t>元，比年初余额增加</w:t>
      </w:r>
      <w:r>
        <w:rPr>
          <w:spacing w:val="-49"/>
        </w:rPr>
        <w:t> </w:t>
      </w:r>
      <w:r>
        <w:rPr>
          <w:rFonts w:ascii="宋体" w:hAnsi="宋体" w:cs="宋体" w:eastAsia="宋体" w:hint="default"/>
        </w:rPr>
        <w:t>113,300,879.31</w:t>
      </w:r>
      <w:r>
        <w:rPr>
          <w:rFonts w:ascii="宋体" w:hAnsi="宋体" w:cs="宋体" w:eastAsia="宋体" w:hint="default"/>
          <w:spacing w:val="-46"/>
        </w:rPr>
        <w:t> </w:t>
      </w:r>
      <w:r>
        <w:rPr>
          <w:spacing w:val="-5"/>
        </w:rPr>
        <w:t>元，增幅为</w:t>
      </w:r>
      <w:r>
        <w:rPr>
          <w:spacing w:val="-51"/>
        </w:rPr>
        <w:t> </w:t>
      </w:r>
      <w:r>
        <w:rPr>
          <w:rFonts w:ascii="宋体" w:hAnsi="宋体" w:cs="宋体" w:eastAsia="宋体" w:hint="default"/>
        </w:rPr>
        <w:t>108.51%</w:t>
      </w:r>
      <w:r>
        <w:rPr/>
        <w:t>。其中流动负债比 年初增加</w:t>
      </w:r>
      <w:r>
        <w:rPr>
          <w:spacing w:val="-49"/>
        </w:rPr>
        <w:t> </w:t>
      </w:r>
      <w:r>
        <w:rPr>
          <w:rFonts w:ascii="宋体" w:hAnsi="宋体" w:cs="宋体" w:eastAsia="宋体" w:hint="default"/>
        </w:rPr>
        <w:t>108.62%</w:t>
      </w:r>
      <w:r>
        <w:rPr/>
        <w:t>；非流动负债比年初增加</w:t>
      </w:r>
      <w:r>
        <w:rPr>
          <w:spacing w:val="-49"/>
        </w:rPr>
        <w:t> </w:t>
      </w:r>
      <w:r>
        <w:rPr>
          <w:rFonts w:ascii="宋体" w:hAnsi="宋体" w:cs="宋体" w:eastAsia="宋体" w:hint="default"/>
        </w:rPr>
        <w:t>106.33%</w:t>
      </w:r>
      <w:r>
        <w:rPr/>
        <w:t>。具体各项目变动情况如下：</w:t>
      </w:r>
    </w:p>
    <w:p>
      <w:pPr>
        <w:pStyle w:val="BodyText"/>
        <w:spacing w:line="340" w:lineRule="auto" w:before="57"/>
        <w:ind w:right="272" w:firstLine="360"/>
        <w:jc w:val="both"/>
      </w:pPr>
      <w:r>
        <w:rPr/>
        <w:t>（</w:t>
      </w:r>
      <w:r>
        <w:rPr>
          <w:rFonts w:ascii="宋体" w:hAnsi="宋体" w:cs="宋体" w:eastAsia="宋体" w:hint="default"/>
        </w:rPr>
        <w:t>1</w:t>
      </w:r>
      <w:r>
        <w:rPr/>
        <w:t>）</w:t>
      </w:r>
      <w:r>
        <w:rPr>
          <w:spacing w:val="-63"/>
        </w:rPr>
        <w:t> </w:t>
      </w:r>
      <w:r>
        <w:rPr/>
        <w:t>应付账款</w:t>
      </w:r>
      <w:r>
        <w:rPr>
          <w:spacing w:val="-47"/>
        </w:rPr>
        <w:t> </w:t>
      </w:r>
      <w:r>
        <w:rPr>
          <w:rFonts w:ascii="Times New Roman" w:hAnsi="Times New Roman" w:cs="Times New Roman" w:eastAsia="Times New Roman" w:hint="default"/>
        </w:rPr>
        <w:t>2012 </w:t>
      </w:r>
      <w:r>
        <w:rPr/>
        <w:t>年年末余额为</w:t>
      </w:r>
      <w:r>
        <w:rPr>
          <w:spacing w:val="-46"/>
        </w:rPr>
        <w:t> </w:t>
      </w:r>
      <w:r>
        <w:rPr>
          <w:rFonts w:ascii="Times New Roman" w:hAnsi="Times New Roman" w:cs="Times New Roman" w:eastAsia="Times New Roman" w:hint="default"/>
        </w:rPr>
        <w:t>52,664,225.84 </w:t>
      </w:r>
      <w:r>
        <w:rPr/>
        <w:t>元，占总负债比重为</w:t>
      </w:r>
      <w:r>
        <w:rPr>
          <w:spacing w:val="-47"/>
        </w:rPr>
        <w:t> </w:t>
      </w:r>
      <w:r>
        <w:rPr>
          <w:rFonts w:ascii="Times New Roman" w:hAnsi="Times New Roman" w:cs="Times New Roman" w:eastAsia="Times New Roman" w:hint="default"/>
        </w:rPr>
        <w:t>24.19%</w:t>
      </w:r>
      <w:r>
        <w:rPr/>
        <w:t>，比年初增加</w:t>
      </w:r>
      <w:r>
        <w:rPr>
          <w:spacing w:val="-49"/>
        </w:rPr>
        <w:t> </w:t>
      </w:r>
      <w:r>
        <w:rPr>
          <w:rFonts w:ascii="Times New Roman" w:hAnsi="Times New Roman" w:cs="Times New Roman" w:eastAsia="Times New Roman" w:hint="default"/>
        </w:rPr>
        <w:t>31.67%</w:t>
      </w:r>
      <w:r>
        <w:rPr/>
        <w:t>，主要原因是年末 销售上升，采购增加。</w:t>
      </w:r>
    </w:p>
    <w:p>
      <w:pPr>
        <w:pStyle w:val="BodyText"/>
        <w:spacing w:line="338" w:lineRule="auto" w:before="41"/>
        <w:ind w:right="191" w:firstLine="360"/>
        <w:jc w:val="both"/>
      </w:pPr>
      <w:r>
        <w:rPr/>
        <w:t>（</w:t>
      </w:r>
      <w:r>
        <w:rPr>
          <w:rFonts w:ascii="宋体" w:hAnsi="宋体" w:cs="宋体" w:eastAsia="宋体" w:hint="default"/>
        </w:rPr>
        <w:t>2</w:t>
      </w:r>
      <w:r>
        <w:rPr/>
        <w:t>）</w:t>
      </w:r>
      <w:r>
        <w:rPr>
          <w:spacing w:val="-64"/>
        </w:rPr>
        <w:t> </w:t>
      </w:r>
      <w:r>
        <w:rPr/>
        <w:t>预收账款</w:t>
      </w:r>
      <w:r>
        <w:rPr>
          <w:spacing w:val="-49"/>
        </w:rPr>
        <w:t> </w:t>
      </w:r>
      <w:r>
        <w:rPr>
          <w:rFonts w:ascii="宋体" w:hAnsi="宋体" w:cs="宋体" w:eastAsia="宋体" w:hint="default"/>
        </w:rPr>
        <w:t>2012</w:t>
      </w:r>
      <w:r>
        <w:rPr>
          <w:rFonts w:ascii="宋体" w:hAnsi="宋体" w:cs="宋体" w:eastAsia="宋体" w:hint="default"/>
          <w:spacing w:val="-47"/>
        </w:rPr>
        <w:t> </w:t>
      </w:r>
      <w:r>
        <w:rPr/>
        <w:t>年年末余额为</w:t>
      </w:r>
      <w:r>
        <w:rPr>
          <w:spacing w:val="-48"/>
        </w:rPr>
        <w:t> </w:t>
      </w:r>
      <w:r>
        <w:rPr>
          <w:rFonts w:ascii="Times New Roman" w:hAnsi="Times New Roman" w:cs="Times New Roman" w:eastAsia="Times New Roman" w:hint="default"/>
        </w:rPr>
        <w:t>23,874,396.85</w:t>
      </w:r>
      <w:r>
        <w:rPr>
          <w:rFonts w:ascii="Times New Roman" w:hAnsi="Times New Roman" w:cs="Times New Roman" w:eastAsia="Times New Roman" w:hint="default"/>
          <w:spacing w:val="-2"/>
        </w:rPr>
        <w:t> </w:t>
      </w:r>
      <w:r>
        <w:rPr/>
        <w:t>元，占总负债比重为</w:t>
      </w:r>
      <w:r>
        <w:rPr>
          <w:spacing w:val="-49"/>
        </w:rPr>
        <w:t> </w:t>
      </w:r>
      <w:r>
        <w:rPr>
          <w:rFonts w:ascii="Times New Roman" w:hAnsi="Times New Roman" w:cs="Times New Roman" w:eastAsia="Times New Roman" w:hint="default"/>
        </w:rPr>
        <w:t>10.97%</w:t>
      </w:r>
      <w:r>
        <w:rPr/>
        <w:t>，比年初增加</w:t>
      </w:r>
      <w:r>
        <w:rPr>
          <w:spacing w:val="-51"/>
        </w:rPr>
        <w:t> </w:t>
      </w:r>
      <w:r>
        <w:rPr>
          <w:rFonts w:ascii="Times New Roman" w:hAnsi="Times New Roman" w:cs="Times New Roman" w:eastAsia="Times New Roman" w:hint="default"/>
        </w:rPr>
        <w:t>129.68%</w:t>
      </w:r>
      <w:r>
        <w:rPr/>
        <w:t>，主要原因是本年 销售增加，为控制坏账风险，预收账款增加。</w:t>
      </w:r>
    </w:p>
    <w:p>
      <w:pPr>
        <w:pStyle w:val="BodyText"/>
        <w:spacing w:line="340" w:lineRule="auto" w:before="43"/>
        <w:ind w:right="188" w:firstLine="360"/>
        <w:jc w:val="both"/>
      </w:pPr>
      <w:r>
        <w:rPr/>
        <w:t>（</w:t>
      </w:r>
      <w:r>
        <w:rPr>
          <w:rFonts w:ascii="宋体" w:hAnsi="宋体" w:cs="宋体" w:eastAsia="宋体" w:hint="default"/>
        </w:rPr>
        <w:t>3</w:t>
      </w:r>
      <w:r>
        <w:rPr/>
        <w:t>）</w:t>
      </w:r>
      <w:r>
        <w:rPr>
          <w:spacing w:val="-64"/>
        </w:rPr>
        <w:t> </w:t>
      </w:r>
      <w:r>
        <w:rPr/>
        <w:t>应付职工薪酬</w:t>
      </w:r>
      <w:r>
        <w:rPr>
          <w:spacing w:val="-48"/>
        </w:rPr>
        <w:t> </w:t>
      </w:r>
      <w:r>
        <w:rPr>
          <w:rFonts w:ascii="宋体" w:hAnsi="宋体" w:cs="宋体" w:eastAsia="宋体" w:hint="default"/>
        </w:rPr>
        <w:t>2012</w:t>
      </w:r>
      <w:r>
        <w:rPr>
          <w:rFonts w:ascii="宋体" w:hAnsi="宋体" w:cs="宋体" w:eastAsia="宋体" w:hint="default"/>
          <w:spacing w:val="-46"/>
        </w:rPr>
        <w:t> </w:t>
      </w:r>
      <w:r>
        <w:rPr/>
        <w:t>年年末余额为</w:t>
      </w:r>
      <w:r>
        <w:rPr>
          <w:spacing w:val="-47"/>
        </w:rPr>
        <w:t> </w:t>
      </w:r>
      <w:r>
        <w:rPr>
          <w:rFonts w:ascii="Times New Roman" w:hAnsi="Times New Roman" w:cs="Times New Roman" w:eastAsia="Times New Roman" w:hint="default"/>
        </w:rPr>
        <w:t>12,339,979.70</w:t>
      </w:r>
      <w:r>
        <w:rPr>
          <w:rFonts w:ascii="Times New Roman" w:hAnsi="Times New Roman" w:cs="Times New Roman" w:eastAsia="Times New Roman" w:hint="default"/>
          <w:spacing w:val="-2"/>
        </w:rPr>
        <w:t> </w:t>
      </w:r>
      <w:r>
        <w:rPr/>
        <w:t>元，占总负债比重为</w:t>
      </w:r>
      <w:r>
        <w:rPr>
          <w:spacing w:val="-48"/>
        </w:rPr>
        <w:t> </w:t>
      </w:r>
      <w:r>
        <w:rPr>
          <w:rFonts w:ascii="Times New Roman" w:hAnsi="Times New Roman" w:cs="Times New Roman" w:eastAsia="Times New Roman" w:hint="default"/>
        </w:rPr>
        <w:t>5.67%</w:t>
      </w:r>
      <w:r>
        <w:rPr/>
        <w:t>，比年初增加</w:t>
      </w:r>
      <w:r>
        <w:rPr>
          <w:spacing w:val="-47"/>
        </w:rPr>
        <w:t> </w:t>
      </w:r>
      <w:r>
        <w:rPr>
          <w:rFonts w:ascii="Times New Roman" w:hAnsi="Times New Roman" w:cs="Times New Roman" w:eastAsia="Times New Roman" w:hint="default"/>
        </w:rPr>
        <w:t>35.64%</w:t>
      </w:r>
      <w:r>
        <w:rPr/>
        <w:t>，主要原因是年 应付未付工资薪金增加。</w:t>
      </w:r>
    </w:p>
    <w:p>
      <w:pPr>
        <w:pStyle w:val="BodyText"/>
        <w:spacing w:line="300" w:lineRule="auto" w:before="39"/>
        <w:ind w:right="188" w:firstLine="346"/>
        <w:jc w:val="both"/>
      </w:pPr>
      <w:r>
        <w:rPr/>
        <w:t>（</w:t>
      </w:r>
      <w:r>
        <w:rPr>
          <w:rFonts w:ascii="Times New Roman" w:hAnsi="Times New Roman" w:cs="Times New Roman" w:eastAsia="Times New Roman" w:hint="default"/>
        </w:rPr>
        <w:t>4</w:t>
      </w:r>
      <w:r>
        <w:rPr/>
        <w:t>）应交税费</w:t>
      </w:r>
      <w:r>
        <w:rPr>
          <w:spacing w:val="-57"/>
        </w:rPr>
        <w:t> </w:t>
      </w:r>
      <w:r>
        <w:rPr>
          <w:rFonts w:ascii="宋体" w:hAnsi="宋体" w:cs="宋体" w:eastAsia="宋体" w:hint="default"/>
        </w:rPr>
        <w:t>2012</w:t>
      </w:r>
      <w:r>
        <w:rPr>
          <w:rFonts w:ascii="宋体" w:hAnsi="宋体" w:cs="宋体" w:eastAsia="宋体" w:hint="default"/>
          <w:spacing w:val="-54"/>
        </w:rPr>
        <w:t> </w:t>
      </w:r>
      <w:r>
        <w:rPr/>
        <w:t>年年末余额为</w:t>
      </w:r>
      <w:r>
        <w:rPr>
          <w:spacing w:val="-55"/>
        </w:rPr>
        <w:t> </w:t>
      </w:r>
      <w:r>
        <w:rPr>
          <w:rFonts w:ascii="Times New Roman" w:hAnsi="Times New Roman" w:cs="Times New Roman" w:eastAsia="Times New Roman" w:hint="default"/>
        </w:rPr>
        <w:t>9,650,719.56</w:t>
      </w:r>
      <w:r>
        <w:rPr>
          <w:rFonts w:ascii="Times New Roman" w:hAnsi="Times New Roman" w:cs="Times New Roman" w:eastAsia="Times New Roman" w:hint="default"/>
          <w:spacing w:val="-8"/>
        </w:rPr>
        <w:t> </w:t>
      </w:r>
      <w:r>
        <w:rPr/>
        <w:t>元，占总负债比重为</w:t>
      </w:r>
      <w:r>
        <w:rPr>
          <w:spacing w:val="-55"/>
        </w:rPr>
        <w:t> </w:t>
      </w:r>
      <w:r>
        <w:rPr>
          <w:rFonts w:ascii="Times New Roman" w:hAnsi="Times New Roman" w:cs="Times New Roman" w:eastAsia="Times New Roman" w:hint="default"/>
        </w:rPr>
        <w:t>4.43%</w:t>
      </w:r>
      <w:r>
        <w:rPr/>
        <w:t>，比年初增加</w:t>
      </w:r>
      <w:r>
        <w:rPr>
          <w:spacing w:val="-57"/>
        </w:rPr>
        <w:t> </w:t>
      </w:r>
      <w:r>
        <w:rPr>
          <w:rFonts w:ascii="Times New Roman" w:hAnsi="Times New Roman" w:cs="Times New Roman" w:eastAsia="Times New Roman" w:hint="default"/>
        </w:rPr>
        <w:t>90.02%</w:t>
      </w:r>
      <w:r>
        <w:rPr/>
        <w:t>，主要原因是本年利润 增加，应交所得税增加。</w:t>
      </w:r>
    </w:p>
    <w:p>
      <w:pPr>
        <w:pStyle w:val="BodyText"/>
        <w:spacing w:line="300" w:lineRule="auto" w:before="72"/>
        <w:ind w:right="191" w:firstLine="346"/>
        <w:jc w:val="both"/>
      </w:pPr>
      <w:r>
        <w:rPr/>
        <w:t>（</w:t>
      </w:r>
      <w:r>
        <w:rPr>
          <w:rFonts w:ascii="Times New Roman" w:hAnsi="Times New Roman" w:cs="Times New Roman" w:eastAsia="Times New Roman" w:hint="default"/>
        </w:rPr>
        <w:t>5</w:t>
      </w:r>
      <w:r>
        <w:rPr/>
        <w:t>）其它应付款</w:t>
      </w:r>
      <w:r>
        <w:rPr>
          <w:spacing w:val="-57"/>
        </w:rPr>
        <w:t> </w:t>
      </w:r>
      <w:r>
        <w:rPr>
          <w:rFonts w:ascii="宋体" w:hAnsi="宋体" w:cs="宋体" w:eastAsia="宋体" w:hint="default"/>
        </w:rPr>
        <w:t>2012</w:t>
      </w:r>
      <w:r>
        <w:rPr>
          <w:rFonts w:ascii="宋体" w:hAnsi="宋体" w:cs="宋体" w:eastAsia="宋体" w:hint="default"/>
          <w:spacing w:val="-55"/>
        </w:rPr>
        <w:t> </w:t>
      </w:r>
      <w:r>
        <w:rPr/>
        <w:t>年年末余额为</w:t>
      </w:r>
      <w:r>
        <w:rPr>
          <w:spacing w:val="-56"/>
        </w:rPr>
        <w:t> </w:t>
      </w:r>
      <w:r>
        <w:rPr>
          <w:rFonts w:ascii="Times New Roman" w:hAnsi="Times New Roman" w:cs="Times New Roman" w:eastAsia="Times New Roman" w:hint="default"/>
        </w:rPr>
        <w:t>109,233,695.95</w:t>
      </w:r>
      <w:r>
        <w:rPr>
          <w:rFonts w:ascii="Times New Roman" w:hAnsi="Times New Roman" w:cs="Times New Roman" w:eastAsia="Times New Roman" w:hint="default"/>
          <w:spacing w:val="-9"/>
        </w:rPr>
        <w:t> </w:t>
      </w:r>
      <w:r>
        <w:rPr/>
        <w:t>元，占总负债比重为</w:t>
      </w:r>
      <w:r>
        <w:rPr>
          <w:spacing w:val="-56"/>
        </w:rPr>
        <w:t> </w:t>
      </w:r>
      <w:r>
        <w:rPr>
          <w:rFonts w:ascii="Times New Roman" w:hAnsi="Times New Roman" w:cs="Times New Roman" w:eastAsia="Times New Roman" w:hint="default"/>
        </w:rPr>
        <w:t>50.17%</w:t>
      </w:r>
      <w:r>
        <w:rPr/>
        <w:t>，比年初增加</w:t>
      </w:r>
      <w:r>
        <w:rPr>
          <w:spacing w:val="-56"/>
        </w:rPr>
        <w:t> </w:t>
      </w:r>
      <w:r>
        <w:rPr>
          <w:rFonts w:ascii="Times New Roman" w:hAnsi="Times New Roman" w:cs="Times New Roman" w:eastAsia="Times New Roman" w:hint="default"/>
        </w:rPr>
        <w:t>211.89%</w:t>
      </w:r>
      <w:r>
        <w:rPr/>
        <w:t>，主要原因是收 购德居安股权转让款银行未付，款项已于</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月支付。</w:t>
      </w:r>
    </w:p>
    <w:p>
      <w:pPr>
        <w:pStyle w:val="BodyText"/>
        <w:spacing w:line="300" w:lineRule="auto" w:before="53"/>
        <w:ind w:right="188" w:firstLine="346"/>
        <w:jc w:val="both"/>
      </w:pPr>
      <w:r>
        <w:rPr/>
        <w:t>（</w:t>
      </w:r>
      <w:r>
        <w:rPr>
          <w:rFonts w:ascii="Times New Roman" w:hAnsi="Times New Roman" w:cs="Times New Roman" w:eastAsia="Times New Roman" w:hint="default"/>
        </w:rPr>
        <w:t>6</w:t>
      </w:r>
      <w:r>
        <w:rPr/>
        <w:t>）其它非流动负债</w:t>
      </w:r>
      <w:r>
        <w:rPr>
          <w:spacing w:val="-41"/>
        </w:rPr>
        <w:t> </w:t>
      </w:r>
      <w:r>
        <w:rPr>
          <w:rFonts w:ascii="宋体" w:hAnsi="宋体" w:cs="宋体" w:eastAsia="宋体" w:hint="default"/>
        </w:rPr>
        <w:t>2012</w:t>
      </w:r>
      <w:r>
        <w:rPr>
          <w:rFonts w:ascii="宋体" w:hAnsi="宋体" w:cs="宋体" w:eastAsia="宋体" w:hint="default"/>
          <w:spacing w:val="-40"/>
        </w:rPr>
        <w:t> </w:t>
      </w:r>
      <w:r>
        <w:rPr/>
        <w:t>年年末余额为</w:t>
      </w:r>
      <w:r>
        <w:rPr>
          <w:spacing w:val="-41"/>
        </w:rPr>
        <w:t> </w:t>
      </w:r>
      <w:r>
        <w:rPr>
          <w:rFonts w:ascii="Times New Roman" w:hAnsi="Times New Roman" w:cs="Times New Roman" w:eastAsia="Times New Roman" w:hint="default"/>
        </w:rPr>
        <w:t>5,404,802.78</w:t>
      </w:r>
      <w:r>
        <w:rPr>
          <w:rFonts w:ascii="Times New Roman" w:hAnsi="Times New Roman" w:cs="Times New Roman" w:eastAsia="Times New Roman" w:hint="default"/>
          <w:spacing w:val="6"/>
        </w:rPr>
        <w:t> </w:t>
      </w:r>
      <w:r>
        <w:rPr/>
        <w:t>元，占总负债比重为</w:t>
      </w:r>
      <w:r>
        <w:rPr>
          <w:spacing w:val="-41"/>
        </w:rPr>
        <w:t> </w:t>
      </w:r>
      <w:r>
        <w:rPr>
          <w:rFonts w:ascii="Times New Roman" w:hAnsi="Times New Roman" w:cs="Times New Roman" w:eastAsia="Times New Roman" w:hint="default"/>
        </w:rPr>
        <w:t>2.48%</w:t>
      </w:r>
      <w:r>
        <w:rPr/>
        <w:t>，比年初增加</w:t>
      </w:r>
      <w:r>
        <w:rPr>
          <w:spacing w:val="-41"/>
        </w:rPr>
        <w:t> </w:t>
      </w:r>
      <w:r>
        <w:rPr>
          <w:rFonts w:ascii="Times New Roman" w:hAnsi="Times New Roman" w:cs="Times New Roman" w:eastAsia="Times New Roman" w:hint="default"/>
        </w:rPr>
        <w:t>664.91%</w:t>
      </w:r>
      <w:r>
        <w:rPr/>
        <w:t>，主要原因是 本年年末收到政府补助，本期使用较少，递延收益余额增加。</w:t>
      </w:r>
    </w:p>
    <w:p>
      <w:pPr>
        <w:spacing w:line="240" w:lineRule="auto" w:before="7"/>
        <w:rPr>
          <w:rFonts w:ascii="宋体" w:hAnsi="宋体" w:cs="宋体" w:eastAsia="宋体" w:hint="default"/>
          <w:sz w:val="23"/>
          <w:szCs w:val="23"/>
        </w:rPr>
      </w:pPr>
    </w:p>
    <w:p>
      <w:pPr>
        <w:pStyle w:val="Heading3"/>
        <w:spacing w:line="240" w:lineRule="auto"/>
        <w:ind w:right="88"/>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报告期内公司主要资产计量属性是否发生重大变化</w:t>
      </w:r>
    </w:p>
    <w:p>
      <w:pPr>
        <w:pStyle w:val="BodyText"/>
        <w:spacing w:line="240" w:lineRule="auto" w:before="41"/>
        <w:ind w:right="8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88"/>
        <w:jc w:val="left"/>
        <w:rPr>
          <w:b w:val="0"/>
          <w:bCs w:val="0"/>
        </w:rPr>
      </w:pPr>
      <w:r>
        <w:rPr/>
        <w:t>（四）、公司竞争能力重大变化分析</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88"/>
        <w:jc w:val="left"/>
      </w:pPr>
      <w:r>
        <w:rPr>
          <w:rFonts w:ascii="Times New Roman" w:hAnsi="Times New Roman" w:cs="Times New Roman" w:eastAsia="Times New Roman" w:hint="default"/>
        </w:rPr>
        <w:t>1</w:t>
      </w:r>
      <w:r>
        <w:rPr/>
        <w:t>、研发优势</w:t>
      </w:r>
    </w:p>
    <w:p>
      <w:pPr>
        <w:pStyle w:val="BodyText"/>
        <w:spacing w:line="309" w:lineRule="auto" w:before="103"/>
        <w:ind w:right="191" w:firstLine="360"/>
        <w:jc w:val="both"/>
      </w:pPr>
      <w:r>
        <w:rPr>
          <w:spacing w:val="-2"/>
        </w:rPr>
        <w:t>公司通过自主研发、技术创新保证了公司产品在质量认证、市场推广等方面保持竞争优势。截至报告期末，公司共拥有</w:t>
      </w:r>
      <w:r>
        <w:rPr/>
        <w:t> </w:t>
      </w:r>
      <w:r>
        <w:rPr>
          <w:spacing w:val="-2"/>
        </w:rPr>
        <w:t>专利权</w:t>
      </w:r>
      <w:r>
        <w:rPr>
          <w:rFonts w:ascii="Times New Roman" w:hAnsi="Times New Roman" w:cs="Times New Roman" w:eastAsia="Times New Roman" w:hint="default"/>
          <w:spacing w:val="-2"/>
        </w:rPr>
        <w:t>50</w:t>
      </w:r>
      <w:r>
        <w:rPr>
          <w:spacing w:val="-2"/>
        </w:rPr>
        <w:t>项，其中</w:t>
      </w:r>
      <w:r>
        <w:rPr>
          <w:rFonts w:ascii="Times New Roman" w:hAnsi="Times New Roman" w:cs="Times New Roman" w:eastAsia="Times New Roman" w:hint="default"/>
          <w:spacing w:val="-2"/>
        </w:rPr>
        <w:t>1</w:t>
      </w:r>
      <w:r>
        <w:rPr>
          <w:spacing w:val="-2"/>
        </w:rPr>
        <w:t>项为发明专利、</w:t>
      </w:r>
      <w:r>
        <w:rPr>
          <w:rFonts w:ascii="Times New Roman" w:hAnsi="Times New Roman" w:cs="Times New Roman" w:eastAsia="Times New Roman" w:hint="default"/>
          <w:spacing w:val="-2"/>
        </w:rPr>
        <w:t>2</w:t>
      </w:r>
      <w:r>
        <w:rPr>
          <w:spacing w:val="-2"/>
        </w:rPr>
        <w:t>项为实用新型专利、</w:t>
      </w:r>
      <w:r>
        <w:rPr>
          <w:rFonts w:ascii="Times New Roman" w:hAnsi="Times New Roman" w:cs="Times New Roman" w:eastAsia="Times New Roman" w:hint="default"/>
          <w:spacing w:val="-2"/>
        </w:rPr>
        <w:t>47</w:t>
      </w:r>
      <w:r>
        <w:rPr>
          <w:spacing w:val="-2"/>
        </w:rPr>
        <w:t>项外观设计专利，共拥有软件著作权</w:t>
      </w:r>
      <w:r>
        <w:rPr>
          <w:rFonts w:ascii="Times New Roman" w:hAnsi="Times New Roman" w:cs="Times New Roman" w:eastAsia="Times New Roman" w:hint="default"/>
          <w:spacing w:val="-2"/>
        </w:rPr>
        <w:t>13</w:t>
      </w:r>
      <w:r>
        <w:rPr>
          <w:spacing w:val="-2"/>
        </w:rPr>
        <w:t>项。</w:t>
      </w:r>
      <w:r>
        <w:rPr>
          <w:rFonts w:ascii="Times New Roman" w:hAnsi="Times New Roman" w:cs="Times New Roman" w:eastAsia="Times New Roman" w:hint="default"/>
          <w:spacing w:val="-2"/>
        </w:rPr>
        <w:t>2012</w:t>
      </w:r>
      <w:r>
        <w:rPr>
          <w:spacing w:val="-2"/>
        </w:rPr>
        <w:t>年新申请并受理</w:t>
      </w:r>
      <w:r>
        <w:rPr>
          <w:spacing w:val="-59"/>
        </w:rPr>
        <w:t> </w:t>
      </w:r>
      <w:r>
        <w:rPr>
          <w:spacing w:val="-59"/>
        </w:rPr>
      </w:r>
      <w:r>
        <w:rPr/>
        <w:t>的专利</w:t>
      </w:r>
      <w:r>
        <w:rPr>
          <w:rFonts w:ascii="Times New Roman" w:hAnsi="Times New Roman" w:cs="Times New Roman" w:eastAsia="Times New Roman" w:hint="default"/>
        </w:rPr>
        <w:t>21</w:t>
      </w:r>
      <w:r>
        <w:rPr/>
        <w:t>项，其中发明</w:t>
      </w:r>
      <w:r>
        <w:rPr>
          <w:rFonts w:ascii="Times New Roman" w:hAnsi="Times New Roman" w:cs="Times New Roman" w:eastAsia="Times New Roman" w:hint="default"/>
        </w:rPr>
        <w:t>5</w:t>
      </w:r>
      <w:r>
        <w:rPr/>
        <w:t>项、实用新型</w:t>
      </w:r>
      <w:r>
        <w:rPr>
          <w:rFonts w:ascii="Times New Roman" w:hAnsi="Times New Roman" w:cs="Times New Roman" w:eastAsia="Times New Roman" w:hint="default"/>
        </w:rPr>
        <w:t>10</w:t>
      </w:r>
      <w:r>
        <w:rPr/>
        <w:t>项、外观设计</w:t>
      </w:r>
      <w:r>
        <w:rPr>
          <w:rFonts w:ascii="Times New Roman" w:hAnsi="Times New Roman" w:cs="Times New Roman" w:eastAsia="Times New Roman" w:hint="default"/>
        </w:rPr>
        <w:t>6</w:t>
      </w:r>
      <w:r>
        <w:rPr/>
        <w:t>项，共申请软件著作权</w:t>
      </w:r>
      <w:r>
        <w:rPr>
          <w:rFonts w:ascii="Times New Roman" w:hAnsi="Times New Roman" w:cs="Times New Roman" w:eastAsia="Times New Roman" w:hint="default"/>
        </w:rPr>
        <w:t>2</w:t>
      </w:r>
      <w:r>
        <w:rPr/>
        <w:t>项。</w:t>
      </w:r>
    </w:p>
    <w:p>
      <w:pPr>
        <w:pStyle w:val="BodyText"/>
        <w:spacing w:line="338" w:lineRule="auto" w:before="46"/>
        <w:ind w:left="513" w:right="88" w:hanging="361"/>
        <w:jc w:val="left"/>
      </w:pPr>
      <w:r>
        <w:rPr>
          <w:rFonts w:ascii="Times New Roman" w:hAnsi="Times New Roman" w:cs="Times New Roman" w:eastAsia="Times New Roman" w:hint="default"/>
        </w:rPr>
        <w:t>2</w:t>
      </w:r>
      <w:r>
        <w:rPr/>
        <w:t>、营销服务网络众多优势 </w:t>
      </w:r>
      <w:r>
        <w:rPr>
          <w:spacing w:val="-2"/>
        </w:rPr>
        <w:t>公司以直销模式销售产品，主要的客户是工程施工商和集成商，也有部分房地产开发商。通过工程商和集成商将产品安</w:t>
      </w:r>
    </w:p>
    <w:p>
      <w:pPr>
        <w:pStyle w:val="BodyText"/>
        <w:spacing w:line="312" w:lineRule="auto" w:before="2"/>
        <w:ind w:right="88"/>
        <w:jc w:val="left"/>
      </w:pPr>
      <w:r>
        <w:rPr>
          <w:spacing w:val="-2"/>
        </w:rPr>
        <w:t>装到各个楼盘中去。对于房开商，我们更多的是进行品牌的推广，让房开商将我们的品牌纳入到他们的采购目录中去。截止</w:t>
      </w:r>
      <w:r>
        <w:rPr>
          <w:spacing w:val="-65"/>
        </w:rPr>
        <w:t> </w:t>
      </w:r>
      <w:r>
        <w:rPr>
          <w:spacing w:val="-65"/>
        </w:rPr>
      </w:r>
      <w:r>
        <w:rPr>
          <w:spacing w:val="-2"/>
        </w:rPr>
        <w:t>报告期末，公司在全国各地建立了</w:t>
      </w:r>
      <w:r>
        <w:rPr>
          <w:rFonts w:ascii="Times New Roman" w:hAnsi="Times New Roman" w:cs="Times New Roman" w:eastAsia="Times New Roman" w:hint="default"/>
          <w:spacing w:val="-2"/>
        </w:rPr>
        <w:t>111</w:t>
      </w:r>
      <w:r>
        <w:rPr>
          <w:spacing w:val="-2"/>
        </w:rPr>
        <w:t>个营销服务网点，比上年同期增长</w:t>
      </w:r>
      <w:r>
        <w:rPr>
          <w:rFonts w:ascii="Times New Roman" w:hAnsi="Times New Roman" w:cs="Times New Roman" w:eastAsia="Times New Roman" w:hint="default"/>
          <w:spacing w:val="-2"/>
        </w:rPr>
        <w:t>9.9%</w:t>
      </w:r>
      <w:r>
        <w:rPr>
          <w:spacing w:val="-2"/>
        </w:rPr>
        <w:t>，有效地提升了服务质量水平和产品推广力度，</w:t>
      </w:r>
      <w:r>
        <w:rPr>
          <w:spacing w:val="-75"/>
        </w:rPr>
        <w:t> </w:t>
      </w:r>
      <w:r>
        <w:rPr>
          <w:spacing w:val="-75"/>
        </w:rPr>
      </w:r>
      <w:r>
        <w:rPr>
          <w:spacing w:val="-2"/>
        </w:rPr>
        <w:t>有利于公司产品实现叠加销售，为公司未来市场占有率的提升奠定了坚实基础，同时也为进一步的技术改进、质量提升提供</w:t>
      </w:r>
      <w:r>
        <w:rPr>
          <w:spacing w:val="-63"/>
        </w:rPr>
        <w:t> </w:t>
      </w:r>
      <w:r>
        <w:rPr>
          <w:spacing w:val="-63"/>
        </w:rPr>
      </w:r>
      <w:r>
        <w:rPr/>
        <w:t>及时宝贵的反馈意见。</w:t>
      </w:r>
    </w:p>
    <w:p>
      <w:pPr>
        <w:pStyle w:val="BodyText"/>
        <w:spacing w:line="300" w:lineRule="auto" w:before="63"/>
        <w:ind w:right="184"/>
        <w:jc w:val="left"/>
      </w:pPr>
      <w:r>
        <w:rPr>
          <w:rFonts w:ascii="Times New Roman" w:hAnsi="Times New Roman" w:cs="Times New Roman" w:eastAsia="Times New Roman" w:hint="default"/>
        </w:rPr>
        <w:t>3</w:t>
      </w:r>
      <w:r>
        <w:rPr/>
        <w:t>、截止报告期，公司未发生因设备或技术升级换代、核心技术人员辞职、特许经营权丧失等导致公司核心竞争力受到严重</w:t>
      </w:r>
      <w:r>
        <w:rPr>
          <w:spacing w:val="-84"/>
        </w:rPr>
        <w:t> </w:t>
      </w:r>
      <w:r>
        <w:rPr>
          <w:spacing w:val="-84"/>
        </w:rPr>
      </w:r>
      <w:r>
        <w:rPr/>
        <w:t>影响的情况。</w:t>
      </w:r>
    </w:p>
    <w:p>
      <w:pPr>
        <w:spacing w:after="0" w:line="300" w:lineRule="auto"/>
        <w:jc w:val="left"/>
        <w:sectPr>
          <w:pgSz w:w="11910" w:h="16840"/>
          <w:pgMar w:header="0" w:footer="1227" w:top="1100" w:bottom="1420" w:left="980" w:right="94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（五）、投资状况分析</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、募集资金总体使用情况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before="44"/>
        <w:ind w:left="0" w:right="156"/>
        <w:jc w:val="right"/>
      </w:pPr>
      <w:r>
        <w:rPr/>
        <w:pict>
          <v:shape style="position:absolute;margin-left:56.400002pt;margin-top:-141.39827pt;width:479.3pt;height:452.1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89"/>
                    <w:gridCol w:w="5481"/>
                  </w:tblGrid>
                  <w:tr>
                    <w:trPr>
                      <w:trHeight w:val="401"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83,136.66</w:t>
                        </w:r>
                      </w:p>
                    </w:tc>
                  </w:tr>
                  <w:tr>
                    <w:trPr>
                      <w:trHeight w:val="403"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16,494.87</w:t>
                        </w:r>
                      </w:p>
                    </w:tc>
                  </w:tr>
                  <w:tr>
                    <w:trPr>
                      <w:trHeight w:val="401"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25,516.68</w:t>
                        </w:r>
                      </w:p>
                    </w:tc>
                  </w:tr>
                  <w:tr>
                    <w:trPr>
                      <w:trHeight w:val="403"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9"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6219"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2" w:firstLine="360"/>
                          <w:jc w:val="left"/>
                          <w:rPr>
                            <w:rFonts w:ascii="宋体" w:hAnsi="宋体" w:cs="宋体" w:eastAsia="宋体" w:hint="default"/>
                            <w:sz w:val="18"/>
                            <w:szCs w:val="18"/>
                          </w:rPr>
                        </w:pPr>
                        <w:r>
                          <w:rPr>
                            <w:rFonts w:ascii="宋体" w:hAnsi="宋体" w:cs="宋体" w:eastAsia="宋体" w:hint="default"/>
                            <w:spacing w:val="-3"/>
                            <w:sz w:val="18"/>
                            <w:szCs w:val="18"/>
                          </w:rPr>
                          <w:t>公司经中国证券监督管理委员会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证监许可【</w:t>
                        </w:r>
                        <w:r>
                          <w:rPr>
                            <w:rFonts w:ascii="Times New Roman" w:hAnsi="Times New Roman" w:cs="Times New Roman" w:eastAsia="Times New Roman" w:hint="default"/>
                            <w:spacing w:val="-3"/>
                            <w:sz w:val="18"/>
                            <w:szCs w:val="18"/>
                          </w:rPr>
                          <w:t>2010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1828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文核准，首次公开发行人民币普通股（</w:t>
                        </w:r>
                        <w:r>
                          <w:rPr>
                            <w:rFonts w:ascii="Times New Roman" w:hAnsi="Times New Roman" w:cs="Times New Roman" w:eastAsia="Times New Roman" w:hint="default"/>
                            <w:spacing w:val="-4"/>
                            <w:sz w:val="18"/>
                            <w:szCs w:val="18"/>
                          </w:rPr>
                          <w:t>A </w:t>
                        </w:r>
                        <w:r>
                          <w:rPr>
                            <w:rFonts w:ascii="宋体" w:hAnsi="宋体" w:cs="宋体" w:eastAsia="宋体" w:hint="default"/>
                            <w:spacing w:val="-5"/>
                            <w:sz w:val="18"/>
                            <w:szCs w:val="18"/>
                          </w:rPr>
                          <w:t>股）</w:t>
                        </w:r>
                        <w:r>
                          <w:rPr>
                            <w:rFonts w:ascii="Times New Roman" w:hAnsi="Times New Roman" w:cs="Times New Roman" w:eastAsia="Times New Roman" w:hint="default"/>
                            <w:spacing w:val="-5"/>
                            <w:sz w:val="18"/>
                            <w:szCs w:val="18"/>
                          </w:rPr>
                          <w:t>1,800</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万股 公开发行股票的每股发行价格为人民币 </w:t>
                        </w:r>
                        <w:r>
                          <w:rPr>
                            <w:rFonts w:ascii="Times New Roman" w:hAnsi="Times New Roman" w:cs="Times New Roman" w:eastAsia="Times New Roman" w:hint="default"/>
                            <w:sz w:val="18"/>
                            <w:szCs w:val="18"/>
                          </w:rPr>
                          <w:t>49.00 </w:t>
                        </w:r>
                        <w:r>
                          <w:rPr>
                            <w:rFonts w:ascii="宋体" w:hAnsi="宋体" w:cs="宋体" w:eastAsia="宋体" w:hint="default"/>
                            <w:sz w:val="18"/>
                            <w:szCs w:val="18"/>
                          </w:rPr>
                          <w:t>元，公司募集资金总金额人民币 </w:t>
                        </w:r>
                        <w:r>
                          <w:rPr>
                            <w:rFonts w:ascii="Times New Roman" w:hAnsi="Times New Roman" w:cs="Times New Roman" w:eastAsia="Times New Roman" w:hint="default"/>
                            <w:sz w:val="18"/>
                            <w:szCs w:val="18"/>
                          </w:rPr>
                          <w:t>88,200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万元，扣除与发行有关费用人民币</w:t>
                        </w:r>
                      </w:p>
                      <w:p>
                        <w:pPr>
                          <w:pStyle w:val="TableParagraph"/>
                          <w:spacing w:line="240" w:lineRule="auto" w:before="1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50,633,444.75  </w:t>
                        </w:r>
                        <w:r>
                          <w:rPr>
                            <w:rFonts w:ascii="宋体" w:hAnsi="宋体" w:cs="宋体" w:eastAsia="宋体" w:hint="default"/>
                            <w:sz w:val="18"/>
                            <w:szCs w:val="18"/>
                          </w:rPr>
                          <w:t>元，实际募集资金净额为人民币 </w:t>
                        </w:r>
                        <w:r>
                          <w:rPr>
                            <w:rFonts w:ascii="Times New Roman" w:hAnsi="Times New Roman" w:cs="Times New Roman" w:eastAsia="Times New Roman" w:hint="default"/>
                            <w:sz w:val="18"/>
                            <w:szCs w:val="18"/>
                          </w:rPr>
                          <w:t>831,366,555.25 </w:t>
                        </w:r>
                        <w:r>
                          <w:rPr>
                            <w:rFonts w:ascii="宋体" w:hAnsi="宋体" w:cs="宋体" w:eastAsia="宋体" w:hint="default"/>
                            <w:sz w:val="18"/>
                            <w:szCs w:val="18"/>
                          </w:rPr>
                          <w:t>元， 其中募集资金投资项目资金人民币 </w:t>
                        </w:r>
                        <w:r>
                          <w:rPr>
                            <w:rFonts w:ascii="Times New Roman" w:hAnsi="Times New Roman" w:cs="Times New Roman" w:eastAsia="Times New Roman" w:hint="default"/>
                            <w:sz w:val="18"/>
                            <w:szCs w:val="18"/>
                          </w:rPr>
                          <w:t>21,501.57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w:t>
                        </w:r>
                      </w:p>
                      <w:p>
                        <w:pPr>
                          <w:pStyle w:val="TableParagraph"/>
                          <w:spacing w:line="300" w:lineRule="auto" w:before="63"/>
                          <w:ind w:left="24" w:right="20"/>
                          <w:jc w:val="both"/>
                          <w:rPr>
                            <w:rFonts w:ascii="宋体" w:hAnsi="宋体" w:cs="宋体" w:eastAsia="宋体" w:hint="default"/>
                            <w:sz w:val="18"/>
                            <w:szCs w:val="18"/>
                          </w:rPr>
                        </w:pPr>
                        <w:r>
                          <w:rPr>
                            <w:rFonts w:ascii="宋体" w:hAnsi="宋体" w:cs="宋体" w:eastAsia="宋体" w:hint="default"/>
                            <w:sz w:val="18"/>
                            <w:szCs w:val="18"/>
                          </w:rPr>
                          <w:t>其他与主营业务相关的营运资金项目资金（以下称为</w:t>
                        </w:r>
                        <w:r>
                          <w:rPr>
                            <w:rFonts w:ascii="Times New Roman" w:hAnsi="Times New Roman" w:cs="Times New Roman" w:eastAsia="Times New Roman" w:hint="default"/>
                            <w:sz w:val="18"/>
                            <w:szCs w:val="18"/>
                          </w:rPr>
                          <w:t>“</w:t>
                        </w:r>
                        <w:r>
                          <w:rPr>
                            <w:rFonts w:ascii="宋体" w:hAnsi="宋体" w:cs="宋体" w:eastAsia="宋体" w:hint="default"/>
                            <w:sz w:val="18"/>
                            <w:szCs w:val="18"/>
                          </w:rPr>
                          <w:t>超募资金</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 </w:t>
                        </w:r>
                        <w:r>
                          <w:rPr>
                            <w:rFonts w:ascii="Times New Roman" w:hAnsi="Times New Roman" w:cs="Times New Roman" w:eastAsia="Times New Roman" w:hint="default"/>
                            <w:sz w:val="18"/>
                            <w:szCs w:val="18"/>
                          </w:rPr>
                          <w:t>61,635.09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万元。上述资金到位情况已经立信羊 </w:t>
                        </w:r>
                        <w:r>
                          <w:rPr>
                            <w:rFonts w:ascii="宋体" w:hAnsi="宋体" w:cs="宋体" w:eastAsia="宋体" w:hint="default"/>
                            <w:spacing w:val="-1"/>
                            <w:w w:val="100"/>
                            <w:sz w:val="18"/>
                            <w:szCs w:val="18"/>
                          </w:rPr>
                          <w:t>城会计师事务所有限公司验证，并出具</w:t>
                        </w:r>
                        <w:r>
                          <w:rPr>
                            <w:rFonts w:ascii="Times New Roman" w:hAnsi="Times New Roman" w:cs="Times New Roman" w:eastAsia="Times New Roman" w:hint="default"/>
                            <w:spacing w:val="-1"/>
                            <w:w w:val="100"/>
                            <w:sz w:val="18"/>
                            <w:szCs w:val="18"/>
                          </w:rPr>
                          <w:t>“2010</w:t>
                        </w:r>
                        <w:r>
                          <w:rPr>
                            <w:rFonts w:ascii="Times New Roman" w:hAnsi="Times New Roman" w:cs="Times New Roman" w:eastAsia="Times New Roman" w:hint="default"/>
                            <w:spacing w:val="13"/>
                            <w:w w:val="100"/>
                            <w:sz w:val="18"/>
                            <w:szCs w:val="18"/>
                          </w:rPr>
                          <w:t> </w:t>
                        </w:r>
                        <w:r>
                          <w:rPr>
                            <w:rFonts w:ascii="宋体" w:hAnsi="宋体" w:cs="宋体" w:eastAsia="宋体" w:hint="default"/>
                            <w:sz w:val="18"/>
                            <w:szCs w:val="18"/>
                          </w:rPr>
                          <w:t>年羊验字第</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20369</w:t>
                        </w:r>
                        <w:r>
                          <w:rPr>
                            <w:rFonts w:ascii="Times New Roman" w:hAnsi="Times New Roman" w:cs="Times New Roman" w:eastAsia="Times New Roman" w:hint="default"/>
                            <w:spacing w:val="8"/>
                            <w:sz w:val="18"/>
                            <w:szCs w:val="18"/>
                          </w:rPr>
                          <w:t> </w:t>
                        </w:r>
                        <w:r>
                          <w:rPr>
                            <w:rFonts w:ascii="宋体" w:hAnsi="宋体" w:cs="宋体" w:eastAsia="宋体" w:hint="default"/>
                            <w:spacing w:val="-4"/>
                            <w:w w:val="100"/>
                            <w:sz w:val="18"/>
                            <w:szCs w:val="18"/>
                          </w:rPr>
                          <w:t>号</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《验资报告》，公司已将全部募集资金存入募集资金专</w:t>
                        </w:r>
                        <w:r>
                          <w:rPr>
                            <w:rFonts w:ascii="宋体" w:hAnsi="宋体" w:cs="宋体" w:eastAsia="宋体" w:hint="default"/>
                            <w:spacing w:val="-88"/>
                            <w:w w:val="100"/>
                            <w:sz w:val="18"/>
                            <w:szCs w:val="18"/>
                          </w:rPr>
                          <w:t> </w:t>
                        </w:r>
                        <w:r>
                          <w:rPr>
                            <w:rFonts w:ascii="宋体" w:hAnsi="宋体" w:cs="宋体" w:eastAsia="宋体" w:hint="default"/>
                            <w:spacing w:val="-88"/>
                            <w:w w:val="100"/>
                            <w:sz w:val="18"/>
                            <w:szCs w:val="18"/>
                          </w:rPr>
                        </w:r>
                        <w:r>
                          <w:rPr>
                            <w:rFonts w:ascii="宋体" w:hAnsi="宋体" w:cs="宋体" w:eastAsia="宋体" w:hint="default"/>
                            <w:sz w:val="18"/>
                            <w:szCs w:val="18"/>
                          </w:rPr>
                          <w:t>户管理。</w:t>
                        </w:r>
                      </w:p>
                      <w:p>
                        <w:pPr>
                          <w:pStyle w:val="TableParagraph"/>
                          <w:spacing w:line="240" w:lineRule="auto" w:before="72"/>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日，公司第一届董事会第九次会议分别审议并通过了《关于公司使用部分超募资金提前偿还银行贷款</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的议案》及《关于公司使用部分超募资金永久补充流动资金的议案</w:t>
                        </w:r>
                        <w:r>
                          <w:rPr>
                            <w:rFonts w:ascii="宋体" w:hAnsi="宋体" w:cs="宋体" w:eastAsia="宋体" w:hint="default"/>
                            <w:spacing w:val="-92"/>
                            <w:sz w:val="18"/>
                            <w:szCs w:val="18"/>
                          </w:rPr>
                          <w:t>》</w:t>
                        </w:r>
                        <w:r>
                          <w:rPr>
                            <w:rFonts w:ascii="宋体" w:hAnsi="宋体" w:cs="宋体" w:eastAsia="宋体" w:hint="default"/>
                            <w:sz w:val="18"/>
                            <w:szCs w:val="18"/>
                          </w:rPr>
                          <w:t>，同意公司使用超募</w:t>
                        </w:r>
                        <w:r>
                          <w:rPr>
                            <w:rFonts w:ascii="宋体" w:hAnsi="宋体" w:cs="宋体" w:eastAsia="宋体" w:hint="default"/>
                            <w:spacing w:val="2"/>
                            <w:sz w:val="18"/>
                            <w:szCs w:val="18"/>
                          </w:rPr>
                          <w:t>资</w:t>
                        </w:r>
                        <w:r>
                          <w:rPr>
                            <w:rFonts w:ascii="宋体" w:hAnsi="宋体" w:cs="宋体" w:eastAsia="宋体" w:hint="default"/>
                            <w:sz w:val="18"/>
                            <w:szCs w:val="18"/>
                          </w:rPr>
                          <w:t>金中的人民币</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万元资</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金用于提前归还银行贷款，以及人民币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万元用于永久补充流动资金。</w:t>
                        </w:r>
                      </w:p>
                      <w:p>
                        <w:pPr>
                          <w:pStyle w:val="TableParagraph"/>
                          <w:spacing w:line="240" w:lineRule="auto" w:before="101"/>
                          <w:ind w:left="38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公司第一届董事会第十三次会议审议通过</w:t>
                        </w:r>
                        <w:r>
                          <w:rPr>
                            <w:rFonts w:ascii="宋体" w:hAnsi="宋体" w:cs="宋体" w:eastAsia="宋体" w:hint="default"/>
                            <w:spacing w:val="-92"/>
                            <w:sz w:val="18"/>
                            <w:szCs w:val="18"/>
                          </w:rPr>
                          <w:t>了</w:t>
                        </w:r>
                        <w:r>
                          <w:rPr>
                            <w:rFonts w:ascii="宋体" w:hAnsi="宋体" w:cs="宋体" w:eastAsia="宋体" w:hint="default"/>
                            <w:sz w:val="18"/>
                            <w:szCs w:val="18"/>
                          </w:rPr>
                          <w:t>《关于使用部分超募资金</w:t>
                        </w:r>
                        <w:r>
                          <w:rPr>
                            <w:rFonts w:ascii="宋体" w:hAnsi="宋体" w:cs="宋体" w:eastAsia="宋体" w:hint="default"/>
                            <w:spacing w:val="2"/>
                            <w:sz w:val="18"/>
                            <w:szCs w:val="18"/>
                          </w:rPr>
                          <w:t>投</w:t>
                        </w:r>
                        <w:r>
                          <w:rPr>
                            <w:rFonts w:ascii="宋体" w:hAnsi="宋体" w:cs="宋体" w:eastAsia="宋体" w:hint="default"/>
                            <w:sz w:val="18"/>
                            <w:szCs w:val="18"/>
                          </w:rPr>
                          <w:t>资设立合资公司的议案</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300" w:lineRule="auto" w:before="63"/>
                          <w:ind w:left="24" w:right="82"/>
                          <w:jc w:val="both"/>
                          <w:rPr>
                            <w:rFonts w:ascii="宋体" w:hAnsi="宋体" w:cs="宋体" w:eastAsia="宋体" w:hint="default"/>
                            <w:sz w:val="18"/>
                            <w:szCs w:val="18"/>
                          </w:rPr>
                        </w:pPr>
                        <w:r>
                          <w:rPr>
                            <w:rFonts w:ascii="宋体" w:hAnsi="宋体" w:cs="宋体" w:eastAsia="宋体" w:hint="default"/>
                            <w:sz w:val="18"/>
                            <w:szCs w:val="18"/>
                          </w:rPr>
                          <w:t>同意公司使用超募资金人民币 </w:t>
                        </w:r>
                        <w:r>
                          <w:rPr>
                            <w:rFonts w:ascii="Times New Roman" w:hAnsi="Times New Roman" w:cs="Times New Roman" w:eastAsia="Times New Roman" w:hint="default"/>
                            <w:sz w:val="18"/>
                            <w:szCs w:val="18"/>
                          </w:rPr>
                          <w:t>735.00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万元与广州市高堡仕智能科技有限公司共同出资设立广东安居宝智能控制系统有限 公司。</w:t>
                        </w:r>
                      </w:p>
                      <w:p>
                        <w:pPr>
                          <w:pStyle w:val="TableParagraph"/>
                          <w:spacing w:line="240" w:lineRule="auto" w:before="72"/>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 </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日，公司第二届董事会第一次会议审议通过了《关于使用部分超募资金投资设立全资子公司的议案》</w:t>
                        </w:r>
                        <w:r>
                          <w:rPr>
                            <w:rFonts w:ascii="Times New Roman" w:hAnsi="Times New Roman" w:cs="Times New Roman" w:eastAsia="Times New Roman" w:hint="default"/>
                            <w:spacing w:val="-4"/>
                            <w:sz w:val="18"/>
                            <w:szCs w:val="18"/>
                          </w:rPr>
                          <w:t>,</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同意公司使用超募资金人民币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万元设立全资子公司广东安居宝光电传输科技有限公司。</w:t>
                        </w:r>
                      </w:p>
                      <w:p>
                        <w:pPr>
                          <w:pStyle w:val="TableParagraph"/>
                          <w:spacing w:line="240" w:lineRule="auto" w:before="103"/>
                          <w:ind w:left="384" w:right="-4"/>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w:t>
                        </w:r>
                        <w:r>
                          <w:rPr>
                            <w:rFonts w:ascii="宋体" w:hAnsi="宋体" w:cs="宋体" w:eastAsia="宋体" w:hint="default"/>
                            <w:spacing w:val="-2"/>
                            <w:sz w:val="18"/>
                            <w:szCs w:val="18"/>
                          </w:rPr>
                          <w:t>二</w:t>
                        </w:r>
                        <w:r>
                          <w:rPr>
                            <w:rFonts w:ascii="宋体" w:hAnsi="宋体" w:cs="宋体" w:eastAsia="宋体" w:hint="default"/>
                            <w:sz w:val="18"/>
                            <w:szCs w:val="18"/>
                          </w:rPr>
                          <w:t>届董事会第二次会议审议通过了《关于使用部分超募资金永久补充流动资金的议案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同意公司使用闲置超募资金人民币 </w:t>
                        </w: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万元用于永久补充流动资金。</w:t>
                        </w:r>
                      </w:p>
                      <w:p>
                        <w:pPr>
                          <w:pStyle w:val="TableParagraph"/>
                          <w:spacing w:line="309" w:lineRule="auto" w:before="101"/>
                          <w:ind w:left="24" w:right="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23 </w:t>
                        </w:r>
                        <w:r>
                          <w:rPr>
                            <w:rFonts w:ascii="宋体" w:hAnsi="宋体" w:cs="宋体" w:eastAsia="宋体" w:hint="default"/>
                            <w:spacing w:val="-3"/>
                            <w:sz w:val="18"/>
                            <w:szCs w:val="18"/>
                          </w:rPr>
                          <w:t>日，公司第二届董事会第四次会议和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日第二次临时股东大会审议通过了《关于使用 </w:t>
                        </w:r>
                        <w:r>
                          <w:rPr>
                            <w:rFonts w:ascii="宋体" w:hAnsi="宋体" w:cs="宋体" w:eastAsia="宋体" w:hint="default"/>
                            <w:spacing w:val="-2"/>
                            <w:sz w:val="18"/>
                            <w:szCs w:val="18"/>
                          </w:rPr>
                          <w:t>部分超募资金收购德居安（广州）电子科技有限公司全部股权暨关联交易的议案》，同意公司使用不超过人民币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56,632,368.63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元的超募资金收购德居安香港所持有的德居安广州全部股权。该笔超募资金于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月支付。</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40" w:lineRule="auto" w:before="44"/>
        <w:ind w:left="0" w:right="160"/>
        <w:jc w:val="right"/>
      </w:pPr>
      <w:r>
        <w:rPr/>
        <w:t>，</w:t>
      </w:r>
    </w:p>
    <w:p>
      <w:pPr>
        <w:spacing w:after="0" w:line="240" w:lineRule="auto"/>
        <w:jc w:val="right"/>
        <w:sectPr>
          <w:pgSz w:w="11910" w:h="16840"/>
          <w:pgMar w:header="0" w:footer="1227" w:top="1100" w:bottom="1420" w:left="980" w:right="98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0"/>
        <w:jc w:val="left"/>
        <w:rPr>
          <w:b w:val="0"/>
          <w:bCs w:val="0"/>
        </w:rPr>
      </w:pP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34"/>
        <w:jc w:val="right"/>
      </w:pPr>
      <w:r>
        <w:rPr/>
        <w:t>单位：万元</w:t>
      </w:r>
    </w:p>
    <w:p>
      <w:pPr>
        <w:spacing w:line="240" w:lineRule="auto" w:before="4"/>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2585"/>
        <w:gridCol w:w="1136"/>
        <w:gridCol w:w="1141"/>
        <w:gridCol w:w="1140"/>
        <w:gridCol w:w="1135"/>
        <w:gridCol w:w="1140"/>
        <w:gridCol w:w="1140"/>
        <w:gridCol w:w="1138"/>
        <w:gridCol w:w="1144"/>
        <w:gridCol w:w="1138"/>
        <w:gridCol w:w="1136"/>
      </w:tblGrid>
      <w:tr>
        <w:trPr>
          <w:trHeight w:val="1025" w:hRule="exact"/>
        </w:trPr>
        <w:tc>
          <w:tcPr>
            <w:tcW w:w="2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7" w:right="0"/>
              <w:jc w:val="left"/>
              <w:rPr>
                <w:rFonts w:ascii="宋体" w:hAnsi="宋体" w:cs="宋体" w:eastAsia="宋体" w:hint="default"/>
                <w:sz w:val="18"/>
                <w:szCs w:val="18"/>
              </w:rPr>
            </w:pPr>
            <w:r>
              <w:rPr>
                <w:rFonts w:ascii="宋体" w:hAnsi="宋体" w:cs="宋体" w:eastAsia="宋体" w:hint="default"/>
                <w:sz w:val="18"/>
                <w:szCs w:val="18"/>
              </w:rPr>
              <w:t>承诺投资项目和超募资金投向</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含部分变 更</w:t>
            </w:r>
            <w:r>
              <w:rPr>
                <w:rFonts w:ascii="Times New Roman" w:hAnsi="Times New Roman" w:cs="Times New Roman" w:eastAsia="Times New Roman" w:hint="default"/>
                <w:sz w:val="18"/>
                <w:szCs w:val="18"/>
              </w:rPr>
              <w:t>)</w:t>
            </w:r>
          </w:p>
        </w:tc>
        <w:tc>
          <w:tcPr>
            <w:tcW w:w="1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4" w:right="26" w:hanging="181"/>
              <w:jc w:val="left"/>
              <w:rPr>
                <w:rFonts w:ascii="宋体" w:hAnsi="宋体" w:cs="宋体" w:eastAsia="宋体" w:hint="default"/>
                <w:sz w:val="18"/>
                <w:szCs w:val="18"/>
              </w:rPr>
            </w:pPr>
            <w:r>
              <w:rPr>
                <w:rFonts w:ascii="宋体" w:hAnsi="宋体" w:cs="宋体" w:eastAsia="宋体" w:hint="default"/>
                <w:sz w:val="18"/>
                <w:szCs w:val="18"/>
              </w:rPr>
              <w:t>募集资金承诺 投资总额</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69" w:right="24" w:hanging="34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调整后投资总 额</w:t>
            </w:r>
            <w:r>
              <w:rPr>
                <w:rFonts w:ascii="Times New Roman" w:hAnsi="Times New Roman" w:cs="Times New Roman" w:eastAsia="Times New Roman" w:hint="default"/>
                <w:sz w:val="18"/>
                <w:szCs w:val="18"/>
              </w:rPr>
              <w:t>(1)</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1" w:right="23"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0" w:right="24" w:hanging="77"/>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截至期末累计 投入金额</w:t>
            </w:r>
            <w:r>
              <w:rPr>
                <w:rFonts w:ascii="Times New Roman" w:hAnsi="Times New Roman" w:cs="Times New Roman" w:eastAsia="Times New Roman" w:hint="default"/>
                <w:sz w:val="18"/>
                <w:szCs w:val="18"/>
              </w:rPr>
              <w:t>(2)</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4"/>
              <w:jc w:val="center"/>
              <w:rPr>
                <w:rFonts w:ascii="宋体" w:hAnsi="宋体" w:cs="宋体" w:eastAsia="宋体" w:hint="default"/>
                <w:sz w:val="18"/>
                <w:szCs w:val="18"/>
              </w:rPr>
            </w:pPr>
            <w:r>
              <w:rPr>
                <w:rFonts w:ascii="宋体" w:hAnsi="宋体" w:cs="宋体" w:eastAsia="宋体" w:hint="default"/>
                <w:sz w:val="18"/>
                <w:szCs w:val="18"/>
              </w:rPr>
              <w:t>截至期末投资 进度</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right="0"/>
              <w:jc w:val="center"/>
              <w:rPr>
                <w:rFonts w:ascii="Times New Roman" w:hAnsi="Times New Roman" w:cs="Times New Roman" w:eastAsia="Times New Roman" w:hint="default"/>
                <w:sz w:val="18"/>
                <w:szCs w:val="18"/>
              </w:rPr>
            </w:pPr>
            <w:r>
              <w:rPr>
                <w:rFonts w:ascii="Times New Roman"/>
                <w:sz w:val="18"/>
              </w:rPr>
              <w:t>(2)/(1)</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24"/>
              <w:jc w:val="center"/>
              <w:rPr>
                <w:rFonts w:ascii="宋体" w:hAnsi="宋体" w:cs="宋体" w:eastAsia="宋体" w:hint="default"/>
                <w:sz w:val="18"/>
                <w:szCs w:val="18"/>
              </w:rPr>
            </w:pPr>
            <w:r>
              <w:rPr>
                <w:rFonts w:ascii="宋体" w:hAnsi="宋体" w:cs="宋体" w:eastAsia="宋体" w:hint="default"/>
                <w:sz w:val="18"/>
                <w:szCs w:val="18"/>
              </w:rPr>
              <w:t>项目达到预定 可使用状态日 期</w:t>
            </w:r>
          </w:p>
        </w:tc>
        <w:tc>
          <w:tcPr>
            <w:tcW w:w="1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5" w:right="28" w:hanging="272"/>
              <w:jc w:val="left"/>
              <w:rPr>
                <w:rFonts w:ascii="宋体" w:hAnsi="宋体" w:cs="宋体" w:eastAsia="宋体" w:hint="default"/>
                <w:sz w:val="18"/>
                <w:szCs w:val="18"/>
              </w:rPr>
            </w:pPr>
            <w:r>
              <w:rPr>
                <w:rFonts w:ascii="宋体" w:hAnsi="宋体" w:cs="宋体" w:eastAsia="宋体" w:hint="default"/>
                <w:sz w:val="18"/>
                <w:szCs w:val="18"/>
              </w:rPr>
              <w:t>本报告期实现 的效益</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77" w:right="28" w:hanging="360"/>
              <w:jc w:val="left"/>
              <w:rPr>
                <w:rFonts w:ascii="宋体" w:hAnsi="宋体" w:cs="宋体" w:eastAsia="宋体" w:hint="default"/>
                <w:sz w:val="18"/>
                <w:szCs w:val="18"/>
              </w:rPr>
            </w:pPr>
            <w:r>
              <w:rPr>
                <w:rFonts w:ascii="宋体" w:hAnsi="宋体" w:cs="宋体" w:eastAsia="宋体" w:hint="default"/>
                <w:sz w:val="18"/>
                <w:szCs w:val="18"/>
              </w:rPr>
              <w:t>是否达到预计 效益</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 w:right="24"/>
              <w:jc w:val="center"/>
              <w:rPr>
                <w:rFonts w:ascii="宋体" w:hAnsi="宋体" w:cs="宋体" w:eastAsia="宋体" w:hint="default"/>
                <w:sz w:val="18"/>
                <w:szCs w:val="18"/>
              </w:rPr>
            </w:pPr>
            <w:r>
              <w:rPr>
                <w:rFonts w:ascii="宋体" w:hAnsi="宋体" w:cs="宋体" w:eastAsia="宋体" w:hint="default"/>
                <w:sz w:val="18"/>
                <w:szCs w:val="18"/>
              </w:rPr>
              <w:t>项目可行性是 否发生重大变 化</w:t>
            </w:r>
          </w:p>
        </w:tc>
      </w:tr>
      <w:tr>
        <w:trPr>
          <w:trHeight w:val="403" w:hRule="exact"/>
        </w:trPr>
        <w:tc>
          <w:tcPr>
            <w:tcW w:w="1397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研发中心建设项目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2,445.8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2,445.8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803.62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2,450.36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100.19%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扩产至 </w:t>
            </w:r>
            <w:r>
              <w:rPr>
                <w:rFonts w:ascii="Times New Roman" w:hAnsi="Times New Roman" w:cs="Times New Roman" w:eastAsia="Times New Roman" w:hint="default"/>
                <w:sz w:val="18"/>
                <w:szCs w:val="18"/>
              </w:rPr>
              <w:t>122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万台数字化安防产 品项目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8,644.24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8,644.24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3,046.14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3,693.62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42.73%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营销与服务体系扩建项目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10,411.53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10,411.53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1,645.11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2,637.7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25.33%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2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03"/>
              <w:jc w:val="right"/>
              <w:rPr>
                <w:rFonts w:ascii="Times New Roman" w:hAnsi="Times New Roman" w:cs="Times New Roman" w:eastAsia="Times New Roman" w:hint="default"/>
                <w:sz w:val="18"/>
                <w:szCs w:val="18"/>
              </w:rPr>
            </w:pPr>
            <w:r>
              <w:rPr>
                <w:rFonts w:ascii="Times New Roman"/>
                <w:sz w:val="18"/>
              </w:rPr>
              <w:t>--</w:t>
            </w:r>
          </w:p>
        </w:tc>
        <w:tc>
          <w:tcPr>
            <w:tcW w:w="114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21,501.57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21,501.57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5,494.87</w:t>
            </w:r>
          </w:p>
        </w:tc>
        <w:tc>
          <w:tcPr>
            <w:tcW w:w="114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w w:val="95"/>
                <w:sz w:val="18"/>
              </w:rPr>
              <w:t>8,781.68</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144" w:type="dxa"/>
            <w:tcBorders>
              <w:top w:val="single" w:sz="4" w:space="0" w:color="000000"/>
              <w:left w:val="single" w:sz="13" w:space="0" w:color="D2D2D2"/>
              <w:bottom w:val="single" w:sz="4" w:space="0" w:color="000000"/>
              <w:right w:val="single" w:sz="12" w:space="0" w:color="D2D2D2"/>
            </w:tcBorders>
          </w:tcPr>
          <w:p>
            <w:pP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08"/>
              <w:jc w:val="right"/>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04"/>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1397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5"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投资设立合资公司广东安居宝智 能控制系统有限公司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735</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投资设立全资子公司广东安居宝 光电传输科技有限公司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03"/>
              <w:jc w:val="right"/>
              <w:rPr>
                <w:rFonts w:ascii="Times New Roman" w:hAnsi="Times New Roman" w:cs="Times New Roman" w:eastAsia="Times New Roman" w:hint="default"/>
                <w:sz w:val="18"/>
                <w:szCs w:val="18"/>
              </w:rPr>
            </w:pPr>
            <w:r>
              <w:rPr>
                <w:rFonts w:ascii="Times New Roman"/>
                <w:sz w:val="18"/>
              </w:rPr>
              <w:t>--</w:t>
            </w:r>
          </w:p>
        </w:tc>
        <w:tc>
          <w:tcPr>
            <w:tcW w:w="114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c>
          <w:tcPr>
            <w:tcW w:w="1140"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100%</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04" w:right="0"/>
              <w:jc w:val="left"/>
              <w:rPr>
                <w:rFonts w:ascii="Times New Roman" w:hAnsi="Times New Roman" w:cs="Times New Roman" w:eastAsia="Times New Roman" w:hint="default"/>
                <w:sz w:val="18"/>
                <w:szCs w:val="18"/>
              </w:rPr>
            </w:pPr>
            <w:r>
              <w:rPr>
                <w:rFonts w:ascii="Times New Roman"/>
                <w:sz w:val="18"/>
              </w:rPr>
              <w:t>--</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08"/>
              <w:jc w:val="right"/>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04"/>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03"/>
              <w:jc w:val="right"/>
              <w:rPr>
                <w:rFonts w:ascii="Times New Roman" w:hAnsi="Times New Roman" w:cs="Times New Roman" w:eastAsia="Times New Roman" w:hint="default"/>
                <w:sz w:val="18"/>
                <w:szCs w:val="18"/>
              </w:rPr>
            </w:pPr>
            <w:r>
              <w:rPr>
                <w:rFonts w:ascii="Times New Roman"/>
                <w:sz w:val="18"/>
              </w:rPr>
              <w:t>--</w:t>
            </w:r>
          </w:p>
        </w:tc>
        <w:tc>
          <w:tcPr>
            <w:tcW w:w="114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11,000</w:t>
            </w:r>
          </w:p>
        </w:tc>
        <w:tc>
          <w:tcPr>
            <w:tcW w:w="1140"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100%</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04" w:right="0"/>
              <w:jc w:val="left"/>
              <w:rPr>
                <w:rFonts w:ascii="Times New Roman" w:hAnsi="Times New Roman" w:cs="Times New Roman" w:eastAsia="Times New Roman" w:hint="default"/>
                <w:sz w:val="18"/>
                <w:szCs w:val="18"/>
              </w:rPr>
            </w:pPr>
            <w:r>
              <w:rPr>
                <w:rFonts w:ascii="Times New Roman"/>
                <w:sz w:val="18"/>
              </w:rPr>
              <w:t>--</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08"/>
              <w:jc w:val="right"/>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04"/>
              <w:jc w:val="right"/>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2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03"/>
              <w:jc w:val="right"/>
              <w:rPr>
                <w:rFonts w:ascii="Times New Roman" w:hAnsi="Times New Roman" w:cs="Times New Roman" w:eastAsia="Times New Roman" w:hint="default"/>
                <w:sz w:val="18"/>
                <w:szCs w:val="18"/>
              </w:rPr>
            </w:pPr>
            <w:r>
              <w:rPr>
                <w:rFonts w:ascii="Times New Roman"/>
                <w:sz w:val="18"/>
              </w:rPr>
              <w:t>--</w:t>
            </w:r>
          </w:p>
        </w:tc>
        <w:tc>
          <w:tcPr>
            <w:tcW w:w="114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16,735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16,735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11,000</w:t>
            </w:r>
          </w:p>
        </w:tc>
        <w:tc>
          <w:tcPr>
            <w:tcW w:w="114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16,735</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144" w:type="dxa"/>
            <w:tcBorders>
              <w:top w:val="single" w:sz="4" w:space="0" w:color="000000"/>
              <w:left w:val="single" w:sz="13" w:space="0" w:color="D2D2D2"/>
              <w:bottom w:val="single" w:sz="4" w:space="0" w:color="000000"/>
              <w:right w:val="single" w:sz="12" w:space="0" w:color="D2D2D2"/>
            </w:tcBorders>
          </w:tcPr>
          <w:p>
            <w:pP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08"/>
              <w:jc w:val="right"/>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04"/>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03"/>
              <w:jc w:val="right"/>
              <w:rPr>
                <w:rFonts w:ascii="Times New Roman" w:hAnsi="Times New Roman" w:cs="Times New Roman" w:eastAsia="Times New Roman" w:hint="default"/>
                <w:sz w:val="18"/>
                <w:szCs w:val="18"/>
              </w:rPr>
            </w:pPr>
            <w:r>
              <w:rPr>
                <w:rFonts w:ascii="Times New Roman"/>
                <w:sz w:val="18"/>
              </w:rPr>
              <w:t>--</w:t>
            </w:r>
          </w:p>
        </w:tc>
        <w:tc>
          <w:tcPr>
            <w:tcW w:w="114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38,236.57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38,236.57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16,494.87</w:t>
            </w:r>
          </w:p>
        </w:tc>
        <w:tc>
          <w:tcPr>
            <w:tcW w:w="114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25,516.68</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144" w:type="dxa"/>
            <w:tcBorders>
              <w:top w:val="single" w:sz="4" w:space="0" w:color="000000"/>
              <w:left w:val="single" w:sz="13" w:space="0" w:color="D2D2D2"/>
              <w:bottom w:val="single" w:sz="4" w:space="0" w:color="000000"/>
              <w:right w:val="single" w:sz="12"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08"/>
              <w:jc w:val="right"/>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04"/>
              <w:jc w:val="right"/>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2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 况和原因（分具体项目）</w:t>
            </w:r>
          </w:p>
        </w:tc>
        <w:tc>
          <w:tcPr>
            <w:tcW w:w="11388" w:type="dxa"/>
            <w:gridSpan w:val="10"/>
            <w:tcBorders>
              <w:top w:val="single" w:sz="4" w:space="0" w:color="000000"/>
              <w:left w:val="single" w:sz="13" w:space="0" w:color="D2D2D2"/>
              <w:bottom w:val="single" w:sz="4" w:space="0" w:color="000000"/>
              <w:right w:val="single" w:sz="4" w:space="0" w:color="000000"/>
            </w:tcBorders>
          </w:tcPr>
          <w:p>
            <w:pPr>
              <w:pStyle w:val="TableParagraph"/>
              <w:spacing w:line="300" w:lineRule="auto" w:before="49"/>
              <w:ind w:left="10"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）扩产至 </w:t>
            </w:r>
            <w:r>
              <w:rPr>
                <w:rFonts w:ascii="Times New Roman" w:hAnsi="Times New Roman" w:cs="Times New Roman" w:eastAsia="Times New Roman" w:hint="default"/>
                <w:sz w:val="18"/>
                <w:szCs w:val="18"/>
              </w:rPr>
              <w:t>122</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万台数字化安防产品项目：宏观经济增速下滑及国家对房地产市场持续调控在一定程度上影响了公司的销售扩张预期，亦影响到 公司募集资金项目实施进度；</w:t>
            </w:r>
          </w:p>
        </w:tc>
      </w:tr>
    </w:tbl>
    <w:p>
      <w:pPr>
        <w:spacing w:after="0" w:line="300" w:lineRule="auto"/>
        <w:jc w:val="left"/>
        <w:rPr>
          <w:rFonts w:ascii="宋体" w:hAnsi="宋体" w:cs="宋体" w:eastAsia="宋体" w:hint="default"/>
          <w:sz w:val="18"/>
          <w:szCs w:val="18"/>
        </w:rPr>
        <w:sectPr>
          <w:headerReference w:type="default" r:id="rId17"/>
          <w:footerReference w:type="default" r:id="rId18"/>
          <w:pgSz w:w="16840" w:h="11910" w:orient="landscape"/>
          <w:pgMar w:header="867" w:footer="1227" w:top="1060" w:bottom="1420" w:left="1300" w:right="1300"/>
          <w:pgNumType w:start="24"/>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585"/>
        <w:gridCol w:w="11387"/>
      </w:tblGrid>
      <w:tr>
        <w:trPr>
          <w:trHeight w:val="1042" w:hRule="exact"/>
        </w:trPr>
        <w:tc>
          <w:tcPr>
            <w:tcW w:w="2585"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387" w:type="dxa"/>
            <w:tcBorders>
              <w:top w:val="single" w:sz="15" w:space="0" w:color="000000"/>
              <w:left w:val="single" w:sz="4" w:space="0" w:color="000000"/>
              <w:bottom w:val="single" w:sz="4" w:space="0" w:color="000000"/>
              <w:right w:val="single" w:sz="4" w:space="0" w:color="000000"/>
            </w:tcBorders>
          </w:tcPr>
          <w:p>
            <w:pPr>
              <w:pStyle w:val="TableParagraph"/>
              <w:spacing w:line="307" w:lineRule="auto" w:before="51"/>
              <w:ind w:left="21"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）营销与服务体系扩建项目：公司其他与主营业务相关项目的逐步实施，也需要统一规划避免重复建设，所以公司在服务网点的选址以及各营 </w:t>
            </w:r>
            <w:r>
              <w:rPr>
                <w:rFonts w:ascii="宋体" w:hAnsi="宋体" w:cs="宋体" w:eastAsia="宋体" w:hint="default"/>
                <w:spacing w:val="-1"/>
                <w:sz w:val="18"/>
                <w:szCs w:val="18"/>
              </w:rPr>
              <w:t>销中心人才的选聘上，公司管理层采取谨慎态度，力求募集资金效益最大化。综上，公司采取谨慎原则，适时放缓了上述募集资金投资项目实施</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进度。</w:t>
            </w:r>
          </w:p>
        </w:tc>
      </w:tr>
      <w:tr>
        <w:trPr>
          <w:trHeight w:val="730" w:hRule="exact"/>
        </w:trPr>
        <w:tc>
          <w:tcPr>
            <w:tcW w:w="2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3" w:right="29"/>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 说明</w:t>
            </w:r>
          </w:p>
        </w:tc>
        <w:tc>
          <w:tcPr>
            <w:tcW w:w="1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本报告期末未发生重大变化。</w:t>
            </w:r>
          </w:p>
        </w:tc>
      </w:tr>
      <w:tr>
        <w:trPr>
          <w:trHeight w:val="408" w:hRule="exact"/>
        </w:trPr>
        <w:tc>
          <w:tcPr>
            <w:tcW w:w="25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超募资金的金额、用途及使用进 展情况</w:t>
            </w:r>
          </w:p>
        </w:tc>
        <w:tc>
          <w:tcPr>
            <w:tcW w:w="1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995" w:hRule="exact"/>
        </w:trPr>
        <w:tc>
          <w:tcPr>
            <w:tcW w:w="2585" w:type="dxa"/>
            <w:vMerge/>
            <w:tcBorders>
              <w:left w:val="single" w:sz="4" w:space="0" w:color="000000"/>
              <w:bottom w:val="single" w:sz="4" w:space="0" w:color="000000"/>
              <w:right w:val="single" w:sz="4" w:space="0" w:color="000000"/>
            </w:tcBorders>
            <w:shd w:val="clear" w:color="auto" w:fill="D2D2D2"/>
          </w:tcPr>
          <w:p>
            <w:pPr/>
          </w:p>
        </w:tc>
        <w:tc>
          <w:tcPr>
            <w:tcW w:w="113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19" w:firstLine="360"/>
              <w:jc w:val="both"/>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3"/>
                <w:sz w:val="18"/>
                <w:szCs w:val="18"/>
              </w:rPr>
              <w:t> </w:t>
            </w:r>
            <w:r>
              <w:rPr>
                <w:rFonts w:ascii="宋体" w:hAnsi="宋体" w:cs="宋体" w:eastAsia="宋体" w:hint="default"/>
                <w:sz w:val="18"/>
                <w:szCs w:val="18"/>
              </w:rPr>
              <w:t>IPO</w:t>
            </w:r>
            <w:r>
              <w:rPr>
                <w:rFonts w:ascii="宋体" w:hAnsi="宋体" w:cs="宋体" w:eastAsia="宋体" w:hint="default"/>
                <w:spacing w:val="-1"/>
                <w:sz w:val="18"/>
                <w:szCs w:val="18"/>
              </w:rPr>
              <w:t> </w:t>
            </w:r>
            <w:r>
              <w:rPr>
                <w:rFonts w:ascii="宋体" w:hAnsi="宋体" w:cs="宋体" w:eastAsia="宋体" w:hint="default"/>
                <w:sz w:val="18"/>
                <w:szCs w:val="18"/>
              </w:rPr>
              <w:t>募集资金净额为</w:t>
            </w:r>
            <w:r>
              <w:rPr>
                <w:rFonts w:ascii="宋体" w:hAnsi="宋体" w:cs="宋体" w:eastAsia="宋体" w:hint="default"/>
                <w:spacing w:val="-47"/>
                <w:sz w:val="18"/>
                <w:szCs w:val="18"/>
              </w:rPr>
              <w:t> </w:t>
            </w:r>
            <w:r>
              <w:rPr>
                <w:rFonts w:ascii="宋体" w:hAnsi="宋体" w:cs="宋体" w:eastAsia="宋体" w:hint="default"/>
                <w:sz w:val="18"/>
                <w:szCs w:val="18"/>
              </w:rPr>
              <w:t>83,136.66</w:t>
            </w:r>
            <w:r>
              <w:rPr>
                <w:rFonts w:ascii="宋体" w:hAnsi="宋体" w:cs="宋体" w:eastAsia="宋体" w:hint="default"/>
                <w:spacing w:val="-1"/>
                <w:sz w:val="18"/>
                <w:szCs w:val="18"/>
              </w:rPr>
              <w:t> </w:t>
            </w:r>
            <w:r>
              <w:rPr>
                <w:rFonts w:ascii="宋体" w:hAnsi="宋体" w:cs="宋体" w:eastAsia="宋体" w:hint="default"/>
                <w:sz w:val="18"/>
                <w:szCs w:val="18"/>
              </w:rPr>
              <w:t>万元，计划募集</w:t>
            </w:r>
            <w:r>
              <w:rPr>
                <w:rFonts w:ascii="宋体" w:hAnsi="宋体" w:cs="宋体" w:eastAsia="宋体" w:hint="default"/>
                <w:spacing w:val="-47"/>
                <w:sz w:val="18"/>
                <w:szCs w:val="18"/>
              </w:rPr>
              <w:t> </w:t>
            </w:r>
            <w:r>
              <w:rPr>
                <w:rFonts w:ascii="宋体" w:hAnsi="宋体" w:cs="宋体" w:eastAsia="宋体" w:hint="default"/>
                <w:sz w:val="18"/>
                <w:szCs w:val="18"/>
              </w:rPr>
              <w:t>21,501.57</w:t>
            </w:r>
            <w:r>
              <w:rPr>
                <w:rFonts w:ascii="宋体" w:hAnsi="宋体" w:cs="宋体" w:eastAsia="宋体" w:hint="default"/>
                <w:spacing w:val="-1"/>
                <w:sz w:val="18"/>
                <w:szCs w:val="18"/>
              </w:rPr>
              <w:t> </w:t>
            </w:r>
            <w:r>
              <w:rPr>
                <w:rFonts w:ascii="宋体" w:hAnsi="宋体" w:cs="宋体" w:eastAsia="宋体" w:hint="default"/>
                <w:sz w:val="18"/>
                <w:szCs w:val="18"/>
              </w:rPr>
              <w:t>万元，超募资金</w:t>
            </w:r>
            <w:r>
              <w:rPr>
                <w:rFonts w:ascii="宋体" w:hAnsi="宋体" w:cs="宋体" w:eastAsia="宋体" w:hint="default"/>
                <w:spacing w:val="-47"/>
                <w:sz w:val="18"/>
                <w:szCs w:val="18"/>
              </w:rPr>
              <w:t> </w:t>
            </w:r>
            <w:r>
              <w:rPr>
                <w:rFonts w:ascii="宋体" w:hAnsi="宋体" w:cs="宋体" w:eastAsia="宋体" w:hint="default"/>
                <w:sz w:val="18"/>
                <w:szCs w:val="18"/>
              </w:rPr>
              <w:t>61,635.09</w:t>
            </w:r>
            <w:r>
              <w:rPr>
                <w:rFonts w:ascii="宋体" w:hAnsi="宋体" w:cs="宋体" w:eastAsia="宋体"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6"/>
                <w:sz w:val="18"/>
                <w:szCs w:val="18"/>
              </w:rPr>
              <w:t> </w:t>
            </w:r>
            <w:r>
              <w:rPr>
                <w:rFonts w:ascii="宋体" w:hAnsi="宋体" w:cs="宋体" w:eastAsia="宋体" w:hint="default"/>
                <w:sz w:val="18"/>
                <w:szCs w:val="18"/>
              </w:rPr>
              <w:t>元。</w:t>
            </w:r>
            <w:r>
              <w:rPr>
                <w:rFonts w:ascii="宋体" w:hAnsi="宋体" w:cs="宋体" w:eastAsia="宋体" w:hint="default"/>
                <w:spacing w:val="-6"/>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8"/>
                <w:sz w:val="18"/>
                <w:szCs w:val="18"/>
              </w:rPr>
              <w:t> </w:t>
            </w:r>
            <w:r>
              <w:rPr>
                <w:rFonts w:ascii="宋体" w:hAnsi="宋体" w:cs="宋体" w:eastAsia="宋体" w:hint="default"/>
                <w:sz w:val="18"/>
                <w:szCs w:val="18"/>
              </w:rPr>
              <w:t>日，公司第一届董 事会第九次会议分别审议并通过了《关于公司使用部分超募资金提前偿还银行贷款的议案》及《关于公司使用部分超募资金永久补充流动资金的 </w:t>
            </w:r>
            <w:r>
              <w:rPr>
                <w:rFonts w:ascii="宋体" w:hAnsi="宋体" w:cs="宋体" w:eastAsia="宋体" w:hint="default"/>
                <w:spacing w:val="-5"/>
                <w:sz w:val="18"/>
                <w:szCs w:val="18"/>
              </w:rPr>
              <w:t>议案》，同意公司使用超募资金中的人民币</w:t>
            </w:r>
            <w:r>
              <w:rPr>
                <w:rFonts w:ascii="宋体" w:hAnsi="宋体" w:cs="宋体" w:eastAsia="宋体" w:hint="default"/>
                <w:sz w:val="18"/>
                <w:szCs w:val="18"/>
              </w:rPr>
              <w:t> </w:t>
            </w:r>
            <w:r>
              <w:rPr>
                <w:rFonts w:ascii="宋体" w:hAnsi="宋体" w:cs="宋体" w:eastAsia="宋体" w:hint="default"/>
                <w:spacing w:val="-1"/>
                <w:sz w:val="18"/>
                <w:szCs w:val="18"/>
              </w:rPr>
              <w:t>2,000.00</w:t>
            </w:r>
            <w:r>
              <w:rPr>
                <w:rFonts w:ascii="宋体" w:hAnsi="宋体" w:cs="宋体" w:eastAsia="宋体" w:hint="default"/>
                <w:sz w:val="18"/>
                <w:szCs w:val="18"/>
              </w:rPr>
              <w:t> </w:t>
            </w:r>
            <w:r>
              <w:rPr>
                <w:rFonts w:ascii="宋体" w:hAnsi="宋体" w:cs="宋体" w:eastAsia="宋体" w:hint="default"/>
                <w:spacing w:val="-1"/>
                <w:sz w:val="18"/>
                <w:szCs w:val="18"/>
              </w:rPr>
              <w:t>万元资金用于提前归还银行贷款，以及人民币</w:t>
            </w:r>
            <w:r>
              <w:rPr>
                <w:rFonts w:ascii="宋体" w:hAnsi="宋体" w:cs="宋体" w:eastAsia="宋体" w:hint="default"/>
                <w:sz w:val="18"/>
                <w:szCs w:val="18"/>
              </w:rPr>
              <w:t> </w:t>
            </w:r>
            <w:r>
              <w:rPr>
                <w:rFonts w:ascii="宋体" w:hAnsi="宋体" w:cs="宋体" w:eastAsia="宋体" w:hint="default"/>
                <w:spacing w:val="-1"/>
                <w:sz w:val="18"/>
                <w:szCs w:val="18"/>
              </w:rPr>
              <w:t>3,000.00</w:t>
            </w:r>
            <w:r>
              <w:rPr>
                <w:rFonts w:ascii="宋体" w:hAnsi="宋体" w:cs="宋体" w:eastAsia="宋体" w:hint="default"/>
                <w:spacing w:val="-44"/>
                <w:sz w:val="18"/>
                <w:szCs w:val="18"/>
              </w:rPr>
              <w:t> </w:t>
            </w:r>
            <w:r>
              <w:rPr>
                <w:rFonts w:ascii="宋体" w:hAnsi="宋体" w:cs="宋体" w:eastAsia="宋体" w:hint="default"/>
                <w:spacing w:val="-1"/>
                <w:sz w:val="18"/>
                <w:szCs w:val="18"/>
              </w:rPr>
              <w:t>万元用于永久补充流动资金。</w:t>
            </w:r>
          </w:p>
          <w:p>
            <w:pPr>
              <w:pStyle w:val="TableParagraph"/>
              <w:spacing w:line="240" w:lineRule="auto" w:before="55"/>
              <w:ind w:left="381" w:right="0"/>
              <w:jc w:val="left"/>
              <w:rPr>
                <w:rFonts w:ascii="宋体" w:hAnsi="宋体" w:cs="宋体" w:eastAsia="宋体" w:hint="default"/>
                <w:sz w:val="18"/>
                <w:szCs w:val="18"/>
              </w:rPr>
            </w:pP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0</w:t>
            </w:r>
            <w:r>
              <w:rPr>
                <w:rFonts w:ascii="宋体" w:hAnsi="宋体" w:cs="宋体" w:eastAsia="宋体"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1"/>
                <w:sz w:val="18"/>
                <w:szCs w:val="18"/>
              </w:rPr>
              <w:t>2</w:t>
            </w:r>
            <w:r>
              <w:rPr>
                <w:rFonts w:ascii="宋体" w:hAnsi="宋体" w:cs="宋体" w:eastAsia="宋体" w:hint="default"/>
                <w:sz w:val="18"/>
                <w:szCs w:val="18"/>
              </w:rPr>
              <w:t>1 </w:t>
            </w:r>
            <w:r>
              <w:rPr>
                <w:rFonts w:ascii="宋体" w:hAnsi="宋体" w:cs="宋体" w:eastAsia="宋体" w:hint="default"/>
                <w:sz w:val="18"/>
                <w:szCs w:val="18"/>
              </w:rPr>
              <w:t>日，公司</w:t>
            </w:r>
            <w:r>
              <w:rPr>
                <w:rFonts w:ascii="宋体" w:hAnsi="宋体" w:cs="宋体" w:eastAsia="宋体" w:hint="default"/>
                <w:spacing w:val="-3"/>
                <w:sz w:val="18"/>
                <w:szCs w:val="18"/>
              </w:rPr>
              <w:t>第</w:t>
            </w:r>
            <w:r>
              <w:rPr>
                <w:rFonts w:ascii="宋体" w:hAnsi="宋体" w:cs="宋体" w:eastAsia="宋体" w:hint="default"/>
                <w:sz w:val="18"/>
                <w:szCs w:val="18"/>
              </w:rPr>
              <w:t>一届董事会第十三次会议审议通过了《关于使用部分超募资金投资设立合资公司的议案</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同意公司使用超募</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资金人民币 </w:t>
            </w:r>
            <w:r>
              <w:rPr>
                <w:rFonts w:ascii="宋体" w:hAnsi="宋体" w:cs="宋体" w:eastAsia="宋体" w:hint="default"/>
                <w:sz w:val="18"/>
                <w:szCs w:val="18"/>
              </w:rPr>
              <w:t>735.00</w:t>
            </w:r>
            <w:r>
              <w:rPr>
                <w:rFonts w:ascii="宋体" w:hAnsi="宋体" w:cs="宋体" w:eastAsia="宋体" w:hint="default"/>
                <w:spacing w:val="-48"/>
                <w:sz w:val="18"/>
                <w:szCs w:val="18"/>
              </w:rPr>
              <w:t> </w:t>
            </w:r>
            <w:r>
              <w:rPr>
                <w:rFonts w:ascii="宋体" w:hAnsi="宋体" w:cs="宋体" w:eastAsia="宋体" w:hint="default"/>
                <w:sz w:val="18"/>
                <w:szCs w:val="18"/>
              </w:rPr>
              <w:t>万元与广州市高堡仕智能科技有限公司共同出资设立广东安居宝智能控制系统有限公司。</w:t>
            </w:r>
          </w:p>
          <w:p>
            <w:pPr>
              <w:pStyle w:val="TableParagraph"/>
              <w:spacing w:line="240" w:lineRule="auto" w:before="117"/>
              <w:ind w:left="38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17</w:t>
            </w:r>
            <w:r>
              <w:rPr>
                <w:rFonts w:ascii="宋体" w:hAnsi="宋体" w:cs="宋体" w:eastAsia="宋体" w:hint="default"/>
                <w:spacing w:val="-3"/>
                <w:sz w:val="18"/>
                <w:szCs w:val="18"/>
              </w:rPr>
              <w:t> </w:t>
            </w:r>
            <w:r>
              <w:rPr>
                <w:rFonts w:ascii="宋体" w:hAnsi="宋体" w:cs="宋体" w:eastAsia="宋体" w:hint="default"/>
                <w:sz w:val="18"/>
                <w:szCs w:val="18"/>
              </w:rPr>
              <w:t>日，公司第二届董事会第一次会议审议通过了《关于使用部分超募资金投资设立全资子公司的议案》</w:t>
            </w:r>
            <w:r>
              <w:rPr>
                <w:rFonts w:ascii="宋体" w:hAnsi="宋体" w:cs="宋体" w:eastAsia="宋体" w:hint="default"/>
                <w:sz w:val="18"/>
                <w:szCs w:val="18"/>
              </w:rPr>
              <w:t>,</w:t>
            </w:r>
            <w:r>
              <w:rPr>
                <w:rFonts w:ascii="宋体" w:hAnsi="宋体" w:cs="宋体" w:eastAsia="宋体" w:hint="default"/>
                <w:sz w:val="18"/>
                <w:szCs w:val="18"/>
              </w:rPr>
              <w:t>同意公司使用超募资</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金人民币 </w:t>
            </w:r>
            <w:r>
              <w:rPr>
                <w:rFonts w:ascii="宋体" w:hAnsi="宋体" w:cs="宋体" w:eastAsia="宋体" w:hint="default"/>
                <w:sz w:val="18"/>
                <w:szCs w:val="18"/>
              </w:rPr>
              <w:t>3,000.00</w:t>
            </w:r>
            <w:r>
              <w:rPr>
                <w:rFonts w:ascii="宋体" w:hAnsi="宋体" w:cs="宋体" w:eastAsia="宋体" w:hint="default"/>
                <w:spacing w:val="-50"/>
                <w:sz w:val="18"/>
                <w:szCs w:val="18"/>
              </w:rPr>
              <w:t> </w:t>
            </w:r>
            <w:r>
              <w:rPr>
                <w:rFonts w:ascii="宋体" w:hAnsi="宋体" w:cs="宋体" w:eastAsia="宋体" w:hint="default"/>
                <w:sz w:val="18"/>
                <w:szCs w:val="18"/>
              </w:rPr>
              <w:t>万元设立全资子公司广东安居宝光电传输科技有限公司。</w:t>
            </w:r>
          </w:p>
          <w:p>
            <w:pPr>
              <w:pStyle w:val="TableParagraph"/>
              <w:spacing w:line="240" w:lineRule="auto" w:before="117"/>
              <w:ind w:left="381" w:right="0"/>
              <w:jc w:val="left"/>
              <w:rPr>
                <w:rFonts w:ascii="宋体" w:hAnsi="宋体" w:cs="宋体" w:eastAsia="宋体" w:hint="default"/>
                <w:sz w:val="18"/>
                <w:szCs w:val="18"/>
              </w:rPr>
            </w:pP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2"/>
                <w:sz w:val="18"/>
                <w:szCs w:val="18"/>
              </w:rPr>
              <w:t>2</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公司第</w:t>
            </w:r>
            <w:r>
              <w:rPr>
                <w:rFonts w:ascii="宋体" w:hAnsi="宋体" w:cs="宋体" w:eastAsia="宋体" w:hint="default"/>
                <w:spacing w:val="-3"/>
                <w:sz w:val="18"/>
                <w:szCs w:val="18"/>
              </w:rPr>
              <w:t>二</w:t>
            </w:r>
            <w:r>
              <w:rPr>
                <w:rFonts w:ascii="宋体" w:hAnsi="宋体" w:cs="宋体" w:eastAsia="宋体" w:hint="default"/>
                <w:sz w:val="18"/>
                <w:szCs w:val="18"/>
              </w:rPr>
              <w:t>届董事会第二次会议审议通过</w:t>
            </w:r>
            <w:r>
              <w:rPr>
                <w:rFonts w:ascii="宋体" w:hAnsi="宋体" w:cs="宋体" w:eastAsia="宋体" w:hint="default"/>
                <w:spacing w:val="-3"/>
                <w:sz w:val="18"/>
                <w:szCs w:val="18"/>
              </w:rPr>
              <w:t>了</w:t>
            </w:r>
            <w:r>
              <w:rPr>
                <w:rFonts w:ascii="宋体" w:hAnsi="宋体" w:cs="宋体" w:eastAsia="宋体" w:hint="default"/>
                <w:sz w:val="18"/>
                <w:szCs w:val="18"/>
              </w:rPr>
              <w:t>《关于使用部分超募资金永久补充流动资金的议案</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同意公司使用闲置超募</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资金人民币 </w:t>
            </w:r>
            <w:r>
              <w:rPr>
                <w:rFonts w:ascii="宋体" w:hAnsi="宋体" w:cs="宋体" w:eastAsia="宋体" w:hint="default"/>
                <w:sz w:val="18"/>
                <w:szCs w:val="18"/>
              </w:rPr>
              <w:t>8,000.00</w:t>
            </w:r>
            <w:r>
              <w:rPr>
                <w:rFonts w:ascii="宋体" w:hAnsi="宋体" w:cs="宋体" w:eastAsia="宋体" w:hint="default"/>
                <w:spacing w:val="-49"/>
                <w:sz w:val="18"/>
                <w:szCs w:val="18"/>
              </w:rPr>
              <w:t> </w:t>
            </w:r>
            <w:r>
              <w:rPr>
                <w:rFonts w:ascii="宋体" w:hAnsi="宋体" w:cs="宋体" w:eastAsia="宋体" w:hint="default"/>
                <w:sz w:val="18"/>
                <w:szCs w:val="18"/>
              </w:rPr>
              <w:t>万元用于永久补充流动资金。</w:t>
            </w:r>
          </w:p>
          <w:p>
            <w:pPr>
              <w:pStyle w:val="TableParagraph"/>
              <w:spacing w:line="240" w:lineRule="auto" w:before="115"/>
              <w:ind w:left="38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 </w:t>
            </w:r>
            <w:r>
              <w:rPr>
                <w:rFonts w:ascii="宋体" w:hAnsi="宋体" w:cs="宋体" w:eastAsia="宋体" w:hint="default"/>
                <w:spacing w:val="-3"/>
                <w:sz w:val="18"/>
                <w:szCs w:val="18"/>
              </w:rPr>
              <w:t>日，公司第二届董事会第四次会议和</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日第二次临时股东大会审议通过了《关于使用部分超募资金收购德居</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安（广州）电子科技有限公司全部股权暨关联交易的议案</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同意公司使用不</w:t>
            </w:r>
            <w:r>
              <w:rPr>
                <w:rFonts w:ascii="宋体" w:hAnsi="宋体" w:cs="宋体" w:eastAsia="宋体" w:hint="default"/>
                <w:spacing w:val="1"/>
                <w:sz w:val="18"/>
                <w:szCs w:val="18"/>
              </w:rPr>
              <w:t>超</w:t>
            </w:r>
            <w:r>
              <w:rPr>
                <w:rFonts w:ascii="宋体" w:hAnsi="宋体" w:cs="宋体" w:eastAsia="宋体" w:hint="default"/>
                <w:sz w:val="18"/>
                <w:szCs w:val="18"/>
              </w:rPr>
              <w:t>过人民币</w:t>
            </w:r>
            <w:r>
              <w:rPr>
                <w:rFonts w:ascii="宋体" w:hAnsi="宋体" w:cs="宋体" w:eastAsia="宋体" w:hint="default"/>
                <w:spacing w:val="-45"/>
                <w:sz w:val="18"/>
                <w:szCs w:val="18"/>
              </w:rPr>
              <w:t> </w:t>
            </w:r>
            <w:r>
              <w:rPr>
                <w:rFonts w:ascii="宋体" w:hAnsi="宋体" w:cs="宋体" w:eastAsia="宋体" w:hint="default"/>
                <w:spacing w:val="1"/>
                <w:sz w:val="18"/>
                <w:szCs w:val="18"/>
              </w:rPr>
              <w:t>5</w:t>
            </w:r>
            <w:r>
              <w:rPr>
                <w:rFonts w:ascii="宋体" w:hAnsi="宋体" w:cs="宋体" w:eastAsia="宋体" w:hint="default"/>
                <w:spacing w:val="-2"/>
                <w:sz w:val="18"/>
                <w:szCs w:val="18"/>
              </w:rPr>
              <w:t>6</w:t>
            </w:r>
            <w:r>
              <w:rPr>
                <w:rFonts w:ascii="宋体" w:hAnsi="宋体" w:cs="宋体" w:eastAsia="宋体" w:hint="default"/>
                <w:spacing w:val="1"/>
                <w:sz w:val="18"/>
                <w:szCs w:val="18"/>
              </w:rPr>
              <w:t>,6</w:t>
            </w:r>
            <w:r>
              <w:rPr>
                <w:rFonts w:ascii="宋体" w:hAnsi="宋体" w:cs="宋体" w:eastAsia="宋体" w:hint="default"/>
                <w:spacing w:val="-2"/>
                <w:sz w:val="18"/>
                <w:szCs w:val="18"/>
              </w:rPr>
              <w:t>3</w:t>
            </w:r>
            <w:r>
              <w:rPr>
                <w:rFonts w:ascii="宋体" w:hAnsi="宋体" w:cs="宋体" w:eastAsia="宋体" w:hint="default"/>
                <w:spacing w:val="1"/>
                <w:sz w:val="18"/>
                <w:szCs w:val="18"/>
              </w:rPr>
              <w:t>2</w:t>
            </w:r>
            <w:r>
              <w:rPr>
                <w:rFonts w:ascii="宋体" w:hAnsi="宋体" w:cs="宋体" w:eastAsia="宋体" w:hint="default"/>
                <w:spacing w:val="-2"/>
                <w:sz w:val="18"/>
                <w:szCs w:val="18"/>
              </w:rPr>
              <w:t>,</w:t>
            </w:r>
            <w:r>
              <w:rPr>
                <w:rFonts w:ascii="宋体" w:hAnsi="宋体" w:cs="宋体" w:eastAsia="宋体" w:hint="default"/>
                <w:spacing w:val="1"/>
                <w:sz w:val="18"/>
                <w:szCs w:val="18"/>
              </w:rPr>
              <w:t>3</w:t>
            </w:r>
            <w:r>
              <w:rPr>
                <w:rFonts w:ascii="宋体" w:hAnsi="宋体" w:cs="宋体" w:eastAsia="宋体" w:hint="default"/>
                <w:spacing w:val="-2"/>
                <w:sz w:val="18"/>
                <w:szCs w:val="18"/>
              </w:rPr>
              <w:t>6</w:t>
            </w:r>
            <w:r>
              <w:rPr>
                <w:rFonts w:ascii="宋体" w:hAnsi="宋体" w:cs="宋体" w:eastAsia="宋体" w:hint="default"/>
                <w:spacing w:val="1"/>
                <w:sz w:val="18"/>
                <w:szCs w:val="18"/>
              </w:rPr>
              <w:t>8</w:t>
            </w:r>
            <w:r>
              <w:rPr>
                <w:rFonts w:ascii="宋体" w:hAnsi="宋体" w:cs="宋体" w:eastAsia="宋体" w:hint="default"/>
                <w:spacing w:val="-2"/>
                <w:sz w:val="18"/>
                <w:szCs w:val="18"/>
              </w:rPr>
              <w:t>.</w:t>
            </w:r>
            <w:r>
              <w:rPr>
                <w:rFonts w:ascii="宋体" w:hAnsi="宋体" w:cs="宋体" w:eastAsia="宋体" w:hint="default"/>
                <w:spacing w:val="1"/>
                <w:sz w:val="18"/>
                <w:szCs w:val="18"/>
              </w:rPr>
              <w:t>6</w:t>
            </w: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元的超募资金</w:t>
            </w:r>
            <w:r>
              <w:rPr>
                <w:rFonts w:ascii="宋体" w:hAnsi="宋体" w:cs="宋体" w:eastAsia="宋体" w:hint="default"/>
                <w:spacing w:val="-3"/>
                <w:sz w:val="18"/>
                <w:szCs w:val="18"/>
              </w:rPr>
              <w:t>收</w:t>
            </w:r>
            <w:r>
              <w:rPr>
                <w:rFonts w:ascii="宋体" w:hAnsi="宋体" w:cs="宋体" w:eastAsia="宋体" w:hint="default"/>
                <w:sz w:val="18"/>
                <w:szCs w:val="18"/>
              </w:rPr>
              <w:t>购德居安香港所持有的</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德居安广州全部股权。该笔超募资金于</w:t>
            </w:r>
            <w:r>
              <w:rPr>
                <w:rFonts w:ascii="宋体" w:hAnsi="宋体" w:cs="宋体" w:eastAsia="宋体" w:hint="default"/>
                <w:spacing w:val="-44"/>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月支付。</w:t>
            </w:r>
          </w:p>
        </w:tc>
      </w:tr>
      <w:tr>
        <w:trPr>
          <w:trHeight w:val="408" w:hRule="exact"/>
        </w:trPr>
        <w:tc>
          <w:tcPr>
            <w:tcW w:w="25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4" w:lineRule="auto"/>
              <w:ind w:left="23" w:right="29"/>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 情况</w:t>
            </w:r>
          </w:p>
        </w:tc>
        <w:tc>
          <w:tcPr>
            <w:tcW w:w="1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2585" w:type="dxa"/>
            <w:vMerge/>
            <w:tcBorders>
              <w:left w:val="single" w:sz="4" w:space="0" w:color="000000"/>
              <w:right w:val="single" w:sz="4" w:space="0" w:color="000000"/>
            </w:tcBorders>
            <w:shd w:val="clear" w:color="auto" w:fill="D2D2D2"/>
          </w:tcPr>
          <w:p>
            <w:pPr/>
          </w:p>
        </w:tc>
        <w:tc>
          <w:tcPr>
            <w:tcW w:w="1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716" w:hRule="exact"/>
        </w:trPr>
        <w:tc>
          <w:tcPr>
            <w:tcW w:w="2585" w:type="dxa"/>
            <w:vMerge/>
            <w:tcBorders>
              <w:left w:val="single" w:sz="4" w:space="0" w:color="000000"/>
              <w:bottom w:val="single" w:sz="4" w:space="0" w:color="000000"/>
              <w:right w:val="single" w:sz="4" w:space="0" w:color="000000"/>
            </w:tcBorders>
            <w:shd w:val="clear" w:color="auto" w:fill="D2D2D2"/>
          </w:tcPr>
          <w:p>
            <w:pPr/>
          </w:p>
        </w:tc>
        <w:tc>
          <w:tcPr>
            <w:tcW w:w="1138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1"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日，公司第二届董事会第三次会议审议通过了《关于变更研发中心建设项目实施</w:t>
            </w:r>
            <w:r>
              <w:rPr>
                <w:rFonts w:ascii="宋体" w:hAnsi="宋体" w:cs="宋体" w:eastAsia="宋体" w:hint="default"/>
                <w:spacing w:val="-13"/>
                <w:sz w:val="18"/>
                <w:szCs w:val="18"/>
              </w:rPr>
              <w:t> </w:t>
            </w:r>
            <w:r>
              <w:rPr>
                <w:rFonts w:ascii="宋体" w:hAnsi="宋体" w:cs="宋体" w:eastAsia="宋体" w:hint="default"/>
                <w:spacing w:val="-8"/>
                <w:w w:val="100"/>
                <w:sz w:val="18"/>
                <w:szCs w:val="18"/>
              </w:rPr>
              <w:t>地点的议案》。同意将研发中心建设项目中除</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外</w:t>
            </w:r>
            <w:r>
              <w:rPr>
                <w:rFonts w:ascii="宋体" w:hAnsi="宋体" w:cs="宋体" w:eastAsia="宋体" w:hint="default"/>
                <w:sz w:val="18"/>
                <w:szCs w:val="18"/>
              </w:rPr>
              <w:t> 围支持与配套</w:t>
            </w:r>
            <w:r>
              <w:rPr>
                <w:rFonts w:ascii="Times New Roman" w:hAnsi="Times New Roman" w:cs="Times New Roman" w:eastAsia="Times New Roman" w:hint="default"/>
                <w:sz w:val="18"/>
                <w:szCs w:val="18"/>
              </w:rPr>
              <w:t>”</w:t>
            </w:r>
            <w:r>
              <w:rPr>
                <w:rFonts w:ascii="宋体" w:hAnsi="宋体" w:cs="宋体" w:eastAsia="宋体" w:hint="default"/>
                <w:sz w:val="18"/>
                <w:szCs w:val="18"/>
              </w:rPr>
              <w:t>项目外的其他子项目的实施场地 变更至广州开发区科学城起云路 </w:t>
            </w:r>
            <w:r>
              <w:rPr>
                <w:rFonts w:ascii="Times New Roman" w:hAnsi="Times New Roman" w:cs="Times New Roman" w:eastAsia="Times New Roman" w:hint="default"/>
                <w:sz w:val="18"/>
                <w:szCs w:val="18"/>
              </w:rPr>
              <w:t>8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号自编一栋之二层与三层。</w:t>
            </w:r>
          </w:p>
        </w:tc>
      </w:tr>
      <w:tr>
        <w:trPr>
          <w:trHeight w:val="730" w:hRule="exact"/>
        </w:trPr>
        <w:tc>
          <w:tcPr>
            <w:tcW w:w="2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3" w:right="29"/>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 情况</w:t>
            </w:r>
          </w:p>
        </w:tc>
        <w:tc>
          <w:tcPr>
            <w:tcW w:w="1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30" w:hRule="exact"/>
        </w:trPr>
        <w:tc>
          <w:tcPr>
            <w:tcW w:w="2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3" w:right="29"/>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 换情况</w:t>
            </w:r>
          </w:p>
        </w:tc>
        <w:tc>
          <w:tcPr>
            <w:tcW w:w="1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6840" w:h="11910" w:orient="landscape"/>
          <w:pgMar w:header="867" w:footer="1227" w:top="1060" w:bottom="1420" w:left="1320" w:right="130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585"/>
        <w:gridCol w:w="11387"/>
      </w:tblGrid>
      <w:tr>
        <w:trPr>
          <w:trHeight w:val="744" w:hRule="exact"/>
        </w:trPr>
        <w:tc>
          <w:tcPr>
            <w:tcW w:w="258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9"/>
              <w:ind w:left="23" w:right="29"/>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 金情况</w:t>
            </w:r>
          </w:p>
        </w:tc>
        <w:tc>
          <w:tcPr>
            <w:tcW w:w="1138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 额及原因</w:t>
            </w:r>
          </w:p>
        </w:tc>
        <w:tc>
          <w:tcPr>
            <w:tcW w:w="1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27" w:hRule="exact"/>
        </w:trPr>
        <w:tc>
          <w:tcPr>
            <w:tcW w:w="2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1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存于募集资金专户</w:t>
            </w:r>
          </w:p>
        </w:tc>
      </w:tr>
      <w:tr>
        <w:trPr>
          <w:trHeight w:val="1129" w:hRule="exact"/>
        </w:trPr>
        <w:tc>
          <w:tcPr>
            <w:tcW w:w="2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14" w:lineRule="auto"/>
              <w:ind w:left="23" w:right="29"/>
              <w:jc w:val="left"/>
              <w:rPr>
                <w:rFonts w:ascii="宋体" w:hAnsi="宋体" w:cs="宋体" w:eastAsia="宋体" w:hint="default"/>
                <w:sz w:val="18"/>
                <w:szCs w:val="18"/>
              </w:rPr>
            </w:pPr>
            <w:r>
              <w:rPr>
                <w:rFonts w:ascii="宋体" w:hAnsi="宋体" w:cs="宋体" w:eastAsia="宋体" w:hint="default"/>
                <w:sz w:val="18"/>
                <w:szCs w:val="18"/>
              </w:rPr>
              <w:t>募集资金使用及披露中存在的问 题或其他情况</w:t>
            </w:r>
          </w:p>
        </w:tc>
        <w:tc>
          <w:tcPr>
            <w:tcW w:w="1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、募投项目变更实施地点未及时履行审批和披露义务；</w:t>
            </w:r>
          </w:p>
          <w:p>
            <w:pPr>
              <w:pStyle w:val="TableParagraph"/>
              <w:spacing w:line="240" w:lineRule="auto" w:before="102"/>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、三方监管协议签署不及时；</w:t>
            </w:r>
          </w:p>
          <w:p>
            <w:pPr>
              <w:pStyle w:val="TableParagraph"/>
              <w:spacing w:line="240" w:lineRule="auto" w:before="10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、募集资金定期存款账户未纳入专户管理并予以披露。</w:t>
            </w:r>
            <w:r>
              <w:rPr>
                <w:rFonts w:ascii="宋体" w:hAnsi="宋体" w:cs="宋体" w:eastAsia="宋体" w:hint="default"/>
                <w:spacing w:val="50"/>
                <w:sz w:val="18"/>
                <w:szCs w:val="18"/>
              </w:rPr>
              <w:t> </w:t>
            </w:r>
            <w:r>
              <w:rPr>
                <w:rFonts w:ascii="宋体" w:hAnsi="宋体" w:cs="宋体" w:eastAsia="宋体" w:hint="default"/>
                <w:sz w:val="18"/>
                <w:szCs w:val="18"/>
              </w:rPr>
              <w:t>公司针对上述问题已采取相应的整改措施。</w:t>
            </w:r>
          </w:p>
        </w:tc>
      </w:tr>
    </w:tbl>
    <w:p>
      <w:pPr>
        <w:spacing w:line="240" w:lineRule="auto" w:before="11"/>
        <w:rPr>
          <w:rFonts w:ascii="Times New Roman" w:hAnsi="Times New Roman" w:cs="Times New Roman" w:eastAsia="Times New Roman" w:hint="default"/>
          <w:sz w:val="29"/>
          <w:szCs w:val="29"/>
        </w:rPr>
      </w:pPr>
    </w:p>
    <w:p>
      <w:pPr>
        <w:pStyle w:val="Heading3"/>
        <w:spacing w:line="240" w:lineRule="auto" w:before="36"/>
        <w:ind w:left="120" w:right="9578"/>
        <w:jc w:val="left"/>
        <w:rPr>
          <w:b w:val="0"/>
          <w:bCs w:val="0"/>
        </w:rPr>
      </w:pPr>
      <w:r>
        <w:rPr>
          <w:rFonts w:ascii="Times New Roman" w:hAnsi="Times New Roman" w:cs="Times New Roman" w:eastAsia="Times New Roman" w:hint="default"/>
        </w:rPr>
        <w:t>3</w:t>
      </w:r>
      <w:r>
        <w:rPr/>
        <w:t>、募集资金变更项目情况</w:t>
      </w:r>
      <w:r>
        <w:rPr>
          <w:b w:val="0"/>
          <w:bCs w:val="0"/>
        </w:rPr>
      </w:r>
    </w:p>
    <w:p>
      <w:pPr>
        <w:pStyle w:val="BodyText"/>
        <w:spacing w:line="240" w:lineRule="auto" w:before="82"/>
        <w:ind w:left="120" w:right="95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Heading3"/>
        <w:spacing w:line="240" w:lineRule="auto" w:before="83"/>
        <w:ind w:left="120" w:right="9578"/>
        <w:jc w:val="left"/>
        <w:rPr>
          <w:b w:val="0"/>
          <w:bCs w:val="0"/>
        </w:rPr>
      </w:pPr>
      <w:r>
        <w:rPr>
          <w:rFonts w:ascii="Times New Roman" w:hAnsi="Times New Roman" w:cs="Times New Roman" w:eastAsia="Times New Roman" w:hint="default"/>
        </w:rPr>
        <w:t>4</w:t>
      </w:r>
      <w:r>
        <w:rPr/>
        <w:t>、非募集资金投资的重大项目情况</w:t>
      </w:r>
      <w:r>
        <w:rPr>
          <w:b w:val="0"/>
          <w:bCs w:val="0"/>
        </w:rPr>
      </w:r>
    </w:p>
    <w:p>
      <w:pPr>
        <w:pStyle w:val="BodyText"/>
        <w:spacing w:line="240" w:lineRule="auto" w:before="82"/>
        <w:ind w:left="120" w:right="95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321" w:lineRule="auto" w:before="83"/>
        <w:ind w:left="120" w:right="957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、证券投资情况</w:t>
      </w:r>
      <w:r>
        <w:rPr>
          <w:rFonts w:ascii="宋体" w:hAnsi="宋体" w:cs="宋体" w:eastAsia="宋体" w:hint="default"/>
          <w:b/>
          <w:bCs/>
          <w:spacing w:val="-103"/>
          <w:sz w:val="21"/>
          <w:szCs w:val="21"/>
        </w:rPr>
        <w:t> </w:t>
      </w:r>
      <w:r>
        <w:rPr>
          <w:rFonts w:ascii="宋体" w:hAnsi="宋体" w:cs="宋体" w:eastAsia="宋体" w:hint="default"/>
          <w:sz w:val="18"/>
          <w:szCs w:val="18"/>
        </w:rPr>
        <w:t>报告期内，公司未进行任何证券投资。 </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、持有其他上市公司股权情况</w:t>
      </w:r>
      <w:r>
        <w:rPr>
          <w:rFonts w:ascii="宋体" w:hAnsi="宋体" w:cs="宋体" w:eastAsia="宋体" w:hint="default"/>
          <w:b/>
          <w:bCs/>
          <w:w w:val="100"/>
          <w:sz w:val="21"/>
          <w:szCs w:val="21"/>
        </w:rPr>
        <w:t> </w:t>
      </w:r>
      <w:r>
        <w:rPr>
          <w:rFonts w:ascii="宋体" w:hAnsi="宋体" w:cs="宋体" w:eastAsia="宋体" w:hint="default"/>
          <w:sz w:val="18"/>
          <w:szCs w:val="18"/>
        </w:rPr>
        <w:t>报告期内，公司不存在持有其他上市公司股权的情况。 </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、持有非上市金融企业股权情况</w:t>
      </w:r>
      <w:r>
        <w:rPr>
          <w:rFonts w:ascii="宋体" w:hAnsi="宋体" w:cs="宋体" w:eastAsia="宋体" w:hint="default"/>
          <w:b/>
          <w:bCs/>
          <w:w w:val="100"/>
          <w:sz w:val="21"/>
          <w:szCs w:val="21"/>
        </w:rPr>
        <w:t> </w:t>
      </w:r>
      <w:r>
        <w:rPr>
          <w:rFonts w:ascii="宋体" w:hAnsi="宋体" w:cs="宋体" w:eastAsia="宋体" w:hint="default"/>
          <w:sz w:val="18"/>
          <w:szCs w:val="18"/>
        </w:rPr>
        <w:t>报告期内，公司不存在持有非上市金融企业股权的情况。 </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、买卖其他上市公司股份的情况</w:t>
      </w:r>
      <w:r>
        <w:rPr>
          <w:rFonts w:ascii="宋体" w:hAnsi="宋体" w:cs="宋体" w:eastAsia="宋体" w:hint="default"/>
          <w:b/>
          <w:bCs/>
          <w:w w:val="100"/>
          <w:sz w:val="21"/>
          <w:szCs w:val="21"/>
        </w:rPr>
        <w:t> </w:t>
      </w:r>
      <w:r>
        <w:rPr>
          <w:rFonts w:ascii="宋体" w:hAnsi="宋体" w:cs="宋体" w:eastAsia="宋体" w:hint="default"/>
          <w:sz w:val="18"/>
          <w:szCs w:val="18"/>
        </w:rPr>
        <w:t>报告期内，公司不存在买卖其他上市公司股份的情况。 </w:t>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、外币金融资产和外币金融负债</w:t>
      </w:r>
      <w:r>
        <w:rPr>
          <w:rFonts w:ascii="宋体" w:hAnsi="宋体" w:cs="宋体" w:eastAsia="宋体" w:hint="default"/>
          <w:sz w:val="21"/>
          <w:szCs w:val="21"/>
        </w:rPr>
      </w:r>
    </w:p>
    <w:p>
      <w:pPr>
        <w:pStyle w:val="BodyText"/>
        <w:spacing w:line="240" w:lineRule="auto" w:before="3"/>
        <w:ind w:left="120" w:right="95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6840" w:h="11910" w:orient="landscape"/>
          <w:pgMar w:header="867" w:footer="1227" w:top="1060" w:bottom="1420" w:left="1320" w:right="1300"/>
        </w:sectPr>
      </w:pPr>
    </w:p>
    <w:p>
      <w:pPr>
        <w:spacing w:line="240" w:lineRule="auto" w:before="11"/>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220" w:right="0"/>
        <w:jc w:val="left"/>
        <w:rPr>
          <w:b w:val="0"/>
          <w:bCs w:val="0"/>
        </w:rPr>
      </w:pPr>
      <w:r>
        <w:rPr/>
        <w:t>（六）、主要控股参股公司分析</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231"/>
        <w:jc w:val="right"/>
      </w:pPr>
      <w:r>
        <w:rPr>
          <w:spacing w:val="-2"/>
        </w:rPr>
        <w:t>单位：万元</w:t>
      </w:r>
    </w:p>
    <w:p>
      <w:pPr>
        <w:spacing w:line="240" w:lineRule="auto" w:before="4"/>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593"/>
        <w:gridCol w:w="2926"/>
        <w:gridCol w:w="1201"/>
        <w:gridCol w:w="2321"/>
        <w:gridCol w:w="1054"/>
        <w:gridCol w:w="1214"/>
        <w:gridCol w:w="3013"/>
        <w:gridCol w:w="1762"/>
      </w:tblGrid>
      <w:tr>
        <w:trPr>
          <w:trHeight w:val="401" w:hRule="exact"/>
        </w:trPr>
        <w:tc>
          <w:tcPr>
            <w:tcW w:w="59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92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2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23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105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21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301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7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经营情况</w:t>
            </w:r>
          </w:p>
        </w:tc>
      </w:tr>
      <w:tr>
        <w:trPr>
          <w:trHeight w:val="1489"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广东安居宝智能控制系统有限公司</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1"/>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广东省广州市广州经济技 </w:t>
            </w:r>
            <w:r>
              <w:rPr>
                <w:rFonts w:ascii="宋体" w:hAnsi="宋体" w:cs="宋体" w:eastAsia="宋体" w:hint="default"/>
                <w:spacing w:val="11"/>
                <w:sz w:val="18"/>
                <w:szCs w:val="18"/>
              </w:rPr>
              <w:t>术开发区科学城起云路</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6</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号二栋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70%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1050</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2"/>
              <w:jc w:val="both"/>
              <w:rPr>
                <w:rFonts w:ascii="宋体" w:hAnsi="宋体" w:cs="宋体" w:eastAsia="宋体" w:hint="default"/>
                <w:sz w:val="18"/>
                <w:szCs w:val="18"/>
              </w:rPr>
            </w:pPr>
            <w:r>
              <w:rPr>
                <w:rFonts w:ascii="宋体" w:hAnsi="宋体" w:cs="宋体" w:eastAsia="宋体" w:hint="default"/>
                <w:spacing w:val="-6"/>
                <w:sz w:val="18"/>
                <w:szCs w:val="18"/>
              </w:rPr>
              <w:t>智能控制系统设备的生产、销售；销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售：智能设备、电子产品、计算机软</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6"/>
                <w:sz w:val="18"/>
                <w:szCs w:val="18"/>
              </w:rPr>
              <w:t>件；生产、加工：电子产品；计算机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软件的设计、开发。</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03" w:right="251"/>
              <w:jc w:val="left"/>
              <w:rPr>
                <w:rFonts w:ascii="Times New Roman" w:hAnsi="Times New Roman" w:cs="Times New Roman" w:eastAsia="Times New Roman" w:hint="default"/>
                <w:sz w:val="18"/>
                <w:szCs w:val="18"/>
              </w:rPr>
            </w:pPr>
            <w:r>
              <w:rPr>
                <w:rFonts w:ascii="宋体" w:hAnsi="宋体" w:cs="宋体" w:eastAsia="宋体" w:hint="default"/>
                <w:sz w:val="18"/>
                <w:szCs w:val="18"/>
              </w:rPr>
              <w:t>总资产：</w:t>
            </w:r>
            <w:r>
              <w:rPr>
                <w:rFonts w:ascii="Times New Roman" w:hAnsi="Times New Roman" w:cs="Times New Roman" w:eastAsia="Times New Roman" w:hint="default"/>
                <w:sz w:val="18"/>
                <w:szCs w:val="18"/>
              </w:rPr>
              <w:t>1,182.58 </w:t>
            </w:r>
            <w:r>
              <w:rPr>
                <w:rFonts w:ascii="宋体" w:hAnsi="宋体" w:cs="宋体" w:eastAsia="宋体" w:hint="default"/>
                <w:sz w:val="18"/>
                <w:szCs w:val="18"/>
              </w:rPr>
              <w:t>净资产：</w:t>
            </w:r>
            <w:r>
              <w:rPr>
                <w:rFonts w:ascii="Times New Roman" w:hAnsi="Times New Roman" w:cs="Times New Roman" w:eastAsia="Times New Roman" w:hint="default"/>
                <w:sz w:val="18"/>
                <w:szCs w:val="18"/>
              </w:rPr>
              <w:t>890.79 </w:t>
            </w: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955.64 </w:t>
            </w:r>
            <w:r>
              <w:rPr>
                <w:rFonts w:ascii="宋体" w:hAnsi="宋体" w:cs="宋体" w:eastAsia="宋体" w:hint="default"/>
                <w:sz w:val="18"/>
                <w:szCs w:val="18"/>
              </w:rPr>
              <w:t>净利润：</w:t>
            </w:r>
            <w:r>
              <w:rPr>
                <w:rFonts w:ascii="Times New Roman" w:hAnsi="Times New Roman" w:cs="Times New Roman" w:eastAsia="Times New Roman" w:hint="default"/>
                <w:sz w:val="18"/>
                <w:szCs w:val="18"/>
              </w:rPr>
              <w:t>-141.06</w:t>
            </w:r>
          </w:p>
        </w:tc>
      </w:tr>
      <w:tr>
        <w:trPr>
          <w:trHeight w:val="1462"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广东安居宝光电传输科技有限公司</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1"/>
              <w:jc w:val="left"/>
              <w:rPr>
                <w:rFonts w:ascii="宋体" w:hAnsi="宋体" w:cs="宋体" w:eastAsia="宋体" w:hint="default"/>
                <w:sz w:val="18"/>
                <w:szCs w:val="18"/>
              </w:rPr>
            </w:pPr>
            <w:r>
              <w:rPr>
                <w:rFonts w:ascii="宋体" w:hAnsi="宋体" w:cs="宋体" w:eastAsia="宋体" w:hint="default"/>
                <w:spacing w:val="12"/>
                <w:sz w:val="18"/>
                <w:szCs w:val="18"/>
              </w:rPr>
              <w:t>广州高新技术产业开发区 </w:t>
            </w:r>
            <w:r>
              <w:rPr>
                <w:rFonts w:ascii="宋体" w:hAnsi="宋体" w:cs="宋体" w:eastAsia="宋体" w:hint="default"/>
                <w:sz w:val="18"/>
                <w:szCs w:val="18"/>
              </w:rPr>
              <w:t>科学城起云路</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号自编</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栋</w:t>
            </w:r>
          </w:p>
          <w:p>
            <w:pPr>
              <w:pStyle w:val="TableParagraph"/>
              <w:spacing w:line="24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3000</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
              <w:jc w:val="left"/>
              <w:rPr>
                <w:rFonts w:ascii="宋体" w:hAnsi="宋体" w:cs="宋体" w:eastAsia="宋体" w:hint="default"/>
                <w:sz w:val="18"/>
                <w:szCs w:val="18"/>
              </w:rPr>
            </w:pPr>
            <w:r>
              <w:rPr>
                <w:rFonts w:ascii="宋体" w:hAnsi="宋体" w:cs="宋体" w:eastAsia="宋体" w:hint="default"/>
                <w:sz w:val="18"/>
                <w:szCs w:val="18"/>
              </w:rPr>
              <w:t>研究、开发、设计：光电传输设备、 </w:t>
            </w:r>
            <w:r>
              <w:rPr>
                <w:rFonts w:ascii="宋体" w:hAnsi="宋体" w:cs="宋体" w:eastAsia="宋体" w:hint="default"/>
                <w:spacing w:val="-6"/>
                <w:sz w:val="18"/>
                <w:szCs w:val="18"/>
              </w:rPr>
              <w:t>智能安防线缆、综合布线系统及相关</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6"/>
                <w:sz w:val="18"/>
                <w:szCs w:val="18"/>
              </w:rPr>
              <w:t>技术服务；制造、销售：光电传输设</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备及配件，智能安防线缆。</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03" w:right="295"/>
              <w:jc w:val="left"/>
              <w:rPr>
                <w:rFonts w:ascii="Times New Roman" w:hAnsi="Times New Roman" w:cs="Times New Roman" w:eastAsia="Times New Roman" w:hint="default"/>
                <w:sz w:val="18"/>
                <w:szCs w:val="18"/>
              </w:rPr>
            </w:pPr>
            <w:r>
              <w:rPr>
                <w:rFonts w:ascii="宋体" w:hAnsi="宋体" w:cs="宋体" w:eastAsia="宋体" w:hint="default"/>
                <w:sz w:val="18"/>
                <w:szCs w:val="18"/>
              </w:rPr>
              <w:t>总资产：</w:t>
            </w:r>
            <w:r>
              <w:rPr>
                <w:rFonts w:ascii="Times New Roman" w:hAnsi="Times New Roman" w:cs="Times New Roman" w:eastAsia="Times New Roman" w:hint="default"/>
                <w:sz w:val="18"/>
                <w:szCs w:val="18"/>
              </w:rPr>
              <w:t>2,996.10 </w:t>
            </w:r>
            <w:r>
              <w:rPr>
                <w:rFonts w:ascii="宋体" w:hAnsi="宋体" w:cs="宋体" w:eastAsia="宋体" w:hint="default"/>
                <w:sz w:val="18"/>
                <w:szCs w:val="18"/>
              </w:rPr>
              <w:t>净资产：</w:t>
            </w:r>
            <w:r>
              <w:rPr>
                <w:rFonts w:ascii="Times New Roman" w:hAnsi="Times New Roman" w:cs="Times New Roman" w:eastAsia="Times New Roman" w:hint="default"/>
                <w:sz w:val="18"/>
                <w:szCs w:val="18"/>
              </w:rPr>
              <w:t>2,978.31 </w:t>
            </w: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0 </w:t>
            </w:r>
            <w:r>
              <w:rPr>
                <w:rFonts w:ascii="宋体" w:hAnsi="宋体" w:cs="宋体" w:eastAsia="宋体" w:hint="default"/>
                <w:sz w:val="18"/>
                <w:szCs w:val="18"/>
              </w:rPr>
              <w:t>净利润：</w:t>
            </w:r>
            <w:r>
              <w:rPr>
                <w:rFonts w:ascii="Times New Roman" w:hAnsi="Times New Roman" w:cs="Times New Roman" w:eastAsia="Times New Roman" w:hint="default"/>
                <w:sz w:val="18"/>
                <w:szCs w:val="18"/>
              </w:rPr>
              <w:t>-21.69</w:t>
            </w:r>
          </w:p>
        </w:tc>
      </w:tr>
      <w:tr>
        <w:trPr>
          <w:trHeight w:val="1510"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3</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广州市德居安电子科技有限公司</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03" w:right="91"/>
              <w:jc w:val="both"/>
              <w:rPr>
                <w:rFonts w:ascii="宋体" w:hAnsi="宋体" w:cs="宋体" w:eastAsia="宋体" w:hint="default"/>
                <w:sz w:val="18"/>
                <w:szCs w:val="18"/>
              </w:rPr>
            </w:pPr>
            <w:r>
              <w:rPr>
                <w:rFonts w:ascii="宋体" w:hAnsi="宋体" w:cs="宋体" w:eastAsia="宋体" w:hint="default"/>
                <w:spacing w:val="12"/>
                <w:sz w:val="18"/>
                <w:szCs w:val="18"/>
              </w:rPr>
              <w:t>广州高新技术产业开发区 </w:t>
            </w:r>
            <w:r>
              <w:rPr>
                <w:rFonts w:ascii="宋体" w:hAnsi="宋体" w:cs="宋体" w:eastAsia="宋体" w:hint="default"/>
                <w:spacing w:val="2"/>
                <w:sz w:val="18"/>
                <w:szCs w:val="18"/>
              </w:rPr>
              <w:t>科学城起云路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号自编一 栋</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3539.63</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both"/>
              <w:rPr>
                <w:rFonts w:ascii="宋体" w:hAnsi="宋体" w:cs="宋体" w:eastAsia="宋体" w:hint="default"/>
                <w:sz w:val="18"/>
                <w:szCs w:val="18"/>
              </w:rPr>
            </w:pPr>
            <w:r>
              <w:rPr>
                <w:rFonts w:ascii="宋体" w:hAnsi="宋体" w:cs="宋体" w:eastAsia="宋体" w:hint="default"/>
                <w:spacing w:val="-6"/>
                <w:sz w:val="18"/>
                <w:szCs w:val="18"/>
              </w:rPr>
              <w:t>生产新型电子元器件、元器件专用材</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6"/>
                <w:sz w:val="18"/>
                <w:szCs w:val="18"/>
              </w:rPr>
              <w:t>料，销售本公司产品并提供技术咨询</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服务。</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103" w:right="295"/>
              <w:jc w:val="left"/>
              <w:rPr>
                <w:rFonts w:ascii="Times New Roman" w:hAnsi="Times New Roman" w:cs="Times New Roman" w:eastAsia="Times New Roman" w:hint="default"/>
                <w:sz w:val="18"/>
                <w:szCs w:val="18"/>
              </w:rPr>
            </w:pPr>
            <w:r>
              <w:rPr>
                <w:rFonts w:ascii="宋体" w:hAnsi="宋体" w:cs="宋体" w:eastAsia="宋体" w:hint="default"/>
                <w:sz w:val="18"/>
                <w:szCs w:val="18"/>
              </w:rPr>
              <w:t>总资产：</w:t>
            </w:r>
            <w:r>
              <w:rPr>
                <w:rFonts w:ascii="Times New Roman" w:hAnsi="Times New Roman" w:cs="Times New Roman" w:eastAsia="Times New Roman" w:hint="default"/>
                <w:sz w:val="18"/>
                <w:szCs w:val="18"/>
              </w:rPr>
              <w:t>8,972.03 </w:t>
            </w:r>
            <w:r>
              <w:rPr>
                <w:rFonts w:ascii="宋体" w:hAnsi="宋体" w:cs="宋体" w:eastAsia="宋体" w:hint="default"/>
                <w:sz w:val="18"/>
                <w:szCs w:val="18"/>
              </w:rPr>
              <w:t>净资产：</w:t>
            </w:r>
            <w:r>
              <w:rPr>
                <w:rFonts w:ascii="Times New Roman" w:hAnsi="Times New Roman" w:cs="Times New Roman" w:eastAsia="Times New Roman" w:hint="default"/>
                <w:sz w:val="18"/>
                <w:szCs w:val="18"/>
              </w:rPr>
              <w:t>3,348.91 </w:t>
            </w: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0 </w:t>
            </w:r>
            <w:r>
              <w:rPr>
                <w:rFonts w:ascii="宋体" w:hAnsi="宋体" w:cs="宋体" w:eastAsia="宋体" w:hint="default"/>
                <w:sz w:val="18"/>
                <w:szCs w:val="18"/>
              </w:rPr>
              <w:t>净利润：</w:t>
            </w:r>
            <w:r>
              <w:rPr>
                <w:rFonts w:ascii="Times New Roman" w:hAnsi="Times New Roman" w:cs="Times New Roman" w:eastAsia="Times New Roman" w:hint="default"/>
                <w:sz w:val="18"/>
                <w:szCs w:val="18"/>
              </w:rPr>
              <w:t>36.98</w:t>
            </w:r>
          </w:p>
        </w:tc>
      </w:tr>
    </w:tbl>
    <w:p>
      <w:pPr>
        <w:spacing w:after="0" w:line="338" w:lineRule="auto"/>
        <w:jc w:val="left"/>
        <w:rPr>
          <w:rFonts w:ascii="Times New Roman" w:hAnsi="Times New Roman" w:cs="Times New Roman" w:eastAsia="Times New Roman" w:hint="default"/>
          <w:sz w:val="18"/>
          <w:szCs w:val="18"/>
        </w:rPr>
        <w:sectPr>
          <w:pgSz w:w="16840" w:h="11910" w:orient="landscape"/>
          <w:pgMar w:header="867" w:footer="1227" w:top="1060" w:bottom="1420" w:left="1220" w:right="130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3"/>
        <w:spacing w:line="240" w:lineRule="auto" w:before="36"/>
        <w:ind w:right="88"/>
        <w:jc w:val="left"/>
        <w:rPr>
          <w:b w:val="0"/>
          <w:bCs w:val="0"/>
        </w:rPr>
      </w:pPr>
      <w:r>
        <w:rPr/>
        <w:t>（七）、公司控制的特殊目的主体情况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88"/>
        <w:jc w:val="left"/>
      </w:pPr>
      <w:r>
        <w:rPr/>
        <w:t>报告期内，公司无控制的特殊目的主体。</w:t>
      </w:r>
    </w:p>
    <w:p>
      <w:pPr>
        <w:spacing w:line="240" w:lineRule="auto" w:before="3"/>
        <w:rPr>
          <w:rFonts w:ascii="宋体" w:hAnsi="宋体" w:cs="宋体" w:eastAsia="宋体" w:hint="default"/>
          <w:sz w:val="25"/>
          <w:szCs w:val="25"/>
        </w:rPr>
      </w:pPr>
    </w:p>
    <w:p>
      <w:pPr>
        <w:pStyle w:val="Heading2"/>
        <w:spacing w:line="240" w:lineRule="auto"/>
        <w:ind w:right="88"/>
        <w:jc w:val="left"/>
        <w:rPr>
          <w:b w:val="0"/>
          <w:bCs w:val="0"/>
        </w:rPr>
      </w:pPr>
      <w:r>
        <w:rPr/>
        <w:t>三、公司未来发展的展望</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88" w:hanging="361"/>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行业格局和趋势</w:t>
      </w:r>
      <w:r>
        <w:rPr>
          <w:w w:val="99"/>
        </w:rPr>
        <w:t> </w:t>
      </w:r>
      <w:r>
        <w:rPr>
          <w:rFonts w:ascii="Times New Roman" w:hAnsi="Times New Roman" w:cs="Times New Roman" w:eastAsia="Times New Roman" w:hint="default"/>
          <w:spacing w:val="-2"/>
        </w:rPr>
        <w:t>2012</w:t>
      </w:r>
      <w:r>
        <w:rPr>
          <w:spacing w:val="-2"/>
        </w:rPr>
        <w:t>年，房地产调控政策稳中趋紧，在保证经济发展的背景下坚持调控不放松，通过差别化信贷、地方政府微调楼市政</w:t>
      </w:r>
    </w:p>
    <w:p>
      <w:pPr>
        <w:pStyle w:val="BodyText"/>
        <w:spacing w:line="215" w:lineRule="exact"/>
        <w:ind w:right="0"/>
        <w:jc w:val="left"/>
      </w:pPr>
      <w:r>
        <w:rPr/>
        <w:t>策等手段，支持合理自住需求，抑制投资投机性需求；继续推进土地管理制度改革，适时调整供地计划，加大对保障性住房</w:t>
      </w:r>
    </w:p>
    <w:p>
      <w:pPr>
        <w:pStyle w:val="BodyText"/>
        <w:spacing w:line="300" w:lineRule="auto" w:before="76"/>
        <w:ind w:right="88"/>
        <w:jc w:val="left"/>
      </w:pPr>
      <w:r>
        <w:rPr/>
        <w:t>的资金支持力度，推进房地产税税收体制改革。在货币政策适度宽松的形势下，房地产业贷款稳步增长，从而支撑了</w:t>
      </w:r>
      <w:r>
        <w:rPr>
          <w:rFonts w:ascii="Times New Roman" w:hAnsi="Times New Roman" w:cs="Times New Roman" w:eastAsia="Times New Roman" w:hint="default"/>
        </w:rPr>
        <w:t>2012</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spacing w:val="-4"/>
        </w:rPr>
        <w:t>年房地产市场形式持续向好。据国家统计局统计数据显示，</w:t>
      </w:r>
      <w:r>
        <w:rPr>
          <w:rFonts w:ascii="Times New Roman" w:hAnsi="Times New Roman" w:cs="Times New Roman" w:eastAsia="Times New Roman" w:hint="default"/>
          <w:spacing w:val="-4"/>
        </w:rPr>
        <w:t>2012</w:t>
      </w:r>
      <w:r>
        <w:rPr>
          <w:spacing w:val="-4"/>
        </w:rPr>
        <w:t>年，全国房地产开发投资</w:t>
      </w:r>
      <w:r>
        <w:rPr>
          <w:rFonts w:ascii="Times New Roman" w:hAnsi="Times New Roman" w:cs="Times New Roman" w:eastAsia="Times New Roman" w:hint="default"/>
          <w:spacing w:val="-4"/>
        </w:rPr>
        <w:t>71804</w:t>
      </w:r>
      <w:r>
        <w:rPr>
          <w:spacing w:val="-4"/>
        </w:rPr>
        <w:t>亿元，比上年名义增长</w:t>
      </w:r>
      <w:r>
        <w:rPr>
          <w:rFonts w:ascii="Times New Roman" w:hAnsi="Times New Roman" w:cs="Times New Roman" w:eastAsia="Times New Roman" w:hint="default"/>
          <w:spacing w:val="-4"/>
        </w:rPr>
        <w:t>16.2%</w:t>
      </w:r>
      <w:r>
        <w:rPr>
          <w:spacing w:val="-4"/>
        </w:rPr>
        <w:t>，</w:t>
      </w:r>
      <w:r>
        <w:rPr>
          <w:spacing w:val="-37"/>
        </w:rPr>
        <w:t> </w:t>
      </w:r>
      <w:r>
        <w:rPr/>
        <w:t>其中住宅投资</w:t>
      </w:r>
      <w:r>
        <w:rPr>
          <w:rFonts w:ascii="Times New Roman" w:hAnsi="Times New Roman" w:cs="Times New Roman" w:eastAsia="Times New Roman" w:hint="default"/>
        </w:rPr>
        <w:t>49374</w:t>
      </w:r>
      <w:r>
        <w:rPr/>
        <w:t>亿元，增长</w:t>
      </w:r>
      <w:r>
        <w:rPr>
          <w:rFonts w:ascii="Times New Roman" w:hAnsi="Times New Roman" w:cs="Times New Roman" w:eastAsia="Times New Roman" w:hint="default"/>
        </w:rPr>
        <w:t>11.4%</w:t>
      </w:r>
      <w:r>
        <w:rPr/>
        <w:t>。</w:t>
      </w:r>
      <w:r>
        <w:rPr>
          <w:rFonts w:ascii="Times New Roman" w:hAnsi="Times New Roman" w:cs="Times New Roman" w:eastAsia="Times New Roman" w:hint="default"/>
        </w:rPr>
        <w:t>2012</w:t>
      </w:r>
      <w:r>
        <w:rPr/>
        <w:t>年，房地产开发企业房屋施工面积</w:t>
      </w:r>
      <w:r>
        <w:rPr>
          <w:rFonts w:ascii="Times New Roman" w:hAnsi="Times New Roman" w:cs="Times New Roman" w:eastAsia="Times New Roman" w:hint="default"/>
        </w:rPr>
        <w:t>573418</w:t>
      </w:r>
      <w:r>
        <w:rPr/>
        <w:t>万平方米，比上年增长</w:t>
      </w:r>
      <w:r>
        <w:rPr>
          <w:rFonts w:ascii="Times New Roman" w:hAnsi="Times New Roman" w:cs="Times New Roman" w:eastAsia="Times New Roman" w:hint="default"/>
        </w:rPr>
        <w:t>13.2%</w:t>
      </w:r>
      <w:r>
        <w:rPr/>
        <w:t>；其中， 住宅施工面积</w:t>
      </w:r>
      <w:r>
        <w:rPr>
          <w:rFonts w:ascii="Times New Roman" w:hAnsi="Times New Roman" w:cs="Times New Roman" w:eastAsia="Times New Roman" w:hint="default"/>
        </w:rPr>
        <w:t>428964</w:t>
      </w:r>
      <w:r>
        <w:rPr/>
        <w:t>万平方米，增长</w:t>
      </w:r>
      <w:r>
        <w:rPr>
          <w:rFonts w:ascii="Times New Roman" w:hAnsi="Times New Roman" w:cs="Times New Roman" w:eastAsia="Times New Roman" w:hint="default"/>
        </w:rPr>
        <w:t>10.6%</w:t>
      </w:r>
      <w:r>
        <w:rPr/>
        <w:t>。房屋新开工面积</w:t>
      </w:r>
      <w:r>
        <w:rPr>
          <w:rFonts w:ascii="Times New Roman" w:hAnsi="Times New Roman" w:cs="Times New Roman" w:eastAsia="Times New Roman" w:hint="default"/>
        </w:rPr>
        <w:t>177334</w:t>
      </w:r>
      <w:r>
        <w:rPr/>
        <w:t>万平方米，下降</w:t>
      </w:r>
      <w:r>
        <w:rPr>
          <w:rFonts w:ascii="Times New Roman" w:hAnsi="Times New Roman" w:cs="Times New Roman" w:eastAsia="Times New Roman" w:hint="default"/>
        </w:rPr>
        <w:t>7.3%</w:t>
      </w:r>
      <w:r>
        <w:rPr/>
        <w:t>；其中，住宅新开工面积</w:t>
      </w:r>
      <w:r>
        <w:rPr>
          <w:rFonts w:ascii="Times New Roman" w:hAnsi="Times New Roman" w:cs="Times New Roman" w:eastAsia="Times New Roman" w:hint="default"/>
        </w:rPr>
        <w:t>130695</w:t>
      </w:r>
      <w:r>
        <w:rPr/>
        <w:t>万 平方米，下降</w:t>
      </w:r>
      <w:r>
        <w:rPr>
          <w:rFonts w:ascii="Times New Roman" w:hAnsi="Times New Roman" w:cs="Times New Roman" w:eastAsia="Times New Roman" w:hint="default"/>
        </w:rPr>
        <w:t>11.2%</w:t>
      </w:r>
      <w:r>
        <w:rPr/>
        <w:t>。房屋竣工面积</w:t>
      </w:r>
      <w:r>
        <w:rPr>
          <w:rFonts w:ascii="Times New Roman" w:hAnsi="Times New Roman" w:cs="Times New Roman" w:eastAsia="Times New Roman" w:hint="default"/>
        </w:rPr>
        <w:t>99425</w:t>
      </w:r>
      <w:r>
        <w:rPr/>
        <w:t>万平方米，增长</w:t>
      </w:r>
      <w:r>
        <w:rPr>
          <w:rFonts w:ascii="Times New Roman" w:hAnsi="Times New Roman" w:cs="Times New Roman" w:eastAsia="Times New Roman" w:hint="default"/>
        </w:rPr>
        <w:t>7.3%</w:t>
      </w:r>
      <w:r>
        <w:rPr/>
        <w:t>；其中，住宅竣工面积</w:t>
      </w:r>
      <w:r>
        <w:rPr>
          <w:rFonts w:ascii="Times New Roman" w:hAnsi="Times New Roman" w:cs="Times New Roman" w:eastAsia="Times New Roman" w:hint="default"/>
        </w:rPr>
        <w:t>79043</w:t>
      </w:r>
      <w:r>
        <w:rPr/>
        <w:t>万平方米，增长</w:t>
      </w:r>
      <w:r>
        <w:rPr>
          <w:rFonts w:ascii="Times New Roman" w:hAnsi="Times New Roman" w:cs="Times New Roman" w:eastAsia="Times New Roman" w:hint="default"/>
        </w:rPr>
        <w:t>6.4%</w:t>
      </w:r>
      <w:r>
        <w:rPr/>
        <w:t>。</w:t>
      </w:r>
    </w:p>
    <w:p>
      <w:pPr>
        <w:pStyle w:val="BodyText"/>
        <w:spacing w:line="307" w:lineRule="auto" w:before="53"/>
        <w:ind w:right="94" w:firstLine="360"/>
        <w:jc w:val="left"/>
      </w:pPr>
      <w:r>
        <w:rPr/>
        <w:t>公司</w:t>
      </w:r>
      <w:r>
        <w:rPr>
          <w:rFonts w:ascii="Times New Roman" w:hAnsi="Times New Roman" w:cs="Times New Roman" w:eastAsia="Times New Roman" w:hint="default"/>
        </w:rPr>
        <w:t>2012</w:t>
      </w:r>
      <w:r>
        <w:rPr/>
        <w:t>年度在楼宇对讲行业市场占有率得以进一步提升。随着未来房地产调控的延续，房地产商为提高品牌影响力， </w:t>
      </w:r>
      <w:r>
        <w:rPr>
          <w:spacing w:val="-2"/>
        </w:rPr>
        <w:t>将逐步从过去单纯考虑价格因素向综合考虑供应商的资金实力、技术研发、售后服务等方面转变。因此拥有优质的服务及产</w:t>
      </w:r>
      <w:r>
        <w:rPr>
          <w:spacing w:val="-66"/>
        </w:rPr>
        <w:t> </w:t>
      </w:r>
      <w:r>
        <w:rPr>
          <w:spacing w:val="-66"/>
        </w:rPr>
      </w:r>
      <w:r>
        <w:rPr>
          <w:spacing w:val="-2"/>
        </w:rPr>
        <w:t>品，必然使得客户和资源向优势企业集中，公司目前在全国各地拥有</w:t>
      </w:r>
      <w:r>
        <w:rPr>
          <w:rFonts w:ascii="Times New Roman" w:hAnsi="Times New Roman" w:cs="Times New Roman" w:eastAsia="Times New Roman" w:hint="default"/>
          <w:spacing w:val="-2"/>
        </w:rPr>
        <w:t>111</w:t>
      </w:r>
      <w:r>
        <w:rPr>
          <w:spacing w:val="-2"/>
        </w:rPr>
        <w:t>个营销服务网点，能为客户提供快速、优质的服务，</w:t>
      </w:r>
      <w:r>
        <w:rPr>
          <w:spacing w:val="-61"/>
        </w:rPr>
        <w:t> </w:t>
      </w:r>
      <w:r>
        <w:rPr>
          <w:spacing w:val="-61"/>
        </w:rPr>
      </w:r>
      <w:r>
        <w:rPr/>
        <w:t>未来随着公司产品线的丰富，会起到较好的叠加销售效应。</w:t>
      </w:r>
    </w:p>
    <w:p>
      <w:pPr>
        <w:pStyle w:val="BodyText"/>
        <w:spacing w:line="307" w:lineRule="auto" w:before="64"/>
        <w:ind w:right="191" w:firstLine="360"/>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22</w:t>
      </w:r>
      <w:r>
        <w:rPr>
          <w:spacing w:val="-2"/>
        </w:rPr>
        <w:t>日，国家住房和城乡建设部办公厅发布了《关于开展国家智慧城市试点工作的通知》，试点指标体系专项</w:t>
      </w:r>
      <w:r>
        <w:rPr/>
        <w:t> </w:t>
      </w:r>
      <w:r>
        <w:rPr>
          <w:spacing w:val="-2"/>
        </w:rPr>
        <w:t>应用指标中包括智能交通、智慧安全等细化指标，其中智慧安全指城市公共安全体系智慧化建设，包含城市食品安全、药品</w:t>
      </w:r>
      <w:r>
        <w:rPr>
          <w:spacing w:val="-64"/>
        </w:rPr>
        <w:t> </w:t>
      </w:r>
      <w:r>
        <w:rPr>
          <w:spacing w:val="-64"/>
        </w:rPr>
      </w:r>
      <w:r>
        <w:rPr/>
        <w:t>安全、平安城市建设等建设情况。国家住房和城乡建设部于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日公布了首批</w:t>
      </w:r>
      <w:r>
        <w:rPr>
          <w:rFonts w:ascii="Times New Roman" w:hAnsi="Times New Roman" w:cs="Times New Roman" w:eastAsia="Times New Roman" w:hint="default"/>
        </w:rPr>
        <w:t>90</w:t>
      </w:r>
      <w:r>
        <w:rPr/>
        <w:t>个国家智慧城市试点名单，其中地</w:t>
      </w:r>
      <w:r>
        <w:rPr>
          <w:spacing w:val="-85"/>
        </w:rPr>
        <w:t> </w:t>
      </w:r>
      <w:r>
        <w:rPr>
          <w:spacing w:val="-85"/>
        </w:rPr>
      </w:r>
      <w:r>
        <w:rPr/>
        <w:t>级市</w:t>
      </w:r>
      <w:r>
        <w:rPr>
          <w:rFonts w:ascii="Times New Roman" w:hAnsi="Times New Roman" w:cs="Times New Roman" w:eastAsia="Times New Roman" w:hint="default"/>
        </w:rPr>
        <w:t>37</w:t>
      </w:r>
      <w:r>
        <w:rPr/>
        <w:t>个，区</w:t>
      </w:r>
      <w:r>
        <w:rPr>
          <w:rFonts w:ascii="Times New Roman" w:hAnsi="Times New Roman" w:cs="Times New Roman" w:eastAsia="Times New Roman" w:hint="default"/>
        </w:rPr>
        <w:t>(</w:t>
      </w:r>
      <w:r>
        <w:rPr/>
        <w:t>县</w:t>
      </w:r>
      <w:r>
        <w:rPr>
          <w:rFonts w:ascii="Times New Roman" w:hAnsi="Times New Roman" w:cs="Times New Roman" w:eastAsia="Times New Roman" w:hint="default"/>
        </w:rPr>
        <w:t>)50</w:t>
      </w:r>
      <w:r>
        <w:rPr/>
        <w:t>个，镇</w:t>
      </w:r>
      <w:r>
        <w:rPr>
          <w:rFonts w:ascii="Times New Roman" w:hAnsi="Times New Roman" w:cs="Times New Roman" w:eastAsia="Times New Roman" w:hint="default"/>
        </w:rPr>
        <w:t>3</w:t>
      </w:r>
      <w:r>
        <w:rPr/>
        <w:t>个，正式推进智慧城市试点建设。</w:t>
      </w:r>
    </w:p>
    <w:p>
      <w:pPr>
        <w:pStyle w:val="BodyText"/>
        <w:spacing w:line="300" w:lineRule="auto" w:before="7"/>
        <w:ind w:right="88" w:firstLine="360"/>
        <w:jc w:val="left"/>
      </w:pPr>
      <w:r>
        <w:rPr/>
        <w:t>在广东省平安城市建设方面，按照《广东省社会治安视频监控系统建设规划（</w:t>
      </w:r>
      <w:r>
        <w:rPr>
          <w:rFonts w:ascii="Times New Roman" w:hAnsi="Times New Roman" w:cs="Times New Roman" w:eastAsia="Times New Roman" w:hint="default"/>
        </w:rPr>
        <w:t>2012-2014</w:t>
      </w:r>
      <w:r>
        <w:rPr/>
        <w:t>年）》未来三年，广东省将新 </w:t>
      </w:r>
      <w:r>
        <w:rPr>
          <w:spacing w:val="-2"/>
        </w:rPr>
        <w:t>建</w:t>
      </w:r>
      <w:r>
        <w:rPr>
          <w:rFonts w:ascii="Times New Roman" w:hAnsi="Times New Roman" w:cs="Times New Roman" w:eastAsia="Times New Roman" w:hint="default"/>
          <w:spacing w:val="-2"/>
        </w:rPr>
        <w:t>96</w:t>
      </w:r>
      <w:r>
        <w:rPr>
          <w:spacing w:val="-2"/>
        </w:rPr>
        <w:t>万个电子眼。据业内人士测算，一个视频监控点（包括摄像头、立杆、传输以及后台监控中心）最少需要</w:t>
      </w:r>
      <w:r>
        <w:rPr>
          <w:rFonts w:ascii="Times New Roman" w:hAnsi="Times New Roman" w:cs="Times New Roman" w:eastAsia="Times New Roman" w:hint="default"/>
          <w:spacing w:val="-2"/>
        </w:rPr>
        <w:t>2</w:t>
      </w:r>
      <w:r>
        <w:rPr>
          <w:spacing w:val="-2"/>
        </w:rPr>
        <w:t>万元的造价，</w:t>
      </w:r>
      <w:r>
        <w:rPr>
          <w:spacing w:val="-63"/>
        </w:rPr>
        <w:t> </w:t>
      </w:r>
      <w:r>
        <w:rPr>
          <w:rFonts w:ascii="Times New Roman" w:hAnsi="Times New Roman" w:cs="Times New Roman" w:eastAsia="Times New Roman" w:hint="default"/>
        </w:rPr>
        <w:t>96</w:t>
      </w:r>
      <w:r>
        <w:rPr/>
        <w:t>万个视频监控点就需要将近</w:t>
      </w:r>
      <w:r>
        <w:rPr>
          <w:rFonts w:ascii="Times New Roman" w:hAnsi="Times New Roman" w:cs="Times New Roman" w:eastAsia="Times New Roman" w:hint="default"/>
        </w:rPr>
        <w:t>200</w:t>
      </w:r>
      <w:r>
        <w:rPr/>
        <w:t>亿元。目前广东省已有</w:t>
      </w:r>
      <w:r>
        <w:rPr>
          <w:rFonts w:ascii="Times New Roman" w:hAnsi="Times New Roman" w:cs="Times New Roman" w:eastAsia="Times New Roman" w:hint="default"/>
        </w:rPr>
        <w:t>110</w:t>
      </w:r>
      <w:r>
        <w:rPr/>
        <w:t>多万个视频监控点，其中很多已运行了</w:t>
      </w:r>
      <w:r>
        <w:rPr>
          <w:rFonts w:ascii="Times New Roman" w:hAnsi="Times New Roman" w:cs="Times New Roman" w:eastAsia="Times New Roman" w:hint="default"/>
        </w:rPr>
        <w:t>3~5</w:t>
      </w:r>
      <w:r>
        <w:rPr/>
        <w:t>年，需要升级换代， 两项合计，预计未来广东安防市场将分享</w:t>
      </w:r>
      <w:r>
        <w:rPr>
          <w:rFonts w:ascii="Times New Roman" w:hAnsi="Times New Roman" w:cs="Times New Roman" w:eastAsia="Times New Roman" w:hint="default"/>
        </w:rPr>
        <w:t>300</w:t>
      </w:r>
      <w:r>
        <w:rPr/>
        <w:t>亿的市场蛋糕。为未来公司在平安城市建设的发展带来较好机遇。</w:t>
      </w:r>
    </w:p>
    <w:p>
      <w:pPr>
        <w:pStyle w:val="BodyText"/>
        <w:spacing w:line="360" w:lineRule="auto" w:before="53"/>
        <w:ind w:left="498" w:right="88" w:hanging="347"/>
        <w:jc w:val="left"/>
      </w:pPr>
      <w:r>
        <w:rPr/>
        <w:t>（二）公司发展战略 </w:t>
      </w:r>
      <w:r>
        <w:rPr>
          <w:spacing w:val="-2"/>
        </w:rPr>
        <w:t>公司发展战略是充分发挥公司核心技术优势及销售服务网络的优势，继续加大研发投入，发展与公司产品相配套的如停</w:t>
      </w:r>
    </w:p>
    <w:p>
      <w:pPr>
        <w:pStyle w:val="BodyText"/>
        <w:spacing w:line="222" w:lineRule="exact"/>
        <w:ind w:right="0"/>
        <w:jc w:val="left"/>
      </w:pPr>
      <w:r>
        <w:rPr/>
        <w:t>车场系统、监控、线缆及智能家居子系统等产品，大力拓展海外市场，实施产品全球化销售，使安居宝品牌成为全球安防知</w:t>
      </w:r>
    </w:p>
    <w:p>
      <w:pPr>
        <w:pStyle w:val="BodyText"/>
        <w:spacing w:line="316" w:lineRule="auto" w:before="76"/>
        <w:ind w:right="88"/>
        <w:jc w:val="left"/>
      </w:pPr>
      <w:r>
        <w:rPr>
          <w:spacing w:val="-2"/>
        </w:rPr>
        <w:t>名品牌，打造成社区安防及智能家居整体方案解决商及器材供应商，进一步提高市场占有率。利用公司的品牌、资金优势介</w:t>
      </w:r>
      <w:r>
        <w:rPr>
          <w:spacing w:val="-64"/>
        </w:rPr>
        <w:t> </w:t>
      </w:r>
      <w:r>
        <w:rPr>
          <w:spacing w:val="-64"/>
        </w:rPr>
      </w:r>
      <w:r>
        <w:rPr/>
        <w:t>入平安城市建设，整合资源，实现快速发展。</w:t>
      </w:r>
    </w:p>
    <w:p>
      <w:pPr>
        <w:pStyle w:val="BodyText"/>
        <w:spacing w:line="240" w:lineRule="auto" w:before="19"/>
        <w:ind w:right="88"/>
        <w:jc w:val="left"/>
      </w:pPr>
      <w:r>
        <w:rPr/>
        <w:t>（三）</w:t>
      </w:r>
      <w:r>
        <w:rPr>
          <w:rFonts w:ascii="Times New Roman" w:hAnsi="Times New Roman" w:cs="Times New Roman" w:eastAsia="Times New Roman" w:hint="default"/>
        </w:rPr>
        <w:t>2013</w:t>
      </w:r>
      <w:r>
        <w:rPr/>
        <w:t>年经营计划</w:t>
      </w:r>
    </w:p>
    <w:p>
      <w:pPr>
        <w:pStyle w:val="BodyText"/>
        <w:spacing w:line="300" w:lineRule="auto" w:before="63"/>
        <w:ind w:right="94" w:firstLine="360"/>
        <w:jc w:val="left"/>
      </w:pPr>
      <w:r>
        <w:rPr>
          <w:rFonts w:ascii="Times New Roman" w:hAnsi="Times New Roman" w:cs="Times New Roman" w:eastAsia="Times New Roman" w:hint="default"/>
        </w:rPr>
        <w:t>2013</w:t>
      </w:r>
      <w:r>
        <w:rPr/>
        <w:t>年，公司将通过丰富产品线、加大营销服务网点的建设与深耕，实现产品研发和市场营销工作的长期可持续发展， 争取实现销售收入和净利润的增长均不低于</w:t>
      </w:r>
      <w:r>
        <w:rPr>
          <w:rFonts w:ascii="Times New Roman" w:hAnsi="Times New Roman" w:cs="Times New Roman" w:eastAsia="Times New Roman" w:hint="default"/>
        </w:rPr>
        <w:t>35%</w:t>
      </w:r>
      <w:r>
        <w:rPr/>
        <w:t>的经营目标。</w:t>
      </w:r>
    </w:p>
    <w:p>
      <w:pPr>
        <w:pStyle w:val="Heading5"/>
        <w:spacing w:line="300" w:lineRule="auto" w:before="13"/>
        <w:ind w:right="88" w:firstLine="360"/>
        <w:jc w:val="left"/>
        <w:rPr>
          <w:b w:val="0"/>
          <w:bCs w:val="0"/>
        </w:rPr>
      </w:pPr>
      <w:r>
        <w:rPr/>
        <w:t>特别提示：公司上述经营目标不代表公司对</w:t>
      </w:r>
      <w:r>
        <w:rPr>
          <w:rFonts w:ascii="Times New Roman" w:hAnsi="Times New Roman" w:cs="Times New Roman" w:eastAsia="Times New Roman" w:hint="default"/>
        </w:rPr>
        <w:t>2013</w:t>
      </w:r>
      <w:r>
        <w:rPr/>
        <w:t>年度的盈利预测，能否顺利实现取决于市场状况的变化、经营团队的</w:t>
      </w:r>
      <w:r>
        <w:rPr>
          <w:w w:val="99"/>
        </w:rPr>
        <w:t> </w:t>
      </w:r>
      <w:r>
        <w:rPr/>
        <w:t>努力等多种因素，存在一定的不确定性，敬请广大投资者和年度报告阅读者特别留意。</w:t>
      </w:r>
      <w:r>
        <w:rPr>
          <w:b w:val="0"/>
          <w:bCs w:val="0"/>
        </w:rPr>
      </w:r>
    </w:p>
    <w:p>
      <w:pPr>
        <w:pStyle w:val="BodyText"/>
        <w:spacing w:line="240" w:lineRule="auto" w:before="31"/>
        <w:ind w:left="513" w:right="88"/>
        <w:jc w:val="left"/>
      </w:pPr>
      <w:r>
        <w:rPr/>
        <w:t>为实现</w:t>
      </w:r>
      <w:r>
        <w:rPr>
          <w:rFonts w:ascii="Times New Roman" w:hAnsi="Times New Roman" w:cs="Times New Roman" w:eastAsia="Times New Roman" w:hint="default"/>
        </w:rPr>
        <w:t>2013</w:t>
      </w:r>
      <w:r>
        <w:rPr/>
        <w:t>年经营目标，围绕公司发展战略重点抓好以下几方面的工作：</w:t>
      </w:r>
    </w:p>
    <w:p>
      <w:pPr>
        <w:pStyle w:val="BodyText"/>
        <w:spacing w:line="300" w:lineRule="auto" w:before="63"/>
        <w:ind w:left="513" w:right="174"/>
        <w:jc w:val="left"/>
      </w:pPr>
      <w:r>
        <w:rPr>
          <w:rFonts w:ascii="Times New Roman" w:hAnsi="Times New Roman" w:cs="Times New Roman" w:eastAsia="Times New Roman" w:hint="default"/>
        </w:rPr>
        <w:t>1</w:t>
      </w:r>
      <w:r>
        <w:rPr/>
        <w:t>、产品研发方面 公司将致力于</w:t>
      </w:r>
      <w:r>
        <w:rPr>
          <w:rFonts w:ascii="Times New Roman" w:hAnsi="Times New Roman" w:cs="Times New Roman" w:eastAsia="Times New Roman" w:hint="default"/>
        </w:rPr>
        <w:t>“</w:t>
      </w:r>
      <w:r>
        <w:rPr/>
        <w:t>有线智能家居系统</w:t>
      </w:r>
      <w:r>
        <w:rPr>
          <w:rFonts w:ascii="Times New Roman" w:hAnsi="Times New Roman" w:cs="Times New Roman" w:eastAsia="Times New Roman" w:hint="default"/>
        </w:rPr>
        <w:t>”</w:t>
      </w:r>
      <w:r>
        <w:rPr/>
        <w:t>、“独户型智能家居系统”、</w:t>
      </w:r>
      <w:r>
        <w:rPr>
          <w:rFonts w:ascii="Times New Roman" w:hAnsi="Times New Roman" w:cs="Times New Roman" w:eastAsia="Times New Roman" w:hint="default"/>
        </w:rPr>
        <w:t>“</w:t>
      </w:r>
      <w:r>
        <w:rPr/>
        <w:t>出口对讲套装系统</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监控设备产品</w:t>
      </w:r>
      <w:r>
        <w:rPr>
          <w:rFonts w:ascii="Times New Roman" w:hAnsi="Times New Roman" w:cs="Times New Roman" w:eastAsia="Times New Roman" w:hint="default"/>
        </w:rPr>
        <w:t>”“</w:t>
      </w:r>
      <w:r>
        <w:rPr/>
        <w:t>安防线缆</w:t>
      </w:r>
      <w:r>
        <w:rPr>
          <w:rFonts w:ascii="Times New Roman" w:hAnsi="Times New Roman" w:cs="Times New Roman" w:eastAsia="Times New Roman" w:hint="default"/>
        </w:rPr>
        <w:t>”</w:t>
      </w:r>
      <w:r>
        <w:rPr/>
        <w:t>的研</w:t>
      </w:r>
    </w:p>
    <w:p>
      <w:pPr>
        <w:pStyle w:val="BodyText"/>
        <w:spacing w:line="316" w:lineRule="auto" w:before="13"/>
        <w:ind w:right="88"/>
        <w:jc w:val="left"/>
      </w:pPr>
      <w:r>
        <w:rPr>
          <w:spacing w:val="-2"/>
        </w:rPr>
        <w:t>发，同时招聘高素质研发人员，完善研发人员考核激励机制，提升主动性和创造性，提高研发产品的质量和效率，丰富产品</w:t>
      </w:r>
      <w:r>
        <w:rPr>
          <w:spacing w:val="-68"/>
        </w:rPr>
        <w:t> </w:t>
      </w:r>
      <w:r>
        <w:rPr>
          <w:spacing w:val="-68"/>
        </w:rPr>
      </w:r>
      <w:r>
        <w:rPr/>
        <w:t>线。</w:t>
      </w:r>
    </w:p>
    <w:p>
      <w:pPr>
        <w:pStyle w:val="BodyText"/>
        <w:spacing w:line="300" w:lineRule="auto" w:before="18"/>
        <w:ind w:left="513" w:right="88"/>
        <w:jc w:val="left"/>
      </w:pPr>
      <w:r>
        <w:rPr>
          <w:rFonts w:ascii="Times New Roman" w:hAnsi="Times New Roman" w:cs="Times New Roman" w:eastAsia="Times New Roman" w:hint="default"/>
        </w:rPr>
        <w:t>2</w:t>
      </w:r>
      <w:r>
        <w:rPr/>
        <w:t>、市场营销方面 </w:t>
      </w:r>
      <w:r>
        <w:rPr>
          <w:spacing w:val="-2"/>
        </w:rPr>
        <w:t>公司将加大营销服务网点的建设与深耕，并开始拓展海外市场，强化新产品，如停车场系统、监控、线缆及智能家居子</w:t>
      </w:r>
    </w:p>
    <w:p>
      <w:pPr>
        <w:spacing w:after="0" w:line="300" w:lineRule="auto"/>
        <w:jc w:val="left"/>
        <w:sectPr>
          <w:headerReference w:type="default" r:id="rId19"/>
          <w:footerReference w:type="default" r:id="rId20"/>
          <w:pgSz w:w="11910" w:h="16840"/>
          <w:pgMar w:header="877" w:footer="1227" w:top="1100" w:bottom="1420" w:left="980" w:right="940"/>
          <w:pgNumType w:start="28"/>
        </w:sectPr>
      </w:pPr>
    </w:p>
    <w:p>
      <w:pPr>
        <w:spacing w:line="240" w:lineRule="auto" w:before="11"/>
        <w:rPr>
          <w:rFonts w:ascii="宋体" w:hAnsi="宋体" w:cs="宋体" w:eastAsia="宋体" w:hint="default"/>
          <w:sz w:val="21"/>
          <w:szCs w:val="21"/>
        </w:rPr>
      </w:pPr>
    </w:p>
    <w:p>
      <w:pPr>
        <w:pStyle w:val="BodyText"/>
        <w:spacing w:line="319" w:lineRule="auto" w:before="44"/>
        <w:ind w:right="88"/>
        <w:jc w:val="left"/>
      </w:pPr>
      <w:r>
        <w:rPr>
          <w:spacing w:val="-2"/>
        </w:rPr>
        <w:t>系统等产品的推广力度，实现较低成本的叠加销售，加强营销人员的培养和团队建设，严控销售成本，以确保业绩稳定、持</w:t>
      </w:r>
      <w:r>
        <w:rPr>
          <w:spacing w:val="-69"/>
        </w:rPr>
        <w:t> </w:t>
      </w:r>
      <w:r>
        <w:rPr>
          <w:spacing w:val="-69"/>
        </w:rPr>
      </w:r>
      <w:r>
        <w:rPr/>
        <w:t>续、健康增长。</w:t>
      </w:r>
    </w:p>
    <w:p>
      <w:pPr>
        <w:pStyle w:val="BodyText"/>
        <w:spacing w:line="240" w:lineRule="auto" w:before="17"/>
        <w:ind w:left="513" w:right="88"/>
        <w:jc w:val="left"/>
      </w:pPr>
      <w:r>
        <w:rPr>
          <w:rFonts w:ascii="Times New Roman" w:hAnsi="Times New Roman" w:cs="Times New Roman" w:eastAsia="Times New Roman" w:hint="default"/>
        </w:rPr>
        <w:t>3</w:t>
      </w:r>
      <w:r>
        <w:rPr/>
        <w:t>、把握平安城市建设的机遇，通过资源的有效整合，进一步提升公司的业绩。</w:t>
      </w:r>
    </w:p>
    <w:p>
      <w:pPr>
        <w:pStyle w:val="BodyText"/>
        <w:spacing w:line="240" w:lineRule="auto" w:before="63"/>
        <w:ind w:left="297" w:right="88"/>
        <w:jc w:val="left"/>
      </w:pPr>
      <w:r>
        <w:rPr/>
        <w:t>（四）公司未来发展战略所需资金及使用计划及资金来源情况</w:t>
      </w:r>
    </w:p>
    <w:p>
      <w:pPr>
        <w:pStyle w:val="BodyText"/>
        <w:spacing w:line="316" w:lineRule="auto" w:before="76"/>
        <w:ind w:right="193" w:firstLine="336"/>
        <w:jc w:val="both"/>
      </w:pPr>
      <w:r>
        <w:rPr/>
        <w:t>截止报告期末，公司尚余募集资金 </w:t>
      </w:r>
      <w:r>
        <w:rPr>
          <w:rFonts w:ascii="宋体" w:hAnsi="宋体" w:cs="宋体" w:eastAsia="宋体" w:hint="default"/>
        </w:rPr>
        <w:t>59,624.83 </w:t>
      </w:r>
      <w:r>
        <w:rPr/>
        <w:t>万元，现金较为充足，能满足业务发展的需求。</w:t>
      </w:r>
      <w:r>
        <w:rPr>
          <w:rFonts w:ascii="宋体" w:hAnsi="宋体" w:cs="宋体" w:eastAsia="宋体" w:hint="default"/>
        </w:rPr>
        <w:t>2013</w:t>
      </w:r>
      <w:r>
        <w:rPr>
          <w:rFonts w:ascii="宋体" w:hAnsi="宋体" w:cs="宋体" w:eastAsia="宋体" w:hint="default"/>
          <w:spacing w:val="-65"/>
        </w:rPr>
        <w:t> </w:t>
      </w:r>
      <w:r>
        <w:rPr/>
        <w:t>年，公司除按照计 划推进募投项目外，还将结合未来发展战略，做好超募资金的有效使用。</w:t>
      </w:r>
    </w:p>
    <w:p>
      <w:pPr>
        <w:pStyle w:val="BodyText"/>
        <w:spacing w:line="316" w:lineRule="auto" w:before="19"/>
        <w:ind w:left="498" w:right="4594" w:firstLine="14"/>
        <w:jc w:val="left"/>
      </w:pPr>
      <w:r>
        <w:rPr/>
        <w:t>公司将采取以下有效措施，保证资金的供应和融资渠道畅通： </w:t>
      </w:r>
      <w:r>
        <w:rPr>
          <w:rFonts w:ascii="宋体" w:hAnsi="宋体" w:cs="宋体" w:eastAsia="宋体" w:hint="default"/>
        </w:rPr>
        <w:t>1.</w:t>
      </w:r>
      <w:r>
        <w:rPr>
          <w:rFonts w:ascii="宋体" w:hAnsi="宋体" w:cs="宋体" w:eastAsia="宋体" w:hint="default"/>
          <w:spacing w:val="89"/>
        </w:rPr>
        <w:t> </w:t>
      </w:r>
      <w:r>
        <w:rPr/>
        <w:t>与银行等金融机构保持良好的合作关系，稳定融资渠道。</w:t>
      </w:r>
    </w:p>
    <w:p>
      <w:pPr>
        <w:pStyle w:val="BodyText"/>
        <w:spacing w:line="240" w:lineRule="auto" w:before="19"/>
        <w:ind w:left="498" w:right="88"/>
        <w:jc w:val="left"/>
      </w:pPr>
      <w:r>
        <w:rPr>
          <w:rFonts w:ascii="宋体" w:hAnsi="宋体" w:cs="宋体" w:eastAsia="宋体" w:hint="default"/>
        </w:rPr>
        <w:t>2.</w:t>
      </w:r>
      <w:r>
        <w:rPr>
          <w:rFonts w:ascii="宋体" w:hAnsi="宋体" w:cs="宋体" w:eastAsia="宋体" w:hint="default"/>
          <w:spacing w:val="89"/>
        </w:rPr>
        <w:t> </w:t>
      </w:r>
      <w:r>
        <w:rPr/>
        <w:t>加强应收账款及存货管理，提高资金周转率，增强营运能力。</w:t>
      </w:r>
    </w:p>
    <w:p>
      <w:pPr>
        <w:spacing w:line="240" w:lineRule="auto" w:before="3"/>
        <w:rPr>
          <w:rFonts w:ascii="宋体" w:hAnsi="宋体" w:cs="宋体" w:eastAsia="宋体" w:hint="default"/>
          <w:sz w:val="25"/>
          <w:szCs w:val="25"/>
        </w:rPr>
      </w:pPr>
    </w:p>
    <w:p>
      <w:pPr>
        <w:pStyle w:val="Heading2"/>
        <w:spacing w:line="240" w:lineRule="auto"/>
        <w:ind w:right="88"/>
        <w:jc w:val="left"/>
        <w:rPr>
          <w:b w:val="0"/>
          <w:bCs w:val="0"/>
        </w:rPr>
      </w:pPr>
      <w:r>
        <w:rPr/>
        <w:t>四、董事会对会计师事务所本报告期“非标准审计报告”的说明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8"/>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88"/>
        <w:jc w:val="left"/>
        <w:rPr>
          <w:b w:val="0"/>
          <w:bCs w:val="0"/>
        </w:rPr>
      </w:pPr>
      <w:r>
        <w:rPr/>
        <w:t>五、董事会关于报告期会计政策、会计估计变更或重要前期差错更正的说明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88"/>
        <w:jc w:val="left"/>
      </w:pPr>
      <w:r>
        <w:rPr/>
        <w:t>报告期内，公司没有重大会计政策变更、会计估计变更情况，未发生重大会计差错。</w:t>
      </w:r>
    </w:p>
    <w:p>
      <w:pPr>
        <w:spacing w:line="240" w:lineRule="auto" w:before="3"/>
        <w:rPr>
          <w:rFonts w:ascii="宋体" w:hAnsi="宋体" w:cs="宋体" w:eastAsia="宋体" w:hint="default"/>
          <w:sz w:val="25"/>
          <w:szCs w:val="25"/>
        </w:rPr>
      </w:pPr>
    </w:p>
    <w:p>
      <w:pPr>
        <w:pStyle w:val="Heading2"/>
        <w:spacing w:line="240" w:lineRule="auto"/>
        <w:ind w:right="88"/>
        <w:jc w:val="left"/>
        <w:rPr>
          <w:b w:val="0"/>
          <w:bCs w:val="0"/>
        </w:rPr>
      </w:pPr>
      <w:r>
        <w:rPr/>
        <w:t>六、公司利润分配及分红派息情况</w:t>
      </w:r>
      <w:r>
        <w:rPr>
          <w:b w:val="0"/>
          <w:bCs w:val="0"/>
        </w:rPr>
      </w:r>
    </w:p>
    <w:p>
      <w:pPr>
        <w:spacing w:line="240" w:lineRule="auto" w:before="6"/>
        <w:rPr>
          <w:rFonts w:ascii="宋体" w:hAnsi="宋体" w:cs="宋体" w:eastAsia="宋体" w:hint="default"/>
          <w:b/>
          <w:bCs/>
          <w:sz w:val="26"/>
          <w:szCs w:val="26"/>
        </w:rPr>
      </w:pPr>
    </w:p>
    <w:p>
      <w:pPr>
        <w:spacing w:line="357" w:lineRule="auto" w:before="0"/>
        <w:ind w:left="513" w:right="88" w:hanging="361"/>
        <w:jc w:val="left"/>
        <w:rPr>
          <w:rFonts w:ascii="宋体" w:hAnsi="宋体" w:cs="宋体" w:eastAsia="宋体" w:hint="default"/>
          <w:sz w:val="18"/>
          <w:szCs w:val="18"/>
        </w:rPr>
      </w:pPr>
      <w:r>
        <w:rPr>
          <w:rFonts w:ascii="宋体" w:hAnsi="宋体" w:cs="宋体" w:eastAsia="宋体" w:hint="default"/>
          <w:b/>
          <w:bCs/>
          <w:sz w:val="18"/>
          <w:szCs w:val="18"/>
        </w:rPr>
        <w:t>报告期内利润分配政策特别是现金分红政策的制定、执行或调整情况</w:t>
      </w:r>
      <w:r>
        <w:rPr>
          <w:rFonts w:ascii="宋体" w:hAnsi="宋体" w:cs="宋体" w:eastAsia="宋体" w:hint="default"/>
          <w:b/>
          <w:bCs/>
          <w:w w:val="99"/>
          <w:sz w:val="18"/>
          <w:szCs w:val="18"/>
        </w:rPr>
        <w:t> </w:t>
      </w:r>
      <w:r>
        <w:rPr>
          <w:rFonts w:ascii="宋体" w:hAnsi="宋体" w:cs="宋体" w:eastAsia="宋体" w:hint="default"/>
          <w:spacing w:val="-2"/>
          <w:sz w:val="18"/>
          <w:szCs w:val="18"/>
        </w:rPr>
        <w:t>根据中国证监会《关于进一步落实上市公司现金分红有关事项的通知》要求，公司进一步细化了《公司章程》关于分配</w:t>
      </w:r>
    </w:p>
    <w:p>
      <w:pPr>
        <w:pStyle w:val="BodyText"/>
        <w:spacing w:line="237" w:lineRule="exact"/>
        <w:ind w:right="88"/>
        <w:jc w:val="left"/>
      </w:pPr>
      <w:r>
        <w:rPr/>
        <w:t>政策的相关条款，经公司第二届董事会第四次会议、</w:t>
      </w:r>
      <w:r>
        <w:rPr>
          <w:rFonts w:ascii="Times New Roman" w:hAnsi="Times New Roman" w:cs="Times New Roman" w:eastAsia="Times New Roman" w:hint="default"/>
        </w:rPr>
        <w:t>2012</w:t>
      </w:r>
      <w:r>
        <w:rPr/>
        <w:t>年第二次临时股东大会审议通过，公司制定了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-2014</w:t>
      </w:r>
      <w:r>
        <w:rPr/>
        <w:t>年分红</w:t>
      </w:r>
    </w:p>
    <w:p>
      <w:pPr>
        <w:pStyle w:val="BodyText"/>
        <w:spacing w:line="240" w:lineRule="auto" w:before="63"/>
        <w:ind w:right="88"/>
        <w:jc w:val="left"/>
      </w:pPr>
      <w:r>
        <w:rPr/>
        <w:t>回报规划，主要内容如下：</w:t>
      </w:r>
    </w:p>
    <w:p>
      <w:pPr>
        <w:pStyle w:val="BodyText"/>
        <w:spacing w:line="300" w:lineRule="auto" w:before="117"/>
        <w:ind w:right="88" w:firstLine="360"/>
        <w:jc w:val="left"/>
      </w:pPr>
      <w:r>
        <w:rPr>
          <w:rFonts w:ascii="Times New Roman" w:hAnsi="Times New Roman" w:cs="Times New Roman" w:eastAsia="Times New Roman" w:hint="default"/>
          <w:spacing w:val="-2"/>
        </w:rPr>
        <w:t>1</w:t>
      </w:r>
      <w:r>
        <w:rPr>
          <w:spacing w:val="-2"/>
        </w:rPr>
        <w:t>、公司实行连续、稳定、积极的利润分配政策，重视对投资者的合理投资回报并兼顾公司的可持续发展。公司董事会、</w:t>
      </w:r>
      <w:r>
        <w:rPr/>
        <w:t> 监事会以及股东大会在公司利润分配政策的研究论证和决策过程中，应充分听取和考虑股东</w:t>
      </w:r>
      <w:r>
        <w:rPr>
          <w:rFonts w:ascii="Times New Roman" w:hAnsi="Times New Roman" w:cs="Times New Roman" w:eastAsia="Times New Roman" w:hint="default"/>
        </w:rPr>
        <w:t>(</w:t>
      </w:r>
      <w:r>
        <w:rPr/>
        <w:t>特别是公众投资者</w:t>
      </w:r>
      <w:r>
        <w:rPr>
          <w:rFonts w:ascii="Times New Roman" w:hAnsi="Times New Roman" w:cs="Times New Roman" w:eastAsia="Times New Roman" w:hint="default"/>
        </w:rPr>
        <w:t>)</w:t>
      </w:r>
      <w:r>
        <w:rPr/>
        <w:t>、独立董事 和监事的意见。</w:t>
      </w:r>
    </w:p>
    <w:p>
      <w:pPr>
        <w:pStyle w:val="BodyText"/>
        <w:spacing w:line="300" w:lineRule="auto" w:before="72"/>
        <w:ind w:right="199" w:firstLine="360"/>
        <w:jc w:val="both"/>
      </w:pPr>
      <w:r>
        <w:rPr>
          <w:rFonts w:ascii="Times New Roman" w:hAnsi="Times New Roman" w:cs="Times New Roman" w:eastAsia="Times New Roman" w:hint="default"/>
        </w:rPr>
        <w:t>2</w:t>
      </w:r>
      <w:r>
        <w:rPr/>
        <w:t>、公司可以采取现金、股票以及现金与股票相结合的方式分配股利，利润分配不得超过累计可分配利润的范围，不得 损害公司持续经营能力。公司可以进行中期分红。</w:t>
      </w:r>
    </w:p>
    <w:p>
      <w:pPr>
        <w:pStyle w:val="BodyText"/>
        <w:spacing w:line="300" w:lineRule="auto" w:before="31"/>
        <w:ind w:right="191" w:firstLine="360"/>
        <w:jc w:val="both"/>
      </w:pPr>
      <w:r>
        <w:rPr>
          <w:rFonts w:ascii="Times New Roman" w:hAnsi="Times New Roman" w:cs="Times New Roman" w:eastAsia="Times New Roman" w:hint="default"/>
        </w:rPr>
        <w:t>3</w:t>
      </w:r>
      <w:r>
        <w:rPr/>
        <w:t>、在满足公司正常生产经营的资金需求情况下，如无重大投资计划或重大现金支出等事项发生，公司每年应当采取现 </w:t>
      </w:r>
      <w:r>
        <w:rPr>
          <w:spacing w:val="-1"/>
        </w:rPr>
        <w:t>金方式分配股利，以现金方式分配的利润不少于当年实现的可分配利润的</w:t>
      </w:r>
      <w:r>
        <w:rPr>
          <w:rFonts w:ascii="Times New Roman" w:hAnsi="Times New Roman" w:cs="Times New Roman" w:eastAsia="Times New Roman" w:hint="default"/>
          <w:spacing w:val="-1"/>
        </w:rPr>
        <w:t>10%</w:t>
      </w:r>
      <w:r>
        <w:rPr>
          <w:spacing w:val="-1"/>
        </w:rPr>
        <w:t>。公司在实施上述现金分配股利的同时，可以</w:t>
      </w:r>
      <w:r>
        <w:rPr>
          <w:spacing w:val="-88"/>
        </w:rPr>
        <w:t> </w:t>
      </w:r>
      <w:r>
        <w:rPr>
          <w:spacing w:val="-88"/>
        </w:rPr>
      </w:r>
      <w:r>
        <w:rPr/>
        <w:t>派发红股。</w:t>
      </w:r>
    </w:p>
    <w:p>
      <w:pPr>
        <w:pStyle w:val="BodyText"/>
        <w:spacing w:line="300" w:lineRule="auto" w:before="31"/>
        <w:ind w:right="191" w:firstLine="360"/>
        <w:jc w:val="both"/>
      </w:pPr>
      <w:r>
        <w:rPr>
          <w:rFonts w:ascii="Times New Roman" w:hAnsi="Times New Roman" w:cs="Times New Roman" w:eastAsia="Times New Roman" w:hint="default"/>
          <w:spacing w:val="-1"/>
        </w:rPr>
        <w:t>4</w:t>
      </w:r>
      <w:r>
        <w:rPr>
          <w:spacing w:val="-1"/>
        </w:rPr>
        <w:t>、公司董事会结合具体经营数据，充分考虑公司盈利规模、现金流量状况、发展阶段及当期资金需求，并结合股东</w:t>
      </w:r>
      <w:r>
        <w:rPr>
          <w:rFonts w:ascii="Times New Roman" w:hAnsi="Times New Roman" w:cs="Times New Roman" w:eastAsia="Times New Roman" w:hint="default"/>
          <w:spacing w:val="-1"/>
        </w:rPr>
        <w:t>(</w:t>
      </w:r>
      <w:r>
        <w:rPr>
          <w:spacing w:val="-1"/>
        </w:rPr>
        <w:t>特</w:t>
      </w:r>
      <w:r>
        <w:rPr/>
        <w:t> 别是公众投资者</w:t>
      </w:r>
      <w:r>
        <w:rPr>
          <w:rFonts w:ascii="Times New Roman" w:hAnsi="Times New Roman" w:cs="Times New Roman" w:eastAsia="Times New Roman" w:hint="default"/>
        </w:rPr>
        <w:t>)</w:t>
      </w:r>
      <w:r>
        <w:rPr/>
        <w:t>、独立董事和监事的意见，制定年度或中期分红方案，并经公司股东大会表决通过后实施。公司接受所有 股东、独立董事和监事对公司分红的建议和监督。</w:t>
      </w:r>
    </w:p>
    <w:p>
      <w:pPr>
        <w:pStyle w:val="Heading5"/>
        <w:spacing w:line="240" w:lineRule="auto" w:before="73"/>
        <w:ind w:right="88"/>
        <w:jc w:val="left"/>
        <w:rPr>
          <w:b w:val="0"/>
          <w:bCs w:val="0"/>
        </w:rPr>
      </w:pPr>
      <w:r>
        <w:rPr/>
        <w:t>公司报告期利润分配预案及资本公积金转增股本预案与公司章程和分红管理办法等的相关规定一致</w:t>
      </w:r>
      <w:r>
        <w:rPr>
          <w:b w:val="0"/>
          <w:bCs w:val="0"/>
        </w:rPr>
      </w:r>
    </w:p>
    <w:p>
      <w:pPr>
        <w:pStyle w:val="BodyText"/>
        <w:spacing w:line="348" w:lineRule="auto" w:before="115"/>
        <w:ind w:right="3334"/>
        <w:jc w:val="left"/>
        <w:rPr>
          <w:rFonts w:ascii="宋体" w:hAnsi="宋体" w:cs="宋体" w:eastAsia="宋体"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w:t>
      </w:r>
      <w:r>
        <w:rPr>
          <w:rFonts w:ascii="宋体" w:hAnsi="宋体" w:cs="宋体" w:eastAsia="宋体" w:hint="default"/>
          <w:b/>
          <w:bCs/>
        </w:rPr>
        <w:t>本年度利润分配预案</w:t>
      </w:r>
      <w:r>
        <w:rPr>
          <w:rFonts w:ascii="宋体" w:hAnsi="宋体" w:cs="宋体" w:eastAsia="宋体" w:hint="default"/>
        </w:rPr>
      </w:r>
    </w:p>
    <w:p>
      <w:pPr>
        <w:spacing w:line="240" w:lineRule="auto" w:before="2"/>
        <w:rPr>
          <w:rFonts w:ascii="宋体" w:hAnsi="宋体" w:cs="宋体" w:eastAsia="宋体" w:hint="default"/>
          <w:b/>
          <w:bCs/>
          <w:sz w:val="2"/>
          <w:szCs w:val="2"/>
        </w:rPr>
      </w:pP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180,000,000.00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40"/>
        </w:sectPr>
      </w:pPr>
    </w:p>
    <w:p>
      <w:pPr>
        <w:spacing w:line="240" w:lineRule="auto" w:before="12"/>
        <w:rPr>
          <w:rFonts w:ascii="宋体" w:hAnsi="宋体" w:cs="宋体" w:eastAsia="宋体" w:hint="default"/>
          <w:b/>
          <w:bCs/>
          <w:sz w:val="24"/>
          <w:szCs w:val="24"/>
        </w:rPr>
      </w:pPr>
    </w:p>
    <w:p>
      <w:pPr>
        <w:spacing w:line="2706" w:lineRule="exact"/>
        <w:ind w:left="154" w:right="0" w:firstLine="0"/>
        <w:rPr>
          <w:rFonts w:ascii="宋体" w:hAnsi="宋体" w:cs="宋体" w:eastAsia="宋体" w:hint="default"/>
          <w:sz w:val="20"/>
          <w:szCs w:val="20"/>
        </w:rPr>
      </w:pPr>
      <w:r>
        <w:rPr>
          <w:rFonts w:ascii="宋体" w:hAnsi="宋体" w:cs="宋体" w:eastAsia="宋体" w:hint="default"/>
          <w:position w:val="-53"/>
          <w:sz w:val="20"/>
          <w:szCs w:val="20"/>
        </w:rPr>
        <w:pict>
          <v:shape style="width:478.5pt;height:135.35pt;mso-position-horizontal-relative:char;mso-position-vertical-relative:line" type="#_x0000_t202" filled="true" fillcolor="#d2d2d2" stroked="true" strokeweight=".48pt" strokecolor="#000000">
            <w10:anchorlock/>
            <v:textbox inset="0,0,0,0">
              <w:txbxContent>
                <w:p>
                  <w:pPr>
                    <w:pStyle w:val="BodyText"/>
                    <w:spacing w:line="357" w:lineRule="auto" w:before="49"/>
                    <w:ind w:left="383" w:right="125" w:firstLine="2686"/>
                    <w:jc w:val="left"/>
                  </w:pPr>
                  <w:r>
                    <w:rPr/>
                    <w:t>利润分配或资本公积金转增预案的详细情况 经立信会计师事务所（特殊普通合伙）审计：</w:t>
                  </w:r>
                  <w:r>
                    <w:rPr>
                      <w:rFonts w:ascii="宋体" w:hAnsi="宋体" w:cs="宋体" w:eastAsia="宋体" w:hint="default"/>
                    </w:rPr>
                    <w:t>2012</w:t>
                  </w:r>
                  <w:r>
                    <w:rPr>
                      <w:rFonts w:ascii="宋体" w:hAnsi="宋体" w:cs="宋体" w:eastAsia="宋体" w:hint="default"/>
                      <w:spacing w:val="-46"/>
                    </w:rPr>
                    <w:t> </w:t>
                  </w:r>
                  <w:r>
                    <w:rPr/>
                    <w:t>年度，母公司实现净利润</w:t>
                  </w:r>
                  <w:r>
                    <w:rPr>
                      <w:spacing w:val="-48"/>
                    </w:rPr>
                    <w:t> </w:t>
                  </w:r>
                  <w:r>
                    <w:rPr>
                      <w:rFonts w:ascii="宋体" w:hAnsi="宋体" w:cs="宋体" w:eastAsia="宋体" w:hint="default"/>
                    </w:rPr>
                    <w:t>76,575,416.83</w:t>
                  </w:r>
                  <w:r>
                    <w:rPr>
                      <w:rFonts w:ascii="宋体" w:hAnsi="宋体" w:cs="宋体" w:eastAsia="宋体" w:hint="default"/>
                      <w:spacing w:val="-47"/>
                    </w:rPr>
                    <w:t> </w:t>
                  </w:r>
                  <w:r>
                    <w:rPr/>
                    <w:t>元，按实现的净利润的</w:t>
                  </w:r>
                </w:p>
                <w:p>
                  <w:pPr>
                    <w:pStyle w:val="BodyText"/>
                    <w:spacing w:line="224" w:lineRule="exact"/>
                    <w:ind w:left="22" w:right="0"/>
                    <w:jc w:val="left"/>
                    <w:rPr>
                      <w:rFonts w:ascii="宋体" w:hAnsi="宋体" w:cs="宋体" w:eastAsia="宋体" w:hint="default"/>
                    </w:rPr>
                  </w:pPr>
                  <w:r>
                    <w:rPr>
                      <w:rFonts w:ascii="宋体" w:hAnsi="宋体" w:cs="宋体" w:eastAsia="宋体" w:hint="default"/>
                      <w:spacing w:val="1"/>
                    </w:rPr>
                    <w:t>10%</w:t>
                  </w:r>
                  <w:r>
                    <w:rPr/>
                    <w:t>提取法定公</w:t>
                  </w:r>
                  <w:r>
                    <w:rPr>
                      <w:spacing w:val="-3"/>
                    </w:rPr>
                    <w:t>积</w:t>
                  </w:r>
                  <w:r>
                    <w:rPr/>
                    <w:t>金</w:t>
                  </w:r>
                  <w:r>
                    <w:rPr>
                      <w:spacing w:val="-45"/>
                    </w:rPr>
                    <w:t> </w:t>
                  </w:r>
                  <w:r>
                    <w:rPr>
                      <w:rFonts w:ascii="宋体" w:hAnsi="宋体" w:cs="宋体" w:eastAsia="宋体" w:hint="default"/>
                      <w:spacing w:val="-2"/>
                    </w:rPr>
                    <w:t>7</w:t>
                  </w:r>
                  <w:r>
                    <w:rPr>
                      <w:rFonts w:ascii="宋体" w:hAnsi="宋体" w:cs="宋体" w:eastAsia="宋体" w:hint="default"/>
                      <w:spacing w:val="1"/>
                    </w:rPr>
                    <w:t>,</w:t>
                  </w:r>
                  <w:r>
                    <w:rPr>
                      <w:rFonts w:ascii="宋体" w:hAnsi="宋体" w:cs="宋体" w:eastAsia="宋体" w:hint="default"/>
                      <w:spacing w:val="-2"/>
                    </w:rPr>
                    <w:t>6</w:t>
                  </w:r>
                  <w:r>
                    <w:rPr>
                      <w:rFonts w:ascii="宋体" w:hAnsi="宋体" w:cs="宋体" w:eastAsia="宋体" w:hint="default"/>
                      <w:spacing w:val="1"/>
                    </w:rPr>
                    <w:t>5</w:t>
                  </w:r>
                  <w:r>
                    <w:rPr>
                      <w:rFonts w:ascii="宋体" w:hAnsi="宋体" w:cs="宋体" w:eastAsia="宋体" w:hint="default"/>
                      <w:spacing w:val="-2"/>
                    </w:rPr>
                    <w:t>7</w:t>
                  </w:r>
                  <w:r>
                    <w:rPr>
                      <w:rFonts w:ascii="宋体" w:hAnsi="宋体" w:cs="宋体" w:eastAsia="宋体" w:hint="default"/>
                      <w:spacing w:val="1"/>
                    </w:rPr>
                    <w:t>,</w:t>
                  </w:r>
                  <w:r>
                    <w:rPr>
                      <w:rFonts w:ascii="宋体" w:hAnsi="宋体" w:cs="宋体" w:eastAsia="宋体" w:hint="default"/>
                      <w:spacing w:val="-2"/>
                    </w:rPr>
                    <w:t>5</w:t>
                  </w:r>
                  <w:r>
                    <w:rPr>
                      <w:rFonts w:ascii="宋体" w:hAnsi="宋体" w:cs="宋体" w:eastAsia="宋体" w:hint="default"/>
                      <w:spacing w:val="1"/>
                    </w:rPr>
                    <w:t>4</w:t>
                  </w:r>
                  <w:r>
                    <w:rPr>
                      <w:rFonts w:ascii="宋体" w:hAnsi="宋体" w:cs="宋体" w:eastAsia="宋体" w:hint="default"/>
                      <w:spacing w:val="-2"/>
                    </w:rPr>
                    <w:t>1</w:t>
                  </w:r>
                  <w:r>
                    <w:rPr>
                      <w:rFonts w:ascii="宋体" w:hAnsi="宋体" w:cs="宋体" w:eastAsia="宋体" w:hint="default"/>
                      <w:spacing w:val="1"/>
                    </w:rPr>
                    <w:t>.</w:t>
                  </w:r>
                  <w:r>
                    <w:rPr>
                      <w:rFonts w:ascii="宋体" w:hAnsi="宋体" w:cs="宋体" w:eastAsia="宋体" w:hint="default"/>
                      <w:spacing w:val="-2"/>
                    </w:rPr>
                    <w:t>6</w:t>
                  </w:r>
                  <w:r>
                    <w:rPr>
                      <w:rFonts w:ascii="宋体" w:hAnsi="宋体" w:cs="宋体" w:eastAsia="宋体" w:hint="default"/>
                    </w:rPr>
                    <w:t>8</w:t>
                  </w:r>
                  <w:r>
                    <w:rPr>
                      <w:rFonts w:ascii="宋体" w:hAnsi="宋体" w:cs="宋体" w:eastAsia="宋体" w:hint="default"/>
                      <w:spacing w:val="-43"/>
                    </w:rPr>
                    <w:t> </w:t>
                  </w:r>
                  <w:r>
                    <w:rPr/>
                    <w:t>元后</w:t>
                  </w:r>
                  <w:r>
                    <w:rPr>
                      <w:spacing w:val="-82"/>
                    </w:rPr>
                    <w:t>，</w:t>
                  </w:r>
                  <w:r>
                    <w:rPr/>
                    <w:t>可供分配净利润为</w:t>
                  </w:r>
                  <w:r>
                    <w:rPr>
                      <w:spacing w:val="-45"/>
                    </w:rPr>
                    <w:t> </w:t>
                  </w:r>
                  <w:r>
                    <w:rPr>
                      <w:rFonts w:ascii="宋体" w:hAnsi="宋体" w:cs="宋体" w:eastAsia="宋体" w:hint="default"/>
                      <w:spacing w:val="-2"/>
                    </w:rPr>
                    <w:t>68</w:t>
                  </w:r>
                  <w:r>
                    <w:rPr>
                      <w:rFonts w:ascii="宋体" w:hAnsi="宋体" w:cs="宋体" w:eastAsia="宋体" w:hint="default"/>
                      <w:spacing w:val="1"/>
                    </w:rPr>
                    <w:t>,9</w:t>
                  </w:r>
                  <w:r>
                    <w:rPr>
                      <w:rFonts w:ascii="宋体" w:hAnsi="宋体" w:cs="宋体" w:eastAsia="宋体" w:hint="default"/>
                      <w:spacing w:val="-2"/>
                    </w:rPr>
                    <w:t>1</w:t>
                  </w:r>
                  <w:r>
                    <w:rPr>
                      <w:rFonts w:ascii="宋体" w:hAnsi="宋体" w:cs="宋体" w:eastAsia="宋体" w:hint="default"/>
                      <w:spacing w:val="1"/>
                    </w:rPr>
                    <w:t>7</w:t>
                  </w:r>
                  <w:r>
                    <w:rPr>
                      <w:rFonts w:ascii="宋体" w:hAnsi="宋体" w:cs="宋体" w:eastAsia="宋体" w:hint="default"/>
                      <w:spacing w:val="-2"/>
                    </w:rPr>
                    <w:t>,</w:t>
                  </w:r>
                  <w:r>
                    <w:rPr>
                      <w:rFonts w:ascii="宋体" w:hAnsi="宋体" w:cs="宋体" w:eastAsia="宋体" w:hint="default"/>
                      <w:spacing w:val="1"/>
                    </w:rPr>
                    <w:t>8</w:t>
                  </w:r>
                  <w:r>
                    <w:rPr>
                      <w:rFonts w:ascii="宋体" w:hAnsi="宋体" w:cs="宋体" w:eastAsia="宋体" w:hint="default"/>
                      <w:spacing w:val="-2"/>
                    </w:rPr>
                    <w:t>7</w:t>
                  </w:r>
                  <w:r>
                    <w:rPr>
                      <w:rFonts w:ascii="宋体" w:hAnsi="宋体" w:cs="宋体" w:eastAsia="宋体" w:hint="default"/>
                      <w:spacing w:val="1"/>
                    </w:rPr>
                    <w:t>5</w:t>
                  </w:r>
                  <w:r>
                    <w:rPr>
                      <w:rFonts w:ascii="宋体" w:hAnsi="宋体" w:cs="宋体" w:eastAsia="宋体" w:hint="default"/>
                      <w:spacing w:val="-2"/>
                    </w:rPr>
                    <w:t>.1</w:t>
                  </w:r>
                  <w:r>
                    <w:rPr>
                      <w:rFonts w:ascii="宋体" w:hAnsi="宋体" w:cs="宋体" w:eastAsia="宋体" w:hint="default"/>
                    </w:rPr>
                    <w:t>5</w:t>
                  </w:r>
                  <w:r>
                    <w:rPr>
                      <w:rFonts w:ascii="宋体" w:hAnsi="宋体" w:cs="宋体" w:eastAsia="宋体" w:hint="default"/>
                      <w:spacing w:val="-42"/>
                    </w:rPr>
                    <w:t> </w:t>
                  </w:r>
                  <w:r>
                    <w:rPr/>
                    <w:t>元</w:t>
                  </w:r>
                  <w:r>
                    <w:rPr>
                      <w:spacing w:val="-82"/>
                    </w:rPr>
                    <w:t>，</w:t>
                  </w:r>
                  <w:r>
                    <w:rPr/>
                    <w:t>加上年年末</w:t>
                  </w:r>
                  <w:r>
                    <w:rPr>
                      <w:spacing w:val="-3"/>
                    </w:rPr>
                    <w:t>结</w:t>
                  </w:r>
                  <w:r>
                    <w:rPr/>
                    <w:t>存未分配利润</w:t>
                  </w:r>
                  <w:r>
                    <w:rPr>
                      <w:spacing w:val="-44"/>
                    </w:rPr>
                    <w:t> </w:t>
                  </w:r>
                  <w:r>
                    <w:rPr>
                      <w:rFonts w:ascii="宋体" w:hAnsi="宋体" w:cs="宋体" w:eastAsia="宋体" w:hint="default"/>
                      <w:spacing w:val="1"/>
                    </w:rPr>
                    <w:t>8</w:t>
                  </w:r>
                  <w:r>
                    <w:rPr>
                      <w:rFonts w:ascii="宋体" w:hAnsi="宋体" w:cs="宋体" w:eastAsia="宋体" w:hint="default"/>
                      <w:spacing w:val="-2"/>
                    </w:rPr>
                    <w:t>3</w:t>
                  </w:r>
                  <w:r>
                    <w:rPr>
                      <w:rFonts w:ascii="宋体" w:hAnsi="宋体" w:cs="宋体" w:eastAsia="宋体" w:hint="default"/>
                      <w:spacing w:val="1"/>
                    </w:rPr>
                    <w:t>,</w:t>
                  </w:r>
                  <w:r>
                    <w:rPr>
                      <w:rFonts w:ascii="宋体" w:hAnsi="宋体" w:cs="宋体" w:eastAsia="宋体" w:hint="default"/>
                      <w:spacing w:val="-2"/>
                    </w:rPr>
                    <w:t>6</w:t>
                  </w:r>
                  <w:r>
                    <w:rPr>
                      <w:rFonts w:ascii="宋体" w:hAnsi="宋体" w:cs="宋体" w:eastAsia="宋体" w:hint="default"/>
                      <w:spacing w:val="1"/>
                    </w:rPr>
                    <w:t>1</w:t>
                  </w:r>
                  <w:r>
                    <w:rPr>
                      <w:rFonts w:ascii="宋体" w:hAnsi="宋体" w:cs="宋体" w:eastAsia="宋体" w:hint="default"/>
                      <w:spacing w:val="-2"/>
                    </w:rPr>
                    <w:t>1</w:t>
                  </w:r>
                  <w:r>
                    <w:rPr>
                      <w:rFonts w:ascii="宋体" w:hAnsi="宋体" w:cs="宋体" w:eastAsia="宋体" w:hint="default"/>
                      <w:spacing w:val="1"/>
                    </w:rPr>
                    <w:t>,</w:t>
                  </w:r>
                  <w:r>
                    <w:rPr>
                      <w:rFonts w:ascii="宋体" w:hAnsi="宋体" w:cs="宋体" w:eastAsia="宋体" w:hint="default"/>
                      <w:spacing w:val="-2"/>
                    </w:rPr>
                    <w:t>5</w:t>
                  </w:r>
                  <w:r>
                    <w:rPr>
                      <w:rFonts w:ascii="宋体" w:hAnsi="宋体" w:cs="宋体" w:eastAsia="宋体" w:hint="default"/>
                      <w:spacing w:val="1"/>
                    </w:rPr>
                    <w:t>8</w:t>
                  </w:r>
                  <w:r>
                    <w:rPr>
                      <w:rFonts w:ascii="宋体" w:hAnsi="宋体" w:cs="宋体" w:eastAsia="宋体" w:hint="default"/>
                      <w:spacing w:val="-2"/>
                    </w:rPr>
                    <w:t>0</w:t>
                  </w:r>
                  <w:r>
                    <w:rPr>
                      <w:rFonts w:ascii="宋体" w:hAnsi="宋体" w:cs="宋体" w:eastAsia="宋体" w:hint="default"/>
                      <w:spacing w:val="1"/>
                    </w:rPr>
                    <w:t>.</w:t>
                  </w:r>
                  <w:r>
                    <w:rPr>
                      <w:rFonts w:ascii="宋体" w:hAnsi="宋体" w:cs="宋体" w:eastAsia="宋体" w:hint="default"/>
                      <w:spacing w:val="-2"/>
                    </w:rPr>
                    <w:t>7</w:t>
                  </w:r>
                  <w:r>
                    <w:rPr>
                      <w:rFonts w:ascii="宋体" w:hAnsi="宋体" w:cs="宋体" w:eastAsia="宋体" w:hint="default"/>
                    </w:rPr>
                    <w:t>1</w:t>
                  </w:r>
                </w:p>
                <w:p>
                  <w:pPr>
                    <w:pStyle w:val="BodyText"/>
                    <w:spacing w:line="240" w:lineRule="auto" w:before="76"/>
                    <w:ind w:left="22" w:right="0"/>
                    <w:jc w:val="left"/>
                  </w:pPr>
                  <w:r>
                    <w:rPr/>
                    <w:t>元，减去报告期内发放的</w:t>
                  </w:r>
                  <w:r>
                    <w:rPr>
                      <w:spacing w:val="-46"/>
                    </w:rPr>
                    <w:t> </w:t>
                  </w:r>
                  <w:r>
                    <w:rPr>
                      <w:rFonts w:ascii="宋体" w:hAnsi="宋体" w:cs="宋体" w:eastAsia="宋体" w:hint="default"/>
                    </w:rPr>
                    <w:t>2011</w:t>
                  </w:r>
                  <w:r>
                    <w:rPr>
                      <w:rFonts w:ascii="宋体" w:hAnsi="宋体" w:cs="宋体" w:eastAsia="宋体" w:hint="default"/>
                      <w:spacing w:val="-48"/>
                    </w:rPr>
                    <w:t> </w:t>
                  </w:r>
                  <w:r>
                    <w:rPr/>
                    <w:t>年度现金股利</w:t>
                  </w:r>
                  <w:r>
                    <w:rPr>
                      <w:spacing w:val="-46"/>
                    </w:rPr>
                    <w:t> </w:t>
                  </w:r>
                  <w:r>
                    <w:rPr>
                      <w:rFonts w:ascii="宋体" w:hAnsi="宋体" w:cs="宋体" w:eastAsia="宋体" w:hint="default"/>
                    </w:rPr>
                    <w:t>50,400,000</w:t>
                  </w:r>
                  <w:r>
                    <w:rPr>
                      <w:rFonts w:ascii="宋体" w:hAnsi="宋体" w:cs="宋体" w:eastAsia="宋体" w:hint="default"/>
                      <w:spacing w:val="-45"/>
                    </w:rPr>
                    <w:t> </w:t>
                  </w:r>
                  <w:r>
                    <w:rPr/>
                    <w:t>元，合计共有未分配利润</w:t>
                  </w:r>
                  <w:r>
                    <w:rPr>
                      <w:spacing w:val="-47"/>
                    </w:rPr>
                    <w:t> </w:t>
                  </w:r>
                  <w:r>
                    <w:rPr>
                      <w:rFonts w:ascii="宋体" w:hAnsi="宋体" w:cs="宋体" w:eastAsia="宋体" w:hint="default"/>
                    </w:rPr>
                    <w:t>102,129,455.86</w:t>
                  </w:r>
                  <w:r>
                    <w:rPr>
                      <w:rFonts w:ascii="宋体" w:hAnsi="宋体" w:cs="宋体" w:eastAsia="宋体" w:hint="default"/>
                      <w:spacing w:val="-44"/>
                    </w:rPr>
                    <w:t> </w:t>
                  </w:r>
                  <w:r>
                    <w:rPr/>
                    <w:t>元。</w:t>
                  </w:r>
                </w:p>
                <w:p>
                  <w:pPr>
                    <w:pStyle w:val="BodyText"/>
                    <w:spacing w:line="240" w:lineRule="auto" w:before="117"/>
                    <w:ind w:left="383" w:right="0"/>
                    <w:jc w:val="left"/>
                  </w:pPr>
                  <w:r>
                    <w:rPr/>
                    <w:t>为更好地保障广大中小投资者利益，与全体股东分享公司快速发展的经营成果，公司董事会拟以</w:t>
                  </w:r>
                  <w:r>
                    <w:rPr>
                      <w:spacing w:val="-44"/>
                    </w:rPr>
                    <w:t> </w:t>
                  </w:r>
                  <w:r>
                    <w:rPr>
                      <w:rFonts w:ascii="宋体" w:hAnsi="宋体" w:cs="宋体" w:eastAsia="宋体" w:hint="default"/>
                    </w:rPr>
                    <w:t>2012</w:t>
                  </w:r>
                  <w:r>
                    <w:rPr>
                      <w:rFonts w:ascii="宋体" w:hAnsi="宋体" w:cs="宋体" w:eastAsia="宋体" w:hint="default"/>
                      <w:spacing w:val="-47"/>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8"/>
                    </w:rPr>
                    <w:t> </w:t>
                  </w:r>
                  <w:r>
                    <w:rPr>
                      <w:rFonts w:ascii="宋体" w:hAnsi="宋体" w:cs="宋体" w:eastAsia="宋体" w:hint="default"/>
                    </w:rPr>
                    <w:t>31</w:t>
                  </w:r>
                  <w:r>
                    <w:rPr>
                      <w:rFonts w:ascii="宋体" w:hAnsi="宋体" w:cs="宋体" w:eastAsia="宋体" w:hint="default"/>
                      <w:spacing w:val="-45"/>
                    </w:rPr>
                    <w:t> </w:t>
                  </w:r>
                  <w:r>
                    <w:rPr/>
                    <w:t>日</w:t>
                  </w:r>
                </w:p>
                <w:p>
                  <w:pPr>
                    <w:pStyle w:val="BodyText"/>
                    <w:spacing w:line="240" w:lineRule="auto" w:before="76"/>
                    <w:ind w:left="22" w:right="0"/>
                    <w:jc w:val="left"/>
                  </w:pPr>
                  <w:r>
                    <w:rPr/>
                    <w:t>公司总股本</w:t>
                  </w:r>
                  <w:r>
                    <w:rPr>
                      <w:spacing w:val="-44"/>
                    </w:rPr>
                    <w:t> </w:t>
                  </w:r>
                  <w:r>
                    <w:rPr>
                      <w:rFonts w:ascii="宋体" w:hAnsi="宋体" w:cs="宋体" w:eastAsia="宋体" w:hint="default"/>
                      <w:spacing w:val="1"/>
                    </w:rPr>
                    <w:t>1</w:t>
                  </w:r>
                  <w:r>
                    <w:rPr>
                      <w:rFonts w:ascii="宋体" w:hAnsi="宋体" w:cs="宋体" w:eastAsia="宋体" w:hint="default"/>
                      <w:spacing w:val="-2"/>
                    </w:rPr>
                    <w:t>8</w:t>
                  </w:r>
                  <w:r>
                    <w:rPr>
                      <w:rFonts w:ascii="宋体" w:hAnsi="宋体" w:cs="宋体" w:eastAsia="宋体" w:hint="default"/>
                      <w:spacing w:val="1"/>
                    </w:rPr>
                    <w:t>,</w:t>
                  </w:r>
                  <w:r>
                    <w:rPr>
                      <w:rFonts w:ascii="宋体" w:hAnsi="宋体" w:cs="宋体" w:eastAsia="宋体" w:hint="default"/>
                      <w:spacing w:val="-2"/>
                    </w:rPr>
                    <w:t>0</w:t>
                  </w:r>
                  <w:r>
                    <w:rPr>
                      <w:rFonts w:ascii="宋体" w:hAnsi="宋体" w:cs="宋体" w:eastAsia="宋体" w:hint="default"/>
                      <w:spacing w:val="1"/>
                    </w:rPr>
                    <w:t>0</w:t>
                  </w:r>
                  <w:r>
                    <w:rPr>
                      <w:rFonts w:ascii="宋体" w:hAnsi="宋体" w:cs="宋体" w:eastAsia="宋体" w:hint="default"/>
                    </w:rPr>
                    <w:t>0</w:t>
                  </w:r>
                  <w:r>
                    <w:rPr>
                      <w:rFonts w:ascii="宋体" w:hAnsi="宋体" w:cs="宋体" w:eastAsia="宋体" w:hint="default"/>
                      <w:spacing w:val="-43"/>
                    </w:rPr>
                    <w:t> </w:t>
                  </w:r>
                  <w:r>
                    <w:rPr/>
                    <w:t>万股为基</w:t>
                  </w:r>
                  <w:r>
                    <w:rPr>
                      <w:spacing w:val="-3"/>
                    </w:rPr>
                    <w:t>数</w:t>
                  </w:r>
                  <w:r>
                    <w:rPr>
                      <w:spacing w:val="-8"/>
                    </w:rPr>
                    <w:t>，</w:t>
                  </w:r>
                  <w:r>
                    <w:rPr/>
                    <w:t>向全体股东每</w:t>
                  </w:r>
                  <w:r>
                    <w:rPr>
                      <w:spacing w:val="-44"/>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44"/>
                    </w:rPr>
                    <w:t> </w:t>
                  </w:r>
                  <w:r>
                    <w:rPr/>
                    <w:t>股派发现</w:t>
                  </w:r>
                  <w:r>
                    <w:rPr>
                      <w:spacing w:val="-3"/>
                    </w:rPr>
                    <w:t>金</w:t>
                  </w:r>
                  <w:r>
                    <w:rPr/>
                    <w:t>股利</w:t>
                  </w:r>
                  <w:r>
                    <w:rPr>
                      <w:spacing w:val="-45"/>
                    </w:rPr>
                    <w:t> </w:t>
                  </w:r>
                  <w:r>
                    <w:rPr>
                      <w:rFonts w:ascii="宋体" w:hAnsi="宋体" w:cs="宋体" w:eastAsia="宋体" w:hint="default"/>
                    </w:rPr>
                    <w:t>2</w:t>
                  </w:r>
                  <w:r>
                    <w:rPr>
                      <w:rFonts w:ascii="宋体" w:hAnsi="宋体" w:cs="宋体" w:eastAsia="宋体" w:hint="default"/>
                      <w:spacing w:val="-44"/>
                    </w:rPr>
                    <w:t> </w:t>
                  </w:r>
                  <w:r>
                    <w:rPr/>
                    <w:t>元人民</w:t>
                  </w:r>
                  <w:r>
                    <w:rPr>
                      <w:spacing w:val="-8"/>
                    </w:rPr>
                    <w:t>币</w:t>
                  </w:r>
                  <w:r>
                    <w:rPr/>
                    <w:t>（含税</w:t>
                  </w:r>
                  <w:r>
                    <w:rPr>
                      <w:spacing w:val="-92"/>
                    </w:rPr>
                    <w:t>）</w:t>
                  </w:r>
                  <w:r>
                    <w:rPr>
                      <w:spacing w:val="-8"/>
                    </w:rPr>
                    <w:t>，</w:t>
                  </w:r>
                  <w:r>
                    <w:rPr/>
                    <w:t>合计分配利润</w:t>
                  </w:r>
                  <w:r>
                    <w:rPr>
                      <w:spacing w:val="-44"/>
                    </w:rPr>
                    <w:t> </w:t>
                  </w:r>
                  <w:r>
                    <w:rPr>
                      <w:rFonts w:ascii="宋体" w:hAnsi="宋体" w:cs="宋体" w:eastAsia="宋体" w:hint="default"/>
                      <w:spacing w:val="1"/>
                    </w:rPr>
                    <w:t>3</w:t>
                  </w:r>
                  <w:r>
                    <w:rPr>
                      <w:rFonts w:ascii="宋体" w:hAnsi="宋体" w:cs="宋体" w:eastAsia="宋体" w:hint="default"/>
                      <w:spacing w:val="-2"/>
                    </w:rPr>
                    <w:t>6</w:t>
                  </w:r>
                  <w:r>
                    <w:rPr>
                      <w:rFonts w:ascii="宋体" w:hAnsi="宋体" w:cs="宋体" w:eastAsia="宋体" w:hint="default"/>
                      <w:spacing w:val="1"/>
                    </w:rPr>
                    <w:t>0</w:t>
                  </w:r>
                  <w:r>
                    <w:rPr>
                      <w:rFonts w:ascii="宋体" w:hAnsi="宋体" w:cs="宋体" w:eastAsia="宋体" w:hint="default"/>
                    </w:rPr>
                    <w:t>0</w:t>
                  </w:r>
                  <w:r>
                    <w:rPr>
                      <w:rFonts w:ascii="宋体" w:hAnsi="宋体" w:cs="宋体" w:eastAsia="宋体" w:hint="default"/>
                      <w:spacing w:val="-43"/>
                    </w:rPr>
                    <w:t> </w:t>
                  </w:r>
                  <w:r>
                    <w:rPr/>
                    <w:t>万元</w:t>
                  </w:r>
                  <w:r>
                    <w:rPr>
                      <w:spacing w:val="-8"/>
                    </w:rPr>
                    <w:t>，</w:t>
                  </w:r>
                  <w:r>
                    <w:rPr/>
                    <w:t>未</w:t>
                  </w:r>
                  <w:r>
                    <w:rPr>
                      <w:spacing w:val="-3"/>
                    </w:rPr>
                    <w:t>分</w:t>
                  </w:r>
                  <w:r>
                    <w:rPr/>
                    <w:t>配</w:t>
                  </w:r>
                </w:p>
                <w:p>
                  <w:pPr>
                    <w:pStyle w:val="BodyText"/>
                    <w:spacing w:line="240" w:lineRule="auto" w:before="76"/>
                    <w:ind w:left="22" w:right="0"/>
                    <w:jc w:val="left"/>
                  </w:pPr>
                  <w:r>
                    <w:rPr/>
                    <w:t>利润</w:t>
                  </w:r>
                  <w:r>
                    <w:rPr>
                      <w:spacing w:val="-49"/>
                    </w:rPr>
                    <w:t> </w:t>
                  </w:r>
                  <w:r>
                    <w:rPr>
                      <w:rFonts w:ascii="宋体" w:hAnsi="宋体" w:cs="宋体" w:eastAsia="宋体" w:hint="default"/>
                    </w:rPr>
                    <w:t>66,129,455.86</w:t>
                  </w:r>
                  <w:r>
                    <w:rPr>
                      <w:rFonts w:ascii="宋体" w:hAnsi="宋体" w:cs="宋体" w:eastAsia="宋体" w:hint="default"/>
                      <w:spacing w:val="-48"/>
                    </w:rPr>
                    <w:t> </w:t>
                  </w:r>
                  <w:r>
                    <w:rPr/>
                    <w:t>元结转下一年度。</w:t>
                  </w:r>
                </w:p>
                <w:p>
                  <w:pPr>
                    <w:pStyle w:val="BodyText"/>
                    <w:spacing w:line="240" w:lineRule="auto" w:before="117"/>
                    <w:ind w:left="383" w:right="0"/>
                    <w:jc w:val="left"/>
                  </w:pPr>
                  <w:r>
                    <w:rPr/>
                    <w:t>本利润分配预案尚需提交</w:t>
                  </w:r>
                  <w:r>
                    <w:rPr>
                      <w:spacing w:val="-45"/>
                    </w:rPr>
                    <w:t> </w:t>
                  </w:r>
                  <w:r>
                    <w:rPr>
                      <w:rFonts w:ascii="Times New Roman" w:hAnsi="Times New Roman" w:cs="Times New Roman" w:eastAsia="Times New Roman" w:hint="default"/>
                    </w:rPr>
                    <w:t>2012 </w:t>
                  </w:r>
                  <w:r>
                    <w:rPr/>
                    <w:t>年度股东大会审议，请广大投资者注意投资风险。</w:t>
                  </w:r>
                </w:p>
              </w:txbxContent>
            </v:textbox>
            <v:fill type="solid"/>
          </v:shape>
        </w:pict>
      </w:r>
      <w:r>
        <w:rPr>
          <w:rFonts w:ascii="宋体" w:hAnsi="宋体" w:cs="宋体" w:eastAsia="宋体" w:hint="default"/>
          <w:position w:val="-53"/>
          <w:sz w:val="20"/>
          <w:szCs w:val="20"/>
        </w:rPr>
      </w:r>
    </w:p>
    <w:p>
      <w:pPr>
        <w:pStyle w:val="Heading5"/>
        <w:spacing w:line="240" w:lineRule="auto" w:before="55"/>
        <w:ind w:right="88"/>
        <w:jc w:val="left"/>
        <w:rPr>
          <w:b w:val="0"/>
          <w:bCs w:val="0"/>
        </w:rPr>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年（含报告期）的利润分配方案及资本公积金转增股本方案情况</w:t>
      </w:r>
      <w:r>
        <w:rPr>
          <w:b w:val="0"/>
          <w:bCs w:val="0"/>
        </w:rPr>
      </w:r>
    </w:p>
    <w:p>
      <w:pPr>
        <w:pStyle w:val="BodyText"/>
        <w:spacing w:line="300" w:lineRule="auto" w:before="101"/>
        <w:ind w:right="91" w:firstLine="360"/>
        <w:jc w:val="left"/>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2010</w:t>
      </w:r>
      <w:r>
        <w:rPr>
          <w:spacing w:val="-3"/>
        </w:rPr>
        <w:t>年度，公司以总股本</w:t>
      </w:r>
      <w:r>
        <w:rPr>
          <w:rFonts w:ascii="Times New Roman" w:hAnsi="Times New Roman" w:cs="Times New Roman" w:eastAsia="Times New Roman" w:hint="default"/>
          <w:spacing w:val="-3"/>
        </w:rPr>
        <w:t>7200</w:t>
      </w:r>
      <w:r>
        <w:rPr>
          <w:spacing w:val="-3"/>
        </w:rPr>
        <w:t>万股为基数，向全体股东每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8</w:t>
      </w:r>
      <w:r>
        <w:rPr>
          <w:spacing w:val="-3"/>
        </w:rPr>
        <w:t>元（含税，扣税后个人、证券投资基金、</w:t>
      </w:r>
      <w:r>
        <w:rPr/>
        <w:t> 合格境外机构投资者实际每</w:t>
      </w:r>
      <w:r>
        <w:rPr>
          <w:rFonts w:ascii="Times New Roman" w:hAnsi="Times New Roman" w:cs="Times New Roman" w:eastAsia="Times New Roman" w:hint="default"/>
        </w:rPr>
        <w:t>10</w:t>
      </w:r>
      <w:r>
        <w:rPr/>
        <w:t>股派现红利</w:t>
      </w:r>
      <w:r>
        <w:rPr>
          <w:rFonts w:ascii="Times New Roman" w:hAnsi="Times New Roman" w:cs="Times New Roman" w:eastAsia="Times New Roman" w:hint="default"/>
        </w:rPr>
        <w:t>7.2</w:t>
      </w:r>
      <w:r>
        <w:rPr/>
        <w:t>元，对于其他非居民企业，公司未代扣代缴所得税，由纳税人在所得发生地缴 </w:t>
      </w:r>
      <w:r>
        <w:rPr>
          <w:spacing w:val="-2"/>
        </w:rPr>
        <w:t>纳），共计派发股利</w:t>
      </w:r>
      <w:r>
        <w:rPr>
          <w:rFonts w:ascii="Times New Roman" w:hAnsi="Times New Roman" w:cs="Times New Roman" w:eastAsia="Times New Roman" w:hint="default"/>
          <w:spacing w:val="-2"/>
        </w:rPr>
        <w:t>5,760</w:t>
      </w:r>
      <w:r>
        <w:rPr>
          <w:spacing w:val="-2"/>
        </w:rPr>
        <w:t>万元，同时以资本公积向全体股东每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15</w:t>
      </w:r>
      <w:r>
        <w:rPr>
          <w:spacing w:val="-2"/>
        </w:rPr>
        <w:t>股，共计转增</w:t>
      </w:r>
      <w:r>
        <w:rPr>
          <w:rFonts w:ascii="Times New Roman" w:hAnsi="Times New Roman" w:cs="Times New Roman" w:eastAsia="Times New Roman" w:hint="default"/>
          <w:spacing w:val="-2"/>
        </w:rPr>
        <w:t>10,800</w:t>
      </w:r>
      <w:r>
        <w:rPr>
          <w:spacing w:val="-2"/>
        </w:rPr>
        <w:t>万股，转增完成后，公司总股</w:t>
      </w:r>
      <w:r>
        <w:rPr>
          <w:spacing w:val="-60"/>
        </w:rPr>
        <w:t> </w:t>
      </w:r>
      <w:r>
        <w:rPr>
          <w:spacing w:val="-60"/>
        </w:rPr>
      </w:r>
      <w:r>
        <w:rPr/>
        <w:t>本变为</w:t>
      </w:r>
      <w:r>
        <w:rPr>
          <w:rFonts w:ascii="Times New Roman" w:hAnsi="Times New Roman" w:cs="Times New Roman" w:eastAsia="Times New Roman" w:hint="default"/>
        </w:rPr>
        <w:t>18,000</w:t>
      </w:r>
      <w:r>
        <w:rPr/>
        <w:t>万股。该分配方案已于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日实施完毕。</w:t>
      </w:r>
    </w:p>
    <w:p>
      <w:pPr>
        <w:pStyle w:val="BodyText"/>
        <w:spacing w:line="300" w:lineRule="auto" w:before="53"/>
        <w:ind w:right="156"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2011</w:t>
      </w:r>
      <w:r>
        <w:rPr>
          <w:spacing w:val="-2"/>
        </w:rPr>
        <w:t>年度，公司以总股本</w:t>
      </w:r>
      <w:r>
        <w:rPr>
          <w:rFonts w:ascii="Times New Roman" w:hAnsi="Times New Roman" w:cs="Times New Roman" w:eastAsia="Times New Roman" w:hint="default"/>
          <w:spacing w:val="-2"/>
        </w:rPr>
        <w:t>18,000</w:t>
      </w:r>
      <w:r>
        <w:rPr>
          <w:spacing w:val="-2"/>
        </w:rPr>
        <w:t>万为基数，向全体股东每</w:t>
      </w:r>
      <w:r>
        <w:rPr>
          <w:rFonts w:ascii="Times New Roman" w:hAnsi="Times New Roman" w:cs="Times New Roman" w:eastAsia="Times New Roman" w:hint="default"/>
          <w:spacing w:val="-2"/>
        </w:rPr>
        <w:t>10</w:t>
      </w:r>
      <w:r>
        <w:rPr>
          <w:spacing w:val="-2"/>
        </w:rPr>
        <w:t>股派</w:t>
      </w:r>
      <w:r>
        <w:rPr>
          <w:rFonts w:ascii="Times New Roman" w:hAnsi="Times New Roman" w:cs="Times New Roman" w:eastAsia="Times New Roman" w:hint="default"/>
          <w:spacing w:val="-2"/>
        </w:rPr>
        <w:t>2.80</w:t>
      </w:r>
      <w:r>
        <w:rPr>
          <w:spacing w:val="-2"/>
        </w:rPr>
        <w:t>元（含税，扣税后个人、证券投资基金、合格境</w:t>
      </w:r>
      <w:r>
        <w:rPr/>
        <w:t> 外机构投资者实际每</w:t>
      </w:r>
      <w:r>
        <w:rPr>
          <w:rFonts w:ascii="Times New Roman" w:hAnsi="Times New Roman" w:cs="Times New Roman" w:eastAsia="Times New Roman" w:hint="default"/>
        </w:rPr>
        <w:t>10</w:t>
      </w:r>
      <w:r>
        <w:rPr/>
        <w:t>股派现红利</w:t>
      </w:r>
      <w:r>
        <w:rPr>
          <w:rFonts w:ascii="Times New Roman" w:hAnsi="Times New Roman" w:cs="Times New Roman" w:eastAsia="Times New Roman" w:hint="default"/>
        </w:rPr>
        <w:t>2.52</w:t>
      </w:r>
      <w:r>
        <w:rPr/>
        <w:t>元，对于其他非居民企业，公司未代扣代缴所得税，由纳税人在所得发生地缴纳）， 共计派现</w:t>
      </w:r>
      <w:r>
        <w:rPr>
          <w:rFonts w:ascii="Times New Roman" w:hAnsi="Times New Roman" w:cs="Times New Roman" w:eastAsia="Times New Roman" w:hint="default"/>
        </w:rPr>
        <w:t>5,040</w:t>
      </w:r>
      <w:r>
        <w:rPr/>
        <w:t>万元。该分配方案已于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日实施完毕。</w:t>
      </w:r>
    </w:p>
    <w:p>
      <w:pPr>
        <w:pStyle w:val="BodyText"/>
        <w:spacing w:line="340" w:lineRule="auto" w:before="51"/>
        <w:ind w:left="513" w:right="228"/>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年度，公司分配预案： 拟以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18,000</w:t>
      </w:r>
      <w:r>
        <w:rPr/>
        <w:t>万股为基数，向全体股东每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2</w:t>
      </w:r>
      <w:r>
        <w:rPr/>
        <w:t>元人民币（含税），合计分配利</w:t>
      </w:r>
    </w:p>
    <w:p>
      <w:pPr>
        <w:pStyle w:val="BodyText"/>
        <w:spacing w:line="228" w:lineRule="exact"/>
        <w:ind w:right="88"/>
        <w:jc w:val="left"/>
      </w:pPr>
      <w:r>
        <w:rPr/>
        <w:t>润</w:t>
      </w:r>
      <w:r>
        <w:rPr>
          <w:rFonts w:ascii="Times New Roman" w:hAnsi="Times New Roman" w:cs="Times New Roman" w:eastAsia="Times New Roman" w:hint="default"/>
        </w:rPr>
        <w:t>3600</w:t>
      </w:r>
      <w:r>
        <w:rPr/>
        <w:t>万元。</w:t>
      </w:r>
    </w:p>
    <w:p>
      <w:pPr>
        <w:pStyle w:val="Heading5"/>
        <w:spacing w:line="240" w:lineRule="auto" w:before="103"/>
        <w:ind w:right="88"/>
        <w:jc w:val="left"/>
        <w:rPr>
          <w:b w:val="0"/>
          <w:bCs w:val="0"/>
        </w:rPr>
      </w:pPr>
      <w:r>
        <w:rPr/>
        <w:t>公司近三年现金分红情况表</w:t>
      </w:r>
      <w:r>
        <w:rPr>
          <w:b w:val="0"/>
          <w:bCs w:val="0"/>
        </w:rPr>
      </w:r>
    </w:p>
    <w:p>
      <w:pPr>
        <w:pStyle w:val="BodyText"/>
        <w:spacing w:line="240" w:lineRule="auto" w:before="115"/>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6"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2"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75,754,985.34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47.52%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58,604,089.76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57,600,000.00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59,204,899.06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97.29%</w:t>
            </w:r>
          </w:p>
        </w:tc>
      </w:tr>
    </w:tbl>
    <w:p>
      <w:pPr>
        <w:pStyle w:val="BodyText"/>
        <w:spacing w:line="240" w:lineRule="auto" w:before="49"/>
        <w:ind w:right="88"/>
        <w:jc w:val="left"/>
      </w:pPr>
      <w:r>
        <w:rPr/>
        <w:t>公司报告期内盈利且母公司未分配利润为正但未提出现金红利分配预案</w:t>
      </w:r>
    </w:p>
    <w:p>
      <w:pPr>
        <w:pStyle w:val="BodyText"/>
        <w:spacing w:line="240" w:lineRule="auto" w:before="115"/>
        <w:ind w:right="8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88"/>
        <w:jc w:val="left"/>
        <w:rPr>
          <w:b w:val="0"/>
          <w:bCs w:val="0"/>
        </w:rPr>
      </w:pPr>
      <w:r>
        <w:rPr/>
        <w:t>七、内幕信息知情人管理制度的建立和执行情况</w:t>
      </w:r>
      <w:r>
        <w:rPr>
          <w:b w:val="0"/>
          <w:bCs w:val="0"/>
        </w:rPr>
      </w:r>
    </w:p>
    <w:p>
      <w:pPr>
        <w:spacing w:line="240" w:lineRule="auto" w:before="6"/>
        <w:rPr>
          <w:rFonts w:ascii="宋体" w:hAnsi="宋体" w:cs="宋体" w:eastAsia="宋体" w:hint="default"/>
          <w:b/>
          <w:bCs/>
          <w:sz w:val="26"/>
          <w:szCs w:val="26"/>
        </w:rPr>
      </w:pPr>
    </w:p>
    <w:p>
      <w:pPr>
        <w:spacing w:line="360" w:lineRule="auto" w:before="0"/>
        <w:ind w:left="496" w:right="88" w:hanging="344"/>
        <w:jc w:val="left"/>
        <w:rPr>
          <w:rFonts w:ascii="宋体" w:hAnsi="宋体" w:cs="宋体" w:eastAsia="宋体" w:hint="default"/>
          <w:sz w:val="18"/>
          <w:szCs w:val="18"/>
        </w:rPr>
      </w:pPr>
      <w:r>
        <w:rPr>
          <w:rFonts w:ascii="宋体" w:hAnsi="宋体" w:cs="宋体" w:eastAsia="宋体" w:hint="default"/>
          <w:b/>
          <w:bCs/>
          <w:sz w:val="18"/>
          <w:szCs w:val="18"/>
        </w:rPr>
        <w:t>（一）内幕信息知情人登记管理制度建立情况</w:t>
      </w:r>
      <w:r>
        <w:rPr>
          <w:rFonts w:ascii="宋体" w:hAnsi="宋体" w:cs="宋体" w:eastAsia="宋体" w:hint="default"/>
          <w:b/>
          <w:bCs/>
          <w:w w:val="99"/>
          <w:sz w:val="18"/>
          <w:szCs w:val="18"/>
        </w:rPr>
        <w:t> </w:t>
      </w:r>
      <w:r>
        <w:rPr>
          <w:rFonts w:ascii="宋体" w:hAnsi="宋体" w:cs="宋体" w:eastAsia="宋体" w:hint="default"/>
          <w:spacing w:val="-2"/>
          <w:sz w:val="18"/>
          <w:szCs w:val="18"/>
        </w:rPr>
        <w:t>为规范公司内幕信息管理，加强保密工作，保护广大投资者的合法权益，经第一届董事会第十次会议审议通过，公司于</w:t>
      </w:r>
    </w:p>
    <w:p>
      <w:pPr>
        <w:pStyle w:val="BodyText"/>
        <w:spacing w:line="236" w:lineRule="exact"/>
        <w:ind w:right="88"/>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月制定了《内幕信息知情人登记制度》，之后于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月经第一届董事会第十四次会议审议通过，对其作了进一</w:t>
      </w:r>
    </w:p>
    <w:p>
      <w:pPr>
        <w:pStyle w:val="BodyText"/>
        <w:spacing w:line="240" w:lineRule="auto" w:before="63"/>
        <w:ind w:right="88"/>
        <w:jc w:val="left"/>
      </w:pPr>
      <w:r>
        <w:rPr/>
        <w:t>步修订。</w:t>
      </w:r>
    </w:p>
    <w:p>
      <w:pPr>
        <w:pStyle w:val="Heading5"/>
        <w:spacing w:line="240" w:lineRule="auto" w:before="115"/>
        <w:ind w:right="88"/>
        <w:jc w:val="left"/>
        <w:rPr>
          <w:b w:val="0"/>
          <w:bCs w:val="0"/>
        </w:rPr>
      </w:pPr>
      <w:r>
        <w:rPr/>
        <w:t>（二）内幕信息知情人登记管理制度执行情况</w:t>
      </w:r>
      <w:r>
        <w:rPr>
          <w:b w:val="0"/>
          <w:bCs w:val="0"/>
        </w:rPr>
      </w:r>
    </w:p>
    <w:p>
      <w:pPr>
        <w:pStyle w:val="BodyText"/>
        <w:spacing w:line="340" w:lineRule="auto" w:before="117"/>
        <w:ind w:left="513" w:right="88" w:hanging="144"/>
        <w:jc w:val="left"/>
      </w:pPr>
      <w:r>
        <w:rPr>
          <w:rFonts w:ascii="Times New Roman" w:hAnsi="Times New Roman" w:cs="Times New Roman" w:eastAsia="Times New Roman" w:hint="default"/>
        </w:rPr>
        <w:t>1</w:t>
      </w:r>
      <w:r>
        <w:rPr/>
        <w:t>、重大事项保密工作 </w:t>
      </w:r>
      <w:r>
        <w:rPr>
          <w:spacing w:val="-2"/>
        </w:rPr>
        <w:t>报告期内，公司严格执行内幕信息知情人登记制度，在定期报告及其他重大事项披露前，公司董事会办公室都会严格控</w:t>
      </w:r>
    </w:p>
    <w:p>
      <w:pPr>
        <w:pStyle w:val="BodyText"/>
        <w:spacing w:line="240" w:lineRule="auto" w:before="1"/>
        <w:ind w:right="88"/>
        <w:jc w:val="left"/>
      </w:pPr>
      <w:r>
        <w:rPr/>
        <w:t>制知情人范围，并填写内幕信息知情人登记表。按照相关法规同时向证监局、交易所报备内幕信息知情人登记表。</w:t>
      </w:r>
    </w:p>
    <w:p>
      <w:pPr>
        <w:pStyle w:val="BodyText"/>
        <w:spacing w:line="240" w:lineRule="auto" w:before="114"/>
        <w:ind w:left="369" w:right="88"/>
        <w:jc w:val="left"/>
      </w:pPr>
      <w:r>
        <w:rPr>
          <w:rFonts w:ascii="Times New Roman" w:hAnsi="Times New Roman" w:cs="Times New Roman" w:eastAsia="Times New Roman" w:hint="default"/>
        </w:rPr>
        <w:t>2</w:t>
      </w:r>
      <w:r>
        <w:rPr/>
        <w:t>、内幕信息知情人在敏感期买卖公司股票情况</w:t>
      </w:r>
    </w:p>
    <w:p>
      <w:pPr>
        <w:spacing w:after="0" w:line="240" w:lineRule="auto"/>
        <w:jc w:val="left"/>
        <w:sectPr>
          <w:pgSz w:w="11910" w:h="16840"/>
          <w:pgMar w:header="877" w:footer="1227" w:top="1100" w:bottom="1420" w:left="980" w:right="940"/>
        </w:sectPr>
      </w:pPr>
    </w:p>
    <w:p>
      <w:pPr>
        <w:spacing w:line="240" w:lineRule="auto" w:before="11"/>
        <w:rPr>
          <w:rFonts w:ascii="宋体" w:hAnsi="宋体" w:cs="宋体" w:eastAsia="宋体" w:hint="default"/>
          <w:sz w:val="21"/>
          <w:szCs w:val="21"/>
        </w:rPr>
      </w:pPr>
    </w:p>
    <w:p>
      <w:pPr>
        <w:pStyle w:val="BodyText"/>
        <w:spacing w:line="240" w:lineRule="auto" w:before="44"/>
        <w:ind w:left="513" w:right="88"/>
        <w:jc w:val="left"/>
      </w:pPr>
      <w:r>
        <w:rPr/>
        <w:t>报告期内，公司董事、监事、高级管理人员及其直系亲属未存在敏感期买卖公司股票的行为。</w:t>
      </w:r>
    </w:p>
    <w:p>
      <w:pPr>
        <w:pStyle w:val="BodyText"/>
        <w:spacing w:line="240" w:lineRule="auto" w:before="117"/>
        <w:ind w:left="369" w:right="88"/>
        <w:jc w:val="left"/>
      </w:pPr>
      <w:r>
        <w:rPr>
          <w:rFonts w:ascii="Times New Roman" w:hAnsi="Times New Roman" w:cs="Times New Roman" w:eastAsia="Times New Roman" w:hint="default"/>
        </w:rPr>
        <w:t>3</w:t>
      </w:r>
      <w:r>
        <w:rPr/>
        <w:t>、组织公司董事、监事、高级管理人员及其他中层管理干部参加证监局组织的内幕交易警示录的参观学习。</w:t>
      </w:r>
    </w:p>
    <w:p>
      <w:pPr>
        <w:pStyle w:val="BodyText"/>
        <w:spacing w:line="340" w:lineRule="auto" w:before="101"/>
        <w:ind w:left="513" w:right="88" w:hanging="144"/>
        <w:jc w:val="left"/>
      </w:pPr>
      <w:r>
        <w:rPr>
          <w:rFonts w:ascii="Times New Roman" w:hAnsi="Times New Roman" w:cs="Times New Roman" w:eastAsia="Times New Roman" w:hint="default"/>
        </w:rPr>
        <w:t>4</w:t>
      </w:r>
      <w:r>
        <w:rPr/>
        <w:t>、公司对调研活动信息管理执行情况 </w:t>
      </w:r>
      <w:r>
        <w:rPr>
          <w:spacing w:val="-1"/>
        </w:rPr>
        <w:t>报告期内，公司严格按照《接待特定对象调研采访等相关活动管理规定》进行操作，以保证调研机构</w:t>
      </w:r>
      <w:r>
        <w:rPr>
          <w:rFonts w:ascii="Times New Roman" w:hAnsi="Times New Roman" w:cs="Times New Roman" w:eastAsia="Times New Roman" w:hint="default"/>
          <w:spacing w:val="-1"/>
        </w:rPr>
        <w:t>(</w:t>
      </w:r>
      <w:r>
        <w:rPr>
          <w:spacing w:val="-1"/>
        </w:rPr>
        <w:t>人员</w:t>
      </w:r>
      <w:r>
        <w:rPr>
          <w:rFonts w:ascii="Times New Roman" w:hAnsi="Times New Roman" w:cs="Times New Roman" w:eastAsia="Times New Roman" w:hint="default"/>
          <w:spacing w:val="-1"/>
        </w:rPr>
        <w:t>)</w:t>
      </w:r>
      <w:r>
        <w:rPr>
          <w:spacing w:val="-1"/>
        </w:rPr>
        <w:t>遵守相关规</w:t>
      </w:r>
    </w:p>
    <w:p>
      <w:pPr>
        <w:pStyle w:val="BodyText"/>
        <w:spacing w:line="215" w:lineRule="exact"/>
        <w:ind w:right="88"/>
        <w:jc w:val="left"/>
      </w:pPr>
      <w:r>
        <w:rPr/>
        <w:t>定。</w:t>
      </w:r>
    </w:p>
    <w:p>
      <w:pPr>
        <w:spacing w:line="357" w:lineRule="auto" w:before="117"/>
        <w:ind w:left="513" w:right="93" w:hanging="361"/>
        <w:jc w:val="left"/>
        <w:rPr>
          <w:rFonts w:ascii="宋体" w:hAnsi="宋体" w:cs="宋体" w:eastAsia="宋体" w:hint="default"/>
          <w:sz w:val="18"/>
          <w:szCs w:val="18"/>
        </w:rPr>
      </w:pPr>
      <w:r>
        <w:rPr>
          <w:rFonts w:ascii="宋体" w:hAnsi="宋体" w:cs="宋体" w:eastAsia="宋体" w:hint="default"/>
          <w:b/>
          <w:bCs/>
          <w:sz w:val="18"/>
          <w:szCs w:val="18"/>
        </w:rPr>
        <w:t>（三）报告期内监管部门查处和整改情况</w:t>
      </w:r>
      <w:r>
        <w:rPr>
          <w:rFonts w:ascii="宋体" w:hAnsi="宋体" w:cs="宋体" w:eastAsia="宋体" w:hint="default"/>
          <w:b/>
          <w:bCs/>
          <w:w w:val="99"/>
          <w:sz w:val="18"/>
          <w:szCs w:val="18"/>
        </w:rPr>
        <w:t> </w:t>
      </w:r>
      <w:r>
        <w:rPr>
          <w:rFonts w:ascii="宋体" w:hAnsi="宋体" w:cs="宋体" w:eastAsia="宋体" w:hint="default"/>
          <w:sz w:val="18"/>
          <w:szCs w:val="18"/>
        </w:rPr>
        <w:t>报告期内，公司董事、监事、高级管理人员及其他相关人员严格遵守内幕信息知情人登记制度，未发现内幕交易行为。</w:t>
      </w:r>
    </w:p>
    <w:p>
      <w:pPr>
        <w:pStyle w:val="BodyText"/>
        <w:spacing w:line="237" w:lineRule="exact"/>
        <w:ind w:right="88"/>
        <w:jc w:val="left"/>
      </w:pPr>
      <w:r>
        <w:rPr/>
        <w:t>报告期内，中国证券监督委员会广东监管局（以下简称</w:t>
      </w:r>
      <w:r>
        <w:rPr>
          <w:rFonts w:ascii="Times New Roman" w:hAnsi="Times New Roman" w:cs="Times New Roman" w:eastAsia="Times New Roman" w:hint="default"/>
        </w:rPr>
        <w:t>“</w:t>
      </w:r>
      <w:r>
        <w:rPr/>
        <w:t>广东证监局</w:t>
      </w:r>
      <w:r>
        <w:rPr>
          <w:rFonts w:ascii="Times New Roman" w:hAnsi="Times New Roman" w:cs="Times New Roman" w:eastAsia="Times New Roman" w:hint="default"/>
        </w:rPr>
        <w:t>”</w:t>
      </w:r>
      <w:r>
        <w:rPr/>
        <w:t>）根据中国证监会《上市公司现场检查办法》的规定，</w:t>
      </w:r>
    </w:p>
    <w:p>
      <w:pPr>
        <w:pStyle w:val="BodyText"/>
        <w:spacing w:line="300" w:lineRule="auto" w:before="63"/>
        <w:ind w:right="88"/>
        <w:jc w:val="left"/>
      </w:pPr>
      <w:r>
        <w:rPr/>
        <w:t>于</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3 </w:t>
      </w:r>
      <w:r>
        <w:rPr/>
        <w:t>日至</w:t>
      </w:r>
      <w:r>
        <w:rPr>
          <w:rFonts w:ascii="Times New Roman" w:hAnsi="Times New Roman" w:cs="Times New Roman" w:eastAsia="Times New Roman" w:hint="default"/>
        </w:rPr>
        <w:t>7 </w:t>
      </w:r>
      <w:r>
        <w:rPr/>
        <w:t>日对公司进行了现场检查，主要检查内容为公司</w:t>
      </w:r>
      <w:r>
        <w:rPr>
          <w:rFonts w:ascii="Times New Roman" w:hAnsi="Times New Roman" w:cs="Times New Roman" w:eastAsia="Times New Roman" w:hint="default"/>
        </w:rPr>
        <w:t>2011</w:t>
      </w:r>
      <w:r>
        <w:rPr>
          <w:rFonts w:ascii="Times New Roman" w:hAnsi="Times New Roman" w:cs="Times New Roman" w:eastAsia="Times New Roman" w:hint="default"/>
          <w:spacing w:val="22"/>
        </w:rPr>
        <w:t> </w:t>
      </w:r>
      <w:r>
        <w:rPr>
          <w:spacing w:val="-3"/>
        </w:rPr>
        <w:t>年年报信息披露、公司治理、内部控制等情况，</w:t>
      </w:r>
      <w:r>
        <w:rPr/>
        <w:t> 并于</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27 </w:t>
      </w:r>
      <w:r>
        <w:rPr/>
        <w:t>日签发了</w:t>
      </w:r>
      <w:r>
        <w:rPr>
          <w:rFonts w:ascii="Times New Roman" w:hAnsi="Times New Roman" w:cs="Times New Roman" w:eastAsia="Times New Roman" w:hint="default"/>
        </w:rPr>
        <w:t>[2012]37</w:t>
      </w:r>
      <w:r>
        <w:rPr>
          <w:rFonts w:ascii="Times New Roman" w:hAnsi="Times New Roman" w:cs="Times New Roman" w:eastAsia="Times New Roman" w:hint="default"/>
          <w:spacing w:val="27"/>
        </w:rPr>
        <w:t> </w:t>
      </w:r>
      <w:r>
        <w:rPr/>
        <w:t>号《中国证券监督管理委员会广东监管局现场结果告知书》（以下简称《现场检查结 果告知书》</w:t>
      </w:r>
      <w:r>
        <w:rPr>
          <w:rFonts w:ascii="Times New Roman" w:hAnsi="Times New Roman" w:cs="Times New Roman" w:eastAsia="Times New Roman" w:hint="default"/>
        </w:rPr>
        <w:t>)</w:t>
      </w:r>
      <w:r>
        <w:rPr/>
        <w:t>。《现场检查结果告知书》明确指出了广东监管局在例行检查中发现公司在募集资金管理和使用、内部控制、</w:t>
      </w:r>
      <w:r>
        <w:rPr>
          <w:spacing w:val="-59"/>
        </w:rPr>
        <w:t> </w:t>
      </w:r>
      <w:r>
        <w:rPr>
          <w:spacing w:val="-59"/>
        </w:rPr>
      </w:r>
      <w:r>
        <w:rPr>
          <w:spacing w:val="-2"/>
        </w:rPr>
        <w:t>财务核算及内幕信息管理方面存在的问题，并责令公司针对存在的问题进行相应的改正。公司已于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月完成整改（具</w:t>
      </w:r>
      <w:r>
        <w:rPr>
          <w:spacing w:val="-57"/>
        </w:rPr>
        <w:t> </w:t>
      </w:r>
      <w:r>
        <w:rPr>
          <w:spacing w:val="-57"/>
        </w:rPr>
      </w:r>
      <w:r>
        <w:rPr/>
        <w:t>体内容详见</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日刊登在巨潮资讯网的相关公告）。</w:t>
      </w:r>
    </w:p>
    <w:p>
      <w:pPr>
        <w:spacing w:line="240" w:lineRule="auto" w:before="5"/>
        <w:rPr>
          <w:rFonts w:ascii="宋体" w:hAnsi="宋体" w:cs="宋体" w:eastAsia="宋体" w:hint="default"/>
          <w:sz w:val="20"/>
          <w:szCs w:val="20"/>
        </w:rPr>
      </w:pPr>
    </w:p>
    <w:p>
      <w:pPr>
        <w:pStyle w:val="Heading2"/>
        <w:spacing w:line="240" w:lineRule="auto"/>
        <w:ind w:right="88"/>
        <w:jc w:val="left"/>
        <w:rPr>
          <w:b w:val="0"/>
          <w:bCs w:val="0"/>
        </w:rPr>
      </w:pPr>
      <w:r>
        <w:rPr/>
        <w:t>八、报告期内接待调研、沟通、采访等活动登记表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3"/>
          <w:szCs w:val="23"/>
        </w:rPr>
      </w:pPr>
    </w:p>
    <w:p>
      <w:pPr>
        <w:pStyle w:val="BodyText"/>
        <w:spacing w:line="240" w:lineRule="auto" w:before="44"/>
        <w:ind w:left="0" w:right="198"/>
        <w:jc w:val="right"/>
      </w:pPr>
      <w:r>
        <w:rPr/>
        <w:pict>
          <v:shape style="position:absolute;margin-left:56.400002pt;margin-top:-103.348297pt;width:479.3pt;height:424.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6"/>
                    <w:gridCol w:w="1201"/>
                    <w:gridCol w:w="1274"/>
                    <w:gridCol w:w="850"/>
                    <w:gridCol w:w="1844"/>
                    <w:gridCol w:w="2907"/>
                  </w:tblGrid>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3"/>
                          <w:jc w:val="right"/>
                          <w:rPr>
                            <w:rFonts w:ascii="宋体" w:hAnsi="宋体" w:cs="宋体" w:eastAsia="宋体" w:hint="default"/>
                            <w:sz w:val="18"/>
                            <w:szCs w:val="18"/>
                          </w:rPr>
                        </w:pPr>
                        <w:r>
                          <w:rPr>
                            <w:rFonts w:ascii="宋体" w:hAnsi="宋体" w:cs="宋体" w:eastAsia="宋体" w:hint="default"/>
                            <w:sz w:val="18"/>
                            <w:szCs w:val="18"/>
                          </w:rPr>
                          <w:t>接待地点</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0" w:right="59" w:hanging="180"/>
                          <w:jc w:val="left"/>
                          <w:rPr>
                            <w:rFonts w:ascii="宋体" w:hAnsi="宋体" w:cs="宋体" w:eastAsia="宋体" w:hint="default"/>
                            <w:sz w:val="18"/>
                            <w:szCs w:val="18"/>
                          </w:rPr>
                        </w:pPr>
                        <w:r>
                          <w:rPr>
                            <w:rFonts w:ascii="宋体" w:hAnsi="宋体" w:cs="宋体" w:eastAsia="宋体" w:hint="default"/>
                            <w:sz w:val="18"/>
                            <w:szCs w:val="18"/>
                          </w:rPr>
                          <w:t>接待对象 类型</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7"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6"/>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《投资快报》杨嘉轩</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9"/>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、中报业绩增长原因；</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、货币政策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放松带来的机遇；</w:t>
                        </w:r>
                        <w:r>
                          <w:rPr>
                            <w:rFonts w:ascii="Times New Roman" w:hAnsi="Times New Roman" w:cs="Times New Roman" w:eastAsia="Times New Roman" w:hint="default"/>
                            <w:sz w:val="18"/>
                            <w:szCs w:val="18"/>
                          </w:rPr>
                          <w:t>3</w:t>
                        </w:r>
                        <w:r>
                          <w:rPr>
                            <w:rFonts w:ascii="宋体" w:hAnsi="宋体" w:cs="宋体" w:eastAsia="宋体" w:hint="default"/>
                            <w:sz w:val="18"/>
                            <w:szCs w:val="18"/>
                          </w:rPr>
                          <w:t>、公司未来的发 展重心</w:t>
                        </w:r>
                      </w:p>
                    </w:tc>
                  </w:tr>
                  <w:tr>
                    <w:trPr>
                      <w:trHeight w:val="164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广发证券王晶、饶小飞</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、中报业绩情况；</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、公司主要产品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销售比例；</w:t>
                        </w:r>
                        <w:r>
                          <w:rPr>
                            <w:rFonts w:ascii="Times New Roman" w:hAnsi="Times New Roman" w:cs="Times New Roman" w:eastAsia="Times New Roman" w:hint="default"/>
                            <w:sz w:val="18"/>
                            <w:szCs w:val="18"/>
                          </w:rPr>
                          <w:t>3</w:t>
                        </w:r>
                        <w:r>
                          <w:rPr>
                            <w:rFonts w:ascii="宋体" w:hAnsi="宋体" w:cs="宋体" w:eastAsia="宋体" w:hint="default"/>
                            <w:sz w:val="18"/>
                            <w:szCs w:val="18"/>
                          </w:rPr>
                          <w:t>、公司产品的销售模式 </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、市场占有率；</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、子公司的相关情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况；</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、费用控制问题；</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、行业发展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展望</w:t>
                        </w: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6"/>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民生加银基金孙伟</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79"/>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、未来发展规划；</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、销售模式；</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公司的优势；</w:t>
                        </w:r>
                        <w:r>
                          <w:rPr>
                            <w:rFonts w:ascii="Times New Roman" w:hAnsi="Times New Roman" w:cs="Times New Roman" w:eastAsia="Times New Roman" w:hint="default"/>
                            <w:sz w:val="18"/>
                            <w:szCs w:val="18"/>
                          </w:rPr>
                          <w:t>4</w:t>
                        </w:r>
                        <w:r>
                          <w:rPr>
                            <w:rFonts w:ascii="宋体" w:hAnsi="宋体" w:cs="宋体" w:eastAsia="宋体" w:hint="default"/>
                            <w:sz w:val="18"/>
                            <w:szCs w:val="18"/>
                          </w:rPr>
                          <w:t>、三季度业绩增长情 况；</w:t>
                        </w:r>
                        <w:r>
                          <w:rPr>
                            <w:rFonts w:ascii="Times New Roman" w:hAnsi="Times New Roman" w:cs="Times New Roman" w:eastAsia="Times New Roman" w:hint="default"/>
                            <w:sz w:val="18"/>
                            <w:szCs w:val="18"/>
                          </w:rPr>
                          <w:t>5</w:t>
                        </w:r>
                        <w:r>
                          <w:rPr>
                            <w:rFonts w:ascii="宋体" w:hAnsi="宋体" w:cs="宋体" w:eastAsia="宋体" w:hint="default"/>
                            <w:sz w:val="18"/>
                            <w:szCs w:val="18"/>
                          </w:rPr>
                          <w:t>、费用支出情况</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66"/>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汇丰晋信李元博</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、公司发展重点；</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、智能家居市场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情况；</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、停车场业务情况；</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、明年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发展规划</w:t>
                        </w:r>
                      </w:p>
                    </w:tc>
                  </w:tr>
                  <w:tr>
                    <w:trPr>
                      <w:trHeight w:val="1028"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6"/>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pacing w:val="-2"/>
                            <w:sz w:val="18"/>
                            <w:szCs w:val="18"/>
                          </w:rPr>
                          <w:t>华安基金李欣；国信证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券段迎晟、周星果</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9"/>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、募集资金的使用情况；</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、平安城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市建设的规划；</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、人才建设；</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、公</w:t>
                        </w:r>
                        <w:r>
                          <w:rPr>
                            <w:rFonts w:ascii="宋体" w:hAnsi="宋体" w:cs="宋体" w:eastAsia="宋体" w:hint="default"/>
                            <w:spacing w:val="-78"/>
                            <w:sz w:val="18"/>
                            <w:szCs w:val="18"/>
                          </w:rPr>
                          <w:t> </w:t>
                        </w:r>
                        <w:r>
                          <w:rPr>
                            <w:rFonts w:ascii="宋体" w:hAnsi="宋体" w:cs="宋体" w:eastAsia="宋体" w:hint="default"/>
                            <w:sz w:val="18"/>
                            <w:szCs w:val="18"/>
                          </w:rPr>
                          <w:t>司优势</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66"/>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
                          <w:jc w:val="both"/>
                          <w:rPr>
                            <w:rFonts w:ascii="宋体" w:hAnsi="宋体" w:cs="宋体" w:eastAsia="宋体" w:hint="default"/>
                            <w:sz w:val="18"/>
                            <w:szCs w:val="18"/>
                          </w:rPr>
                        </w:pPr>
                        <w:r>
                          <w:rPr>
                            <w:rFonts w:ascii="宋体" w:hAnsi="宋体" w:cs="宋体" w:eastAsia="宋体" w:hint="default"/>
                            <w:sz w:val="18"/>
                            <w:szCs w:val="18"/>
                          </w:rPr>
                          <w:t>国信证券欧阳仕华、邵 燕芳；金鹰基金方超； 新华基金孔雪梅</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、公司主营业务情况；</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、社区安防</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发展规划；</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、产品定价；</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、大小非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解禁安排；</w:t>
                        </w:r>
                        <w:r>
                          <w:rPr>
                            <w:rFonts w:ascii="Times New Roman" w:hAnsi="Times New Roman" w:cs="Times New Roman" w:eastAsia="Times New Roman" w:hint="default"/>
                            <w:sz w:val="18"/>
                            <w:szCs w:val="18"/>
                          </w:rPr>
                          <w:t>5</w:t>
                        </w:r>
                        <w:r>
                          <w:rPr>
                            <w:rFonts w:ascii="宋体" w:hAnsi="宋体" w:cs="宋体" w:eastAsia="宋体" w:hint="default"/>
                            <w:sz w:val="18"/>
                            <w:szCs w:val="18"/>
                          </w:rPr>
                          <w:t>、三季度业绩增长原因</w:t>
                        </w:r>
                      </w:p>
                    </w:tc>
                  </w:tr>
                  <w:tr>
                    <w:trPr>
                      <w:trHeight w:val="98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董秘办公室</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国泰君安魏兴耘</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9"/>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、前三季度业绩增长的背景；</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、主</w:t>
                        </w:r>
                        <w:r>
                          <w:rPr>
                            <w:rFonts w:ascii="宋体" w:hAnsi="宋体" w:cs="宋体" w:eastAsia="宋体" w:hint="default"/>
                            <w:spacing w:val="-79"/>
                            <w:sz w:val="18"/>
                            <w:szCs w:val="18"/>
                          </w:rPr>
                          <w:t> </w:t>
                        </w:r>
                        <w:r>
                          <w:rPr>
                            <w:rFonts w:ascii="宋体" w:hAnsi="宋体" w:cs="宋体" w:eastAsia="宋体" w:hint="default"/>
                            <w:sz w:val="18"/>
                            <w:szCs w:val="18"/>
                          </w:rPr>
                          <w:t>要合作开发商；</w:t>
                        </w:r>
                        <w:r>
                          <w:rPr>
                            <w:rFonts w:ascii="Times New Roman" w:hAnsi="Times New Roman" w:cs="Times New Roman" w:eastAsia="Times New Roman" w:hint="default"/>
                            <w:sz w:val="18"/>
                            <w:szCs w:val="18"/>
                          </w:rPr>
                          <w:t>3</w:t>
                        </w:r>
                        <w:r>
                          <w:rPr>
                            <w:rFonts w:ascii="宋体" w:hAnsi="宋体" w:cs="宋体" w:eastAsia="宋体" w:hint="default"/>
                            <w:sz w:val="18"/>
                            <w:szCs w:val="18"/>
                          </w:rPr>
                          <w:t>、公司未来业务发 展的重点；</w:t>
                        </w:r>
                        <w:r>
                          <w:rPr>
                            <w:rFonts w:ascii="Times New Roman" w:hAnsi="Times New Roman" w:cs="Times New Roman" w:eastAsia="Times New Roman" w:hint="default"/>
                            <w:sz w:val="18"/>
                            <w:szCs w:val="18"/>
                          </w:rPr>
                          <w:t>4</w:t>
                        </w:r>
                        <w:r>
                          <w:rPr>
                            <w:rFonts w:ascii="宋体" w:hAnsi="宋体" w:cs="宋体" w:eastAsia="宋体" w:hint="default"/>
                            <w:sz w:val="18"/>
                            <w:szCs w:val="18"/>
                          </w:rPr>
                          <w:t>、停车场业务发展情况</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44"/>
        <w:ind w:left="0" w:right="19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before="44"/>
        <w:ind w:left="0" w:right="198"/>
        <w:jc w:val="right"/>
      </w:pPr>
      <w:r>
        <w:rPr/>
        <w:t>；</w:t>
      </w:r>
    </w:p>
    <w:p>
      <w:pPr>
        <w:spacing w:after="0" w:line="240" w:lineRule="auto"/>
        <w:jc w:val="right"/>
        <w:sectPr>
          <w:pgSz w:w="11910" w:h="16840"/>
          <w:pgMar w:header="877" w:footer="1227" w:top="1100" w:bottom="1420" w:left="980" w:right="940"/>
        </w:sectPr>
      </w:pPr>
    </w:p>
    <w:p>
      <w:pPr>
        <w:spacing w:line="240" w:lineRule="auto" w:before="7"/>
        <w:rPr>
          <w:rFonts w:ascii="宋体" w:hAnsi="宋体" w:cs="宋体" w:eastAsia="宋体" w:hint="default"/>
          <w:sz w:val="22"/>
          <w:szCs w:val="22"/>
        </w:rPr>
      </w:pPr>
    </w:p>
    <w:p>
      <w:pPr>
        <w:pStyle w:val="BodyText"/>
        <w:spacing w:line="240" w:lineRule="auto" w:before="44"/>
        <w:ind w:left="0" w:right="1207"/>
        <w:jc w:val="right"/>
      </w:pPr>
      <w:r>
        <w:rPr>
          <w:rFonts w:ascii="Times New Roman" w:hAnsi="Times New Roman" w:cs="Times New Roman" w:eastAsia="Times New Roman" w:hint="default"/>
        </w:rPr>
        <w:t>5</w:t>
      </w:r>
      <w:r>
        <w:rPr/>
        <w:t>、奥迪安参与项目情况</w:t>
      </w:r>
    </w:p>
    <w:p>
      <w:pPr>
        <w:spacing w:line="240" w:lineRule="auto" w:before="5"/>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877" w:footer="1227" w:top="1100" w:bottom="1420" w:left="980" w:right="980"/>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tabs>
          <w:tab w:pos="2877" w:val="left" w:leader="none"/>
          <w:tab w:pos="4152" w:val="left" w:leader="none"/>
        </w:tabs>
        <w:spacing w:line="240" w:lineRule="auto"/>
        <w:ind w:left="181" w:right="-2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54"/>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8"/>
        </w:rPr>
        <w:t> </w:t>
      </w:r>
      <w:r>
        <w:rPr/>
        <w:t>月</w:t>
      </w:r>
      <w:r>
        <w:rPr>
          <w:spacing w:val="-55"/>
        </w:rPr>
        <w:t> </w:t>
      </w:r>
      <w:r>
        <w:rPr>
          <w:rFonts w:ascii="Times New Roman" w:hAnsi="Times New Roman" w:cs="Times New Roman" w:eastAsia="Times New Roman" w:hint="default"/>
        </w:rPr>
        <w:t>06</w:t>
      </w:r>
      <w:r>
        <w:rPr>
          <w:rFonts w:ascii="Times New Roman" w:hAnsi="Times New Roman" w:cs="Times New Roman" w:eastAsia="Times New Roman" w:hint="default"/>
          <w:spacing w:val="-8"/>
        </w:rPr>
        <w:t> </w:t>
      </w:r>
      <w:r>
        <w:rPr/>
        <w:t>日</w:t>
      </w:r>
      <w:r>
        <w:rPr>
          <w:spacing w:val="-35"/>
        </w:rPr>
        <w:t> </w:t>
      </w:r>
      <w:r>
        <w:rPr/>
        <w:t>公司会议室</w:t>
        <w:tab/>
        <w:t>实地调研</w:t>
        <w:tab/>
        <w:t>机构</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181" w:right="0"/>
        <w:jc w:val="both"/>
      </w:pPr>
      <w:r>
        <w:rPr>
          <w:spacing w:val="-2"/>
        </w:rPr>
        <w:t>东方证券吴友文；天相</w:t>
      </w:r>
      <w:r>
        <w:rPr>
          <w:spacing w:val="-83"/>
        </w:rPr>
        <w:t> </w:t>
      </w:r>
      <w:r>
        <w:rPr>
          <w:spacing w:val="-83"/>
        </w:rPr>
      </w:r>
      <w:r>
        <w:rPr>
          <w:spacing w:val="-2"/>
        </w:rPr>
        <w:t>投顾朱岩；大成基金周</w:t>
      </w:r>
      <w:r>
        <w:rPr>
          <w:spacing w:val="-83"/>
        </w:rPr>
        <w:t> </w:t>
      </w:r>
      <w:r>
        <w:rPr>
          <w:spacing w:val="-83"/>
        </w:rPr>
      </w:r>
      <w:r>
        <w:rPr/>
        <w:t>伟佳</w:t>
      </w:r>
    </w:p>
    <w:p>
      <w:pPr>
        <w:pStyle w:val="BodyText"/>
        <w:spacing w:line="300" w:lineRule="auto" w:before="44"/>
        <w:ind w:left="15" w:right="145"/>
        <w:jc w:val="left"/>
      </w:pPr>
      <w:r>
        <w:rPr/>
        <w:br w:type="column"/>
      </w:r>
      <w:r>
        <w:rPr>
          <w:rFonts w:ascii="Times New Roman" w:hAnsi="Times New Roman" w:cs="Times New Roman" w:eastAsia="Times New Roman" w:hint="default"/>
        </w:rPr>
        <w:t>1</w:t>
      </w:r>
      <w:r>
        <w:rPr/>
        <w:t>、奥迪安公司的情况；</w:t>
      </w:r>
      <w:r>
        <w:rPr>
          <w:rFonts w:ascii="Times New Roman" w:hAnsi="Times New Roman" w:cs="Times New Roman" w:eastAsia="Times New Roman" w:hint="default"/>
        </w:rPr>
        <w:t>2</w:t>
      </w:r>
      <w:r>
        <w:rPr/>
        <w:t>、公司上市 </w:t>
      </w:r>
      <w:r>
        <w:rPr>
          <w:spacing w:val="-2"/>
        </w:rPr>
        <w:t>后的规划；</w:t>
      </w:r>
      <w:r>
        <w:rPr>
          <w:rFonts w:ascii="Times New Roman" w:hAnsi="Times New Roman" w:cs="Times New Roman" w:eastAsia="Times New Roman" w:hint="default"/>
          <w:spacing w:val="-2"/>
        </w:rPr>
        <w:t>3</w:t>
      </w:r>
      <w:r>
        <w:rPr>
          <w:spacing w:val="-2"/>
        </w:rPr>
        <w:t>、三季度业绩增长原因；</w:t>
      </w:r>
      <w:r>
        <w:rPr>
          <w:spacing w:val="-88"/>
        </w:rPr>
        <w:t> </w:t>
      </w:r>
      <w:r>
        <w:rPr>
          <w:spacing w:val="-88"/>
        </w:rPr>
      </w:r>
      <w:r>
        <w:rPr>
          <w:rFonts w:ascii="Times New Roman" w:hAnsi="Times New Roman" w:cs="Times New Roman" w:eastAsia="Times New Roman" w:hint="default"/>
        </w:rPr>
        <w:t>4</w:t>
      </w:r>
      <w:r>
        <w:rPr/>
        <w:t>、网点建设和布局；</w:t>
      </w:r>
      <w:r>
        <w:rPr>
          <w:rFonts w:ascii="Times New Roman" w:hAnsi="Times New Roman" w:cs="Times New Roman" w:eastAsia="Times New Roman" w:hint="default"/>
        </w:rPr>
        <w:t>5</w:t>
      </w:r>
      <w:r>
        <w:rPr/>
        <w:t>、公司的销售 模式；</w:t>
      </w:r>
      <w:r>
        <w:rPr>
          <w:rFonts w:ascii="Times New Roman" w:hAnsi="Times New Roman" w:cs="Times New Roman" w:eastAsia="Times New Roman" w:hint="default"/>
        </w:rPr>
        <w:t>6</w:t>
      </w:r>
      <w:r>
        <w:rPr/>
        <w:t>、公司的核心优势</w:t>
      </w:r>
    </w:p>
    <w:p>
      <w:pPr>
        <w:spacing w:after="0" w:line="300" w:lineRule="auto"/>
        <w:jc w:val="left"/>
        <w:sectPr>
          <w:type w:val="continuous"/>
          <w:pgSz w:w="11910" w:h="16840"/>
          <w:pgMar w:top="880" w:bottom="280" w:left="980" w:right="980"/>
          <w:cols w:num="3" w:equalWidth="0">
            <w:col w:w="4513" w:space="307"/>
            <w:col w:w="1970" w:space="40"/>
            <w:col w:w="3120"/>
          </w:cols>
        </w:sect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BodyText"/>
        <w:tabs>
          <w:tab w:pos="2877" w:val="left" w:leader="none"/>
          <w:tab w:pos="4152" w:val="left" w:leader="none"/>
        </w:tabs>
        <w:spacing w:line="240" w:lineRule="auto"/>
        <w:ind w:left="181" w:right="-2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54"/>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8"/>
        </w:rPr>
        <w:t> </w:t>
      </w:r>
      <w:r>
        <w:rPr/>
        <w:t>月</w:t>
      </w:r>
      <w:r>
        <w:rPr>
          <w:spacing w:val="-55"/>
        </w:rPr>
        <w:t> </w:t>
      </w:r>
      <w:r>
        <w:rPr>
          <w:rFonts w:ascii="Times New Roman" w:hAnsi="Times New Roman" w:cs="Times New Roman" w:eastAsia="Times New Roman" w:hint="default"/>
        </w:rPr>
        <w:t>07</w:t>
      </w:r>
      <w:r>
        <w:rPr>
          <w:rFonts w:ascii="Times New Roman" w:hAnsi="Times New Roman" w:cs="Times New Roman" w:eastAsia="Times New Roman" w:hint="default"/>
          <w:spacing w:val="-8"/>
        </w:rPr>
        <w:t> </w:t>
      </w:r>
      <w:r>
        <w:rPr/>
        <w:t>日</w:t>
      </w:r>
      <w:r>
        <w:rPr>
          <w:spacing w:val="-35"/>
        </w:rPr>
        <w:t> </w:t>
      </w:r>
      <w:r>
        <w:rPr/>
        <w:t>公司会议室</w:t>
        <w:tab/>
        <w:t>实地调研</w:t>
        <w:tab/>
        <w:t>机构</w:t>
      </w:r>
    </w:p>
    <w:p>
      <w:pPr>
        <w:pStyle w:val="BodyText"/>
        <w:spacing w:line="300" w:lineRule="auto" w:before="101"/>
        <w:ind w:left="181" w:right="227"/>
        <w:jc w:val="left"/>
      </w:pPr>
      <w:r>
        <w:rPr/>
        <w:br w:type="column"/>
      </w:r>
      <w:r>
        <w:rPr/>
        <w:t>中信证券陈希；湘财证</w:t>
      </w:r>
      <w:r>
        <w:rPr>
          <w:spacing w:val="-72"/>
        </w:rPr>
        <w:t> </w:t>
      </w:r>
      <w:r>
        <w:rPr>
          <w:rFonts w:ascii="Times New Roman" w:hAnsi="Times New Roman" w:cs="Times New Roman" w:eastAsia="Times New Roman" w:hint="default"/>
        </w:rPr>
        <w:t>1</w:t>
      </w:r>
      <w:r>
        <w:rPr/>
        <w:t>、三季度业绩增长原因；</w:t>
      </w:r>
      <w:r>
        <w:rPr>
          <w:rFonts w:ascii="Times New Roman" w:hAnsi="Times New Roman" w:cs="Times New Roman" w:eastAsia="Times New Roman" w:hint="default"/>
        </w:rPr>
        <w:t>2</w:t>
      </w:r>
      <w:r>
        <w:rPr/>
        <w:t>、奥迪安 </w:t>
      </w:r>
      <w:r>
        <w:rPr>
          <w:spacing w:val="-2"/>
        </w:rPr>
        <w:t>券朱程辉；景林资产李</w:t>
      </w:r>
      <w:r>
        <w:rPr>
          <w:spacing w:val="-26"/>
        </w:rPr>
        <w:t> </w:t>
      </w:r>
      <w:r>
        <w:rPr>
          <w:spacing w:val="-2"/>
        </w:rPr>
        <w:t>基本情况；</w:t>
      </w:r>
      <w:r>
        <w:rPr>
          <w:rFonts w:ascii="Times New Roman" w:hAnsi="Times New Roman" w:cs="Times New Roman" w:eastAsia="Times New Roman" w:hint="default"/>
          <w:spacing w:val="-2"/>
        </w:rPr>
        <w:t>3</w:t>
      </w:r>
      <w:r>
        <w:rPr>
          <w:spacing w:val="-2"/>
        </w:rPr>
        <w:t>、网点的配置；</w:t>
      </w:r>
      <w:r>
        <w:rPr>
          <w:rFonts w:ascii="Times New Roman" w:hAnsi="Times New Roman" w:cs="Times New Roman" w:eastAsia="Times New Roman" w:hint="default"/>
          <w:spacing w:val="-2"/>
        </w:rPr>
        <w:t>4</w:t>
      </w:r>
      <w:r>
        <w:rPr>
          <w:spacing w:val="-2"/>
        </w:rPr>
        <w:t>、公司</w:t>
      </w:r>
    </w:p>
    <w:p>
      <w:pPr>
        <w:spacing w:after="0" w:line="300" w:lineRule="auto"/>
        <w:jc w:val="left"/>
        <w:sectPr>
          <w:type w:val="continuous"/>
          <w:pgSz w:w="11910" w:h="16840"/>
          <w:pgMar w:top="880" w:bottom="280" w:left="980" w:right="980"/>
          <w:cols w:num="2" w:equalWidth="0">
            <w:col w:w="4513" w:space="307"/>
            <w:col w:w="5130"/>
          </w:cols>
        </w:sectPr>
      </w:pPr>
    </w:p>
    <w:p>
      <w:pPr>
        <w:pStyle w:val="BodyText"/>
        <w:tabs>
          <w:tab w:pos="6845" w:val="left" w:leader="none"/>
        </w:tabs>
        <w:spacing w:line="240" w:lineRule="auto" w:before="13"/>
        <w:ind w:left="5001" w:right="0"/>
        <w:jc w:val="left"/>
      </w:pPr>
      <w:r>
        <w:rPr/>
        <w:t>梅勇</w:t>
        <w:tab/>
        <w:t>未来的规划</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880" w:bottom="280" w:left="980" w:right="980"/>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tabs>
          <w:tab w:pos="2877" w:val="left" w:leader="none"/>
          <w:tab w:pos="4152" w:val="left" w:leader="none"/>
          <w:tab w:pos="5001" w:val="left" w:leader="none"/>
        </w:tabs>
        <w:spacing w:line="240" w:lineRule="auto"/>
        <w:ind w:left="181" w:right="-2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54"/>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8"/>
        </w:rPr>
        <w:t> </w:t>
      </w:r>
      <w:r>
        <w:rPr/>
        <w:t>月</w:t>
      </w:r>
      <w:r>
        <w:rPr>
          <w:spacing w:val="-55"/>
        </w:rPr>
        <w:t> </w:t>
      </w:r>
      <w:r>
        <w:rPr>
          <w:rFonts w:ascii="Times New Roman" w:hAnsi="Times New Roman" w:cs="Times New Roman" w:eastAsia="Times New Roman" w:hint="default"/>
        </w:rPr>
        <w:t>09</w:t>
      </w:r>
      <w:r>
        <w:rPr>
          <w:rFonts w:ascii="Times New Roman" w:hAnsi="Times New Roman" w:cs="Times New Roman" w:eastAsia="Times New Roman" w:hint="default"/>
          <w:spacing w:val="-8"/>
        </w:rPr>
        <w:t> </w:t>
      </w:r>
      <w:r>
        <w:rPr/>
        <w:t>日</w:t>
      </w:r>
      <w:r>
        <w:rPr>
          <w:spacing w:val="-35"/>
        </w:rPr>
        <w:t> </w:t>
      </w:r>
      <w:r>
        <w:rPr/>
        <w:t>公司会议室</w:t>
        <w:tab/>
        <w:t>实地调研</w:t>
        <w:tab/>
        <w:t>机构</w:t>
        <w:tab/>
        <w:t>国投瑞银李轩</w:t>
      </w:r>
    </w:p>
    <w:p>
      <w:pPr>
        <w:pStyle w:val="BodyText"/>
        <w:spacing w:line="300" w:lineRule="auto" w:before="44"/>
        <w:ind w:left="181" w:right="247"/>
        <w:jc w:val="both"/>
      </w:pPr>
      <w:r>
        <w:rPr>
          <w:spacing w:val="-2"/>
        </w:rPr>
        <w:br w:type="column"/>
      </w:r>
      <w:r>
        <w:rPr>
          <w:rFonts w:ascii="Times New Roman" w:hAnsi="Times New Roman" w:cs="Times New Roman" w:eastAsia="Times New Roman" w:hint="default"/>
          <w:spacing w:val="-2"/>
        </w:rPr>
        <w:t>1</w:t>
      </w:r>
      <w:r>
        <w:rPr>
          <w:spacing w:val="-2"/>
        </w:rPr>
        <w:t>、公司产品线；</w:t>
      </w:r>
      <w:r>
        <w:rPr>
          <w:rFonts w:ascii="Times New Roman" w:hAnsi="Times New Roman" w:cs="Times New Roman" w:eastAsia="Times New Roman" w:hint="default"/>
          <w:spacing w:val="-2"/>
        </w:rPr>
        <w:t>2</w:t>
      </w:r>
      <w:r>
        <w:rPr>
          <w:spacing w:val="-2"/>
        </w:rPr>
        <w:t>、三季度业绩增长</w:t>
      </w:r>
      <w:r>
        <w:rPr>
          <w:spacing w:val="-87"/>
        </w:rPr>
        <w:t> </w:t>
      </w:r>
      <w:r>
        <w:rPr>
          <w:spacing w:val="-87"/>
        </w:rPr>
      </w:r>
      <w:r>
        <w:rPr>
          <w:spacing w:val="-3"/>
        </w:rPr>
        <w:t>原因；</w:t>
      </w:r>
      <w:r>
        <w:rPr>
          <w:rFonts w:ascii="Times New Roman" w:hAnsi="Times New Roman" w:cs="Times New Roman" w:eastAsia="Times New Roman" w:hint="default"/>
          <w:spacing w:val="-3"/>
        </w:rPr>
        <w:t>3</w:t>
      </w:r>
      <w:r>
        <w:rPr>
          <w:spacing w:val="-3"/>
        </w:rPr>
        <w:t>、公司股价异动原因；</w:t>
      </w:r>
      <w:r>
        <w:rPr>
          <w:rFonts w:ascii="Times New Roman" w:hAnsi="Times New Roman" w:cs="Times New Roman" w:eastAsia="Times New Roman" w:hint="default"/>
          <w:spacing w:val="-3"/>
        </w:rPr>
        <w:t>4</w:t>
      </w:r>
      <w:r>
        <w:rPr>
          <w:spacing w:val="-3"/>
        </w:rPr>
        <w:t>、与</w:t>
      </w:r>
      <w:r>
        <w:rPr>
          <w:spacing w:val="-78"/>
        </w:rPr>
        <w:t> </w:t>
      </w:r>
      <w:r>
        <w:rPr/>
        <w:t>奥迪安合作方式；</w:t>
      </w:r>
      <w:r>
        <w:rPr>
          <w:rFonts w:ascii="Times New Roman" w:hAnsi="Times New Roman" w:cs="Times New Roman" w:eastAsia="Times New Roman" w:hint="default"/>
        </w:rPr>
        <w:t>5</w:t>
      </w:r>
      <w:r>
        <w:rPr/>
        <w:t>、销售模式的创 新</w:t>
      </w:r>
    </w:p>
    <w:p>
      <w:pPr>
        <w:spacing w:after="0" w:line="300" w:lineRule="auto"/>
        <w:jc w:val="both"/>
        <w:sectPr>
          <w:type w:val="continuous"/>
          <w:pgSz w:w="11910" w:h="16840"/>
          <w:pgMar w:top="880" w:bottom="280" w:left="980" w:right="980"/>
          <w:cols w:num="2" w:equalWidth="0">
            <w:col w:w="6082" w:space="581"/>
            <w:col w:w="3287"/>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BodyText"/>
        <w:tabs>
          <w:tab w:pos="2877" w:val="left" w:leader="none"/>
          <w:tab w:pos="4152" w:val="left" w:leader="none"/>
        </w:tabs>
        <w:spacing w:line="240" w:lineRule="auto"/>
        <w:ind w:left="181" w:right="-2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54"/>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8"/>
        </w:rPr>
        <w:t> </w:t>
      </w:r>
      <w:r>
        <w:rPr/>
        <w:t>月</w:t>
      </w:r>
      <w:r>
        <w:rPr>
          <w:spacing w:val="-55"/>
        </w:rPr>
        <w:t> </w:t>
      </w:r>
      <w:r>
        <w:rPr>
          <w:rFonts w:ascii="Times New Roman" w:hAnsi="Times New Roman" w:cs="Times New Roman" w:eastAsia="Times New Roman" w:hint="default"/>
        </w:rPr>
        <w:t>09</w:t>
      </w:r>
      <w:r>
        <w:rPr>
          <w:rFonts w:ascii="Times New Roman" w:hAnsi="Times New Roman" w:cs="Times New Roman" w:eastAsia="Times New Roman" w:hint="default"/>
          <w:spacing w:val="-8"/>
        </w:rPr>
        <w:t> </w:t>
      </w:r>
      <w:r>
        <w:rPr/>
        <w:t>日</w:t>
      </w:r>
      <w:r>
        <w:rPr>
          <w:spacing w:val="-35"/>
        </w:rPr>
        <w:t> </w:t>
      </w:r>
      <w:r>
        <w:rPr/>
        <w:t>公司会议室</w:t>
        <w:tab/>
        <w:t>实地调研</w:t>
        <w:tab/>
        <w:t>机构</w:t>
      </w:r>
    </w:p>
    <w:p>
      <w:pPr>
        <w:pStyle w:val="BodyText"/>
        <w:spacing w:line="300" w:lineRule="auto" w:before="120"/>
        <w:ind w:left="181" w:right="227"/>
        <w:jc w:val="left"/>
      </w:pPr>
      <w:r>
        <w:rPr/>
        <w:br w:type="column"/>
      </w:r>
      <w:r>
        <w:rPr/>
        <w:t>第一创业证券叶欣、李</w:t>
      </w:r>
      <w:r>
        <w:rPr>
          <w:spacing w:val="-72"/>
        </w:rPr>
        <w:t> </w:t>
      </w:r>
      <w:r>
        <w:rPr>
          <w:rFonts w:ascii="Times New Roman" w:hAnsi="Times New Roman" w:cs="Times New Roman" w:eastAsia="Times New Roman" w:hint="default"/>
        </w:rPr>
        <w:t>1</w:t>
      </w:r>
      <w:r>
        <w:rPr/>
        <w:t>、公司股价异动原因；</w:t>
      </w:r>
      <w:r>
        <w:rPr>
          <w:rFonts w:ascii="Times New Roman" w:hAnsi="Times New Roman" w:cs="Times New Roman" w:eastAsia="Times New Roman" w:hint="default"/>
        </w:rPr>
        <w:t>2</w:t>
      </w:r>
      <w:r>
        <w:rPr/>
        <w:t>、智能家具 峰；中海基金肖凯；南</w:t>
      </w:r>
      <w:r>
        <w:rPr>
          <w:spacing w:val="-36"/>
        </w:rPr>
        <w:t> </w:t>
      </w:r>
      <w:r>
        <w:rPr>
          <w:spacing w:val="-3"/>
        </w:rPr>
        <w:t>发展情况；</w:t>
      </w:r>
      <w:r>
        <w:rPr>
          <w:rFonts w:ascii="Times New Roman" w:hAnsi="Times New Roman" w:cs="Times New Roman" w:eastAsia="Times New Roman" w:hint="default"/>
          <w:spacing w:val="-3"/>
        </w:rPr>
        <w:t>3</w:t>
      </w:r>
      <w:r>
        <w:rPr>
          <w:spacing w:val="-3"/>
        </w:rPr>
        <w:t>、公司核心优势；</w:t>
      </w:r>
      <w:r>
        <w:rPr>
          <w:rFonts w:ascii="Times New Roman" w:hAnsi="Times New Roman" w:cs="Times New Roman" w:eastAsia="Times New Roman" w:hint="default"/>
          <w:spacing w:val="-3"/>
        </w:rPr>
        <w:t>4</w:t>
      </w:r>
      <w:r>
        <w:rPr>
          <w:spacing w:val="-3"/>
        </w:rPr>
        <w:t>、公</w:t>
      </w:r>
      <w:r>
        <w:rPr/>
      </w:r>
    </w:p>
    <w:p>
      <w:pPr>
        <w:spacing w:after="0" w:line="300" w:lineRule="auto"/>
        <w:jc w:val="left"/>
        <w:sectPr>
          <w:type w:val="continuous"/>
          <w:pgSz w:w="11910" w:h="16840"/>
          <w:pgMar w:top="880" w:bottom="280" w:left="980" w:right="980"/>
          <w:cols w:num="2" w:equalWidth="0">
            <w:col w:w="4513" w:space="307"/>
            <w:col w:w="5130"/>
          </w:cols>
        </w:sectPr>
      </w:pPr>
    </w:p>
    <w:p>
      <w:pPr>
        <w:pStyle w:val="BodyText"/>
        <w:tabs>
          <w:tab w:pos="6845" w:val="left" w:leader="none"/>
        </w:tabs>
        <w:spacing w:line="240" w:lineRule="auto" w:before="13"/>
        <w:ind w:left="5001" w:right="0"/>
        <w:jc w:val="left"/>
      </w:pPr>
      <w:r>
        <w:rPr/>
        <w:t>方基金罗安安</w:t>
        <w:tab/>
        <w:t>司新的营销模式；</w:t>
      </w:r>
      <w:r>
        <w:rPr>
          <w:rFonts w:ascii="Times New Roman" w:hAnsi="Times New Roman" w:cs="Times New Roman" w:eastAsia="Times New Roman" w:hint="default"/>
        </w:rPr>
        <w:t>5</w:t>
      </w:r>
      <w:r>
        <w:rPr/>
        <w:t>、网点的配置</w:t>
      </w:r>
    </w:p>
    <w:p>
      <w:pPr>
        <w:spacing w:line="240" w:lineRule="auto" w:before="5"/>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880" w:bottom="280" w:left="980" w:right="980"/>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tabs>
          <w:tab w:pos="2877" w:val="left" w:leader="none"/>
          <w:tab w:pos="4152" w:val="left" w:leader="none"/>
          <w:tab w:pos="5001" w:val="left" w:leader="none"/>
        </w:tabs>
        <w:spacing w:line="240" w:lineRule="auto"/>
        <w:ind w:left="181" w:right="-2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54"/>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8"/>
        </w:rPr>
        <w:t> </w:t>
      </w:r>
      <w:r>
        <w:rPr/>
        <w:t>月</w:t>
      </w:r>
      <w:r>
        <w:rPr>
          <w:spacing w:val="-55"/>
        </w:rPr>
        <w:t> </w:t>
      </w:r>
      <w:r>
        <w:rPr>
          <w:rFonts w:ascii="Times New Roman" w:hAnsi="Times New Roman" w:cs="Times New Roman" w:eastAsia="Times New Roman" w:hint="default"/>
        </w:rPr>
        <w:t>16</w:t>
      </w:r>
      <w:r>
        <w:rPr>
          <w:rFonts w:ascii="Times New Roman" w:hAnsi="Times New Roman" w:cs="Times New Roman" w:eastAsia="Times New Roman" w:hint="default"/>
          <w:spacing w:val="-8"/>
        </w:rPr>
        <w:t> </w:t>
      </w:r>
      <w:r>
        <w:rPr/>
        <w:t>日</w:t>
      </w:r>
      <w:r>
        <w:rPr>
          <w:spacing w:val="-35"/>
        </w:rPr>
        <w:t> </w:t>
      </w:r>
      <w:r>
        <w:rPr/>
        <w:t>公司会议室</w:t>
        <w:tab/>
        <w:t>实地调研</w:t>
        <w:tab/>
        <w:t>机构</w:t>
        <w:tab/>
        <w:t>国金通用彭俊斌</w:t>
      </w:r>
    </w:p>
    <w:p>
      <w:pPr>
        <w:pStyle w:val="BodyText"/>
        <w:spacing w:line="300" w:lineRule="auto" w:before="44"/>
        <w:ind w:left="181" w:right="216"/>
        <w:jc w:val="both"/>
      </w:pPr>
      <w:r>
        <w:rPr>
          <w:spacing w:val="-2"/>
        </w:rPr>
        <w:br w:type="column"/>
      </w:r>
      <w:r>
        <w:rPr>
          <w:rFonts w:ascii="Times New Roman" w:hAnsi="Times New Roman" w:cs="Times New Roman" w:eastAsia="Times New Roman" w:hint="default"/>
          <w:spacing w:val="-2"/>
        </w:rPr>
        <w:t>1</w:t>
      </w:r>
      <w:r>
        <w:rPr>
          <w:spacing w:val="-2"/>
        </w:rPr>
        <w:t>、公司产品的情况；</w:t>
      </w:r>
      <w:r>
        <w:rPr>
          <w:rFonts w:ascii="Times New Roman" w:hAnsi="Times New Roman" w:cs="Times New Roman" w:eastAsia="Times New Roman" w:hint="default"/>
          <w:spacing w:val="-2"/>
        </w:rPr>
        <w:t>2</w:t>
      </w:r>
      <w:r>
        <w:rPr>
          <w:spacing w:val="-2"/>
        </w:rPr>
        <w:t>、网点配置情</w:t>
      </w:r>
      <w:r>
        <w:rPr>
          <w:spacing w:val="-87"/>
        </w:rPr>
        <w:t> </w:t>
      </w:r>
      <w:r>
        <w:rPr>
          <w:spacing w:val="-87"/>
        </w:rPr>
      </w:r>
      <w:r>
        <w:rPr>
          <w:spacing w:val="-2"/>
        </w:rPr>
        <w:t>况；</w:t>
      </w:r>
      <w:r>
        <w:rPr>
          <w:rFonts w:ascii="Times New Roman" w:hAnsi="Times New Roman" w:cs="Times New Roman" w:eastAsia="Times New Roman" w:hint="default"/>
          <w:spacing w:val="-2"/>
        </w:rPr>
        <w:t>3</w:t>
      </w:r>
      <w:r>
        <w:rPr>
          <w:spacing w:val="-2"/>
        </w:rPr>
        <w:t>、销售模式；</w:t>
      </w:r>
      <w:r>
        <w:rPr>
          <w:rFonts w:ascii="Times New Roman" w:hAnsi="Times New Roman" w:cs="Times New Roman" w:eastAsia="Times New Roman" w:hint="default"/>
          <w:spacing w:val="-2"/>
        </w:rPr>
        <w:t>4</w:t>
      </w:r>
      <w:r>
        <w:rPr>
          <w:spacing w:val="-2"/>
        </w:rPr>
        <w:t>、停车场产品的</w:t>
      </w:r>
      <w:r>
        <w:rPr>
          <w:spacing w:val="-88"/>
        </w:rPr>
        <w:t> </w:t>
      </w:r>
      <w:r>
        <w:rPr>
          <w:spacing w:val="-88"/>
        </w:rPr>
      </w:r>
      <w:r>
        <w:rPr/>
        <w:t>优势；</w:t>
      </w:r>
      <w:r>
        <w:rPr>
          <w:rFonts w:ascii="Times New Roman" w:hAnsi="Times New Roman" w:cs="Times New Roman" w:eastAsia="Times New Roman" w:hint="default"/>
        </w:rPr>
        <w:t>5</w:t>
      </w:r>
      <w:r>
        <w:rPr/>
        <w:t>、大小非解禁后的计划；</w:t>
      </w:r>
      <w:r>
        <w:rPr>
          <w:rFonts w:ascii="Times New Roman" w:hAnsi="Times New Roman" w:cs="Times New Roman" w:eastAsia="Times New Roman" w:hint="default"/>
        </w:rPr>
        <w:t>6</w:t>
      </w:r>
      <w:r>
        <w:rPr/>
        <w:t>、 人员增加情况</w:t>
      </w:r>
    </w:p>
    <w:p>
      <w:pPr>
        <w:spacing w:after="0" w:line="300" w:lineRule="auto"/>
        <w:jc w:val="both"/>
        <w:sectPr>
          <w:type w:val="continuous"/>
          <w:pgSz w:w="11910" w:h="16840"/>
          <w:pgMar w:top="880" w:bottom="280" w:left="980" w:right="980"/>
          <w:cols w:num="2" w:equalWidth="0">
            <w:col w:w="6262" w:space="401"/>
            <w:col w:w="3287"/>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BodyText"/>
        <w:tabs>
          <w:tab w:pos="2877" w:val="left" w:leader="none"/>
          <w:tab w:pos="4152" w:val="left" w:leader="none"/>
        </w:tabs>
        <w:spacing w:line="240" w:lineRule="auto"/>
        <w:ind w:left="181" w:right="-2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54"/>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8"/>
        </w:rPr>
        <w:t> </w:t>
      </w:r>
      <w:r>
        <w:rPr/>
        <w:t>月</w:t>
      </w:r>
      <w:r>
        <w:rPr>
          <w:spacing w:val="-55"/>
        </w:rPr>
        <w:t> </w:t>
      </w:r>
      <w:r>
        <w:rPr>
          <w:rFonts w:ascii="Times New Roman" w:hAnsi="Times New Roman" w:cs="Times New Roman" w:eastAsia="Times New Roman" w:hint="default"/>
        </w:rPr>
        <w:t>16</w:t>
      </w:r>
      <w:r>
        <w:rPr>
          <w:rFonts w:ascii="Times New Roman" w:hAnsi="Times New Roman" w:cs="Times New Roman" w:eastAsia="Times New Roman" w:hint="default"/>
          <w:spacing w:val="-8"/>
        </w:rPr>
        <w:t> </w:t>
      </w:r>
      <w:r>
        <w:rPr/>
        <w:t>日</w:t>
      </w:r>
      <w:r>
        <w:rPr>
          <w:spacing w:val="-35"/>
        </w:rPr>
        <w:t> </w:t>
      </w:r>
      <w:r>
        <w:rPr/>
        <w:t>公司会议室</w:t>
        <w:tab/>
        <w:t>实地调研</w:t>
        <w:tab/>
        <w:t>机构</w:t>
      </w:r>
    </w:p>
    <w:p>
      <w:pPr>
        <w:pStyle w:val="BodyText"/>
        <w:spacing w:line="316" w:lineRule="auto" w:before="120"/>
        <w:ind w:left="181" w:right="0"/>
        <w:jc w:val="both"/>
      </w:pPr>
      <w:r>
        <w:rPr>
          <w:spacing w:val="-2"/>
        </w:rPr>
        <w:br w:type="column"/>
      </w:r>
      <w:r>
        <w:rPr>
          <w:spacing w:val="-2"/>
        </w:rPr>
        <w:t>民生证券沈海兵；中山</w:t>
      </w:r>
      <w:r>
        <w:rPr>
          <w:spacing w:val="-83"/>
        </w:rPr>
        <w:t> </w:t>
      </w:r>
      <w:r>
        <w:rPr>
          <w:spacing w:val="-83"/>
        </w:rPr>
      </w:r>
      <w:r>
        <w:rPr>
          <w:spacing w:val="-2"/>
        </w:rPr>
        <w:t>证券王道京；金元证券</w:t>
      </w:r>
      <w:r>
        <w:rPr>
          <w:spacing w:val="-83"/>
        </w:rPr>
        <w:t> </w:t>
      </w:r>
      <w:r>
        <w:rPr>
          <w:spacing w:val="-83"/>
        </w:rPr>
      </w:r>
      <w:r>
        <w:rPr>
          <w:spacing w:val="-2"/>
        </w:rPr>
        <w:t>李晓宇；深圳龙腾资产</w:t>
      </w:r>
      <w:r>
        <w:rPr>
          <w:spacing w:val="-83"/>
        </w:rPr>
        <w:t> </w:t>
      </w:r>
      <w:r>
        <w:rPr>
          <w:spacing w:val="-83"/>
        </w:rPr>
      </w:r>
      <w:r>
        <w:rPr>
          <w:spacing w:val="-2"/>
        </w:rPr>
        <w:t>汪小安、吴险峰；中国</w:t>
      </w:r>
      <w:r>
        <w:rPr>
          <w:spacing w:val="-86"/>
        </w:rPr>
        <w:t> </w:t>
      </w:r>
      <w:r>
        <w:rPr>
          <w:spacing w:val="-86"/>
        </w:rPr>
      </w:r>
      <w:r>
        <w:rPr>
          <w:spacing w:val="-2"/>
        </w:rPr>
        <w:t>平安姜军；信达证券肖</w:t>
      </w:r>
      <w:r>
        <w:rPr>
          <w:spacing w:val="-83"/>
        </w:rPr>
        <w:t> </w:t>
      </w:r>
      <w:r>
        <w:rPr>
          <w:spacing w:val="-83"/>
        </w:rPr>
      </w:r>
      <w:r>
        <w:rPr>
          <w:spacing w:val="-2"/>
        </w:rPr>
        <w:t>金德；广东西域投资张</w:t>
      </w:r>
      <w:r>
        <w:rPr>
          <w:spacing w:val="-83"/>
        </w:rPr>
        <w:t> </w:t>
      </w:r>
      <w:r>
        <w:rPr>
          <w:spacing w:val="-83"/>
        </w:rPr>
      </w:r>
      <w:r>
        <w:rPr/>
        <w:t>磊</w:t>
      </w:r>
    </w:p>
    <w:p>
      <w:pPr>
        <w:spacing w:line="240" w:lineRule="auto" w:before="1"/>
        <w:rPr>
          <w:rFonts w:ascii="宋体" w:hAnsi="宋体" w:cs="宋体" w:eastAsia="宋体" w:hint="default"/>
          <w:sz w:val="21"/>
          <w:szCs w:val="21"/>
        </w:rPr>
      </w:pPr>
      <w:r>
        <w:rPr/>
        <w:br w:type="column"/>
      </w:r>
      <w:r>
        <w:rPr>
          <w:rFonts w:ascii="宋体"/>
          <w:sz w:val="21"/>
        </w:rPr>
      </w:r>
    </w:p>
    <w:p>
      <w:pPr>
        <w:pStyle w:val="BodyText"/>
        <w:spacing w:line="300" w:lineRule="auto"/>
        <w:ind w:left="15" w:right="145"/>
        <w:jc w:val="left"/>
      </w:pPr>
      <w:r>
        <w:rPr>
          <w:rFonts w:ascii="Times New Roman" w:hAnsi="Times New Roman" w:cs="Times New Roman" w:eastAsia="Times New Roman" w:hint="default"/>
        </w:rPr>
        <w:t>1</w:t>
      </w:r>
      <w:r>
        <w:rPr/>
        <w:t>、公司基本情况；</w:t>
      </w:r>
      <w:r>
        <w:rPr>
          <w:rFonts w:ascii="Times New Roman" w:hAnsi="Times New Roman" w:cs="Times New Roman" w:eastAsia="Times New Roman" w:hint="default"/>
        </w:rPr>
        <w:t>2</w:t>
      </w:r>
      <w:r>
        <w:rPr/>
        <w:t>、公司新的销售 </w:t>
      </w:r>
      <w:r>
        <w:rPr>
          <w:spacing w:val="-2"/>
        </w:rPr>
        <w:t>模式；</w:t>
      </w:r>
      <w:r>
        <w:rPr>
          <w:rFonts w:ascii="Times New Roman" w:hAnsi="Times New Roman" w:cs="Times New Roman" w:eastAsia="Times New Roman" w:hint="default"/>
          <w:spacing w:val="-2"/>
        </w:rPr>
        <w:t>3</w:t>
      </w:r>
      <w:r>
        <w:rPr>
          <w:spacing w:val="-2"/>
        </w:rPr>
        <w:t>、公司与奥迪安的合作情况；</w:t>
      </w:r>
      <w:r>
        <w:rPr>
          <w:spacing w:val="-88"/>
        </w:rPr>
        <w:t> </w:t>
      </w:r>
      <w:r>
        <w:rPr>
          <w:spacing w:val="-88"/>
        </w:rPr>
      </w:r>
      <w:r>
        <w:rPr>
          <w:rFonts w:ascii="Times New Roman" w:hAnsi="Times New Roman" w:cs="Times New Roman" w:eastAsia="Times New Roman" w:hint="default"/>
          <w:spacing w:val="-2"/>
        </w:rPr>
        <w:t>4</w:t>
      </w:r>
      <w:r>
        <w:rPr>
          <w:spacing w:val="-2"/>
        </w:rPr>
        <w:t>、公司在平安城市建设方面的优势；</w:t>
      </w:r>
    </w:p>
    <w:p>
      <w:pPr>
        <w:pStyle w:val="BodyText"/>
        <w:spacing w:line="300" w:lineRule="auto" w:before="13"/>
        <w:ind w:left="15" w:right="147"/>
        <w:jc w:val="left"/>
      </w:pPr>
      <w:r>
        <w:rPr>
          <w:rFonts w:ascii="Times New Roman" w:hAnsi="Times New Roman" w:cs="Times New Roman" w:eastAsia="Times New Roman" w:hint="default"/>
        </w:rPr>
        <w:t>5</w:t>
      </w:r>
      <w:r>
        <w:rPr/>
        <w:t>、公司大小非解禁的安排；</w:t>
      </w:r>
      <w:r>
        <w:rPr>
          <w:rFonts w:ascii="Times New Roman" w:hAnsi="Times New Roman" w:cs="Times New Roman" w:eastAsia="Times New Roman" w:hint="default"/>
        </w:rPr>
        <w:t>6</w:t>
      </w:r>
      <w:r>
        <w:rPr/>
        <w:t>、研发 </w:t>
      </w:r>
      <w:r>
        <w:rPr>
          <w:spacing w:val="-7"/>
        </w:rPr>
        <w:t>人员数量；</w:t>
      </w:r>
      <w:r>
        <w:rPr>
          <w:rFonts w:ascii="Times New Roman" w:hAnsi="Times New Roman" w:cs="Times New Roman" w:eastAsia="Times New Roman" w:hint="default"/>
          <w:spacing w:val="-7"/>
        </w:rPr>
        <w:t>7</w:t>
      </w:r>
      <w:r>
        <w:rPr>
          <w:spacing w:val="-7"/>
        </w:rPr>
        <w:t>、智能家居发展情况；</w:t>
      </w:r>
      <w:r>
        <w:rPr>
          <w:rFonts w:ascii="Times New Roman" w:hAnsi="Times New Roman" w:cs="Times New Roman" w:eastAsia="Times New Roman" w:hint="default"/>
          <w:spacing w:val="-7"/>
        </w:rPr>
        <w:t>8</w:t>
      </w:r>
      <w:r>
        <w:rPr>
          <w:spacing w:val="-7"/>
        </w:rPr>
        <w:t>、</w:t>
      </w:r>
      <w:r>
        <w:rPr>
          <w:spacing w:val="-85"/>
        </w:rPr>
        <w:t> </w:t>
      </w:r>
      <w:r>
        <w:rPr/>
        <w:t>停车场业务展望</w:t>
      </w:r>
    </w:p>
    <w:p>
      <w:pPr>
        <w:spacing w:after="0" w:line="300" w:lineRule="auto"/>
        <w:jc w:val="left"/>
        <w:sectPr>
          <w:type w:val="continuous"/>
          <w:pgSz w:w="11910" w:h="16840"/>
          <w:pgMar w:top="880" w:bottom="280" w:left="980" w:right="980"/>
          <w:cols w:num="3" w:equalWidth="0">
            <w:col w:w="4513" w:space="307"/>
            <w:col w:w="1970" w:space="40"/>
            <w:col w:w="3120"/>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0"/>
          <w:szCs w:val="20"/>
        </w:rPr>
      </w:pPr>
    </w:p>
    <w:p>
      <w:pPr>
        <w:pStyle w:val="BodyText"/>
        <w:tabs>
          <w:tab w:pos="4152" w:val="left" w:leader="none"/>
        </w:tabs>
        <w:spacing w:line="240" w:lineRule="auto"/>
        <w:ind w:left="181" w:right="-2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54"/>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8"/>
        </w:rPr>
        <w:t> </w:t>
      </w:r>
      <w:r>
        <w:rPr/>
        <w:t>月</w:t>
      </w:r>
      <w:r>
        <w:rPr>
          <w:spacing w:val="-55"/>
        </w:rPr>
        <w:t> </w:t>
      </w:r>
      <w:r>
        <w:rPr>
          <w:rFonts w:ascii="Times New Roman" w:hAnsi="Times New Roman" w:cs="Times New Roman" w:eastAsia="Times New Roman" w:hint="default"/>
        </w:rPr>
        <w:t>19</w:t>
      </w:r>
      <w:r>
        <w:rPr>
          <w:rFonts w:ascii="Times New Roman" w:hAnsi="Times New Roman" w:cs="Times New Roman" w:eastAsia="Times New Roman" w:hint="default"/>
          <w:spacing w:val="-8"/>
        </w:rPr>
        <w:t> </w:t>
      </w:r>
      <w:r>
        <w:rPr/>
        <w:t>日</w:t>
      </w:r>
      <w:r>
        <w:rPr>
          <w:spacing w:val="-35"/>
        </w:rPr>
        <w:t> </w:t>
      </w:r>
      <w:r>
        <w:rPr/>
        <w:t>董事长办公室</w:t>
      </w:r>
      <w:r>
        <w:rPr>
          <w:spacing w:val="30"/>
        </w:rPr>
        <w:t> </w:t>
      </w:r>
      <w:r>
        <w:rPr/>
        <w:t>电话沟通</w:t>
        <w:tab/>
        <w:t>机构</w:t>
      </w:r>
    </w:p>
    <w:p>
      <w:pPr>
        <w:pStyle w:val="BodyText"/>
        <w:spacing w:line="300" w:lineRule="auto" w:before="110"/>
        <w:ind w:left="181" w:right="136" w:firstLine="1843"/>
        <w:jc w:val="left"/>
      </w:pPr>
      <w:r>
        <w:rPr/>
        <w:br w:type="column"/>
      </w:r>
      <w:r>
        <w:rPr>
          <w:rFonts w:ascii="Times New Roman" w:hAnsi="Times New Roman" w:cs="Times New Roman" w:eastAsia="Times New Roman" w:hint="default"/>
        </w:rPr>
        <w:t>1</w:t>
      </w:r>
      <w:r>
        <w:rPr/>
        <w:t>、四季度业绩增长情况；</w:t>
      </w:r>
      <w:r>
        <w:rPr>
          <w:rFonts w:ascii="Times New Roman" w:hAnsi="Times New Roman" w:cs="Times New Roman" w:eastAsia="Times New Roman" w:hint="default"/>
        </w:rPr>
        <w:t>2</w:t>
      </w:r>
      <w:r>
        <w:rPr/>
        <w:t>、公司在 国泰君安魏兴耘；国金</w:t>
      </w:r>
      <w:r>
        <w:rPr>
          <w:spacing w:val="-71"/>
        </w:rPr>
        <w:t> </w:t>
      </w:r>
      <w:r>
        <w:rPr/>
        <w:t>保障房、旧房改造方面销售情况；</w:t>
      </w:r>
      <w:r>
        <w:rPr>
          <w:rFonts w:ascii="Times New Roman" w:hAnsi="Times New Roman" w:cs="Times New Roman" w:eastAsia="Times New Roman" w:hint="default"/>
        </w:rPr>
        <w:t>3</w:t>
      </w:r>
      <w:r>
        <w:rPr/>
        <w:t>、 通用彭俊斌；平安资产</w:t>
      </w:r>
      <w:r>
        <w:rPr>
          <w:spacing w:val="-4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t>年公司成长预期；</w:t>
      </w:r>
      <w:r>
        <w:rPr>
          <w:rFonts w:ascii="Times New Roman" w:hAnsi="Times New Roman" w:cs="Times New Roman" w:eastAsia="Times New Roman" w:hint="default"/>
        </w:rPr>
        <w:t>4</w:t>
      </w:r>
      <w:r>
        <w:rPr/>
        <w:t>、奥迪安合</w:t>
      </w:r>
    </w:p>
    <w:p>
      <w:pPr>
        <w:spacing w:after="0" w:line="300" w:lineRule="auto"/>
        <w:jc w:val="left"/>
        <w:sectPr>
          <w:type w:val="continuous"/>
          <w:pgSz w:w="11910" w:h="16840"/>
          <w:pgMar w:top="880" w:bottom="280" w:left="980" w:right="980"/>
          <w:cols w:num="2" w:equalWidth="0">
            <w:col w:w="4513" w:space="307"/>
            <w:col w:w="5130"/>
          </w:cols>
        </w:sectPr>
      </w:pPr>
    </w:p>
    <w:p>
      <w:pPr>
        <w:pStyle w:val="BodyText"/>
        <w:spacing w:line="240" w:lineRule="auto" w:before="13"/>
        <w:ind w:left="0" w:right="0"/>
        <w:jc w:val="right"/>
      </w:pPr>
      <w:r>
        <w:rPr/>
        <w:t>姜军等</w:t>
      </w:r>
      <w:r>
        <w:rPr>
          <w:spacing w:val="-44"/>
        </w:rPr>
        <w:t> </w:t>
      </w:r>
      <w:r>
        <w:rPr>
          <w:rFonts w:ascii="Times New Roman" w:hAnsi="Times New Roman" w:cs="Times New Roman" w:eastAsia="Times New Roman" w:hint="default"/>
        </w:rPr>
        <w:t>43</w:t>
      </w:r>
      <w:r>
        <w:rPr>
          <w:rFonts w:ascii="Times New Roman" w:hAnsi="Times New Roman" w:cs="Times New Roman" w:eastAsia="Times New Roman" w:hint="default"/>
          <w:spacing w:val="1"/>
        </w:rPr>
        <w:t> </w:t>
      </w:r>
      <w:r>
        <w:rPr/>
        <w:t>方</w:t>
      </w:r>
    </w:p>
    <w:p>
      <w:pPr>
        <w:pStyle w:val="BodyText"/>
        <w:spacing w:line="240" w:lineRule="auto" w:before="13"/>
        <w:ind w:left="809" w:right="0"/>
        <w:jc w:val="left"/>
      </w:pPr>
      <w:r>
        <w:rPr/>
        <w:br w:type="column"/>
      </w:r>
      <w:r>
        <w:rPr/>
        <w:t>作情况；</w:t>
      </w:r>
      <w:r>
        <w:rPr>
          <w:rFonts w:ascii="Times New Roman" w:hAnsi="Times New Roman" w:cs="Times New Roman" w:eastAsia="Times New Roman" w:hint="default"/>
        </w:rPr>
        <w:t>5</w:t>
      </w:r>
      <w:r>
        <w:rPr/>
        <w:t>、工程合作资金支助计划；</w:t>
      </w:r>
    </w:p>
    <w:p>
      <w:pPr>
        <w:pStyle w:val="BodyText"/>
        <w:spacing w:line="240" w:lineRule="auto" w:before="63"/>
        <w:ind w:left="809" w:right="0"/>
        <w:jc w:val="left"/>
      </w:pPr>
      <w:r>
        <w:rPr>
          <w:rFonts w:ascii="Times New Roman" w:hAnsi="Times New Roman" w:cs="Times New Roman" w:eastAsia="Times New Roman" w:hint="default"/>
        </w:rPr>
        <w:t>6</w:t>
      </w:r>
      <w:r>
        <w:rPr/>
        <w:t>、公司安防业务稳定发展的条件</w:t>
      </w:r>
    </w:p>
    <w:p>
      <w:pPr>
        <w:spacing w:after="0" w:line="240" w:lineRule="auto"/>
        <w:jc w:val="left"/>
        <w:sectPr>
          <w:type w:val="continuous"/>
          <w:pgSz w:w="11910" w:h="16840"/>
          <w:pgMar w:top="880" w:bottom="280" w:left="980" w:right="980"/>
          <w:cols w:num="2" w:equalWidth="0">
            <w:col w:w="5996" w:space="40"/>
            <w:col w:w="3914"/>
          </w:cols>
        </w:sectPr>
      </w:pPr>
    </w:p>
    <w:p>
      <w:pPr>
        <w:spacing w:line="240" w:lineRule="auto" w:before="2"/>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880" w:bottom="280" w:left="980" w:right="980"/>
        </w:sect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tabs>
          <w:tab w:pos="2877" w:val="left" w:leader="none"/>
          <w:tab w:pos="4152" w:val="left" w:leader="none"/>
          <w:tab w:pos="5001" w:val="left" w:leader="none"/>
        </w:tabs>
        <w:spacing w:line="240" w:lineRule="auto"/>
        <w:ind w:left="181" w:right="-2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54"/>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8"/>
        </w:rPr>
        <w:t> </w:t>
      </w:r>
      <w:r>
        <w:rPr/>
        <w:t>月</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8"/>
        </w:rPr>
        <w:t> </w:t>
      </w:r>
      <w:r>
        <w:rPr/>
        <w:t>日</w:t>
      </w:r>
      <w:r>
        <w:rPr>
          <w:spacing w:val="-35"/>
        </w:rPr>
        <w:t> </w:t>
      </w:r>
      <w:r>
        <w:rPr/>
        <w:t>公司会议室</w:t>
        <w:tab/>
        <w:t>实地调研</w:t>
        <w:tab/>
        <w:t>机构</w:t>
        <w:tab/>
        <w:t>方正证券彭民</w:t>
      </w:r>
    </w:p>
    <w:p>
      <w:pPr>
        <w:pStyle w:val="BodyText"/>
        <w:spacing w:line="300" w:lineRule="auto" w:before="44"/>
        <w:ind w:left="181" w:right="247"/>
        <w:jc w:val="both"/>
      </w:pPr>
      <w:r>
        <w:rPr>
          <w:spacing w:val="-2"/>
        </w:rPr>
        <w:br w:type="column"/>
      </w:r>
      <w:r>
        <w:rPr>
          <w:rFonts w:ascii="Times New Roman" w:hAnsi="Times New Roman" w:cs="Times New Roman" w:eastAsia="Times New Roman" w:hint="default"/>
          <w:spacing w:val="-2"/>
        </w:rPr>
        <w:t>1</w:t>
      </w:r>
      <w:r>
        <w:rPr>
          <w:spacing w:val="-2"/>
        </w:rPr>
        <w:t>、公司大小非解禁安排；</w:t>
      </w:r>
      <w:r>
        <w:rPr>
          <w:rFonts w:ascii="Times New Roman" w:hAnsi="Times New Roman" w:cs="Times New Roman" w:eastAsia="Times New Roman" w:hint="default"/>
          <w:spacing w:val="-2"/>
        </w:rPr>
        <w:t>2</w:t>
      </w:r>
      <w:r>
        <w:rPr>
          <w:spacing w:val="-2"/>
        </w:rPr>
        <w:t>、楼宇对</w:t>
      </w:r>
      <w:r>
        <w:rPr>
          <w:spacing w:val="-87"/>
        </w:rPr>
        <w:t> </w:t>
      </w:r>
      <w:r>
        <w:rPr>
          <w:spacing w:val="-87"/>
        </w:rPr>
      </w:r>
      <w:r>
        <w:rPr/>
        <w:t>讲行业市场容量；</w:t>
      </w:r>
      <w:r>
        <w:rPr>
          <w:rFonts w:ascii="Times New Roman" w:hAnsi="Times New Roman" w:cs="Times New Roman" w:eastAsia="Times New Roman" w:hint="default"/>
        </w:rPr>
        <w:t>3</w:t>
      </w:r>
      <w:r>
        <w:rPr/>
        <w:t>、四季度业绩增 长情况；</w:t>
      </w:r>
      <w:r>
        <w:rPr>
          <w:rFonts w:ascii="Times New Roman" w:hAnsi="Times New Roman" w:cs="Times New Roman" w:eastAsia="Times New Roman" w:hint="default"/>
        </w:rPr>
        <w:t>4</w:t>
      </w:r>
      <w:r>
        <w:rPr/>
        <w:t>、产品毛利率、市场占有 率；</w:t>
      </w:r>
      <w:r>
        <w:rPr>
          <w:rFonts w:ascii="Times New Roman" w:hAnsi="Times New Roman" w:cs="Times New Roman" w:eastAsia="Times New Roman" w:hint="default"/>
        </w:rPr>
        <w:t>5</w:t>
      </w:r>
      <w:r>
        <w:rPr/>
        <w:t>、智能家居发展情况</w:t>
      </w:r>
    </w:p>
    <w:p>
      <w:pPr>
        <w:spacing w:after="0" w:line="300" w:lineRule="auto"/>
        <w:jc w:val="both"/>
        <w:sectPr>
          <w:type w:val="continuous"/>
          <w:pgSz w:w="11910" w:h="16840"/>
          <w:pgMar w:top="880" w:bottom="280" w:left="980" w:right="980"/>
          <w:cols w:num="2" w:equalWidth="0">
            <w:col w:w="6082" w:space="581"/>
            <w:col w:w="3287"/>
          </w:cols>
        </w:sect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5"/>
          <w:szCs w:val="25"/>
        </w:rPr>
      </w:pPr>
    </w:p>
    <w:p>
      <w:pPr>
        <w:pStyle w:val="BodyText"/>
        <w:tabs>
          <w:tab w:pos="2877" w:val="left" w:leader="none"/>
          <w:tab w:pos="4152" w:val="left" w:leader="none"/>
          <w:tab w:pos="5001" w:val="left" w:leader="none"/>
        </w:tabs>
        <w:spacing w:line="240" w:lineRule="auto"/>
        <w:ind w:left="181" w:right="-2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54"/>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8"/>
        </w:rPr>
        <w:t> </w:t>
      </w:r>
      <w:r>
        <w:rPr/>
        <w:t>月</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8"/>
        </w:rPr>
        <w:t> </w:t>
      </w:r>
      <w:r>
        <w:rPr/>
        <w:t>日</w:t>
      </w:r>
      <w:r>
        <w:rPr>
          <w:spacing w:val="-35"/>
        </w:rPr>
        <w:t> </w:t>
      </w:r>
      <w:r>
        <w:rPr/>
        <w:t>公司会议室</w:t>
        <w:tab/>
        <w:t>实地调研</w:t>
        <w:tab/>
        <w:t>机构</w:t>
        <w:tab/>
        <w:t>民生证券沈海兵</w:t>
      </w:r>
    </w:p>
    <w:p>
      <w:pPr>
        <w:pStyle w:val="BodyText"/>
        <w:spacing w:line="300" w:lineRule="auto" w:before="104"/>
        <w:ind w:left="181" w:right="145"/>
        <w:jc w:val="left"/>
      </w:pPr>
      <w:r>
        <w:rPr/>
        <w:br w:type="column"/>
      </w:r>
      <w:r>
        <w:rPr>
          <w:rFonts w:ascii="Times New Roman" w:hAnsi="Times New Roman" w:cs="Times New Roman" w:eastAsia="Times New Roman" w:hint="default"/>
        </w:rPr>
        <w:t>1</w:t>
      </w:r>
      <w:r>
        <w:rPr/>
        <w:t>、工程合作资金支助计划；</w:t>
      </w:r>
      <w:r>
        <w:rPr>
          <w:rFonts w:ascii="Times New Roman" w:hAnsi="Times New Roman" w:cs="Times New Roman" w:eastAsia="Times New Roman" w:hint="default"/>
        </w:rPr>
        <w:t>2</w:t>
      </w:r>
      <w:r>
        <w:rPr/>
        <w:t>、公司 </w:t>
      </w:r>
      <w:r>
        <w:rPr>
          <w:spacing w:val="-2"/>
        </w:rPr>
        <w:t>业务发展方向；</w:t>
      </w:r>
      <w:r>
        <w:rPr>
          <w:rFonts w:ascii="Times New Roman" w:hAnsi="Times New Roman" w:cs="Times New Roman" w:eastAsia="Times New Roman" w:hint="default"/>
          <w:spacing w:val="-2"/>
        </w:rPr>
        <w:t>3</w:t>
      </w:r>
      <w:r>
        <w:rPr>
          <w:spacing w:val="-2"/>
        </w:rPr>
        <w:t>、线缆产品的优势；</w:t>
      </w:r>
      <w:r>
        <w:rPr>
          <w:spacing w:val="-87"/>
        </w:rPr>
        <w:t> </w:t>
      </w:r>
      <w:r>
        <w:rPr>
          <w:spacing w:val="-87"/>
        </w:rPr>
      </w:r>
      <w:r>
        <w:rPr>
          <w:rFonts w:ascii="Times New Roman" w:hAnsi="Times New Roman" w:cs="Times New Roman" w:eastAsia="Times New Roman" w:hint="default"/>
          <w:spacing w:val="-3"/>
        </w:rPr>
        <w:t>4</w:t>
      </w:r>
      <w:r>
        <w:rPr>
          <w:spacing w:val="-3"/>
        </w:rPr>
        <w:t>、对讲产品高毛利率的原因；</w:t>
      </w:r>
      <w:r>
        <w:rPr>
          <w:rFonts w:ascii="Times New Roman" w:hAnsi="Times New Roman" w:cs="Times New Roman" w:eastAsia="Times New Roman" w:hint="default"/>
          <w:spacing w:val="-3"/>
        </w:rPr>
        <w:t>5</w:t>
      </w:r>
      <w:r>
        <w:rPr>
          <w:spacing w:val="-3"/>
        </w:rPr>
        <w:t>、奥</w:t>
      </w:r>
      <w:r>
        <w:rPr>
          <w:spacing w:val="-79"/>
        </w:rPr>
        <w:t> </w:t>
      </w:r>
      <w:r>
        <w:rPr/>
        <w:t>迪安的进展情况；</w:t>
      </w:r>
      <w:r>
        <w:rPr>
          <w:rFonts w:ascii="Times New Roman" w:hAnsi="Times New Roman" w:cs="Times New Roman" w:eastAsia="Times New Roman" w:hint="default"/>
        </w:rPr>
        <w:t>6</w:t>
      </w:r>
      <w:r>
        <w:rPr/>
        <w:t>、网点建设情况</w:t>
      </w:r>
    </w:p>
    <w:p>
      <w:pPr>
        <w:spacing w:after="0" w:line="300" w:lineRule="auto"/>
        <w:jc w:val="left"/>
        <w:sectPr>
          <w:type w:val="continuous"/>
          <w:pgSz w:w="11910" w:h="16840"/>
          <w:pgMar w:top="880" w:bottom="280" w:left="980" w:right="980"/>
          <w:cols w:num="2" w:equalWidth="0">
            <w:col w:w="6262" w:space="401"/>
            <w:col w:w="3287"/>
          </w:cols>
        </w:sectPr>
      </w:pPr>
    </w:p>
    <w:p>
      <w:pPr>
        <w:spacing w:line="240" w:lineRule="auto" w:before="3"/>
        <w:rPr>
          <w:rFonts w:ascii="宋体" w:hAnsi="宋体" w:cs="宋体" w:eastAsia="宋体" w:hint="default"/>
          <w:sz w:val="18"/>
          <w:szCs w:val="18"/>
        </w:rPr>
      </w:pPr>
      <w:r>
        <w:rPr/>
        <w:pict>
          <v:group style="position:absolute;margin-left:56.400002pt;margin-top:71.759979pt;width:479.05pt;height:686.15pt;mso-position-horizontal-relative:page;mso-position-vertical-relative:page;z-index:-760048" coordorigin="1128,1435" coordsize="9581,13723">
            <v:group style="position:absolute;left:1138;top:1445;width:1487;height:2" coordorigin="1138,1445" coordsize="1487,2">
              <v:shape style="position:absolute;left:1138;top:1445;width:1487;height:2" coordorigin="1138,1445" coordsize="1487,0" path="m1138,1445l2624,1445e" filled="false" stroked="true" strokeweight=".48pt" strokecolor="#000000">
                <v:path arrowok="t"/>
              </v:shape>
            </v:group>
            <v:group style="position:absolute;left:2633;top:1445;width:1191;height:2" coordorigin="2633,1445" coordsize="1191,2">
              <v:shape style="position:absolute;left:2633;top:1445;width:1191;height:2" coordorigin="2633,1445" coordsize="1191,0" path="m2633,1445l3824,1445e" filled="false" stroked="true" strokeweight=".48pt" strokecolor="#000000">
                <v:path arrowok="t"/>
              </v:shape>
            </v:group>
            <v:group style="position:absolute;left:3834;top:1445;width:1265;height:2" coordorigin="3834,1445" coordsize="1265,2">
              <v:shape style="position:absolute;left:3834;top:1445;width:1265;height:2" coordorigin="3834,1445" coordsize="1265,0" path="m3834,1445l5099,1445e" filled="false" stroked="true" strokeweight=".48pt" strokecolor="#000000">
                <v:path arrowok="t"/>
              </v:shape>
            </v:group>
            <v:group style="position:absolute;left:5108;top:1445;width:840;height:2" coordorigin="5108,1445" coordsize="840,2">
              <v:shape style="position:absolute;left:5108;top:1445;width:840;height:2" coordorigin="5108,1445" coordsize="840,0" path="m5108,1445l5948,1445e" filled="false" stroked="true" strokeweight=".48pt" strokecolor="#000000">
                <v:path arrowok="t"/>
              </v:shape>
            </v:group>
            <v:group style="position:absolute;left:5958;top:1445;width:1835;height:2" coordorigin="5958,1445" coordsize="1835,2">
              <v:shape style="position:absolute;left:5958;top:1445;width:1835;height:2" coordorigin="5958,1445" coordsize="1835,0" path="m5958,1445l7792,1445e" filled="false" stroked="true" strokeweight=".48pt" strokecolor="#000000">
                <v:path arrowok="t"/>
              </v:shape>
            </v:group>
            <v:group style="position:absolute;left:7801;top:1445;width:2898;height:2" coordorigin="7801,1445" coordsize="2898,2">
              <v:shape style="position:absolute;left:7801;top:1445;width:2898;height:2" coordorigin="7801,1445" coordsize="2898,0" path="m7801,1445l10699,1445e" filled="false" stroked="true" strokeweight=".48pt" strokecolor="#000000">
                <v:path arrowok="t"/>
              </v:shape>
            </v:group>
            <v:group style="position:absolute;left:1138;top:1808;width:1487;height:2" coordorigin="1138,1808" coordsize="1487,2">
              <v:shape style="position:absolute;left:1138;top:1808;width:1487;height:2" coordorigin="1138,1808" coordsize="1487,0" path="m1138,1808l2624,1808e" filled="false" stroked="true" strokeweight=".48pt" strokecolor="#000000">
                <v:path arrowok="t"/>
              </v:shape>
            </v:group>
            <v:group style="position:absolute;left:2633;top:1808;width:1191;height:2" coordorigin="2633,1808" coordsize="1191,2">
              <v:shape style="position:absolute;left:2633;top:1808;width:1191;height:2" coordorigin="2633,1808" coordsize="1191,0" path="m2633,1808l3824,1808e" filled="false" stroked="true" strokeweight=".48pt" strokecolor="#000000">
                <v:path arrowok="t"/>
              </v:shape>
            </v:group>
            <v:group style="position:absolute;left:3834;top:1808;width:1265;height:2" coordorigin="3834,1808" coordsize="1265,2">
              <v:shape style="position:absolute;left:3834;top:1808;width:1265;height:2" coordorigin="3834,1808" coordsize="1265,0" path="m3834,1808l5099,1808e" filled="false" stroked="true" strokeweight=".48pt" strokecolor="#000000">
                <v:path arrowok="t"/>
              </v:shape>
            </v:group>
            <v:group style="position:absolute;left:5108;top:1808;width:840;height:2" coordorigin="5108,1808" coordsize="840,2">
              <v:shape style="position:absolute;left:5108;top:1808;width:840;height:2" coordorigin="5108,1808" coordsize="840,0" path="m5108,1808l5948,1808e" filled="false" stroked="true" strokeweight=".48pt" strokecolor="#000000">
                <v:path arrowok="t"/>
              </v:shape>
            </v:group>
            <v:group style="position:absolute;left:5958;top:1808;width:1835;height:2" coordorigin="5958,1808" coordsize="1835,2">
              <v:shape style="position:absolute;left:5958;top:1808;width:1835;height:2" coordorigin="5958,1808" coordsize="1835,0" path="m5958,1808l7792,1808e" filled="false" stroked="true" strokeweight=".48pt" strokecolor="#000000">
                <v:path arrowok="t"/>
              </v:shape>
            </v:group>
            <v:group style="position:absolute;left:7801;top:1808;width:2898;height:2" coordorigin="7801,1808" coordsize="2898,2">
              <v:shape style="position:absolute;left:7801;top:1808;width:2898;height:2" coordorigin="7801,1808" coordsize="2898,0" path="m7801,1808l10699,1808e" filled="false" stroked="true" strokeweight=".48pt" strokecolor="#000000">
                <v:path arrowok="t"/>
              </v:shape>
            </v:group>
            <v:group style="position:absolute;left:1138;top:3144;width:1487;height:2" coordorigin="1138,3144" coordsize="1487,2">
              <v:shape style="position:absolute;left:1138;top:3144;width:1487;height:2" coordorigin="1138,3144" coordsize="1487,0" path="m1138,3144l2624,3144e" filled="false" stroked="true" strokeweight=".48pt" strokecolor="#000000">
                <v:path arrowok="t"/>
              </v:shape>
            </v:group>
            <v:group style="position:absolute;left:2633;top:3144;width:1191;height:2" coordorigin="2633,3144" coordsize="1191,2">
              <v:shape style="position:absolute;left:2633;top:3144;width:1191;height:2" coordorigin="2633,3144" coordsize="1191,0" path="m2633,3144l3824,3144e" filled="false" stroked="true" strokeweight=".48pt" strokecolor="#000000">
                <v:path arrowok="t"/>
              </v:shape>
            </v:group>
            <v:group style="position:absolute;left:3834;top:3144;width:1265;height:2" coordorigin="3834,3144" coordsize="1265,2">
              <v:shape style="position:absolute;left:3834;top:3144;width:1265;height:2" coordorigin="3834,3144" coordsize="1265,0" path="m3834,3144l5099,3144e" filled="false" stroked="true" strokeweight=".48pt" strokecolor="#000000">
                <v:path arrowok="t"/>
              </v:shape>
            </v:group>
            <v:group style="position:absolute;left:5108;top:3144;width:840;height:2" coordorigin="5108,3144" coordsize="840,2">
              <v:shape style="position:absolute;left:5108;top:3144;width:840;height:2" coordorigin="5108,3144" coordsize="840,0" path="m5108,3144l5948,3144e" filled="false" stroked="true" strokeweight=".48pt" strokecolor="#000000">
                <v:path arrowok="t"/>
              </v:shape>
            </v:group>
            <v:group style="position:absolute;left:5958;top:3144;width:1835;height:2" coordorigin="5958,3144" coordsize="1835,2">
              <v:shape style="position:absolute;left:5958;top:3144;width:1835;height:2" coordorigin="5958,3144" coordsize="1835,0" path="m5958,3144l7792,3144e" filled="false" stroked="true" strokeweight=".48pt" strokecolor="#000000">
                <v:path arrowok="t"/>
              </v:shape>
            </v:group>
            <v:group style="position:absolute;left:7801;top:3144;width:2898;height:2" coordorigin="7801,3144" coordsize="2898,2">
              <v:shape style="position:absolute;left:7801;top:3144;width:2898;height:2" coordorigin="7801,3144" coordsize="2898,0" path="m7801,3144l10699,3144e" filled="false" stroked="true" strokeweight=".48pt" strokecolor="#000000">
                <v:path arrowok="t"/>
              </v:shape>
            </v:group>
            <v:group style="position:absolute;left:1138;top:4172;width:1487;height:2" coordorigin="1138,4172" coordsize="1487,2">
              <v:shape style="position:absolute;left:1138;top:4172;width:1487;height:2" coordorigin="1138,4172" coordsize="1487,0" path="m1138,4172l2624,4172e" filled="false" stroked="true" strokeweight=".48pt" strokecolor="#000000">
                <v:path arrowok="t"/>
              </v:shape>
            </v:group>
            <v:group style="position:absolute;left:2633;top:4172;width:1191;height:2" coordorigin="2633,4172" coordsize="1191,2">
              <v:shape style="position:absolute;left:2633;top:4172;width:1191;height:2" coordorigin="2633,4172" coordsize="1191,0" path="m2633,4172l3824,4172e" filled="false" stroked="true" strokeweight=".48pt" strokecolor="#000000">
                <v:path arrowok="t"/>
              </v:shape>
            </v:group>
            <v:group style="position:absolute;left:3834;top:4172;width:1265;height:2" coordorigin="3834,4172" coordsize="1265,2">
              <v:shape style="position:absolute;left:3834;top:4172;width:1265;height:2" coordorigin="3834,4172" coordsize="1265,0" path="m3834,4172l5099,4172e" filled="false" stroked="true" strokeweight=".48pt" strokecolor="#000000">
                <v:path arrowok="t"/>
              </v:shape>
            </v:group>
            <v:group style="position:absolute;left:5108;top:4172;width:840;height:2" coordorigin="5108,4172" coordsize="840,2">
              <v:shape style="position:absolute;left:5108;top:4172;width:840;height:2" coordorigin="5108,4172" coordsize="840,0" path="m5108,4172l5948,4172e" filled="false" stroked="true" strokeweight=".48pt" strokecolor="#000000">
                <v:path arrowok="t"/>
              </v:shape>
            </v:group>
            <v:group style="position:absolute;left:5958;top:4172;width:1835;height:2" coordorigin="5958,4172" coordsize="1835,2">
              <v:shape style="position:absolute;left:5958;top:4172;width:1835;height:2" coordorigin="5958,4172" coordsize="1835,0" path="m5958,4172l7792,4172e" filled="false" stroked="true" strokeweight=".48pt" strokecolor="#000000">
                <v:path arrowok="t"/>
              </v:shape>
            </v:group>
            <v:group style="position:absolute;left:7801;top:4172;width:2898;height:2" coordorigin="7801,4172" coordsize="2898,2">
              <v:shape style="position:absolute;left:7801;top:4172;width:2898;height:2" coordorigin="7801,4172" coordsize="2898,0" path="m7801,4172l10699,4172e" filled="false" stroked="true" strokeweight=".48pt" strokecolor="#000000">
                <v:path arrowok="t"/>
              </v:shape>
            </v:group>
            <v:group style="position:absolute;left:1138;top:5509;width:1487;height:2" coordorigin="1138,5509" coordsize="1487,2">
              <v:shape style="position:absolute;left:1138;top:5509;width:1487;height:2" coordorigin="1138,5509" coordsize="1487,0" path="m1138,5509l2624,5509e" filled="false" stroked="true" strokeweight=".48pt" strokecolor="#000000">
                <v:path arrowok="t"/>
              </v:shape>
            </v:group>
            <v:group style="position:absolute;left:2633;top:5509;width:1191;height:2" coordorigin="2633,5509" coordsize="1191,2">
              <v:shape style="position:absolute;left:2633;top:5509;width:1191;height:2" coordorigin="2633,5509" coordsize="1191,0" path="m2633,5509l3824,5509e" filled="false" stroked="true" strokeweight=".48pt" strokecolor="#000000">
                <v:path arrowok="t"/>
              </v:shape>
            </v:group>
            <v:group style="position:absolute;left:3834;top:5509;width:1265;height:2" coordorigin="3834,5509" coordsize="1265,2">
              <v:shape style="position:absolute;left:3834;top:5509;width:1265;height:2" coordorigin="3834,5509" coordsize="1265,0" path="m3834,5509l5099,5509e" filled="false" stroked="true" strokeweight=".48pt" strokecolor="#000000">
                <v:path arrowok="t"/>
              </v:shape>
            </v:group>
            <v:group style="position:absolute;left:5108;top:5509;width:840;height:2" coordorigin="5108,5509" coordsize="840,2">
              <v:shape style="position:absolute;left:5108;top:5509;width:840;height:2" coordorigin="5108,5509" coordsize="840,0" path="m5108,5509l5948,5509e" filled="false" stroked="true" strokeweight=".48pt" strokecolor="#000000">
                <v:path arrowok="t"/>
              </v:shape>
            </v:group>
            <v:group style="position:absolute;left:5958;top:5509;width:1835;height:2" coordorigin="5958,5509" coordsize="1835,2">
              <v:shape style="position:absolute;left:5958;top:5509;width:1835;height:2" coordorigin="5958,5509" coordsize="1835,0" path="m5958,5509l7792,5509e" filled="false" stroked="true" strokeweight=".48pt" strokecolor="#000000">
                <v:path arrowok="t"/>
              </v:shape>
            </v:group>
            <v:group style="position:absolute;left:7801;top:5509;width:2898;height:2" coordorigin="7801,5509" coordsize="2898,2">
              <v:shape style="position:absolute;left:7801;top:5509;width:2898;height:2" coordorigin="7801,5509" coordsize="2898,0" path="m7801,5509l10699,5509e" filled="false" stroked="true" strokeweight=".48pt" strokecolor="#000000">
                <v:path arrowok="t"/>
              </v:shape>
            </v:group>
            <v:group style="position:absolute;left:1138;top:6536;width:1487;height:2" coordorigin="1138,6536" coordsize="1487,2">
              <v:shape style="position:absolute;left:1138;top:6536;width:1487;height:2" coordorigin="1138,6536" coordsize="1487,0" path="m1138,6536l2624,6536e" filled="false" stroked="true" strokeweight=".48pt" strokecolor="#000000">
                <v:path arrowok="t"/>
              </v:shape>
            </v:group>
            <v:group style="position:absolute;left:2633;top:6536;width:1191;height:2" coordorigin="2633,6536" coordsize="1191,2">
              <v:shape style="position:absolute;left:2633;top:6536;width:1191;height:2" coordorigin="2633,6536" coordsize="1191,0" path="m2633,6536l3824,6536e" filled="false" stroked="true" strokeweight=".48pt" strokecolor="#000000">
                <v:path arrowok="t"/>
              </v:shape>
            </v:group>
            <v:group style="position:absolute;left:3834;top:6536;width:1265;height:2" coordorigin="3834,6536" coordsize="1265,2">
              <v:shape style="position:absolute;left:3834;top:6536;width:1265;height:2" coordorigin="3834,6536" coordsize="1265,0" path="m3834,6536l5099,6536e" filled="false" stroked="true" strokeweight=".48pt" strokecolor="#000000">
                <v:path arrowok="t"/>
              </v:shape>
            </v:group>
            <v:group style="position:absolute;left:5108;top:6536;width:840;height:2" coordorigin="5108,6536" coordsize="840,2">
              <v:shape style="position:absolute;left:5108;top:6536;width:840;height:2" coordorigin="5108,6536" coordsize="840,0" path="m5108,6536l5948,6536e" filled="false" stroked="true" strokeweight=".48pt" strokecolor="#000000">
                <v:path arrowok="t"/>
              </v:shape>
            </v:group>
            <v:group style="position:absolute;left:5958;top:6536;width:1835;height:2" coordorigin="5958,6536" coordsize="1835,2">
              <v:shape style="position:absolute;left:5958;top:6536;width:1835;height:2" coordorigin="5958,6536" coordsize="1835,0" path="m5958,6536l7792,6536e" filled="false" stroked="true" strokeweight=".48pt" strokecolor="#000000">
                <v:path arrowok="t"/>
              </v:shape>
            </v:group>
            <v:group style="position:absolute;left:7801;top:6536;width:2898;height:2" coordorigin="7801,6536" coordsize="2898,2">
              <v:shape style="position:absolute;left:7801;top:6536;width:2898;height:2" coordorigin="7801,6536" coordsize="2898,0" path="m7801,6536l10699,6536e" filled="false" stroked="true" strokeweight=".48pt" strokecolor="#000000">
                <v:path arrowok="t"/>
              </v:shape>
            </v:group>
            <v:group style="position:absolute;left:1138;top:7873;width:1487;height:2" coordorigin="1138,7873" coordsize="1487,2">
              <v:shape style="position:absolute;left:1138;top:7873;width:1487;height:2" coordorigin="1138,7873" coordsize="1487,0" path="m1138,7873l2624,7873e" filled="false" stroked="true" strokeweight=".48pt" strokecolor="#000000">
                <v:path arrowok="t"/>
              </v:shape>
            </v:group>
            <v:group style="position:absolute;left:2633;top:7873;width:1191;height:2" coordorigin="2633,7873" coordsize="1191,2">
              <v:shape style="position:absolute;left:2633;top:7873;width:1191;height:2" coordorigin="2633,7873" coordsize="1191,0" path="m2633,7873l3824,7873e" filled="false" stroked="true" strokeweight=".48pt" strokecolor="#000000">
                <v:path arrowok="t"/>
              </v:shape>
            </v:group>
            <v:group style="position:absolute;left:3834;top:7873;width:1265;height:2" coordorigin="3834,7873" coordsize="1265,2">
              <v:shape style="position:absolute;left:3834;top:7873;width:1265;height:2" coordorigin="3834,7873" coordsize="1265,0" path="m3834,7873l5099,7873e" filled="false" stroked="true" strokeweight=".48pt" strokecolor="#000000">
                <v:path arrowok="t"/>
              </v:shape>
            </v:group>
            <v:group style="position:absolute;left:5108;top:7873;width:840;height:2" coordorigin="5108,7873" coordsize="840,2">
              <v:shape style="position:absolute;left:5108;top:7873;width:840;height:2" coordorigin="5108,7873" coordsize="840,0" path="m5108,7873l5948,7873e" filled="false" stroked="true" strokeweight=".48pt" strokecolor="#000000">
                <v:path arrowok="t"/>
              </v:shape>
            </v:group>
            <v:group style="position:absolute;left:5958;top:7873;width:1835;height:2" coordorigin="5958,7873" coordsize="1835,2">
              <v:shape style="position:absolute;left:5958;top:7873;width:1835;height:2" coordorigin="5958,7873" coordsize="1835,0" path="m5958,7873l7792,7873e" filled="false" stroked="true" strokeweight=".48pt" strokecolor="#000000">
                <v:path arrowok="t"/>
              </v:shape>
            </v:group>
            <v:group style="position:absolute;left:7801;top:7873;width:2898;height:2" coordorigin="7801,7873" coordsize="2898,2">
              <v:shape style="position:absolute;left:7801;top:7873;width:2898;height:2" coordorigin="7801,7873" coordsize="2898,0" path="m7801,7873l10699,7873e" filled="false" stroked="true" strokeweight=".48pt" strokecolor="#000000">
                <v:path arrowok="t"/>
              </v:shape>
            </v:group>
            <v:group style="position:absolute;left:1138;top:10149;width:1487;height:2" coordorigin="1138,10149" coordsize="1487,2">
              <v:shape style="position:absolute;left:1138;top:10149;width:1487;height:2" coordorigin="1138,10149" coordsize="1487,0" path="m1138,10149l2624,10149e" filled="false" stroked="true" strokeweight=".48pt" strokecolor="#000000">
                <v:path arrowok="t"/>
              </v:shape>
            </v:group>
            <v:group style="position:absolute;left:2633;top:10149;width:1191;height:2" coordorigin="2633,10149" coordsize="1191,2">
              <v:shape style="position:absolute;left:2633;top:10149;width:1191;height:2" coordorigin="2633,10149" coordsize="1191,0" path="m2633,10149l3824,10149e" filled="false" stroked="true" strokeweight=".48pt" strokecolor="#000000">
                <v:path arrowok="t"/>
              </v:shape>
            </v:group>
            <v:group style="position:absolute;left:3834;top:10149;width:1265;height:2" coordorigin="3834,10149" coordsize="1265,2">
              <v:shape style="position:absolute;left:3834;top:10149;width:1265;height:2" coordorigin="3834,10149" coordsize="1265,0" path="m3834,10149l5099,10149e" filled="false" stroked="true" strokeweight=".48pt" strokecolor="#000000">
                <v:path arrowok="t"/>
              </v:shape>
            </v:group>
            <v:group style="position:absolute;left:5108;top:10149;width:840;height:2" coordorigin="5108,10149" coordsize="840,2">
              <v:shape style="position:absolute;left:5108;top:10149;width:840;height:2" coordorigin="5108,10149" coordsize="840,0" path="m5108,10149l5948,10149e" filled="false" stroked="true" strokeweight=".48pt" strokecolor="#000000">
                <v:path arrowok="t"/>
              </v:shape>
            </v:group>
            <v:group style="position:absolute;left:5958;top:10149;width:1835;height:2" coordorigin="5958,10149" coordsize="1835,2">
              <v:shape style="position:absolute;left:5958;top:10149;width:1835;height:2" coordorigin="5958,10149" coordsize="1835,0" path="m5958,10149l7792,10149e" filled="false" stroked="true" strokeweight=".48pt" strokecolor="#000000">
                <v:path arrowok="t"/>
              </v:shape>
            </v:group>
            <v:group style="position:absolute;left:7801;top:10149;width:2898;height:2" coordorigin="7801,10149" coordsize="2898,2">
              <v:shape style="position:absolute;left:7801;top:10149;width:2898;height:2" coordorigin="7801,10149" coordsize="2898,0" path="m7801,10149l10699,10149e" filled="false" stroked="true" strokeweight=".48pt" strokecolor="#000000">
                <v:path arrowok="t"/>
              </v:shape>
            </v:group>
            <v:group style="position:absolute;left:1138;top:11797;width:1487;height:2" coordorigin="1138,11797" coordsize="1487,2">
              <v:shape style="position:absolute;left:1138;top:11797;width:1487;height:2" coordorigin="1138,11797" coordsize="1487,0" path="m1138,11797l2624,11797e" filled="false" stroked="true" strokeweight=".48pt" strokecolor="#000000">
                <v:path arrowok="t"/>
              </v:shape>
            </v:group>
            <v:group style="position:absolute;left:2633;top:11797;width:1191;height:2" coordorigin="2633,11797" coordsize="1191,2">
              <v:shape style="position:absolute;left:2633;top:11797;width:1191;height:2" coordorigin="2633,11797" coordsize="1191,0" path="m2633,11797l3824,11797e" filled="false" stroked="true" strokeweight=".48pt" strokecolor="#000000">
                <v:path arrowok="t"/>
              </v:shape>
            </v:group>
            <v:group style="position:absolute;left:3834;top:11797;width:1265;height:2" coordorigin="3834,11797" coordsize="1265,2">
              <v:shape style="position:absolute;left:3834;top:11797;width:1265;height:2" coordorigin="3834,11797" coordsize="1265,0" path="m3834,11797l5099,11797e" filled="false" stroked="true" strokeweight=".48pt" strokecolor="#000000">
                <v:path arrowok="t"/>
              </v:shape>
            </v:group>
            <v:group style="position:absolute;left:5108;top:11797;width:840;height:2" coordorigin="5108,11797" coordsize="840,2">
              <v:shape style="position:absolute;left:5108;top:11797;width:840;height:2" coordorigin="5108,11797" coordsize="840,0" path="m5108,11797l5948,11797e" filled="false" stroked="true" strokeweight=".48pt" strokecolor="#000000">
                <v:path arrowok="t"/>
              </v:shape>
            </v:group>
            <v:group style="position:absolute;left:5958;top:11797;width:1835;height:2" coordorigin="5958,11797" coordsize="1835,2">
              <v:shape style="position:absolute;left:5958;top:11797;width:1835;height:2" coordorigin="5958,11797" coordsize="1835,0" path="m5958,11797l7792,11797e" filled="false" stroked="true" strokeweight=".48pt" strokecolor="#000000">
                <v:path arrowok="t"/>
              </v:shape>
            </v:group>
            <v:group style="position:absolute;left:7801;top:11797;width:2898;height:2" coordorigin="7801,11797" coordsize="2898,2">
              <v:shape style="position:absolute;left:7801;top:11797;width:2898;height:2" coordorigin="7801,11797" coordsize="2898,0" path="m7801,11797l10699,11797e" filled="false" stroked="true" strokeweight=".48pt" strokecolor="#000000">
                <v:path arrowok="t"/>
              </v:shape>
            </v:group>
            <v:group style="position:absolute;left:1138;top:13137;width:1487;height:2" coordorigin="1138,13137" coordsize="1487,2">
              <v:shape style="position:absolute;left:1138;top:13137;width:1487;height:2" coordorigin="1138,13137" coordsize="1487,0" path="m1138,13137l2624,13137e" filled="false" stroked="true" strokeweight=".48pt" strokecolor="#000000">
                <v:path arrowok="t"/>
              </v:shape>
            </v:group>
            <v:group style="position:absolute;left:2633;top:13137;width:1191;height:2" coordorigin="2633,13137" coordsize="1191,2">
              <v:shape style="position:absolute;left:2633;top:13137;width:1191;height:2" coordorigin="2633,13137" coordsize="1191,0" path="m2633,13137l3824,13137e" filled="false" stroked="true" strokeweight=".48pt" strokecolor="#000000">
                <v:path arrowok="t"/>
              </v:shape>
            </v:group>
            <v:group style="position:absolute;left:3834;top:13137;width:1265;height:2" coordorigin="3834,13137" coordsize="1265,2">
              <v:shape style="position:absolute;left:3834;top:13137;width:1265;height:2" coordorigin="3834,13137" coordsize="1265,0" path="m3834,13137l5099,13137e" filled="false" stroked="true" strokeweight=".48pt" strokecolor="#000000">
                <v:path arrowok="t"/>
              </v:shape>
            </v:group>
            <v:group style="position:absolute;left:5108;top:13137;width:840;height:2" coordorigin="5108,13137" coordsize="840,2">
              <v:shape style="position:absolute;left:5108;top:13137;width:840;height:2" coordorigin="5108,13137" coordsize="840,0" path="m5108,13137l5948,13137e" filled="false" stroked="true" strokeweight=".48pt" strokecolor="#000000">
                <v:path arrowok="t"/>
              </v:shape>
            </v:group>
            <v:group style="position:absolute;left:5958;top:13137;width:1835;height:2" coordorigin="5958,13137" coordsize="1835,2">
              <v:shape style="position:absolute;left:5958;top:13137;width:1835;height:2" coordorigin="5958,13137" coordsize="1835,0" path="m5958,13137l7792,13137e" filled="false" stroked="true" strokeweight=".48pt" strokecolor="#000000">
                <v:path arrowok="t"/>
              </v:shape>
            </v:group>
            <v:group style="position:absolute;left:7801;top:13137;width:2898;height:2" coordorigin="7801,13137" coordsize="2898,2">
              <v:shape style="position:absolute;left:7801;top:13137;width:2898;height:2" coordorigin="7801,13137" coordsize="2898,0" path="m7801,13137l10699,13137e" filled="false" stroked="true" strokeweight=".48pt" strokecolor="#000000">
                <v:path arrowok="t"/>
              </v:shape>
            </v:group>
            <v:group style="position:absolute;left:1138;top:14474;width:1487;height:2" coordorigin="1138,14474" coordsize="1487,2">
              <v:shape style="position:absolute;left:1138;top:14474;width:1487;height:2" coordorigin="1138,14474" coordsize="1487,0" path="m1138,14474l2624,14474e" filled="false" stroked="true" strokeweight=".48pt" strokecolor="#000000">
                <v:path arrowok="t"/>
              </v:shape>
            </v:group>
            <v:group style="position:absolute;left:2633;top:14474;width:1191;height:2" coordorigin="2633,14474" coordsize="1191,2">
              <v:shape style="position:absolute;left:2633;top:14474;width:1191;height:2" coordorigin="2633,14474" coordsize="1191,0" path="m2633,14474l3824,14474e" filled="false" stroked="true" strokeweight=".48pt" strokecolor="#000000">
                <v:path arrowok="t"/>
              </v:shape>
            </v:group>
            <v:group style="position:absolute;left:3834;top:14474;width:1265;height:2" coordorigin="3834,14474" coordsize="1265,2">
              <v:shape style="position:absolute;left:3834;top:14474;width:1265;height:2" coordorigin="3834,14474" coordsize="1265,0" path="m3834,14474l5099,14474e" filled="false" stroked="true" strokeweight=".48pt" strokecolor="#000000">
                <v:path arrowok="t"/>
              </v:shape>
            </v:group>
            <v:group style="position:absolute;left:5108;top:14474;width:840;height:2" coordorigin="5108,14474" coordsize="840,2">
              <v:shape style="position:absolute;left:5108;top:14474;width:840;height:2" coordorigin="5108,14474" coordsize="840,0" path="m5108,14474l5948,14474e" filled="false" stroked="true" strokeweight=".48pt" strokecolor="#000000">
                <v:path arrowok="t"/>
              </v:shape>
            </v:group>
            <v:group style="position:absolute;left:5958;top:14474;width:1835;height:2" coordorigin="5958,14474" coordsize="1835,2">
              <v:shape style="position:absolute;left:5958;top:14474;width:1835;height:2" coordorigin="5958,14474" coordsize="1835,0" path="m5958,14474l7792,14474e" filled="false" stroked="true" strokeweight=".48pt" strokecolor="#000000">
                <v:path arrowok="t"/>
              </v:shape>
            </v:group>
            <v:group style="position:absolute;left:7801;top:14474;width:2898;height:2" coordorigin="7801,14474" coordsize="2898,2">
              <v:shape style="position:absolute;left:7801;top:14474;width:2898;height:2" coordorigin="7801,14474" coordsize="2898,0" path="m7801,14474l10699,14474e" filled="false" stroked="true" strokeweight=".48pt" strokecolor="#000000">
                <v:path arrowok="t"/>
              </v:shape>
            </v:group>
            <v:group style="position:absolute;left:1133;top:1440;width:2;height:13714" coordorigin="1133,1440" coordsize="2,13714">
              <v:shape style="position:absolute;left:1133;top:1440;width:2;height:13714" coordorigin="1133,1440" coordsize="0,13714" path="m1133,1440l1133,15153e" filled="false" stroked="true" strokeweight=".48pt" strokecolor="#000000">
                <v:path arrowok="t"/>
              </v:shape>
            </v:group>
            <v:group style="position:absolute;left:1138;top:15148;width:1487;height:2" coordorigin="1138,15148" coordsize="1487,2">
              <v:shape style="position:absolute;left:1138;top:15148;width:1487;height:2" coordorigin="1138,15148" coordsize="1487,0" path="m1138,15148l2624,15148e" filled="false" stroked="true" strokeweight=".48pt" strokecolor="#000000">
                <v:path arrowok="t"/>
              </v:shape>
            </v:group>
            <v:group style="position:absolute;left:2628;top:1440;width:2;height:13714" coordorigin="2628,1440" coordsize="2,13714">
              <v:shape style="position:absolute;left:2628;top:1440;width:2;height:13714" coordorigin="2628,1440" coordsize="0,13714" path="m2628,1440l2628,15153e" filled="false" stroked="true" strokeweight=".48pt" strokecolor="#000000">
                <v:path arrowok="t"/>
              </v:shape>
            </v:group>
            <v:group style="position:absolute;left:2633;top:15148;width:1191;height:2" coordorigin="2633,15148" coordsize="1191,2">
              <v:shape style="position:absolute;left:2633;top:15148;width:1191;height:2" coordorigin="2633,15148" coordsize="1191,0" path="m2633,15148l3824,15148e" filled="false" stroked="true" strokeweight=".48pt" strokecolor="#000000">
                <v:path arrowok="t"/>
              </v:shape>
            </v:group>
            <v:group style="position:absolute;left:3829;top:1440;width:2;height:13714" coordorigin="3829,1440" coordsize="2,13714">
              <v:shape style="position:absolute;left:3829;top:1440;width:2;height:13714" coordorigin="3829,1440" coordsize="0,13714" path="m3829,1440l3829,15153e" filled="false" stroked="true" strokeweight=".48pt" strokecolor="#000000">
                <v:path arrowok="t"/>
              </v:shape>
            </v:group>
            <v:group style="position:absolute;left:3834;top:15148;width:1265;height:2" coordorigin="3834,15148" coordsize="1265,2">
              <v:shape style="position:absolute;left:3834;top:15148;width:1265;height:2" coordorigin="3834,15148" coordsize="1265,0" path="m3834,15148l5099,15148e" filled="false" stroked="true" strokeweight=".48pt" strokecolor="#000000">
                <v:path arrowok="t"/>
              </v:shape>
            </v:group>
            <v:group style="position:absolute;left:5103;top:1440;width:2;height:13714" coordorigin="5103,1440" coordsize="2,13714">
              <v:shape style="position:absolute;left:5103;top:1440;width:2;height:13714" coordorigin="5103,1440" coordsize="0,13714" path="m5103,1440l5103,15153e" filled="false" stroked="true" strokeweight=".48pt" strokecolor="#000000">
                <v:path arrowok="t"/>
              </v:shape>
            </v:group>
            <v:group style="position:absolute;left:5108;top:15148;width:840;height:2" coordorigin="5108,15148" coordsize="840,2">
              <v:shape style="position:absolute;left:5108;top:15148;width:840;height:2" coordorigin="5108,15148" coordsize="840,0" path="m5108,15148l5948,15148e" filled="false" stroked="true" strokeweight=".48pt" strokecolor="#000000">
                <v:path arrowok="t"/>
              </v:shape>
            </v:group>
            <v:group style="position:absolute;left:5953;top:1440;width:2;height:13714" coordorigin="5953,1440" coordsize="2,13714">
              <v:shape style="position:absolute;left:5953;top:1440;width:2;height:13714" coordorigin="5953,1440" coordsize="0,13714" path="m5953,1440l5953,15153e" filled="false" stroked="true" strokeweight=".48pt" strokecolor="#000000">
                <v:path arrowok="t"/>
              </v:shape>
            </v:group>
            <v:group style="position:absolute;left:5958;top:15148;width:1835;height:2" coordorigin="5958,15148" coordsize="1835,2">
              <v:shape style="position:absolute;left:5958;top:15148;width:1835;height:2" coordorigin="5958,15148" coordsize="1835,0" path="m5958,15148l7792,15148e" filled="false" stroked="true" strokeweight=".48pt" strokecolor="#000000">
                <v:path arrowok="t"/>
              </v:shape>
            </v:group>
            <v:group style="position:absolute;left:7797;top:1440;width:2;height:13714" coordorigin="7797,1440" coordsize="2,13714">
              <v:shape style="position:absolute;left:7797;top:1440;width:2;height:13714" coordorigin="7797,1440" coordsize="0,13714" path="m7797,1440l7797,15153e" filled="false" stroked="true" strokeweight=".48pt" strokecolor="#000000">
                <v:path arrowok="t"/>
              </v:shape>
            </v:group>
            <v:group style="position:absolute;left:7801;top:15148;width:2898;height:2" coordorigin="7801,15148" coordsize="2898,2">
              <v:shape style="position:absolute;left:7801;top:15148;width:2898;height:2" coordorigin="7801,15148" coordsize="2898,0" path="m7801,15148l10699,15148e" filled="false" stroked="true" strokeweight=".48pt" strokecolor="#000000">
                <v:path arrowok="t"/>
              </v:shape>
            </v:group>
            <v:group style="position:absolute;left:10704;top:1440;width:2;height:13714" coordorigin="10704,1440" coordsize="2,13714">
              <v:shape style="position:absolute;left:10704;top:1440;width:2;height:13714" coordorigin="10704,1440" coordsize="0,13714" path="m10704,1440l10704,15153e" filled="false" stroked="true" strokeweight=".48pt" strokecolor="#000000">
                <v:path arrowok="t"/>
              </v:shape>
            </v:group>
            <w10:wrap type="none"/>
          </v:group>
        </w:pict>
      </w:r>
    </w:p>
    <w:p>
      <w:pPr>
        <w:pStyle w:val="BodyText"/>
        <w:tabs>
          <w:tab w:pos="2877" w:val="left" w:leader="none"/>
          <w:tab w:pos="4152" w:val="left" w:leader="none"/>
        </w:tabs>
        <w:spacing w:line="240" w:lineRule="auto"/>
        <w:ind w:left="181" w:right="-2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56"/>
        </w:rPr>
        <w:t> </w:t>
      </w:r>
      <w:r>
        <w:rPr>
          <w:rFonts w:ascii="Times New Roman" w:hAnsi="Times New Roman" w:cs="Times New Roman" w:eastAsia="Times New Roman" w:hint="default"/>
        </w:rPr>
        <w:t>07</w:t>
      </w:r>
      <w:r>
        <w:rPr>
          <w:rFonts w:ascii="Times New Roman" w:hAnsi="Times New Roman" w:cs="Times New Roman" w:eastAsia="Times New Roman" w:hint="default"/>
          <w:spacing w:val="-9"/>
        </w:rPr>
        <w:t> </w:t>
      </w:r>
      <w:r>
        <w:rPr/>
        <w:t>日</w:t>
      </w:r>
      <w:r>
        <w:rPr>
          <w:spacing w:val="-36"/>
        </w:rPr>
        <w:t> </w:t>
      </w:r>
      <w:r>
        <w:rPr/>
        <w:t>公司会议室</w:t>
        <w:tab/>
        <w:t>实地调研</w:t>
        <w:tab/>
        <w:t>机构</w:t>
      </w:r>
    </w:p>
    <w:p>
      <w:pPr>
        <w:pStyle w:val="BodyText"/>
        <w:spacing w:line="300" w:lineRule="auto" w:before="101"/>
        <w:ind w:left="181" w:right="227"/>
        <w:jc w:val="left"/>
      </w:pPr>
      <w:r>
        <w:rPr/>
        <w:br w:type="column"/>
      </w:r>
      <w:r>
        <w:rPr/>
        <w:t>国泰君安袁熠明；财通</w:t>
      </w:r>
      <w:r>
        <w:rPr>
          <w:spacing w:val="-72"/>
        </w:rPr>
        <w:t> </w:t>
      </w:r>
      <w:r>
        <w:rPr>
          <w:rFonts w:ascii="Times New Roman" w:hAnsi="Times New Roman" w:cs="Times New Roman" w:eastAsia="Times New Roman" w:hint="default"/>
        </w:rPr>
        <w:t>1</w:t>
      </w:r>
      <w:r>
        <w:rPr/>
        <w:t>、奥迪安项目的进展情况；</w:t>
      </w:r>
      <w:r>
        <w:rPr>
          <w:rFonts w:ascii="Times New Roman" w:hAnsi="Times New Roman" w:cs="Times New Roman" w:eastAsia="Times New Roman" w:hint="default"/>
        </w:rPr>
        <w:t>2</w:t>
      </w:r>
      <w:r>
        <w:rPr/>
        <w:t>、工程 基金张潇；国网英大集</w:t>
      </w:r>
      <w:r>
        <w:rPr>
          <w:spacing w:val="-47"/>
        </w:rPr>
        <w:t> </w:t>
      </w:r>
      <w:r>
        <w:rPr/>
        <w:t>合作资金支助计划；</w:t>
      </w:r>
      <w:r>
        <w:rPr>
          <w:rFonts w:ascii="Times New Roman" w:hAnsi="Times New Roman" w:cs="Times New Roman" w:eastAsia="Times New Roman" w:hint="default"/>
        </w:rPr>
        <w:t>3</w:t>
      </w:r>
      <w:r>
        <w:rPr/>
        <w:t>、主要竞争对</w:t>
      </w:r>
    </w:p>
    <w:p>
      <w:pPr>
        <w:spacing w:after="0" w:line="300" w:lineRule="auto"/>
        <w:jc w:val="left"/>
        <w:sectPr>
          <w:type w:val="continuous"/>
          <w:pgSz w:w="11910" w:h="16840"/>
          <w:pgMar w:top="880" w:bottom="280" w:left="980" w:right="980"/>
          <w:cols w:num="2" w:equalWidth="0">
            <w:col w:w="4513" w:space="307"/>
            <w:col w:w="513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spacing w:line="240" w:lineRule="auto" w:before="44"/>
        <w:ind w:left="0" w:right="158"/>
        <w:jc w:val="right"/>
      </w:pPr>
      <w:r>
        <w:rPr/>
        <w:pict>
          <v:shape style="position:absolute;margin-left:56.400002pt;margin-top:-132.508270pt;width:479.3pt;height:333.0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6"/>
                    <w:gridCol w:w="1201"/>
                    <w:gridCol w:w="1274"/>
                    <w:gridCol w:w="850"/>
                    <w:gridCol w:w="1844"/>
                    <w:gridCol w:w="2907"/>
                  </w:tblGrid>
                  <w:tr>
                    <w:trPr>
                      <w:trHeight w:val="987" w:hRule="exact"/>
                    </w:trPr>
                    <w:tc>
                      <w:tcPr>
                        <w:tcW w:w="14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2"/>
                          <w:jc w:val="left"/>
                          <w:rPr>
                            <w:rFonts w:ascii="宋体" w:hAnsi="宋体" w:cs="宋体" w:eastAsia="宋体" w:hint="default"/>
                            <w:sz w:val="18"/>
                            <w:szCs w:val="18"/>
                          </w:rPr>
                        </w:pPr>
                        <w:r>
                          <w:rPr>
                            <w:rFonts w:ascii="宋体" w:hAnsi="宋体" w:cs="宋体" w:eastAsia="宋体" w:hint="default"/>
                            <w:spacing w:val="-2"/>
                            <w:sz w:val="18"/>
                            <w:szCs w:val="18"/>
                          </w:rPr>
                          <w:t>团刘中山、徐晶鑫；华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宝兴业</w:t>
                        </w:r>
                        <w:r>
                          <w:rPr>
                            <w:rFonts w:ascii="Times New Roman" w:hAnsi="Times New Roman" w:cs="Times New Roman" w:eastAsia="Times New Roman" w:hint="default"/>
                            <w:sz w:val="18"/>
                            <w:szCs w:val="18"/>
                          </w:rPr>
                          <w:t>-</w:t>
                        </w:r>
                        <w:r>
                          <w:rPr>
                            <w:rFonts w:ascii="宋体" w:hAnsi="宋体" w:cs="宋体" w:eastAsia="宋体" w:hint="default"/>
                            <w:sz w:val="18"/>
                            <w:szCs w:val="18"/>
                          </w:rPr>
                          <w:t>曾凡清</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19"/>
                          <w:jc w:val="both"/>
                          <w:rPr>
                            <w:rFonts w:ascii="宋体" w:hAnsi="宋体" w:cs="宋体" w:eastAsia="宋体" w:hint="default"/>
                            <w:sz w:val="18"/>
                            <w:szCs w:val="18"/>
                          </w:rPr>
                        </w:pPr>
                        <w:r>
                          <w:rPr>
                            <w:rFonts w:ascii="宋体" w:hAnsi="宋体" w:cs="宋体" w:eastAsia="宋体" w:hint="default"/>
                            <w:spacing w:val="-2"/>
                            <w:sz w:val="18"/>
                            <w:szCs w:val="18"/>
                          </w:rPr>
                          <w:t>手；</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、销售模式；</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、智能家居发展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情况；</w:t>
                        </w:r>
                        <w:r>
                          <w:rPr>
                            <w:rFonts w:ascii="Times New Roman" w:hAnsi="Times New Roman" w:cs="Times New Roman" w:eastAsia="Times New Roman" w:hint="default"/>
                            <w:sz w:val="18"/>
                            <w:szCs w:val="18"/>
                          </w:rPr>
                          <w:t>6</w:t>
                        </w:r>
                        <w:r>
                          <w:rPr>
                            <w:rFonts w:ascii="宋体" w:hAnsi="宋体" w:cs="宋体" w:eastAsia="宋体" w:hint="default"/>
                            <w:sz w:val="18"/>
                            <w:szCs w:val="18"/>
                          </w:rPr>
                          <w:t>、四季度业绩及明年业绩预 期</w:t>
                        </w:r>
                      </w:p>
                    </w:tc>
                  </w:tr>
                  <w:tr>
                    <w:trPr>
                      <w:trHeight w:val="164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银河基金成胜</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、存货增长较快的原因；</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、公司产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品发展方向；</w:t>
                        </w:r>
                        <w:r>
                          <w:rPr>
                            <w:rFonts w:ascii="Times New Roman" w:hAnsi="Times New Roman" w:cs="Times New Roman" w:eastAsia="Times New Roman" w:hint="default"/>
                            <w:sz w:val="18"/>
                            <w:szCs w:val="18"/>
                          </w:rPr>
                          <w:t>3</w:t>
                        </w:r>
                        <w:r>
                          <w:rPr>
                            <w:rFonts w:ascii="宋体" w:hAnsi="宋体" w:cs="宋体" w:eastAsia="宋体" w:hint="default"/>
                            <w:sz w:val="18"/>
                            <w:szCs w:val="18"/>
                          </w:rPr>
                          <w:t>、如何保持稳定的高 </w:t>
                        </w:r>
                        <w:r>
                          <w:rPr>
                            <w:rFonts w:ascii="宋体" w:hAnsi="宋体" w:cs="宋体" w:eastAsia="宋体" w:hint="default"/>
                            <w:spacing w:val="-2"/>
                            <w:sz w:val="18"/>
                            <w:szCs w:val="18"/>
                          </w:rPr>
                          <w:t>毛利率；</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、销售人员数量；</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、股价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异动原因；</w:t>
                        </w:r>
                        <w:r>
                          <w:rPr>
                            <w:rFonts w:ascii="Times New Roman" w:hAnsi="Times New Roman" w:cs="Times New Roman" w:eastAsia="Times New Roman" w:hint="default"/>
                            <w:sz w:val="18"/>
                            <w:szCs w:val="18"/>
                          </w:rPr>
                          <w:t>6</w:t>
                        </w:r>
                        <w:r>
                          <w:rPr>
                            <w:rFonts w:ascii="宋体" w:hAnsi="宋体" w:cs="宋体" w:eastAsia="宋体" w:hint="default"/>
                            <w:sz w:val="18"/>
                            <w:szCs w:val="18"/>
                          </w:rPr>
                          <w:t>、工程合作资金支助计 划效果</w:t>
                        </w:r>
                      </w:p>
                    </w:tc>
                  </w:tr>
                  <w:tr>
                    <w:trPr>
                      <w:trHeight w:val="1652"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0"/>
                          <w:jc w:val="both"/>
                          <w:rPr>
                            <w:rFonts w:ascii="宋体" w:hAnsi="宋体" w:cs="宋体" w:eastAsia="宋体" w:hint="default"/>
                            <w:sz w:val="18"/>
                            <w:szCs w:val="18"/>
                          </w:rPr>
                        </w:pPr>
                        <w:r>
                          <w:rPr>
                            <w:rFonts w:ascii="宋体" w:hAnsi="宋体" w:cs="宋体" w:eastAsia="宋体" w:hint="default"/>
                            <w:spacing w:val="-2"/>
                            <w:sz w:val="18"/>
                            <w:szCs w:val="18"/>
                          </w:rPr>
                          <w:t>鼎诺投资孙玮；经慧投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资吴为民；大成基金李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雪飞、王丹娜、刘庆</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、公司销售模式；</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、五年质保原因</w:t>
                        </w:r>
                      </w:p>
                      <w:p>
                        <w:pPr>
                          <w:pStyle w:val="TableParagraph"/>
                          <w:spacing w:line="300" w:lineRule="auto" w:before="63"/>
                          <w:ind w:left="23" w:right="-1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、如何保持稳定的高毛利率；</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、智</w:t>
                        </w:r>
                        <w:r>
                          <w:rPr>
                            <w:rFonts w:ascii="宋体" w:hAnsi="宋体" w:cs="宋体" w:eastAsia="宋体" w:hint="default"/>
                            <w:spacing w:val="-79"/>
                            <w:sz w:val="18"/>
                            <w:szCs w:val="18"/>
                          </w:rPr>
                          <w:t> </w:t>
                        </w:r>
                        <w:r>
                          <w:rPr>
                            <w:rFonts w:ascii="宋体" w:hAnsi="宋体" w:cs="宋体" w:eastAsia="宋体" w:hint="default"/>
                            <w:sz w:val="18"/>
                            <w:szCs w:val="18"/>
                          </w:rPr>
                          <w:t>能家居发展情况；</w:t>
                        </w:r>
                        <w:r>
                          <w:rPr>
                            <w:rFonts w:ascii="Times New Roman" w:hAnsi="Times New Roman" w:cs="Times New Roman" w:eastAsia="Times New Roman" w:hint="default"/>
                            <w:sz w:val="18"/>
                            <w:szCs w:val="18"/>
                          </w:rPr>
                          <w:t>5</w:t>
                        </w:r>
                        <w:r>
                          <w:rPr>
                            <w:rFonts w:ascii="宋体" w:hAnsi="宋体" w:cs="宋体" w:eastAsia="宋体" w:hint="default"/>
                            <w:sz w:val="18"/>
                            <w:szCs w:val="18"/>
                          </w:rPr>
                          <w:t>、前三季度业绩 增长原因；</w:t>
                        </w:r>
                        <w:r>
                          <w:rPr>
                            <w:rFonts w:ascii="Times New Roman" w:hAnsi="Times New Roman" w:cs="Times New Roman" w:eastAsia="Times New Roman" w:hint="default"/>
                            <w:sz w:val="18"/>
                            <w:szCs w:val="18"/>
                          </w:rPr>
                          <w:t>6</w:t>
                        </w:r>
                        <w:r>
                          <w:rPr>
                            <w:rFonts w:ascii="宋体" w:hAnsi="宋体" w:cs="宋体" w:eastAsia="宋体" w:hint="default"/>
                            <w:sz w:val="18"/>
                            <w:szCs w:val="18"/>
                          </w:rPr>
                          <w:t>、费用增长的原因；</w:t>
                        </w:r>
                        <w:r>
                          <w:rPr>
                            <w:rFonts w:ascii="Times New Roman" w:hAnsi="Times New Roman" w:cs="Times New Roman" w:eastAsia="Times New Roman" w:hint="default"/>
                            <w:sz w:val="18"/>
                            <w:szCs w:val="18"/>
                          </w:rPr>
                          <w:t>6</w:t>
                        </w:r>
                        <w:r>
                          <w:rPr>
                            <w:rFonts w:ascii="宋体" w:hAnsi="宋体" w:cs="宋体" w:eastAsia="宋体" w:hint="default"/>
                            <w:sz w:val="18"/>
                            <w:szCs w:val="18"/>
                          </w:rPr>
                          <w:t>、 工程合作资金支助计划</w:t>
                        </w:r>
                      </w:p>
                    </w:tc>
                  </w:tr>
                  <w:tr>
                    <w:trPr>
                      <w:trHeight w:val="133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中投证券熊丹</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、工程合作资金资助计划；</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、停车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场产品情况、优势；</w:t>
                        </w:r>
                        <w:r>
                          <w:rPr>
                            <w:rFonts w:ascii="Times New Roman" w:hAnsi="Times New Roman" w:cs="Times New Roman" w:eastAsia="Times New Roman" w:hint="default"/>
                            <w:sz w:val="18"/>
                            <w:szCs w:val="18"/>
                          </w:rPr>
                          <w:t>3</w:t>
                        </w:r>
                        <w:r>
                          <w:rPr>
                            <w:rFonts w:ascii="宋体" w:hAnsi="宋体" w:cs="宋体" w:eastAsia="宋体" w:hint="default"/>
                            <w:sz w:val="18"/>
                            <w:szCs w:val="18"/>
                          </w:rPr>
                          <w:t>、明年的发展 规划；</w:t>
                        </w:r>
                        <w:r>
                          <w:rPr>
                            <w:rFonts w:ascii="Times New Roman" w:hAnsi="Times New Roman" w:cs="Times New Roman" w:eastAsia="Times New Roman" w:hint="default"/>
                            <w:sz w:val="18"/>
                            <w:szCs w:val="18"/>
                          </w:rPr>
                          <w:t>4</w:t>
                        </w:r>
                        <w:r>
                          <w:rPr>
                            <w:rFonts w:ascii="宋体" w:hAnsi="宋体" w:cs="宋体" w:eastAsia="宋体" w:hint="default"/>
                            <w:sz w:val="18"/>
                            <w:szCs w:val="18"/>
                          </w:rPr>
                          <w:t>、如何保持稳定的高毛利率 </w:t>
                        </w:r>
                        <w:r>
                          <w:rPr>
                            <w:rFonts w:ascii="Times New Roman" w:hAnsi="Times New Roman" w:cs="Times New Roman" w:eastAsia="Times New Roman" w:hint="default"/>
                            <w:sz w:val="18"/>
                            <w:szCs w:val="18"/>
                          </w:rPr>
                          <w:t>5</w:t>
                        </w:r>
                        <w:r>
                          <w:rPr>
                            <w:rFonts w:ascii="宋体" w:hAnsi="宋体" w:cs="宋体" w:eastAsia="宋体" w:hint="default"/>
                            <w:sz w:val="18"/>
                            <w:szCs w:val="18"/>
                          </w:rPr>
                          <w:t>、丰富产品线竞争优势</w:t>
                        </w: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2"/>
                            <w:sz w:val="18"/>
                            <w:szCs w:val="18"/>
                          </w:rPr>
                          <w:t>广发证券黄维；宝盈基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金李健伟</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、公司大小非解禁的安排；</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、平安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城市建设规划；</w:t>
                        </w:r>
                        <w:r>
                          <w:rPr>
                            <w:rFonts w:ascii="Times New Roman" w:hAnsi="Times New Roman" w:cs="Times New Roman" w:eastAsia="Times New Roman" w:hint="default"/>
                            <w:sz w:val="18"/>
                            <w:szCs w:val="18"/>
                          </w:rPr>
                          <w:t>3</w:t>
                        </w:r>
                        <w:r>
                          <w:rPr>
                            <w:rFonts w:ascii="宋体" w:hAnsi="宋体" w:cs="宋体" w:eastAsia="宋体" w:hint="default"/>
                            <w:sz w:val="18"/>
                            <w:szCs w:val="18"/>
                          </w:rPr>
                          <w:t>、三季度业绩增长 原因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0" w:right="158"/>
        <w:jc w:val="right"/>
      </w:pPr>
      <w:r>
        <w:rPr/>
        <w:t>；</w:t>
      </w:r>
    </w:p>
    <w:p>
      <w:pPr>
        <w:spacing w:after="0" w:line="240" w:lineRule="auto"/>
        <w:jc w:val="right"/>
        <w:sectPr>
          <w:pgSz w:w="11910" w:h="16840"/>
          <w:pgMar w:header="877" w:footer="1227" w:top="1100" w:bottom="14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2240"/>
        <w:jc w:val="center"/>
        <w:rPr>
          <w:b w:val="0"/>
          <w:bCs w:val="0"/>
        </w:rPr>
      </w:pPr>
      <w:bookmarkStart w:name="_TOC_250005"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二、上市公司发生控股股东及其关联方非经营性占用资金情况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17"/>
          <w:szCs w:val="17"/>
        </w:rPr>
      </w:pPr>
    </w:p>
    <w:p>
      <w:pPr>
        <w:pStyle w:val="BodyText"/>
        <w:spacing w:line="408" w:lineRule="auto"/>
        <w:ind w:right="137" w:firstLine="360"/>
        <w:jc w:val="left"/>
      </w:pPr>
      <w:r>
        <w:rPr/>
        <w:t>会计师事务所对资金占用的专项审核意见：我们认为，贵公司</w:t>
      </w:r>
      <w:r>
        <w:rPr>
          <w:spacing w:val="-42"/>
        </w:rPr>
        <w:t> </w:t>
      </w:r>
      <w:r>
        <w:rPr>
          <w:rFonts w:ascii="宋体" w:hAnsi="宋体" w:cs="宋体" w:eastAsia="宋体" w:hint="default"/>
        </w:rPr>
        <w:t>2012</w:t>
      </w:r>
      <w:r>
        <w:rPr>
          <w:rFonts w:ascii="宋体" w:hAnsi="宋体" w:cs="宋体" w:eastAsia="宋体" w:hint="default"/>
          <w:spacing w:val="-41"/>
        </w:rPr>
        <w:t> </w:t>
      </w:r>
      <w:r>
        <w:rPr/>
        <w:t>年度控股股东及其他关联方资金占用情况汇总表的 财务信息在所有重大方面按照监管机构的相关规定编制已满足监管要求。</w:t>
      </w:r>
    </w:p>
    <w:p>
      <w:pPr>
        <w:spacing w:line="240" w:lineRule="auto" w:before="7"/>
        <w:rPr>
          <w:rFonts w:ascii="宋体" w:hAnsi="宋体" w:cs="宋体" w:eastAsia="宋体" w:hint="default"/>
          <w:sz w:val="12"/>
          <w:szCs w:val="12"/>
        </w:rPr>
      </w:pPr>
    </w:p>
    <w:p>
      <w:pPr>
        <w:pStyle w:val="Heading2"/>
        <w:spacing w:line="240" w:lineRule="auto"/>
        <w:ind w:right="0"/>
        <w:jc w:val="left"/>
        <w:rPr>
          <w:b w:val="0"/>
          <w:bCs w:val="0"/>
        </w:rPr>
      </w:pPr>
      <w:r>
        <w:rPr/>
        <w:t>三、破产重整相关事项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报告期内，公司未发生破产重整等相关事项。</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四、资产交易事项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34"/>
        <w:gridCol w:w="737"/>
        <w:gridCol w:w="737"/>
        <w:gridCol w:w="737"/>
        <w:gridCol w:w="734"/>
        <w:gridCol w:w="737"/>
        <w:gridCol w:w="734"/>
        <w:gridCol w:w="737"/>
        <w:gridCol w:w="734"/>
        <w:gridCol w:w="734"/>
        <w:gridCol w:w="737"/>
        <w:gridCol w:w="734"/>
        <w:gridCol w:w="737"/>
      </w:tblGrid>
      <w:tr>
        <w:trPr>
          <w:trHeight w:val="4145"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316" w:lineRule="auto"/>
              <w:ind w:left="92" w:right="89"/>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316" w:lineRule="auto"/>
              <w:ind w:left="93" w:right="92"/>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both"/>
              <w:rPr>
                <w:rFonts w:ascii="宋体" w:hAnsi="宋体" w:cs="宋体" w:eastAsia="宋体" w:hint="default"/>
                <w:sz w:val="18"/>
                <w:szCs w:val="18"/>
              </w:rPr>
            </w:pPr>
            <w:r>
              <w:rPr>
                <w:rFonts w:ascii="宋体" w:hAnsi="宋体" w:cs="宋体" w:eastAsia="宋体" w:hint="default"/>
                <w:sz w:val="18"/>
                <w:szCs w:val="18"/>
              </w:rPr>
              <w:t>自购买 日起至 报告期 末为上 市公司 贡献的 净利润</w:t>
            </w:r>
          </w:p>
          <w:p>
            <w:pPr>
              <w:pStyle w:val="TableParagraph"/>
              <w:spacing w:line="240" w:lineRule="auto" w:before="19"/>
              <w:ind w:left="47"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319" w:lineRule="auto" w:before="76"/>
              <w:ind w:left="23" w:right="-20" w:firstLine="69"/>
              <w:jc w:val="both"/>
              <w:rPr>
                <w:rFonts w:ascii="宋体" w:hAnsi="宋体" w:cs="宋体" w:eastAsia="宋体" w:hint="default"/>
                <w:sz w:val="18"/>
                <w:szCs w:val="18"/>
              </w:rPr>
            </w:pPr>
            <w:r>
              <w:rPr>
                <w:rFonts w:ascii="宋体" w:hAnsi="宋体" w:cs="宋体" w:eastAsia="宋体" w:hint="default"/>
                <w:sz w:val="18"/>
                <w:szCs w:val="18"/>
              </w:rPr>
              <w:t>（适用 于非同 一控制 下的企 业合并）</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17" w:hanging="41"/>
              <w:jc w:val="center"/>
              <w:rPr>
                <w:rFonts w:ascii="宋体" w:hAnsi="宋体" w:cs="宋体" w:eastAsia="宋体" w:hint="default"/>
                <w:sz w:val="18"/>
                <w:szCs w:val="18"/>
              </w:rPr>
            </w:pPr>
            <w:r>
              <w:rPr>
                <w:rFonts w:ascii="宋体" w:hAnsi="宋体" w:cs="宋体" w:eastAsia="宋体" w:hint="default"/>
                <w:sz w:val="18"/>
                <w:szCs w:val="18"/>
              </w:rPr>
              <w:t>自本期 初至报 告期末 为上市 公司贡 献的净 </w:t>
            </w:r>
            <w:r>
              <w:rPr>
                <w:rFonts w:ascii="宋体" w:hAnsi="宋体" w:cs="宋体" w:eastAsia="宋体" w:hint="default"/>
                <w:spacing w:val="-11"/>
                <w:sz w:val="18"/>
                <w:szCs w:val="18"/>
              </w:rPr>
              <w:t>利润（万</w:t>
            </w:r>
            <w:r>
              <w:rPr>
                <w:rFonts w:ascii="宋体" w:hAnsi="宋体" w:cs="宋体" w:eastAsia="宋体" w:hint="default"/>
                <w:sz w:val="18"/>
                <w:szCs w:val="18"/>
              </w:rPr>
              <w:t> </w:t>
            </w:r>
            <w:r>
              <w:rPr>
                <w:rFonts w:ascii="宋体" w:hAnsi="宋体" w:cs="宋体" w:eastAsia="宋体" w:hint="default"/>
                <w:spacing w:val="-23"/>
                <w:sz w:val="18"/>
                <w:szCs w:val="18"/>
              </w:rPr>
              <w:t>元）（适</w:t>
            </w:r>
            <w:r>
              <w:rPr>
                <w:rFonts w:ascii="宋体" w:hAnsi="宋体" w:cs="宋体" w:eastAsia="宋体" w:hint="default"/>
                <w:sz w:val="18"/>
                <w:szCs w:val="18"/>
              </w:rPr>
              <w:t> 用于同 一控制 下的企 业合并）</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资产收 购定价 原则</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19"/>
              <w:ind w:left="93" w:right="89"/>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19"/>
              <w:ind w:left="93" w:right="89"/>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96" w:right="89"/>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 为上市 公司贡 献的净 利润占 利润总 额的比 例</w:t>
            </w:r>
            <w:r>
              <w:rPr>
                <w:rFonts w:ascii="Times New Roman" w:hAnsi="Times New Roman" w:cs="Times New Roman" w:eastAsia="Times New Roman" w:hint="default"/>
                <w:sz w:val="18"/>
                <w:szCs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23" w:right="-20" w:hanging="41"/>
              <w:jc w:val="center"/>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11"/>
                <w:sz w:val="18"/>
                <w:szCs w:val="18"/>
              </w:rPr>
              <w:t>系（适用</w:t>
            </w:r>
            <w:r>
              <w:rPr>
                <w:rFonts w:ascii="宋体" w:hAnsi="宋体" w:cs="宋体" w:eastAsia="宋体" w:hint="default"/>
                <w:sz w:val="18"/>
                <w:szCs w:val="18"/>
              </w:rPr>
              <w:t> 关联交 易情形）</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临时公 告披露 日期</w:t>
            </w:r>
          </w:p>
        </w:tc>
      </w:tr>
      <w:tr>
        <w:trPr>
          <w:trHeight w:val="1963"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22" w:right="159"/>
              <w:jc w:val="both"/>
              <w:rPr>
                <w:rFonts w:ascii="宋体" w:hAnsi="宋体" w:cs="宋体" w:eastAsia="宋体" w:hint="default"/>
                <w:sz w:val="18"/>
                <w:szCs w:val="18"/>
              </w:rPr>
            </w:pPr>
            <w:r>
              <w:rPr>
                <w:rFonts w:ascii="宋体" w:hAnsi="宋体" w:cs="宋体" w:eastAsia="宋体" w:hint="default"/>
                <w:sz w:val="18"/>
                <w:szCs w:val="18"/>
              </w:rPr>
              <w:t>德居安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德居安</w:t>
            </w:r>
          </w:p>
          <w:p>
            <w:pPr>
              <w:pStyle w:val="TableParagraph"/>
              <w:spacing w:line="316" w:lineRule="auto" w:before="74"/>
              <w:ind w:left="23" w:right="-17"/>
              <w:jc w:val="left"/>
              <w:rPr>
                <w:rFonts w:ascii="宋体" w:hAnsi="宋体" w:cs="宋体" w:eastAsia="宋体" w:hint="default"/>
                <w:sz w:val="18"/>
                <w:szCs w:val="18"/>
              </w:rPr>
            </w:pPr>
            <w:r>
              <w:rPr>
                <w:rFonts w:ascii="宋体" w:hAnsi="宋体" w:cs="宋体" w:eastAsia="宋体" w:hint="default"/>
                <w:sz w:val="18"/>
                <w:szCs w:val="18"/>
              </w:rPr>
              <w:t>（广州） 电子科 技有限 公司全 部股权</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2012-8-2</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5,663.24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36.98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4" w:right="22"/>
              <w:jc w:val="left"/>
              <w:rPr>
                <w:rFonts w:ascii="宋体" w:hAnsi="宋体" w:cs="宋体" w:eastAsia="宋体" w:hint="default"/>
                <w:sz w:val="18"/>
                <w:szCs w:val="18"/>
              </w:rPr>
            </w:pPr>
            <w:r>
              <w:rPr>
                <w:rFonts w:ascii="宋体" w:hAnsi="宋体" w:cs="宋体" w:eastAsia="宋体" w:hint="default"/>
                <w:sz w:val="18"/>
                <w:szCs w:val="18"/>
              </w:rPr>
              <w:t>资产基 </w:t>
            </w:r>
            <w:r>
              <w:rPr>
                <w:rFonts w:ascii="宋体" w:hAnsi="宋体" w:cs="宋体" w:eastAsia="宋体" w:hint="default"/>
                <w:spacing w:val="-11"/>
                <w:sz w:val="18"/>
                <w:szCs w:val="18"/>
              </w:rPr>
              <w:t>础法（成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本法）评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估</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0.49%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4" w:lineRule="auto"/>
              <w:ind w:left="23" w:right="158"/>
              <w:jc w:val="left"/>
              <w:rPr>
                <w:rFonts w:ascii="宋体" w:hAnsi="宋体" w:cs="宋体" w:eastAsia="宋体" w:hint="default"/>
                <w:sz w:val="18"/>
                <w:szCs w:val="18"/>
              </w:rPr>
            </w:pPr>
            <w:r>
              <w:rPr>
                <w:rFonts w:ascii="宋体" w:hAnsi="宋体" w:cs="宋体" w:eastAsia="宋体" w:hint="default"/>
                <w:sz w:val="18"/>
                <w:szCs w:val="18"/>
              </w:rPr>
              <w:t>同一控 股股东</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pStyle w:val="BodyText"/>
        <w:spacing w:line="240" w:lineRule="auto" w:before="8"/>
        <w:ind w:left="513" w:right="0"/>
        <w:jc w:val="left"/>
      </w:pPr>
      <w:r>
        <w:rPr/>
        <w:t>报告期内，经公司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日召开的第二届董事会第四次会议和</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日第二次临时股东大会审议通过了</w:t>
      </w:r>
    </w:p>
    <w:p>
      <w:pPr>
        <w:spacing w:after="0" w:line="240" w:lineRule="auto"/>
        <w:jc w:val="left"/>
        <w:sectPr>
          <w:pgSz w:w="11910" w:h="16840"/>
          <w:pgMar w:header="877" w:footer="1227" w:top="1100" w:bottom="1420" w:left="980" w:right="980"/>
        </w:sectPr>
      </w:pPr>
    </w:p>
    <w:p>
      <w:pPr>
        <w:spacing w:line="240" w:lineRule="auto" w:before="11"/>
        <w:rPr>
          <w:rFonts w:ascii="宋体" w:hAnsi="宋体" w:cs="宋体" w:eastAsia="宋体" w:hint="default"/>
          <w:sz w:val="21"/>
          <w:szCs w:val="21"/>
        </w:rPr>
      </w:pPr>
    </w:p>
    <w:p>
      <w:pPr>
        <w:pStyle w:val="BodyText"/>
        <w:spacing w:line="307" w:lineRule="auto" w:before="44"/>
        <w:ind w:right="88"/>
        <w:jc w:val="left"/>
      </w:pPr>
      <w:r>
        <w:rPr>
          <w:spacing w:val="-2"/>
        </w:rPr>
        <w:t>《关于使用部分超募资金收购德居安（广州）电子科技有限公司全部股权暨关联交易的议案》，同意公司使用不超过人民币</w:t>
      </w:r>
      <w:r>
        <w:rPr>
          <w:spacing w:val="-66"/>
        </w:rPr>
        <w:t> </w:t>
      </w:r>
      <w:r>
        <w:rPr>
          <w:spacing w:val="-66"/>
        </w:rPr>
      </w:r>
      <w:r>
        <w:rPr>
          <w:rFonts w:ascii="Times New Roman" w:hAnsi="Times New Roman" w:cs="Times New Roman" w:eastAsia="Times New Roman" w:hint="default"/>
        </w:rPr>
        <w:t>56,632,368.63</w:t>
      </w:r>
      <w:r>
        <w:rPr>
          <w:rFonts w:ascii="Times New Roman" w:hAnsi="Times New Roman" w:cs="Times New Roman" w:eastAsia="Times New Roman" w:hint="default"/>
          <w:spacing w:val="26"/>
        </w:rPr>
        <w:t> </w:t>
      </w:r>
      <w:r>
        <w:rPr/>
        <w:t>元的超募资金收购德居安香港所持有的德居安广州全部股权。上述股权收购行为已于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月完成过户手 </w:t>
      </w:r>
      <w:r>
        <w:rPr>
          <w:spacing w:val="-2"/>
        </w:rPr>
        <w:t>续，所涉及的债权债务已全部转移。具体内容详见</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月刊登在巨潮资讯网（</w:t>
      </w:r>
      <w:r>
        <w:rPr>
          <w:rFonts w:ascii="Times New Roman" w:hAnsi="Times New Roman" w:cs="Times New Roman" w:eastAsia="Times New Roman" w:hint="default"/>
          <w:spacing w:val="-2"/>
        </w:rPr>
        <w:t>www.cninfo.com.cn)</w:t>
      </w:r>
      <w:r>
        <w:rPr>
          <w:spacing w:val="-2"/>
        </w:rPr>
        <w:t>《关于德居安（广州）</w:t>
      </w:r>
      <w:r>
        <w:rPr>
          <w:spacing w:val="-42"/>
        </w:rPr>
        <w:t> </w:t>
      </w:r>
      <w:r>
        <w:rPr>
          <w:spacing w:val="-42"/>
        </w:rPr>
      </w:r>
      <w:r>
        <w:rPr/>
        <w:t>电子科技有限公司股权转让完成工商变更登记的公告》。</w:t>
      </w:r>
    </w:p>
    <w:p>
      <w:pPr>
        <w:spacing w:line="240" w:lineRule="auto" w:before="4"/>
        <w:rPr>
          <w:rFonts w:ascii="宋体" w:hAnsi="宋体" w:cs="宋体" w:eastAsia="宋体" w:hint="default"/>
          <w:sz w:val="23"/>
          <w:szCs w:val="23"/>
        </w:rPr>
      </w:pPr>
    </w:p>
    <w:p>
      <w:pPr>
        <w:pStyle w:val="Heading3"/>
        <w:spacing w:line="240" w:lineRule="auto"/>
        <w:ind w:right="88"/>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88"/>
        <w:jc w:val="left"/>
      </w:pPr>
      <w:r>
        <w:rPr/>
        <w:t>报告期内，公司未发生资产出售事项。</w:t>
      </w:r>
    </w:p>
    <w:p>
      <w:pPr>
        <w:spacing w:line="240" w:lineRule="auto" w:before="0"/>
        <w:rPr>
          <w:rFonts w:ascii="宋体" w:hAnsi="宋体" w:cs="宋体" w:eastAsia="宋体" w:hint="default"/>
          <w:sz w:val="18"/>
          <w:szCs w:val="18"/>
        </w:rPr>
      </w:pPr>
    </w:p>
    <w:p>
      <w:pPr>
        <w:pStyle w:val="Heading3"/>
        <w:spacing w:line="240" w:lineRule="auto" w:before="118"/>
        <w:ind w:right="88"/>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88"/>
        <w:jc w:val="left"/>
      </w:pPr>
      <w:r>
        <w:rPr/>
        <w:t>报告期内，公司未发生企业合并事项。</w:t>
      </w:r>
    </w:p>
    <w:p>
      <w:pPr>
        <w:spacing w:line="240" w:lineRule="auto" w:before="0"/>
        <w:rPr>
          <w:rFonts w:ascii="宋体" w:hAnsi="宋体" w:cs="宋体" w:eastAsia="宋体" w:hint="default"/>
          <w:sz w:val="18"/>
          <w:szCs w:val="18"/>
        </w:rPr>
      </w:pPr>
    </w:p>
    <w:p>
      <w:pPr>
        <w:pStyle w:val="Heading3"/>
        <w:spacing w:line="259" w:lineRule="auto" w:before="121"/>
        <w:ind w:right="88"/>
        <w:jc w:val="left"/>
        <w:rPr>
          <w:b w:val="0"/>
          <w:bCs w:val="0"/>
        </w:rPr>
      </w:pP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65"/>
        </w:rPr>
        <w:t> </w:t>
      </w:r>
      <w:r>
        <w:rPr>
          <w:spacing w:val="-65"/>
        </w:rPr>
      </w:r>
      <w:r>
        <w:rPr/>
        <w:t>影响</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left="513" w:right="88"/>
        <w:jc w:val="left"/>
      </w:pPr>
      <w:r>
        <w:rPr/>
        <w:t>报告期内，经公司</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23</w:t>
      </w:r>
      <w:r>
        <w:rPr/>
        <w:t>日召开的第二届董事会第四次会议和</w:t>
      </w:r>
      <w:r>
        <w:rPr>
          <w:rFonts w:ascii="宋体" w:hAnsi="宋体" w:cs="宋体" w:eastAsia="宋体" w:hint="default"/>
        </w:rPr>
        <w:t>2012 </w:t>
      </w:r>
      <w:r>
        <w:rPr/>
        <w:t>年</w:t>
      </w:r>
      <w:r>
        <w:rPr>
          <w:rFonts w:ascii="宋体" w:hAnsi="宋体" w:cs="宋体" w:eastAsia="宋体" w:hint="default"/>
        </w:rPr>
        <w:t>9 </w:t>
      </w:r>
      <w:r>
        <w:rPr/>
        <w:t>月</w:t>
      </w:r>
      <w:r>
        <w:rPr>
          <w:rFonts w:ascii="宋体" w:hAnsi="宋体" w:cs="宋体" w:eastAsia="宋体" w:hint="default"/>
        </w:rPr>
        <w:t>12</w:t>
      </w:r>
      <w:r>
        <w:rPr>
          <w:rFonts w:ascii="宋体" w:hAnsi="宋体" w:cs="宋体" w:eastAsia="宋体" w:hint="default"/>
          <w:spacing w:val="-5"/>
        </w:rPr>
        <w:t> </w:t>
      </w:r>
      <w:r>
        <w:rPr/>
        <w:t>日第二次临时股东大会审议通过了</w:t>
      </w:r>
    </w:p>
    <w:p>
      <w:pPr>
        <w:pStyle w:val="BodyText"/>
        <w:spacing w:line="316" w:lineRule="auto" w:before="76"/>
        <w:ind w:right="88"/>
        <w:jc w:val="left"/>
      </w:pPr>
      <w:r>
        <w:rPr>
          <w:spacing w:val="-2"/>
        </w:rPr>
        <w:t>《关于使用部分超募资金收购德居安（广州）电子科技有限公司全部股权暨关联交易的议案》，同意公司使用不超过人民币</w:t>
      </w:r>
      <w:r>
        <w:rPr>
          <w:spacing w:val="-66"/>
        </w:rPr>
        <w:t> </w:t>
      </w:r>
      <w:r>
        <w:rPr>
          <w:spacing w:val="-66"/>
        </w:rPr>
      </w:r>
      <w:r>
        <w:rPr>
          <w:rFonts w:ascii="宋体" w:hAnsi="宋体" w:cs="宋体" w:eastAsia="宋体" w:hint="default"/>
          <w:spacing w:val="-1"/>
        </w:rPr>
        <w:t>56,632,368.63</w:t>
      </w:r>
      <w:r>
        <w:rPr>
          <w:rFonts w:ascii="宋体" w:hAnsi="宋体" w:cs="宋体" w:eastAsia="宋体" w:hint="default"/>
        </w:rPr>
        <w:t> </w:t>
      </w:r>
      <w:r>
        <w:rPr>
          <w:spacing w:val="-2"/>
        </w:rPr>
        <w:t>元的超募资金收购德居安香港所持有的德居安广州全部股权。上述股权收购行为已于</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月完成过户手</w:t>
      </w:r>
      <w:r>
        <w:rPr>
          <w:spacing w:val="-66"/>
        </w:rPr>
        <w:t> </w:t>
      </w:r>
      <w:r>
        <w:rPr>
          <w:spacing w:val="-66"/>
        </w:rPr>
      </w:r>
      <w:r>
        <w:rPr>
          <w:spacing w:val="-3"/>
        </w:rPr>
        <w:t>续，所涉及的债权债务已全部转移。具体内容详见</w:t>
      </w:r>
      <w:r>
        <w:rPr>
          <w:rFonts w:ascii="宋体" w:hAnsi="宋体" w:cs="宋体" w:eastAsia="宋体" w:hint="default"/>
          <w:spacing w:val="-3"/>
        </w:rPr>
        <w:t>2012</w:t>
      </w:r>
      <w:r>
        <w:rPr>
          <w:spacing w:val="-3"/>
        </w:rPr>
        <w:t>年</w:t>
      </w:r>
      <w:r>
        <w:rPr>
          <w:rFonts w:ascii="宋体" w:hAnsi="宋体" w:cs="宋体" w:eastAsia="宋体" w:hint="default"/>
          <w:spacing w:val="-3"/>
        </w:rPr>
        <w:t>12</w:t>
      </w:r>
      <w:r>
        <w:rPr>
          <w:spacing w:val="-3"/>
        </w:rPr>
        <w:t>月刊登在巨潮资讯网（</w:t>
      </w:r>
      <w:r>
        <w:rPr>
          <w:rFonts w:ascii="宋体" w:hAnsi="宋体" w:cs="宋体" w:eastAsia="宋体" w:hint="default"/>
          <w:spacing w:val="-3"/>
        </w:rPr>
        <w:t>www.cninfo.com.cn)</w:t>
      </w:r>
      <w:r>
        <w:rPr>
          <w:spacing w:val="-3"/>
        </w:rPr>
        <w:t>《关于德居安（广州）</w:t>
      </w:r>
      <w:r>
        <w:rPr>
          <w:spacing w:val="-70"/>
        </w:rPr>
        <w:t> </w:t>
      </w:r>
      <w:r>
        <w:rPr>
          <w:spacing w:val="-70"/>
        </w:rPr>
      </w:r>
      <w:r>
        <w:rPr/>
        <w:t>电子科技有限公司股权转让完成工商变更登记的公告》。</w:t>
      </w:r>
    </w:p>
    <w:p>
      <w:pPr>
        <w:pStyle w:val="BodyText"/>
        <w:spacing w:line="319" w:lineRule="auto" w:before="19"/>
        <w:ind w:right="198" w:firstLine="360"/>
        <w:jc w:val="both"/>
      </w:pPr>
      <w:r>
        <w:rPr/>
        <w:t>德居安广州拥有位于广州高新技术产业开发区科学大道以北、起云路以东</w:t>
      </w:r>
      <w:r>
        <w:rPr>
          <w:rFonts w:ascii="宋体" w:hAnsi="宋体" w:cs="宋体" w:eastAsia="宋体" w:hint="default"/>
        </w:rPr>
        <w:t>KXC-E1-1</w:t>
      </w:r>
      <w:r>
        <w:rPr>
          <w:rFonts w:ascii="宋体" w:hAnsi="宋体" w:cs="宋体" w:eastAsia="宋体" w:hint="default"/>
          <w:spacing w:val="-3"/>
        </w:rPr>
        <w:t> </w:t>
      </w:r>
      <w:r>
        <w:rPr/>
        <w:t>地块，为该公司一期及二期建设项 目共同用地，其中一期土地上建有</w:t>
      </w:r>
      <w:r>
        <w:rPr>
          <w:rFonts w:ascii="宋体" w:hAnsi="宋体" w:cs="宋体" w:eastAsia="宋体" w:hint="default"/>
        </w:rPr>
        <w:t>2 </w:t>
      </w:r>
      <w:r>
        <w:rPr/>
        <w:t>号楼及</w:t>
      </w:r>
      <w:r>
        <w:rPr>
          <w:rFonts w:ascii="宋体" w:hAnsi="宋体" w:cs="宋体" w:eastAsia="宋体" w:hint="default"/>
        </w:rPr>
        <w:t>7 </w:t>
      </w:r>
      <w:r>
        <w:rPr/>
        <w:t>号楼，已竣工并独立取得《房地产权证》（粤房地权证穗字第</w:t>
      </w:r>
      <w:r>
        <w:rPr>
          <w:rFonts w:ascii="宋体" w:hAnsi="宋体" w:cs="宋体" w:eastAsia="宋体" w:hint="default"/>
        </w:rPr>
        <w:t>0550001521</w:t>
      </w:r>
      <w:r>
        <w:rPr>
          <w:rFonts w:ascii="宋体" w:hAnsi="宋体" w:cs="宋体" w:eastAsia="宋体" w:hint="default"/>
          <w:spacing w:val="-3"/>
        </w:rPr>
        <w:t> </w:t>
      </w:r>
      <w:r>
        <w:rPr/>
        <w:t>号 及第</w:t>
      </w:r>
      <w:r>
        <w:rPr>
          <w:rFonts w:ascii="宋体" w:hAnsi="宋体" w:cs="宋体" w:eastAsia="宋体" w:hint="default"/>
        </w:rPr>
        <w:t>0550001522 </w:t>
      </w:r>
      <w:r>
        <w:rPr/>
        <w:t>号），二期</w:t>
      </w:r>
      <w:r>
        <w:rPr>
          <w:rFonts w:ascii="宋体" w:hAnsi="宋体" w:cs="宋体" w:eastAsia="宋体" w:hint="default"/>
        </w:rPr>
        <w:t>4</w:t>
      </w:r>
      <w:r>
        <w:rPr/>
        <w:t>、</w:t>
      </w:r>
      <w:r>
        <w:rPr>
          <w:rFonts w:ascii="宋体" w:hAnsi="宋体" w:cs="宋体" w:eastAsia="宋体" w:hint="default"/>
        </w:rPr>
        <w:t>5</w:t>
      </w:r>
      <w:r>
        <w:rPr/>
        <w:t>、</w:t>
      </w:r>
      <w:r>
        <w:rPr>
          <w:rFonts w:ascii="宋体" w:hAnsi="宋体" w:cs="宋体" w:eastAsia="宋体" w:hint="default"/>
        </w:rPr>
        <w:t>6</w:t>
      </w:r>
      <w:r>
        <w:rPr>
          <w:rFonts w:ascii="宋体" w:hAnsi="宋体" w:cs="宋体" w:eastAsia="宋体" w:hint="default"/>
          <w:spacing w:val="-5"/>
        </w:rPr>
        <w:t> </w:t>
      </w:r>
      <w:r>
        <w:rPr/>
        <w:t>号楼尚在建设之中为在建工程。待公司完成本次交易后公司将有效满足公司对生产经 营场地的需求，符合公司的长远规划发展，符合全体股东及公司的利益。</w:t>
      </w:r>
    </w:p>
    <w:p>
      <w:pPr>
        <w:pStyle w:val="BodyText"/>
        <w:spacing w:line="240" w:lineRule="auto" w:before="17"/>
        <w:ind w:left="513" w:right="88"/>
        <w:jc w:val="left"/>
      </w:pPr>
      <w:r>
        <w:rPr/>
        <w:t>报告期内，德居安广州纳入公司合并报表范围，其年末净资产为</w:t>
      </w:r>
      <w:r>
        <w:rPr>
          <w:rFonts w:ascii="宋体" w:hAnsi="宋体" w:cs="宋体" w:eastAsia="宋体" w:hint="default"/>
        </w:rPr>
        <w:t>3348.91</w:t>
      </w:r>
      <w:r>
        <w:rPr/>
        <w:t>万元，年度实现净利润</w:t>
      </w:r>
      <w:r>
        <w:rPr>
          <w:rFonts w:ascii="宋体" w:hAnsi="宋体" w:cs="宋体" w:eastAsia="宋体" w:hint="default"/>
        </w:rPr>
        <w:t>36.98</w:t>
      </w:r>
      <w:r>
        <w:rPr/>
        <w:t>万元。</w:t>
      </w:r>
    </w:p>
    <w:p>
      <w:pPr>
        <w:spacing w:line="240" w:lineRule="auto" w:before="3"/>
        <w:rPr>
          <w:rFonts w:ascii="宋体" w:hAnsi="宋体" w:cs="宋体" w:eastAsia="宋体" w:hint="default"/>
          <w:sz w:val="25"/>
          <w:szCs w:val="25"/>
        </w:rPr>
      </w:pPr>
    </w:p>
    <w:p>
      <w:pPr>
        <w:pStyle w:val="Heading2"/>
        <w:spacing w:line="240" w:lineRule="auto"/>
        <w:ind w:right="88"/>
        <w:jc w:val="left"/>
        <w:rPr>
          <w:b w:val="0"/>
          <w:bCs w:val="0"/>
        </w:rPr>
      </w:pPr>
      <w:r>
        <w:rPr/>
        <w:t>五、公司股权激励的实施情况及其影响</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88"/>
        <w:jc w:val="left"/>
      </w:pPr>
      <w:r>
        <w:rPr/>
        <w:t>报告期内，公司尚未实施股权激励计划，不存在应当披露的股权激励方案实施情况。</w:t>
      </w:r>
    </w:p>
    <w:p>
      <w:pPr>
        <w:spacing w:line="240" w:lineRule="auto" w:before="1"/>
        <w:rPr>
          <w:rFonts w:ascii="宋体" w:hAnsi="宋体" w:cs="宋体" w:eastAsia="宋体" w:hint="default"/>
          <w:sz w:val="25"/>
          <w:szCs w:val="25"/>
        </w:rPr>
      </w:pPr>
    </w:p>
    <w:p>
      <w:pPr>
        <w:pStyle w:val="Heading2"/>
        <w:spacing w:line="240" w:lineRule="auto"/>
        <w:ind w:right="88"/>
        <w:jc w:val="left"/>
        <w:rPr>
          <w:b w:val="0"/>
          <w:bCs w:val="0"/>
        </w:rPr>
      </w:pPr>
      <w:r>
        <w:rPr/>
        <w:t>六、重大关联交易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88"/>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1"/>
        <w:gridCol w:w="799"/>
        <w:gridCol w:w="794"/>
        <w:gridCol w:w="817"/>
        <w:gridCol w:w="797"/>
        <w:gridCol w:w="799"/>
        <w:gridCol w:w="797"/>
        <w:gridCol w:w="799"/>
        <w:gridCol w:w="797"/>
        <w:gridCol w:w="800"/>
        <w:gridCol w:w="797"/>
        <w:gridCol w:w="785"/>
      </w:tblGrid>
      <w:tr>
        <w:trPr>
          <w:trHeight w:val="1649"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301" w:right="29" w:hanging="272"/>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13" w:right="29"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23" w:right="41"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15" w:right="3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33" w:right="33"/>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36"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35" w:right="32"/>
              <w:jc w:val="left"/>
              <w:rPr>
                <w:rFonts w:ascii="宋体" w:hAnsi="宋体" w:cs="宋体" w:eastAsia="宋体" w:hint="default"/>
                <w:sz w:val="18"/>
                <w:szCs w:val="18"/>
              </w:rPr>
            </w:pPr>
            <w:r>
              <w:rPr>
                <w:rFonts w:ascii="宋体" w:hAnsi="宋体" w:cs="宋体" w:eastAsia="宋体" w:hint="default"/>
                <w:sz w:val="18"/>
                <w:szCs w:val="18"/>
              </w:rPr>
              <w:t>对公司利 润的影响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6"/>
              <w:jc w:val="center"/>
              <w:rPr>
                <w:rFonts w:ascii="宋体" w:hAnsi="宋体" w:cs="宋体" w:eastAsia="宋体" w:hint="default"/>
                <w:sz w:val="18"/>
                <w:szCs w:val="18"/>
              </w:rPr>
            </w:pPr>
            <w:r>
              <w:rPr>
                <w:rFonts w:ascii="宋体" w:hAnsi="宋体" w:cs="宋体" w:eastAsia="宋体" w:hint="default"/>
                <w:sz w:val="18"/>
                <w:szCs w:val="18"/>
              </w:rPr>
              <w:t>交易价格 与市场参 考价格差 异较大的 原因</w:t>
            </w:r>
          </w:p>
        </w:tc>
      </w:tr>
      <w:tr>
        <w:trPr>
          <w:trHeight w:val="403" w:hRule="exact"/>
        </w:trPr>
        <w:tc>
          <w:tcPr>
            <w:tcW w:w="320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227" w:top="1100" w:bottom="1420" w:left="980" w:right="940"/>
        </w:sectPr>
      </w:pPr>
    </w:p>
    <w:p>
      <w:pPr>
        <w:spacing w:line="240" w:lineRule="auto" w:before="11"/>
        <w:rPr>
          <w:rFonts w:ascii="宋体" w:hAnsi="宋体" w:cs="宋体" w:eastAsia="宋体" w:hint="default"/>
          <w:b/>
          <w:bCs/>
          <w:sz w:val="21"/>
          <w:szCs w:val="21"/>
        </w:rPr>
      </w:pPr>
    </w:p>
    <w:p>
      <w:pPr>
        <w:pStyle w:val="BodyText"/>
        <w:spacing w:line="240" w:lineRule="auto" w:before="44"/>
        <w:ind w:right="0"/>
        <w:jc w:val="left"/>
      </w:pPr>
      <w:r>
        <w:rPr/>
        <w:t>报告期内公司向关联方销售（采购）产品和提供（接受）劳务的情况</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9"/>
        <w:gridCol w:w="1858"/>
        <w:gridCol w:w="1856"/>
        <w:gridCol w:w="1827"/>
        <w:gridCol w:w="1829"/>
      </w:tblGrid>
      <w:tr>
        <w:trPr>
          <w:trHeight w:val="401" w:hRule="exact"/>
        </w:trPr>
        <w:tc>
          <w:tcPr>
            <w:tcW w:w="21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7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2" w:right="0"/>
              <w:jc w:val="left"/>
              <w:rPr>
                <w:rFonts w:ascii="宋体" w:hAnsi="宋体" w:cs="宋体" w:eastAsia="宋体" w:hint="default"/>
                <w:sz w:val="18"/>
                <w:szCs w:val="18"/>
              </w:rPr>
            </w:pPr>
            <w:r>
              <w:rPr>
                <w:rFonts w:ascii="宋体" w:hAnsi="宋体" w:cs="宋体" w:eastAsia="宋体" w:hint="default"/>
                <w:sz w:val="18"/>
                <w:szCs w:val="18"/>
              </w:rPr>
              <w:t>向关联方销售产品和提供劳务</w:t>
            </w:r>
          </w:p>
        </w:tc>
        <w:tc>
          <w:tcPr>
            <w:tcW w:w="36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向关联方采购产品和接受劳务</w:t>
            </w:r>
          </w:p>
        </w:tc>
      </w:tr>
      <w:tr>
        <w:trPr>
          <w:trHeight w:val="715" w:hRule="exact"/>
        </w:trPr>
        <w:tc>
          <w:tcPr>
            <w:tcW w:w="2199" w:type="dxa"/>
            <w:vMerge/>
            <w:tcBorders>
              <w:left w:val="single" w:sz="4" w:space="0" w:color="000000"/>
              <w:bottom w:val="single" w:sz="4" w:space="0" w:color="000000"/>
              <w:right w:val="single" w:sz="4" w:space="0" w:color="000000"/>
            </w:tcBorders>
            <w:shd w:val="clear" w:color="auto" w:fill="D2D2D2"/>
          </w:tcPr>
          <w:p>
            <w:pPr/>
          </w:p>
        </w:tc>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占同类交易金额的比例</w:t>
            </w:r>
          </w:p>
          <w:p>
            <w:pPr>
              <w:pStyle w:val="TableParagraph"/>
              <w:spacing w:line="240" w:lineRule="auto" w:before="118"/>
              <w:ind w:left="1" w:right="0"/>
              <w:jc w:val="center"/>
              <w:rPr>
                <w:rFonts w:ascii="Times New Roman" w:hAnsi="Times New Roman" w:cs="Times New Roman" w:eastAsia="Times New Roman" w:hint="default"/>
                <w:sz w:val="18"/>
                <w:szCs w:val="18"/>
              </w:rPr>
            </w:pPr>
            <w:r>
              <w:rPr>
                <w:rFonts w:ascii="Times New Roman"/>
                <w:sz w:val="18"/>
              </w:rPr>
              <w:t>(%)</w:t>
            </w:r>
          </w:p>
        </w:tc>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6" w:right="96"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占同类交易金额的比 例</w:t>
            </w:r>
            <w:r>
              <w:rPr>
                <w:rFonts w:ascii="Times New Roman" w:hAnsi="Times New Roman" w:cs="Times New Roman" w:eastAsia="Times New Roman" w:hint="default"/>
                <w:sz w:val="18"/>
                <w:szCs w:val="18"/>
              </w:rPr>
              <w:t>(%)</w:t>
            </w:r>
          </w:p>
        </w:tc>
      </w:tr>
      <w:tr>
        <w:trPr>
          <w:trHeight w:val="713"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广州市高堡仕智能科技有 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149.82</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0.41%</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149.82</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0.41%</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87"/>
        <w:ind w:right="0"/>
        <w:jc w:val="left"/>
      </w:pPr>
      <w:r>
        <w:rPr/>
        <w:t>其中：报告期内公司向控股股东及其子公司销售产品或提供劳务的关联交易金额</w:t>
      </w:r>
      <w:r>
        <w:rPr>
          <w:spacing w:val="-43"/>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万元。</w:t>
      </w:r>
    </w:p>
    <w:p>
      <w:pPr>
        <w:spacing w:line="240" w:lineRule="auto" w:before="12"/>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8" w:type="dxa"/>
        <w:tblLayout w:type="fixed"/>
        <w:tblCellMar>
          <w:top w:w="0" w:type="dxa"/>
          <w:left w:w="0" w:type="dxa"/>
          <w:bottom w:w="0" w:type="dxa"/>
          <w:right w:w="0" w:type="dxa"/>
        </w:tblCellMar>
        <w:tblLook w:val="01E0"/>
      </w:tblPr>
      <w:tblGrid>
        <w:gridCol w:w="732"/>
        <w:gridCol w:w="739"/>
        <w:gridCol w:w="737"/>
        <w:gridCol w:w="737"/>
        <w:gridCol w:w="737"/>
        <w:gridCol w:w="734"/>
        <w:gridCol w:w="739"/>
        <w:gridCol w:w="737"/>
        <w:gridCol w:w="737"/>
        <w:gridCol w:w="737"/>
        <w:gridCol w:w="737"/>
        <w:gridCol w:w="730"/>
        <w:gridCol w:w="732"/>
      </w:tblGrid>
      <w:tr>
        <w:trPr>
          <w:trHeight w:val="227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4"/>
              <w:ind w:left="275" w:right="9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4"/>
              <w:ind w:left="93" w:right="9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4"/>
              <w:ind w:left="93" w:right="92"/>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16" w:lineRule="auto"/>
              <w:ind w:left="95" w:right="91"/>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240" w:lineRule="auto" w:before="19"/>
              <w:ind w:left="26"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4" w:lineRule="auto"/>
              <w:ind w:left="93" w:right="91"/>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240" w:lineRule="auto" w:before="20"/>
              <w:ind w:left="24" w:right="-17"/>
              <w:jc w:val="left"/>
              <w:rPr>
                <w:rFonts w:ascii="宋体" w:hAnsi="宋体" w:cs="宋体" w:eastAsia="宋体" w:hint="default"/>
                <w:sz w:val="18"/>
                <w:szCs w:val="18"/>
              </w:rPr>
            </w:pPr>
            <w:r>
              <w:rPr>
                <w:rFonts w:ascii="宋体" w:hAnsi="宋体" w:cs="宋体" w:eastAsia="宋体" w:hint="default"/>
                <w:sz w:val="18"/>
                <w:szCs w:val="18"/>
              </w:rPr>
              <w:t>（万元）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both"/>
              <w:rPr>
                <w:rFonts w:ascii="宋体" w:hAnsi="宋体" w:cs="宋体" w:eastAsia="宋体" w:hint="default"/>
                <w:sz w:val="18"/>
                <w:szCs w:val="18"/>
              </w:rPr>
            </w:pPr>
            <w:r>
              <w:rPr>
                <w:rFonts w:ascii="宋体" w:hAnsi="宋体" w:cs="宋体" w:eastAsia="宋体" w:hint="default"/>
                <w:sz w:val="18"/>
                <w:szCs w:val="18"/>
              </w:rPr>
              <w:t>转让价 格与账 面价值 或评估 价值差 异较大 的原因</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93" w:right="92"/>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91" w:right="86"/>
              <w:jc w:val="both"/>
              <w:rPr>
                <w:rFonts w:ascii="宋体" w:hAnsi="宋体" w:cs="宋体" w:eastAsia="宋体" w:hint="default"/>
                <w:sz w:val="18"/>
                <w:szCs w:val="18"/>
              </w:rPr>
            </w:pPr>
            <w:r>
              <w:rPr>
                <w:rFonts w:ascii="宋体" w:hAnsi="宋体" w:cs="宋体" w:eastAsia="宋体" w:hint="default"/>
                <w:sz w:val="18"/>
                <w:szCs w:val="18"/>
              </w:rPr>
              <w:t>对公司 经营成 果与财 务状况 的影响 情况</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16" w:lineRule="auto"/>
              <w:ind w:left="93" w:right="86"/>
              <w:jc w:val="both"/>
              <w:rPr>
                <w:rFonts w:ascii="宋体" w:hAnsi="宋体" w:cs="宋体" w:eastAsia="宋体" w:hint="default"/>
                <w:sz w:val="18"/>
                <w:szCs w:val="18"/>
              </w:rPr>
            </w:pPr>
            <w:r>
              <w:rPr>
                <w:rFonts w:ascii="宋体" w:hAnsi="宋体" w:cs="宋体" w:eastAsia="宋体" w:hint="default"/>
                <w:sz w:val="18"/>
                <w:szCs w:val="18"/>
              </w:rPr>
              <w:t>转让资 产获得 的收益</w:t>
            </w:r>
          </w:p>
          <w:p>
            <w:pPr>
              <w:pStyle w:val="TableParagraph"/>
              <w:spacing w:line="240" w:lineRule="auto" w:before="19"/>
              <w:ind w:left="26" w:right="0"/>
              <w:jc w:val="both"/>
              <w:rPr>
                <w:rFonts w:ascii="宋体" w:hAnsi="宋体" w:cs="宋体" w:eastAsia="宋体" w:hint="default"/>
                <w:sz w:val="18"/>
                <w:szCs w:val="18"/>
              </w:rPr>
            </w:pPr>
            <w:r>
              <w:rPr>
                <w:rFonts w:ascii="宋体" w:hAnsi="宋体" w:cs="宋体" w:eastAsia="宋体" w:hint="default"/>
                <w:sz w:val="18"/>
                <w:szCs w:val="18"/>
              </w:rPr>
              <w:t>（万元）</w:t>
            </w:r>
          </w:p>
        </w:tc>
      </w:tr>
      <w:tr>
        <w:trPr>
          <w:trHeight w:val="758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316" w:lineRule="auto"/>
              <w:ind w:left="24" w:right="156"/>
              <w:jc w:val="both"/>
              <w:rPr>
                <w:rFonts w:ascii="宋体" w:hAnsi="宋体" w:cs="宋体" w:eastAsia="宋体" w:hint="default"/>
                <w:sz w:val="18"/>
                <w:szCs w:val="18"/>
              </w:rPr>
            </w:pPr>
            <w:r>
              <w:rPr>
                <w:rFonts w:ascii="宋体" w:hAnsi="宋体" w:cs="宋体" w:eastAsia="宋体" w:hint="default"/>
                <w:sz w:val="18"/>
                <w:szCs w:val="18"/>
              </w:rPr>
              <w:t>德居安 科技有 限公司</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316" w:lineRule="auto"/>
              <w:ind w:left="26" w:right="161"/>
              <w:jc w:val="left"/>
              <w:rPr>
                <w:rFonts w:ascii="宋体" w:hAnsi="宋体" w:cs="宋体" w:eastAsia="宋体" w:hint="default"/>
                <w:sz w:val="18"/>
                <w:szCs w:val="18"/>
              </w:rPr>
            </w:pPr>
            <w:r>
              <w:rPr>
                <w:rFonts w:ascii="宋体" w:hAnsi="宋体" w:cs="宋体" w:eastAsia="宋体" w:hint="default"/>
                <w:sz w:val="18"/>
                <w:szCs w:val="18"/>
              </w:rPr>
              <w:t>同一控 股股东</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股权收 购</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收购德 居安科 技有限 公司持 有的德 </w:t>
            </w:r>
            <w:r>
              <w:rPr>
                <w:rFonts w:ascii="宋体" w:hAnsi="宋体" w:cs="宋体" w:eastAsia="宋体" w:hint="default"/>
                <w:spacing w:val="-10"/>
                <w:sz w:val="18"/>
                <w:szCs w:val="18"/>
              </w:rPr>
              <w:t>居安（广</w:t>
            </w:r>
            <w:r>
              <w:rPr>
                <w:rFonts w:ascii="宋体" w:hAnsi="宋体" w:cs="宋体" w:eastAsia="宋体" w:hint="default"/>
                <w:sz w:val="18"/>
                <w:szCs w:val="18"/>
              </w:rPr>
              <w:t> </w:t>
            </w:r>
            <w:r>
              <w:rPr>
                <w:rFonts w:ascii="宋体" w:hAnsi="宋体" w:cs="宋体" w:eastAsia="宋体" w:hint="default"/>
                <w:spacing w:val="-10"/>
                <w:sz w:val="18"/>
                <w:szCs w:val="18"/>
              </w:rPr>
              <w:t>州）电子</w:t>
            </w:r>
            <w:r>
              <w:rPr>
                <w:rFonts w:ascii="宋体" w:hAnsi="宋体" w:cs="宋体" w:eastAsia="宋体" w:hint="default"/>
                <w:sz w:val="18"/>
                <w:szCs w:val="18"/>
              </w:rPr>
              <w:t> 科技有 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权</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6"/>
                <w:szCs w:val="26"/>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资产基 </w:t>
            </w:r>
            <w:r>
              <w:rPr>
                <w:rFonts w:ascii="宋体" w:hAnsi="宋体" w:cs="宋体" w:eastAsia="宋体" w:hint="default"/>
                <w:spacing w:val="-10"/>
                <w:sz w:val="18"/>
                <w:szCs w:val="18"/>
              </w:rPr>
              <w:t>础法（成</w:t>
            </w:r>
            <w:r>
              <w:rPr>
                <w:rFonts w:ascii="宋体" w:hAnsi="宋体" w:cs="宋体" w:eastAsia="宋体" w:hint="default"/>
                <w:sz w:val="18"/>
                <w:szCs w:val="18"/>
              </w:rPr>
              <w:t> </w:t>
            </w:r>
            <w:r>
              <w:rPr>
                <w:rFonts w:ascii="宋体" w:hAnsi="宋体" w:cs="宋体" w:eastAsia="宋体" w:hint="default"/>
                <w:spacing w:val="-10"/>
                <w:sz w:val="18"/>
                <w:szCs w:val="18"/>
              </w:rPr>
              <w:t>本法）评</w:t>
            </w:r>
            <w:r>
              <w:rPr>
                <w:rFonts w:ascii="宋体" w:hAnsi="宋体" w:cs="宋体" w:eastAsia="宋体" w:hint="default"/>
                <w:sz w:val="18"/>
                <w:szCs w:val="18"/>
              </w:rPr>
              <w:t> 估</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left="163" w:right="0"/>
              <w:jc w:val="left"/>
              <w:rPr>
                <w:rFonts w:ascii="Times New Roman" w:hAnsi="Times New Roman" w:cs="Times New Roman" w:eastAsia="Times New Roman" w:hint="default"/>
                <w:sz w:val="18"/>
                <w:szCs w:val="18"/>
              </w:rPr>
            </w:pPr>
            <w:r>
              <w:rPr>
                <w:rFonts w:ascii="Times New Roman"/>
                <w:sz w:val="18"/>
              </w:rPr>
              <w:t>3,262.9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left="76" w:right="0"/>
              <w:jc w:val="left"/>
              <w:rPr>
                <w:rFonts w:ascii="Times New Roman" w:hAnsi="Times New Roman" w:cs="Times New Roman" w:eastAsia="Times New Roman" w:hint="default"/>
                <w:sz w:val="18"/>
                <w:szCs w:val="18"/>
              </w:rPr>
            </w:pPr>
            <w:r>
              <w:rPr>
                <w:rFonts w:ascii="Times New Roman"/>
                <w:sz w:val="18"/>
              </w:rPr>
              <w:t>5,663.24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left="74" w:right="0"/>
              <w:jc w:val="left"/>
              <w:rPr>
                <w:rFonts w:ascii="Times New Roman" w:hAnsi="Times New Roman" w:cs="Times New Roman" w:eastAsia="Times New Roman" w:hint="default"/>
                <w:sz w:val="18"/>
                <w:szCs w:val="18"/>
              </w:rPr>
            </w:pPr>
            <w:r>
              <w:rPr>
                <w:rFonts w:ascii="Times New Roman"/>
                <w:sz w:val="18"/>
              </w:rPr>
              <w:t>5,663.24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left="74" w:right="0"/>
              <w:jc w:val="left"/>
              <w:rPr>
                <w:rFonts w:ascii="Times New Roman" w:hAnsi="Times New Roman" w:cs="Times New Roman" w:eastAsia="Times New Roman" w:hint="default"/>
                <w:sz w:val="18"/>
                <w:szCs w:val="18"/>
              </w:rPr>
            </w:pPr>
            <w:r>
              <w:rPr>
                <w:rFonts w:ascii="Times New Roman"/>
                <w:sz w:val="18"/>
              </w:rPr>
              <w:t>5,663.24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企业账 面值与 评估值 内涵不 </w:t>
            </w:r>
            <w:r>
              <w:rPr>
                <w:rFonts w:ascii="宋体" w:hAnsi="宋体" w:cs="宋体" w:eastAsia="宋体" w:hint="default"/>
                <w:spacing w:val="-10"/>
                <w:sz w:val="18"/>
                <w:szCs w:val="18"/>
              </w:rPr>
              <w:t>一致，评</w:t>
            </w:r>
            <w:r>
              <w:rPr>
                <w:rFonts w:ascii="宋体" w:hAnsi="宋体" w:cs="宋体" w:eastAsia="宋体" w:hint="default"/>
                <w:sz w:val="18"/>
                <w:szCs w:val="18"/>
              </w:rPr>
              <w:t> 估值为 市场价 值标准， 包含了 企业账 面值中 没涵盖 的土地 使用权 </w:t>
            </w:r>
            <w:r>
              <w:rPr>
                <w:rFonts w:ascii="宋体" w:hAnsi="宋体" w:cs="宋体" w:eastAsia="宋体" w:hint="default"/>
                <w:spacing w:val="-10"/>
                <w:sz w:val="18"/>
                <w:szCs w:val="18"/>
              </w:rPr>
              <w:t>价值、企</w:t>
            </w:r>
            <w:r>
              <w:rPr>
                <w:rFonts w:ascii="宋体" w:hAnsi="宋体" w:cs="宋体" w:eastAsia="宋体" w:hint="default"/>
                <w:sz w:val="18"/>
                <w:szCs w:val="18"/>
              </w:rPr>
              <w:t> 业开发 利润及 相关销 售税费 等。</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公司完 成本次 交易后 公司将 有效满 足公司 对生产 经营场 地的需 </w:t>
            </w:r>
            <w:r>
              <w:rPr>
                <w:rFonts w:ascii="宋体" w:hAnsi="宋体" w:cs="宋体" w:eastAsia="宋体" w:hint="default"/>
                <w:spacing w:val="-12"/>
                <w:sz w:val="18"/>
                <w:szCs w:val="18"/>
              </w:rPr>
              <w:t>求。报告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期内，德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居安广 州纳入 公司合 并报表 </w:t>
            </w:r>
            <w:r>
              <w:rPr>
                <w:rFonts w:ascii="宋体" w:hAnsi="宋体" w:cs="宋体" w:eastAsia="宋体" w:hint="default"/>
                <w:spacing w:val="-12"/>
                <w:sz w:val="18"/>
                <w:szCs w:val="18"/>
              </w:rPr>
              <w:t>范围，其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年末净 资产为</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3348.91</w:t>
            </w:r>
          </w:p>
          <w:p>
            <w:pPr>
              <w:pStyle w:val="TableParagraph"/>
              <w:spacing w:line="316" w:lineRule="auto" w:before="63"/>
              <w:ind w:left="23" w:right="19"/>
              <w:jc w:val="left"/>
              <w:rPr>
                <w:rFonts w:ascii="宋体" w:hAnsi="宋体" w:cs="宋体" w:eastAsia="宋体" w:hint="default"/>
                <w:sz w:val="18"/>
                <w:szCs w:val="18"/>
              </w:rPr>
            </w:pPr>
            <w:r>
              <w:rPr>
                <w:rFonts w:ascii="宋体" w:hAnsi="宋体" w:cs="宋体" w:eastAsia="宋体" w:hint="default"/>
                <w:spacing w:val="-12"/>
                <w:sz w:val="18"/>
                <w:szCs w:val="18"/>
              </w:rPr>
              <w:t>万元，年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度实现 净利润</w:t>
            </w:r>
          </w:p>
          <w:p>
            <w:pPr>
              <w:pStyle w:val="TableParagraph"/>
              <w:spacing w:line="300" w:lineRule="auto" w:before="19"/>
              <w:ind w:left="23"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36.98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w:t>
            </w:r>
          </w:p>
        </w:tc>
        <w:tc>
          <w:tcPr>
            <w:tcW w:w="7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27" w:top="1100" w:bottom="1420" w:left="980" w:right="980"/>
        </w:sectPr>
      </w:pPr>
    </w:p>
    <w:p>
      <w:pPr>
        <w:spacing w:line="240" w:lineRule="auto" w:before="11"/>
        <w:rPr>
          <w:rFonts w:ascii="宋体" w:hAnsi="宋体" w:cs="宋体" w:eastAsia="宋体" w:hint="default"/>
          <w:b/>
          <w:bCs/>
          <w:sz w:val="21"/>
          <w:szCs w:val="21"/>
        </w:rPr>
      </w:pPr>
    </w:p>
    <w:p>
      <w:pPr>
        <w:pStyle w:val="BodyText"/>
        <w:spacing w:line="319" w:lineRule="auto" w:before="44"/>
        <w:ind w:right="0" w:firstLine="360"/>
        <w:jc w:val="left"/>
      </w:pPr>
      <w:r>
        <w:rPr>
          <w:spacing w:val="-2"/>
        </w:rPr>
        <w:t>企业账面值与评估值内涵不一致，评估值为市场价值标准，包含了企业账面值中没涵盖的土地使用权价值、企业开发利</w:t>
      </w:r>
      <w:r>
        <w:rPr/>
        <w:t> 润及相关销售税费等。</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报告期内，公司未发生因共同对外投资而发生的重大关联交易事项。</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是否存在非经营性关联债权债务往来</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5"/>
        <w:gridCol w:w="1136"/>
        <w:gridCol w:w="566"/>
        <w:gridCol w:w="713"/>
        <w:gridCol w:w="564"/>
        <w:gridCol w:w="708"/>
        <w:gridCol w:w="425"/>
        <w:gridCol w:w="425"/>
        <w:gridCol w:w="576"/>
        <w:gridCol w:w="506"/>
        <w:gridCol w:w="449"/>
        <w:gridCol w:w="564"/>
        <w:gridCol w:w="509"/>
        <w:gridCol w:w="446"/>
      </w:tblGrid>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340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6" w:right="0"/>
              <w:jc w:val="left"/>
              <w:rPr>
                <w:rFonts w:ascii="宋体" w:hAnsi="宋体" w:cs="宋体" w:eastAsia="宋体" w:hint="default"/>
                <w:sz w:val="18"/>
                <w:szCs w:val="18"/>
              </w:rPr>
            </w:pPr>
            <w:r>
              <w:rPr>
                <w:rFonts w:ascii="宋体" w:hAnsi="宋体" w:cs="宋体" w:eastAsia="宋体" w:hint="default"/>
                <w:sz w:val="18"/>
                <w:szCs w:val="18"/>
              </w:rPr>
              <w:t>向关联方提供资金（万元）</w:t>
            </w:r>
          </w:p>
        </w:tc>
        <w:tc>
          <w:tcPr>
            <w:tcW w:w="305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9" w:right="0"/>
              <w:jc w:val="left"/>
              <w:rPr>
                <w:rFonts w:ascii="宋体" w:hAnsi="宋体" w:cs="宋体" w:eastAsia="宋体" w:hint="default"/>
                <w:sz w:val="18"/>
                <w:szCs w:val="18"/>
              </w:rPr>
            </w:pPr>
            <w:r>
              <w:rPr>
                <w:rFonts w:ascii="宋体" w:hAnsi="宋体" w:cs="宋体" w:eastAsia="宋体" w:hint="default"/>
                <w:sz w:val="18"/>
                <w:szCs w:val="18"/>
              </w:rPr>
              <w:t>关联方向上市公司提供资金（万元）</w:t>
            </w:r>
          </w:p>
        </w:tc>
      </w:tr>
      <w:tr>
        <w:trPr>
          <w:trHeight w:val="713"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发生额</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7" w:right="95" w:hanging="89"/>
              <w:jc w:val="left"/>
              <w:rPr>
                <w:rFonts w:ascii="宋体" w:hAnsi="宋体" w:cs="宋体" w:eastAsia="宋体" w:hint="default"/>
                <w:sz w:val="18"/>
                <w:szCs w:val="18"/>
              </w:rPr>
            </w:pPr>
            <w:r>
              <w:rPr>
                <w:rFonts w:ascii="宋体" w:hAnsi="宋体" w:cs="宋体" w:eastAsia="宋体" w:hint="default"/>
                <w:sz w:val="18"/>
                <w:szCs w:val="18"/>
              </w:rPr>
              <w:t>偿还 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7" w:hanging="181"/>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利息 收入</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利息 支出</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8" w:right="65" w:hanging="89"/>
              <w:jc w:val="left"/>
              <w:rPr>
                <w:rFonts w:ascii="宋体" w:hAnsi="宋体" w:cs="宋体" w:eastAsia="宋体" w:hint="default"/>
                <w:sz w:val="18"/>
                <w:szCs w:val="18"/>
              </w:rPr>
            </w:pPr>
            <w:r>
              <w:rPr>
                <w:rFonts w:ascii="宋体" w:hAnsi="宋体" w:cs="宋体" w:eastAsia="宋体" w:hint="default"/>
                <w:sz w:val="18"/>
                <w:szCs w:val="18"/>
              </w:rPr>
              <w:t>发生 额</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0" w:right="38" w:hanging="90"/>
              <w:jc w:val="left"/>
              <w:rPr>
                <w:rFonts w:ascii="宋体" w:hAnsi="宋体" w:cs="宋体" w:eastAsia="宋体" w:hint="default"/>
                <w:sz w:val="18"/>
                <w:szCs w:val="18"/>
              </w:rPr>
            </w:pPr>
            <w:r>
              <w:rPr>
                <w:rFonts w:ascii="宋体" w:hAnsi="宋体" w:cs="宋体" w:eastAsia="宋体" w:hint="default"/>
                <w:sz w:val="18"/>
                <w:szCs w:val="18"/>
              </w:rPr>
              <w:t>偿还 额</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5"/>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利息 收入</w:t>
            </w:r>
          </w:p>
        </w:tc>
        <w:tc>
          <w:tcPr>
            <w:tcW w:w="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 w:right="36"/>
              <w:jc w:val="left"/>
              <w:rPr>
                <w:rFonts w:ascii="宋体" w:hAnsi="宋体" w:cs="宋体" w:eastAsia="宋体" w:hint="default"/>
                <w:sz w:val="18"/>
                <w:szCs w:val="18"/>
              </w:rPr>
            </w:pPr>
            <w:r>
              <w:rPr>
                <w:rFonts w:ascii="宋体" w:hAnsi="宋体" w:cs="宋体" w:eastAsia="宋体" w:hint="default"/>
                <w:sz w:val="18"/>
                <w:szCs w:val="18"/>
              </w:rPr>
              <w:t>利息 支出</w:t>
            </w:r>
          </w:p>
        </w:tc>
      </w:tr>
      <w:tr>
        <w:trPr>
          <w:trHeight w:val="403" w:hRule="exact"/>
        </w:trPr>
        <w:tc>
          <w:tcPr>
            <w:tcW w:w="9573"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非经营性</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广州市德居安电子科技 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6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center"/>
              <w:rPr>
                <w:rFonts w:ascii="Times New Roman" w:hAnsi="Times New Roman" w:cs="Times New Roman" w:eastAsia="Times New Roman" w:hint="default"/>
                <w:sz w:val="18"/>
                <w:szCs w:val="18"/>
              </w:rPr>
            </w:pPr>
            <w:r>
              <w:rPr>
                <w:rFonts w:ascii="Times New Roman"/>
                <w:sz w:val="18"/>
              </w:rPr>
              <w:t>1,070.9</w:t>
            </w:r>
          </w:p>
        </w:tc>
        <w:tc>
          <w:tcPr>
            <w:tcW w:w="56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1,070.9</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3"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经营性</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广东安居宝智能控制系 统有限公司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6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center"/>
              <w:rPr>
                <w:rFonts w:ascii="Times New Roman" w:hAnsi="Times New Roman" w:cs="Times New Roman" w:eastAsia="Times New Roman" w:hint="default"/>
                <w:sz w:val="18"/>
                <w:szCs w:val="18"/>
              </w:rPr>
            </w:pPr>
            <w:r>
              <w:rPr>
                <w:rFonts w:ascii="Times New Roman"/>
                <w:sz w:val="18"/>
              </w:rPr>
              <w:t>106.84</w:t>
            </w:r>
          </w:p>
        </w:tc>
        <w:tc>
          <w:tcPr>
            <w:tcW w:w="56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106.84</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广州市高堡仕智能科技 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0"/>
              <w:jc w:val="both"/>
              <w:rPr>
                <w:rFonts w:ascii="宋体" w:hAnsi="宋体" w:cs="宋体" w:eastAsia="宋体" w:hint="default"/>
                <w:sz w:val="18"/>
                <w:szCs w:val="18"/>
              </w:rPr>
            </w:pPr>
            <w:r>
              <w:rPr>
                <w:rFonts w:ascii="宋体" w:hAnsi="宋体" w:cs="宋体" w:eastAsia="宋体" w:hint="default"/>
                <w:sz w:val="18"/>
                <w:szCs w:val="18"/>
              </w:rPr>
              <w:t>对子公司存 在重大影响 的股东</w:t>
            </w:r>
          </w:p>
        </w:tc>
        <w:tc>
          <w:tcPr>
            <w:tcW w:w="56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61" w:right="0"/>
              <w:jc w:val="center"/>
              <w:rPr>
                <w:rFonts w:ascii="Times New Roman" w:hAnsi="Times New Roman" w:cs="Times New Roman" w:eastAsia="Times New Roman" w:hint="default"/>
                <w:sz w:val="18"/>
                <w:szCs w:val="18"/>
              </w:rPr>
            </w:pPr>
            <w:r>
              <w:rPr>
                <w:rFonts w:ascii="Times New Roman"/>
                <w:sz w:val="18"/>
              </w:rPr>
              <w:t>175.29</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166.58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8.71</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1,353.03</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1,186.45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31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5"/>
              <w:jc w:val="left"/>
              <w:rPr>
                <w:rFonts w:ascii="宋体" w:hAnsi="宋体" w:cs="宋体" w:eastAsia="宋体" w:hint="default"/>
                <w:sz w:val="18"/>
                <w:szCs w:val="18"/>
              </w:rPr>
            </w:pPr>
            <w:r>
              <w:rPr>
                <w:rFonts w:ascii="宋体" w:hAnsi="宋体" w:cs="宋体" w:eastAsia="宋体" w:hint="default"/>
                <w:sz w:val="18"/>
                <w:szCs w:val="18"/>
              </w:rPr>
              <w:t>报告期内公司向控股股东及其子公司提 供资金的发生额（万元）</w:t>
            </w:r>
          </w:p>
        </w:tc>
        <w:tc>
          <w:tcPr>
            <w:tcW w:w="645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31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5"/>
              <w:jc w:val="left"/>
              <w:rPr>
                <w:rFonts w:ascii="宋体" w:hAnsi="宋体" w:cs="宋体" w:eastAsia="宋体" w:hint="default"/>
                <w:sz w:val="18"/>
                <w:szCs w:val="18"/>
              </w:rPr>
            </w:pPr>
            <w:r>
              <w:rPr>
                <w:rFonts w:ascii="宋体" w:hAnsi="宋体" w:cs="宋体" w:eastAsia="宋体" w:hint="default"/>
                <w:sz w:val="18"/>
                <w:szCs w:val="18"/>
              </w:rPr>
              <w:t>公司向控股股东及其子公司提供资金的 余额（万元）</w:t>
            </w:r>
          </w:p>
        </w:tc>
        <w:tc>
          <w:tcPr>
            <w:tcW w:w="645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关联债权债务形成原因</w:t>
            </w:r>
          </w:p>
        </w:tc>
        <w:tc>
          <w:tcPr>
            <w:tcW w:w="645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原因详见公司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年度控股股东及其他关联方占用资金情况的专项审计说明。</w:t>
            </w:r>
          </w:p>
        </w:tc>
      </w:tr>
      <w:tr>
        <w:trPr>
          <w:trHeight w:val="403" w:hRule="exact"/>
        </w:trPr>
        <w:tc>
          <w:tcPr>
            <w:tcW w:w="31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关联债权债务清偿情况</w:t>
            </w:r>
          </w:p>
        </w:tc>
        <w:tc>
          <w:tcPr>
            <w:tcW w:w="645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截至报告期末，广州市高堡仕智能科技有限公司已偿还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166.58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万元货款。</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04" w:lineRule="auto"/>
        <w:ind w:right="149" w:firstLine="360"/>
        <w:jc w:val="both"/>
      </w:pPr>
      <w:r>
        <w:rPr>
          <w:spacing w:val="-2"/>
        </w:rPr>
        <w:t>报告期内，公司第二届董事会第四次会议、</w:t>
      </w:r>
      <w:r>
        <w:rPr>
          <w:rFonts w:ascii="Times New Roman" w:hAnsi="Times New Roman" w:cs="Times New Roman" w:eastAsia="Times New Roman" w:hint="default"/>
          <w:spacing w:val="-2"/>
        </w:rPr>
        <w:t>2012</w:t>
      </w:r>
      <w:r>
        <w:rPr>
          <w:spacing w:val="-2"/>
        </w:rPr>
        <w:t>年第二次临时股东大会先后审议通过了《关于使用部分超募资金收购德</w:t>
      </w:r>
      <w:r>
        <w:rPr/>
        <w:t> 居安（广州）电子科技有限公司全部股权暨关联交易的议案》 ，</w:t>
      </w:r>
      <w:r>
        <w:rPr>
          <w:spacing w:val="-40"/>
        </w:rPr>
        <w:t> </w:t>
      </w:r>
      <w:r>
        <w:rPr/>
        <w:t>同意公司使用人民币</w:t>
      </w:r>
      <w:r>
        <w:rPr>
          <w:rFonts w:ascii="Times New Roman" w:hAnsi="Times New Roman" w:cs="Times New Roman" w:eastAsia="Times New Roman" w:hint="default"/>
        </w:rPr>
        <w:t>56,632,368.63</w:t>
      </w:r>
      <w:r>
        <w:rPr/>
        <w:t>元的超募资金收购德居 安科技有限公司（</w:t>
      </w:r>
      <w:r>
        <w:rPr>
          <w:rFonts w:ascii="Times New Roman" w:hAnsi="Times New Roman" w:cs="Times New Roman" w:eastAsia="Times New Roman" w:hint="default"/>
        </w:rPr>
        <w:t>DE-JA TECHNOLOGY</w:t>
      </w:r>
      <w:r>
        <w:rPr>
          <w:rFonts w:ascii="Times New Roman" w:hAnsi="Times New Roman" w:cs="Times New Roman" w:eastAsia="Times New Roman" w:hint="default"/>
          <w:spacing w:val="-3"/>
        </w:rPr>
        <w:t> </w:t>
      </w:r>
      <w:r>
        <w:rPr>
          <w:rFonts w:ascii="Times New Roman" w:hAnsi="Times New Roman" w:cs="Times New Roman" w:eastAsia="Times New Roman" w:hint="default"/>
        </w:rPr>
        <w:t>CO.,LIMITED</w:t>
      </w:r>
      <w:r>
        <w:rPr/>
        <w:t>）所持有的德居安（广州）电子科技有限公司</w:t>
      </w:r>
      <w:r>
        <w:rPr>
          <w:rFonts w:ascii="Times New Roman" w:hAnsi="Times New Roman" w:cs="Times New Roman" w:eastAsia="Times New Roman" w:hint="default"/>
        </w:rPr>
        <w:t>100%</w:t>
      </w:r>
      <w:r>
        <w:rPr/>
        <w:t>股权。收购完成 </w:t>
      </w:r>
      <w:r>
        <w:rPr>
          <w:spacing w:val="-2"/>
        </w:rPr>
        <w:t>后，德居安（广州）电子科技有限公司成为公司全资子公司，其在并购前向公司实际控制人张波先生的借款（借款主要用于</w:t>
      </w:r>
      <w:r>
        <w:rPr>
          <w:spacing w:val="-65"/>
        </w:rPr>
        <w:t> </w:t>
      </w:r>
      <w:r>
        <w:rPr>
          <w:spacing w:val="-65"/>
        </w:rPr>
      </w:r>
      <w:r>
        <w:rPr/>
        <w:t>支付厂房建设的工程款）在偿还时构成关联交易。具体内容详见</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日刊登在巨潮资讯网的相关公告。</w:t>
      </w:r>
    </w:p>
    <w:p>
      <w:pPr>
        <w:pStyle w:val="BodyText"/>
        <w:spacing w:line="316" w:lineRule="auto" w:before="9"/>
        <w:ind w:right="152" w:firstLine="360"/>
        <w:jc w:val="both"/>
      </w:pPr>
      <w:r>
        <w:rPr>
          <w:spacing w:val="-2"/>
        </w:rPr>
        <w:t>公司收购德居安（广州）电子科技有限公司前，公司控股股东张波先生为其向中国农业银行的固定资产长期借款人民币</w:t>
      </w:r>
      <w:r>
        <w:rPr/>
        <w:t> </w:t>
      </w:r>
      <w:r>
        <w:rPr>
          <w:rFonts w:ascii="宋体" w:hAnsi="宋体" w:cs="宋体" w:eastAsia="宋体" w:hint="default"/>
          <w:spacing w:val="-2"/>
        </w:rPr>
        <w:t>10,660,000</w:t>
      </w:r>
      <w:r>
        <w:rPr>
          <w:spacing w:val="-2"/>
        </w:rPr>
        <w:t>元提供连带责任保证。收购完成后，德居安（广州）电子科技有限公司成为公司全资子公司，更名为广州市德居</w:t>
      </w:r>
    </w:p>
    <w:p>
      <w:pPr>
        <w:spacing w:after="0" w:line="316" w:lineRule="auto"/>
        <w:jc w:val="both"/>
        <w:sectPr>
          <w:pgSz w:w="11910" w:h="16840"/>
          <w:pgMar w:header="877" w:footer="1227" w:top="1100" w:bottom="142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安电子科技有限公司。截止</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日，广州市德居安电子科技有限公司已全部偿还上述借款。</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、为公司带来的利润达到公司本期利润总额</w:t>
      </w:r>
      <w:r>
        <w:rPr>
          <w:spacing w:val="-54"/>
        </w:rPr>
        <w:t> </w:t>
      </w:r>
      <w:r>
        <w:rPr>
          <w:rFonts w:ascii="Times New Roman" w:hAnsi="Times New Roman" w:cs="Times New Roman" w:eastAsia="Times New Roman" w:hint="default"/>
        </w:rPr>
        <w:t>10</w:t>
      </w:r>
      <w:r>
        <w:rPr/>
        <w:t>％以上（含</w:t>
      </w:r>
      <w:r>
        <w:rPr>
          <w:spacing w:val="-54"/>
        </w:rPr>
        <w:t> </w:t>
      </w:r>
      <w:r>
        <w:rPr>
          <w:rFonts w:ascii="Times New Roman" w:hAnsi="Times New Roman" w:cs="Times New Roman" w:eastAsia="Times New Roman" w:hint="default"/>
        </w:rPr>
        <w:t>10</w:t>
      </w:r>
      <w:r>
        <w:rPr/>
        <w:t>％）的托管、承包、租赁事项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594" w:firstLine="360"/>
        <w:jc w:val="left"/>
      </w:pPr>
      <w:r>
        <w:rPr/>
        <w:t>报告期内，公司没有发生或以往期间发生但延续到报告期的托管其他公司资产或其他公司托管公司资产的事项。 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594" w:firstLine="360"/>
        <w:jc w:val="left"/>
      </w:pPr>
      <w:r>
        <w:rPr/>
        <w:t>报告期内，公司没有发生或以往期间发生但延续到报告期的承包其他公司资产或其他公司承包公司资产的事项。 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594" w:firstLine="360"/>
        <w:jc w:val="left"/>
      </w:pPr>
      <w:r>
        <w:rPr/>
        <w:t>报告期内，公司没有发生或以往期间发生但延续到报告期的租赁其他公司资产或其他公司租赁公司资产的事项。 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公司没有报告期内履行的及尚未履行完毕的对外担保合同。</w:t>
      </w:r>
    </w:p>
    <w:p>
      <w:pPr>
        <w:pStyle w:val="Heading3"/>
        <w:spacing w:line="240" w:lineRule="auto" w:before="96"/>
        <w:ind w:right="0"/>
        <w:jc w:val="left"/>
        <w:rPr>
          <w:b w:val="0"/>
          <w:bCs w:val="0"/>
        </w:rPr>
      </w:pPr>
      <w:r>
        <w:rPr>
          <w:rFonts w:ascii="Times New Roman" w:hAnsi="Times New Roman" w:cs="Times New Roman" w:eastAsia="Times New Roman" w:hint="default"/>
        </w:rPr>
        <w:t>3</w:t>
      </w:r>
      <w:r>
        <w:rPr/>
        <w:t>、报告期内或报告期继续发生的委托理财情况</w:t>
      </w:r>
      <w:r>
        <w:rPr>
          <w:b w:val="0"/>
          <w:bCs w:val="0"/>
        </w:rPr>
      </w:r>
    </w:p>
    <w:p>
      <w:pPr>
        <w:pStyle w:val="BodyText"/>
        <w:spacing w:line="240" w:lineRule="auto" w:before="8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1114"/>
        <w:gridCol w:w="1262"/>
        <w:gridCol w:w="1277"/>
        <w:gridCol w:w="917"/>
        <w:gridCol w:w="1114"/>
        <w:gridCol w:w="1080"/>
        <w:gridCol w:w="1061"/>
        <w:gridCol w:w="998"/>
      </w:tblGrid>
      <w:tr>
        <w:trPr>
          <w:trHeight w:val="973" w:hRule="exact"/>
        </w:trPr>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转让方</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受让方</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转让标的</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91" w:right="89"/>
              <w:jc w:val="center"/>
              <w:rPr>
                <w:rFonts w:ascii="宋体" w:hAnsi="宋体" w:cs="宋体" w:eastAsia="宋体" w:hint="default"/>
                <w:sz w:val="18"/>
                <w:szCs w:val="18"/>
              </w:rPr>
            </w:pPr>
            <w:r>
              <w:rPr>
                <w:rFonts w:ascii="宋体" w:hAnsi="宋体" w:cs="宋体" w:eastAsia="宋体" w:hint="default"/>
                <w:sz w:val="18"/>
                <w:szCs w:val="18"/>
              </w:rPr>
              <w:t>标的账面 价值（万 元）</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标的评估价值</w:t>
            </w:r>
          </w:p>
          <w:p>
            <w:pPr>
              <w:pStyle w:val="TableParagraph"/>
              <w:spacing w:line="240" w:lineRule="auto" w:before="76"/>
              <w:ind w:right="3"/>
              <w:jc w:val="center"/>
              <w:rPr>
                <w:rFonts w:ascii="宋体" w:hAnsi="宋体" w:cs="宋体" w:eastAsia="宋体" w:hint="default"/>
                <w:sz w:val="18"/>
                <w:szCs w:val="18"/>
              </w:rPr>
            </w:pPr>
            <w:r>
              <w:rPr>
                <w:rFonts w:ascii="宋体" w:hAnsi="宋体" w:cs="宋体" w:eastAsia="宋体" w:hint="default"/>
                <w:sz w:val="18"/>
                <w:szCs w:val="18"/>
              </w:rPr>
              <w:t>（万元）</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评估基准日</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评估机构</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审计机构</w:t>
            </w:r>
          </w:p>
        </w:tc>
      </w:tr>
      <w:tr>
        <w:trPr>
          <w:trHeight w:val="1594" w:hRule="exact"/>
        </w:trPr>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2"/>
                <w:sz w:val="18"/>
                <w:szCs w:val="18"/>
              </w:rPr>
              <w:t>德居安科技有 </w:t>
            </w:r>
            <w:r>
              <w:rPr>
                <w:rFonts w:ascii="宋体" w:hAnsi="宋体" w:cs="宋体" w:eastAsia="宋体" w:hint="default"/>
                <w:sz w:val="18"/>
                <w:szCs w:val="18"/>
              </w:rPr>
              <w:t>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both"/>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57"/>
                <w:sz w:val="18"/>
                <w:szCs w:val="18"/>
              </w:rPr>
              <w:t> </w:t>
            </w:r>
            <w:r>
              <w:rPr>
                <w:rFonts w:ascii="宋体" w:hAnsi="宋体" w:cs="宋体" w:eastAsia="宋体" w:hint="default"/>
                <w:sz w:val="18"/>
                <w:szCs w:val="18"/>
              </w:rPr>
              <w:t>东</w:t>
            </w:r>
            <w:r>
              <w:rPr>
                <w:rFonts w:ascii="宋体" w:hAnsi="宋体" w:cs="宋体" w:eastAsia="宋体" w:hint="default"/>
                <w:spacing w:val="-57"/>
                <w:sz w:val="18"/>
                <w:szCs w:val="18"/>
              </w:rPr>
              <w:t> </w:t>
            </w:r>
            <w:r>
              <w:rPr>
                <w:rFonts w:ascii="宋体" w:hAnsi="宋体" w:cs="宋体" w:eastAsia="宋体" w:hint="default"/>
                <w:sz w:val="18"/>
                <w:szCs w:val="18"/>
              </w:rPr>
              <w:t>安</w:t>
            </w:r>
            <w:r>
              <w:rPr>
                <w:rFonts w:ascii="宋体" w:hAnsi="宋体" w:cs="宋体" w:eastAsia="宋体" w:hint="default"/>
                <w:spacing w:val="-60"/>
                <w:sz w:val="18"/>
                <w:szCs w:val="18"/>
              </w:rPr>
              <w:t> </w:t>
            </w:r>
            <w:r>
              <w:rPr>
                <w:rFonts w:ascii="宋体" w:hAnsi="宋体" w:cs="宋体" w:eastAsia="宋体" w:hint="default"/>
                <w:sz w:val="18"/>
                <w:szCs w:val="18"/>
              </w:rPr>
              <w:t>居</w:t>
            </w:r>
            <w:r>
              <w:rPr>
                <w:rFonts w:ascii="宋体" w:hAnsi="宋体" w:cs="宋体" w:eastAsia="宋体" w:hint="default"/>
                <w:spacing w:val="-57"/>
                <w:sz w:val="18"/>
                <w:szCs w:val="18"/>
              </w:rPr>
              <w:t> </w:t>
            </w:r>
            <w:r>
              <w:rPr>
                <w:rFonts w:ascii="宋体" w:hAnsi="宋体" w:cs="宋体" w:eastAsia="宋体" w:hint="default"/>
                <w:sz w:val="18"/>
                <w:szCs w:val="18"/>
              </w:rPr>
              <w:t>宝</w:t>
            </w:r>
            <w:r>
              <w:rPr>
                <w:rFonts w:ascii="宋体" w:hAnsi="宋体" w:cs="宋体" w:eastAsia="宋体" w:hint="default"/>
                <w:spacing w:val="-57"/>
                <w:sz w:val="18"/>
                <w:szCs w:val="18"/>
              </w:rPr>
              <w:t> </w:t>
            </w:r>
            <w:r>
              <w:rPr>
                <w:rFonts w:ascii="宋体" w:hAnsi="宋体" w:cs="宋体" w:eastAsia="宋体" w:hint="default"/>
                <w:sz w:val="18"/>
                <w:szCs w:val="18"/>
              </w:rPr>
              <w:t>数</w:t>
            </w:r>
            <w:r>
              <w:rPr>
                <w:rFonts w:ascii="宋体" w:hAnsi="宋体" w:cs="宋体" w:eastAsia="宋体" w:hint="default"/>
                <w:sz w:val="18"/>
                <w:szCs w:val="18"/>
              </w:rPr>
              <w:t> 码</w:t>
            </w:r>
            <w:r>
              <w:rPr>
                <w:rFonts w:ascii="宋体" w:hAnsi="宋体" w:cs="宋体" w:eastAsia="宋体" w:hint="default"/>
                <w:spacing w:val="-57"/>
                <w:sz w:val="18"/>
                <w:szCs w:val="18"/>
              </w:rPr>
              <w:t> </w:t>
            </w:r>
            <w:r>
              <w:rPr>
                <w:rFonts w:ascii="宋体" w:hAnsi="宋体" w:cs="宋体" w:eastAsia="宋体" w:hint="default"/>
                <w:sz w:val="18"/>
                <w:szCs w:val="18"/>
              </w:rPr>
              <w:t>科</w:t>
            </w:r>
            <w:r>
              <w:rPr>
                <w:rFonts w:ascii="宋体" w:hAnsi="宋体" w:cs="宋体" w:eastAsia="宋体" w:hint="default"/>
                <w:spacing w:val="-57"/>
                <w:sz w:val="18"/>
                <w:szCs w:val="18"/>
              </w:rPr>
              <w:t> </w:t>
            </w:r>
            <w:r>
              <w:rPr>
                <w:rFonts w:ascii="宋体" w:hAnsi="宋体" w:cs="宋体" w:eastAsia="宋体" w:hint="default"/>
                <w:sz w:val="18"/>
                <w:szCs w:val="18"/>
              </w:rPr>
              <w:t>技</w:t>
            </w:r>
            <w:r>
              <w:rPr>
                <w:rFonts w:ascii="宋体" w:hAnsi="宋体" w:cs="宋体" w:eastAsia="宋体" w:hint="default"/>
                <w:spacing w:val="-60"/>
                <w:sz w:val="18"/>
                <w:szCs w:val="18"/>
              </w:rPr>
              <w:t> </w:t>
            </w:r>
            <w:r>
              <w:rPr>
                <w:rFonts w:ascii="宋体" w:hAnsi="宋体" w:cs="宋体" w:eastAsia="宋体" w:hint="default"/>
                <w:sz w:val="18"/>
                <w:szCs w:val="18"/>
              </w:rPr>
              <w:t>股</w:t>
            </w:r>
            <w:r>
              <w:rPr>
                <w:rFonts w:ascii="宋体" w:hAnsi="宋体" w:cs="宋体" w:eastAsia="宋体" w:hint="default"/>
                <w:spacing w:val="-57"/>
                <w:sz w:val="18"/>
                <w:szCs w:val="18"/>
              </w:rPr>
              <w:t> </w:t>
            </w:r>
            <w:r>
              <w:rPr>
                <w:rFonts w:ascii="宋体" w:hAnsi="宋体" w:cs="宋体" w:eastAsia="宋体" w:hint="default"/>
                <w:sz w:val="18"/>
                <w:szCs w:val="18"/>
              </w:rPr>
              <w:t>份</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2"/>
              <w:jc w:val="both"/>
              <w:rPr>
                <w:rFonts w:ascii="宋体" w:hAnsi="宋体" w:cs="宋体" w:eastAsia="宋体" w:hint="default"/>
                <w:sz w:val="18"/>
                <w:szCs w:val="18"/>
              </w:rPr>
            </w:pPr>
            <w:r>
              <w:rPr>
                <w:rFonts w:ascii="宋体" w:hAnsi="宋体" w:cs="宋体" w:eastAsia="宋体" w:hint="default"/>
                <w:sz w:val="18"/>
                <w:szCs w:val="18"/>
              </w:rPr>
              <w:t>德</w:t>
            </w:r>
            <w:r>
              <w:rPr>
                <w:rFonts w:ascii="宋体" w:hAnsi="宋体" w:cs="宋体" w:eastAsia="宋体" w:hint="default"/>
                <w:spacing w:val="-55"/>
                <w:sz w:val="18"/>
                <w:szCs w:val="18"/>
              </w:rPr>
              <w:t> </w:t>
            </w:r>
            <w:r>
              <w:rPr>
                <w:rFonts w:ascii="宋体" w:hAnsi="宋体" w:cs="宋体" w:eastAsia="宋体" w:hint="default"/>
                <w:sz w:val="18"/>
                <w:szCs w:val="18"/>
              </w:rPr>
              <w:t>居</w:t>
            </w:r>
            <w:r>
              <w:rPr>
                <w:rFonts w:ascii="宋体" w:hAnsi="宋体" w:cs="宋体" w:eastAsia="宋体" w:hint="default"/>
                <w:spacing w:val="-55"/>
                <w:sz w:val="18"/>
                <w:szCs w:val="18"/>
              </w:rPr>
              <w:t> </w:t>
            </w:r>
            <w:r>
              <w:rPr>
                <w:rFonts w:ascii="宋体" w:hAnsi="宋体" w:cs="宋体" w:eastAsia="宋体" w:hint="default"/>
                <w:sz w:val="18"/>
                <w:szCs w:val="18"/>
              </w:rPr>
              <w:t>安</w:t>
            </w:r>
            <w:r>
              <w:rPr>
                <w:rFonts w:ascii="宋体" w:hAnsi="宋体" w:cs="宋体" w:eastAsia="宋体" w:hint="default"/>
                <w:spacing w:val="-55"/>
                <w:sz w:val="18"/>
                <w:szCs w:val="18"/>
              </w:rPr>
              <w:t> </w:t>
            </w:r>
            <w:r>
              <w:rPr>
                <w:rFonts w:ascii="宋体" w:hAnsi="宋体" w:cs="宋体" w:eastAsia="宋体" w:hint="default"/>
                <w:sz w:val="18"/>
                <w:szCs w:val="18"/>
              </w:rPr>
              <w:t>科</w:t>
            </w:r>
            <w:r>
              <w:rPr>
                <w:rFonts w:ascii="宋体" w:hAnsi="宋体" w:cs="宋体" w:eastAsia="宋体" w:hint="default"/>
                <w:spacing w:val="-57"/>
                <w:sz w:val="18"/>
                <w:szCs w:val="18"/>
              </w:rPr>
              <w:t> </w:t>
            </w:r>
            <w:r>
              <w:rPr>
                <w:rFonts w:ascii="宋体" w:hAnsi="宋体" w:cs="宋体" w:eastAsia="宋体" w:hint="default"/>
                <w:sz w:val="18"/>
                <w:szCs w:val="18"/>
              </w:rPr>
              <w:t>技</w:t>
            </w:r>
            <w:r>
              <w:rPr>
                <w:rFonts w:ascii="宋体" w:hAnsi="宋体" w:cs="宋体" w:eastAsia="宋体" w:hint="default"/>
                <w:spacing w:val="-55"/>
                <w:sz w:val="18"/>
                <w:szCs w:val="18"/>
              </w:rPr>
              <w:t> </w:t>
            </w:r>
            <w:r>
              <w:rPr>
                <w:rFonts w:ascii="宋体" w:hAnsi="宋体" w:cs="宋体" w:eastAsia="宋体" w:hint="default"/>
                <w:sz w:val="18"/>
                <w:szCs w:val="18"/>
              </w:rPr>
              <w:t>有</w:t>
            </w:r>
            <w:r>
              <w:rPr>
                <w:rFonts w:ascii="宋体" w:hAnsi="宋体" w:cs="宋体" w:eastAsia="宋体" w:hint="default"/>
                <w:sz w:val="18"/>
                <w:szCs w:val="18"/>
              </w:rPr>
              <w:t> 限</w:t>
            </w:r>
            <w:r>
              <w:rPr>
                <w:rFonts w:ascii="宋体" w:hAnsi="宋体" w:cs="宋体" w:eastAsia="宋体" w:hint="default"/>
                <w:spacing w:val="-55"/>
                <w:sz w:val="18"/>
                <w:szCs w:val="18"/>
              </w:rPr>
              <w:t> </w:t>
            </w:r>
            <w:r>
              <w:rPr>
                <w:rFonts w:ascii="宋体" w:hAnsi="宋体" w:cs="宋体" w:eastAsia="宋体" w:hint="default"/>
                <w:sz w:val="18"/>
                <w:szCs w:val="18"/>
              </w:rPr>
              <w:t>公</w:t>
            </w:r>
            <w:r>
              <w:rPr>
                <w:rFonts w:ascii="宋体" w:hAnsi="宋体" w:cs="宋体" w:eastAsia="宋体" w:hint="default"/>
                <w:spacing w:val="-55"/>
                <w:sz w:val="18"/>
                <w:szCs w:val="18"/>
              </w:rPr>
              <w:t> </w:t>
            </w:r>
            <w:r>
              <w:rPr>
                <w:rFonts w:ascii="宋体" w:hAnsi="宋体" w:cs="宋体" w:eastAsia="宋体" w:hint="default"/>
                <w:sz w:val="18"/>
                <w:szCs w:val="18"/>
              </w:rPr>
              <w:t>司</w:t>
            </w:r>
            <w:r>
              <w:rPr>
                <w:rFonts w:ascii="宋体" w:hAnsi="宋体" w:cs="宋体" w:eastAsia="宋体" w:hint="default"/>
                <w:spacing w:val="-55"/>
                <w:sz w:val="18"/>
                <w:szCs w:val="18"/>
              </w:rPr>
              <w:t> </w:t>
            </w:r>
            <w:r>
              <w:rPr>
                <w:rFonts w:ascii="宋体" w:hAnsi="宋体" w:cs="宋体" w:eastAsia="宋体" w:hint="default"/>
                <w:sz w:val="18"/>
                <w:szCs w:val="18"/>
              </w:rPr>
              <w:t>持</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55"/>
                <w:sz w:val="18"/>
                <w:szCs w:val="18"/>
              </w:rPr>
              <w:t> </w:t>
            </w:r>
            <w:r>
              <w:rPr>
                <w:rFonts w:ascii="宋体" w:hAnsi="宋体" w:cs="宋体" w:eastAsia="宋体" w:hint="default"/>
                <w:sz w:val="18"/>
                <w:szCs w:val="18"/>
              </w:rPr>
              <w:t>的</w:t>
            </w:r>
            <w:r>
              <w:rPr>
                <w:rFonts w:ascii="宋体" w:hAnsi="宋体" w:cs="宋体" w:eastAsia="宋体" w:hint="default"/>
                <w:sz w:val="18"/>
                <w:szCs w:val="18"/>
              </w:rPr>
              <w:t> 德居安（广州） 电</w:t>
            </w:r>
            <w:r>
              <w:rPr>
                <w:rFonts w:ascii="宋体" w:hAnsi="宋体" w:cs="宋体" w:eastAsia="宋体" w:hint="default"/>
                <w:spacing w:val="-55"/>
                <w:sz w:val="18"/>
                <w:szCs w:val="18"/>
              </w:rPr>
              <w:t> </w:t>
            </w:r>
            <w:r>
              <w:rPr>
                <w:rFonts w:ascii="宋体" w:hAnsi="宋体" w:cs="宋体" w:eastAsia="宋体" w:hint="default"/>
                <w:sz w:val="18"/>
                <w:szCs w:val="18"/>
              </w:rPr>
              <w:t>子</w:t>
            </w:r>
            <w:r>
              <w:rPr>
                <w:rFonts w:ascii="宋体" w:hAnsi="宋体" w:cs="宋体" w:eastAsia="宋体" w:hint="default"/>
                <w:spacing w:val="-55"/>
                <w:sz w:val="18"/>
                <w:szCs w:val="18"/>
              </w:rPr>
              <w:t> </w:t>
            </w:r>
            <w:r>
              <w:rPr>
                <w:rFonts w:ascii="宋体" w:hAnsi="宋体" w:cs="宋体" w:eastAsia="宋体" w:hint="default"/>
                <w:sz w:val="18"/>
                <w:szCs w:val="18"/>
              </w:rPr>
              <w:t>科</w:t>
            </w:r>
            <w:r>
              <w:rPr>
                <w:rFonts w:ascii="宋体" w:hAnsi="宋体" w:cs="宋体" w:eastAsia="宋体" w:hint="default"/>
                <w:spacing w:val="-55"/>
                <w:sz w:val="18"/>
                <w:szCs w:val="18"/>
              </w:rPr>
              <w:t> </w:t>
            </w:r>
            <w:r>
              <w:rPr>
                <w:rFonts w:ascii="宋体" w:hAnsi="宋体" w:cs="宋体" w:eastAsia="宋体" w:hint="default"/>
                <w:sz w:val="18"/>
                <w:szCs w:val="18"/>
              </w:rPr>
              <w:t>技</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55"/>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3262.90</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5663.24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2012.4.30</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36"/>
              <w:jc w:val="both"/>
              <w:rPr>
                <w:rFonts w:ascii="宋体" w:hAnsi="宋体" w:cs="宋体" w:eastAsia="宋体" w:hint="default"/>
                <w:sz w:val="18"/>
                <w:szCs w:val="18"/>
              </w:rPr>
            </w:pPr>
            <w:r>
              <w:rPr>
                <w:rFonts w:ascii="宋体" w:hAnsi="宋体" w:cs="宋体" w:eastAsia="宋体" w:hint="default"/>
                <w:spacing w:val="28"/>
                <w:sz w:val="18"/>
                <w:szCs w:val="18"/>
              </w:rPr>
              <w:t>广东中广信</w:t>
            </w:r>
            <w:r>
              <w:rPr>
                <w:rFonts w:ascii="宋体" w:hAnsi="宋体" w:cs="宋体" w:eastAsia="宋体" w:hint="default"/>
                <w:spacing w:val="-86"/>
                <w:sz w:val="18"/>
                <w:szCs w:val="18"/>
              </w:rPr>
              <w:t> </w:t>
            </w:r>
            <w:r>
              <w:rPr>
                <w:rFonts w:ascii="宋体" w:hAnsi="宋体" w:cs="宋体" w:eastAsia="宋体" w:hint="default"/>
                <w:spacing w:val="28"/>
                <w:sz w:val="18"/>
                <w:szCs w:val="18"/>
              </w:rPr>
              <w:t>资产评估有</w:t>
            </w:r>
            <w:r>
              <w:rPr>
                <w:rFonts w:ascii="宋体" w:hAnsi="宋体" w:cs="宋体" w:eastAsia="宋体" w:hint="default"/>
                <w:spacing w:val="-86"/>
                <w:sz w:val="18"/>
                <w:szCs w:val="18"/>
              </w:rPr>
              <w:t> </w:t>
            </w:r>
            <w:r>
              <w:rPr>
                <w:rFonts w:ascii="宋体" w:hAnsi="宋体" w:cs="宋体" w:eastAsia="宋体" w:hint="default"/>
                <w:sz w:val="18"/>
                <w:szCs w:val="18"/>
              </w:rPr>
              <w:t>限公司</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7"/>
              <w:jc w:val="both"/>
              <w:rPr>
                <w:rFonts w:ascii="宋体" w:hAnsi="宋体" w:cs="宋体" w:eastAsia="宋体" w:hint="default"/>
                <w:sz w:val="18"/>
                <w:szCs w:val="18"/>
              </w:rPr>
            </w:pPr>
            <w:r>
              <w:rPr>
                <w:rFonts w:ascii="宋体" w:hAnsi="宋体" w:cs="宋体" w:eastAsia="宋体" w:hint="default"/>
                <w:spacing w:val="15"/>
                <w:sz w:val="18"/>
                <w:szCs w:val="18"/>
              </w:rPr>
              <w:t>立信会计师</w:t>
            </w:r>
            <w:r>
              <w:rPr>
                <w:rFonts w:ascii="宋体" w:hAnsi="宋体" w:cs="宋体" w:eastAsia="宋体" w:hint="default"/>
                <w:spacing w:val="-71"/>
                <w:sz w:val="18"/>
                <w:szCs w:val="18"/>
              </w:rPr>
              <w:t> </w:t>
            </w:r>
            <w:r>
              <w:rPr>
                <w:rFonts w:ascii="宋体" w:hAnsi="宋体" w:cs="宋体" w:eastAsia="宋体" w:hint="default"/>
                <w:spacing w:val="15"/>
                <w:sz w:val="18"/>
                <w:szCs w:val="18"/>
              </w:rPr>
              <w:t>事务所（特</w:t>
            </w:r>
            <w:r>
              <w:rPr>
                <w:rFonts w:ascii="宋体" w:hAnsi="宋体" w:cs="宋体" w:eastAsia="宋体" w:hint="default"/>
                <w:spacing w:val="-71"/>
                <w:sz w:val="18"/>
                <w:szCs w:val="18"/>
              </w:rPr>
              <w:t> </w:t>
            </w:r>
            <w:r>
              <w:rPr>
                <w:rFonts w:ascii="宋体" w:hAnsi="宋体" w:cs="宋体" w:eastAsia="宋体" w:hint="default"/>
                <w:spacing w:val="57"/>
                <w:sz w:val="18"/>
                <w:szCs w:val="18"/>
              </w:rPr>
              <w:t>殊普通</w:t>
            </w:r>
            <w:r>
              <w:rPr>
                <w:rFonts w:ascii="宋体" w:hAnsi="宋体" w:cs="宋体" w:eastAsia="宋体" w:hint="default"/>
                <w:spacing w:val="-4"/>
                <w:sz w:val="18"/>
                <w:szCs w:val="18"/>
              </w:rPr>
              <w:t> </w:t>
            </w:r>
            <w:r>
              <w:rPr>
                <w:rFonts w:ascii="宋体" w:hAnsi="宋体" w:cs="宋体" w:eastAsia="宋体" w:hint="default"/>
                <w:sz w:val="18"/>
                <w:szCs w:val="18"/>
              </w:rPr>
              <w:t>合</w:t>
            </w:r>
            <w:r>
              <w:rPr>
                <w:rFonts w:ascii="宋体" w:hAnsi="宋体" w:cs="宋体" w:eastAsia="宋体" w:hint="default"/>
                <w:sz w:val="18"/>
                <w:szCs w:val="18"/>
              </w:rPr>
              <w:t> </w:t>
            </w:r>
            <w:r>
              <w:rPr>
                <w:rFonts w:ascii="宋体" w:hAnsi="宋体" w:cs="宋体" w:eastAsia="宋体" w:hint="default"/>
                <w:spacing w:val="15"/>
                <w:sz w:val="18"/>
                <w:szCs w:val="18"/>
              </w:rPr>
              <w:t>伙）广东分</w:t>
            </w:r>
            <w:r>
              <w:rPr>
                <w:rFonts w:ascii="宋体" w:hAnsi="宋体" w:cs="宋体" w:eastAsia="宋体" w:hint="default"/>
                <w:spacing w:val="-71"/>
                <w:sz w:val="18"/>
                <w:szCs w:val="18"/>
              </w:rPr>
              <w:t> </w:t>
            </w:r>
            <w:r>
              <w:rPr>
                <w:rFonts w:ascii="宋体" w:hAnsi="宋体" w:cs="宋体" w:eastAsia="宋体" w:hint="default"/>
                <w:sz w:val="18"/>
                <w:szCs w:val="18"/>
              </w:rPr>
              <w:t>所</w:t>
            </w:r>
          </w:p>
        </w:tc>
      </w:tr>
      <w:tr>
        <w:trPr>
          <w:trHeight w:val="972" w:hRule="exact"/>
        </w:trPr>
        <w:tc>
          <w:tcPr>
            <w:tcW w:w="8824" w:type="dxa"/>
            <w:gridSpan w:val="8"/>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26" w:firstLine="271"/>
              <w:jc w:val="both"/>
              <w:rPr>
                <w:rFonts w:ascii="宋体" w:hAnsi="宋体" w:cs="宋体" w:eastAsia="宋体" w:hint="default"/>
                <w:sz w:val="18"/>
                <w:szCs w:val="18"/>
              </w:rPr>
            </w:pPr>
            <w:r>
              <w:rPr>
                <w:rFonts w:ascii="宋体" w:hAnsi="宋体" w:cs="宋体" w:eastAsia="宋体" w:hint="default"/>
                <w:sz w:val="18"/>
                <w:szCs w:val="18"/>
              </w:rPr>
              <w:t>根据立信会计师事务所（特殊普通合伙）广东分所出具的信会师粤报字</w:t>
            </w:r>
            <w:r>
              <w:rPr>
                <w:rFonts w:ascii="Times New Roman" w:hAnsi="Times New Roman" w:cs="Times New Roman" w:eastAsia="Times New Roman" w:hint="default"/>
                <w:sz w:val="18"/>
                <w:szCs w:val="18"/>
              </w:rPr>
              <w:t>[2012] </w:t>
            </w:r>
            <w:r>
              <w:rPr>
                <w:rFonts w:ascii="宋体" w:hAnsi="宋体" w:cs="宋体" w:eastAsia="宋体" w:hint="default"/>
                <w:sz w:val="18"/>
                <w:szCs w:val="18"/>
              </w:rPr>
              <w:t>第</w:t>
            </w:r>
            <w:r>
              <w:rPr>
                <w:rFonts w:ascii="Times New Roman" w:hAnsi="Times New Roman" w:cs="Times New Roman" w:eastAsia="Times New Roman" w:hint="default"/>
                <w:sz w:val="18"/>
                <w:szCs w:val="18"/>
              </w:rPr>
              <w:t>30628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号《审计报告》，截 至</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Times New Roman" w:hAnsi="Times New Roman" w:cs="Times New Roman" w:eastAsia="Times New Roman" w:hint="default"/>
                <w:sz w:val="18"/>
                <w:szCs w:val="18"/>
              </w:rPr>
              <w:t>30 </w:t>
            </w:r>
            <w:r>
              <w:rPr>
                <w:rFonts w:ascii="宋体" w:hAnsi="宋体" w:cs="宋体" w:eastAsia="宋体" w:hint="default"/>
                <w:sz w:val="18"/>
                <w:szCs w:val="18"/>
              </w:rPr>
              <w:t>日，德居安广州资产总额</w:t>
            </w:r>
            <w:r>
              <w:rPr>
                <w:rFonts w:ascii="Times New Roman" w:hAnsi="Times New Roman" w:cs="Times New Roman" w:eastAsia="Times New Roman" w:hint="default"/>
                <w:sz w:val="18"/>
                <w:szCs w:val="18"/>
              </w:rPr>
              <w:t>81,782,717.91 </w:t>
            </w:r>
            <w:r>
              <w:rPr>
                <w:rFonts w:ascii="宋体" w:hAnsi="宋体" w:cs="宋体" w:eastAsia="宋体" w:hint="default"/>
                <w:sz w:val="18"/>
                <w:szCs w:val="18"/>
              </w:rPr>
              <w:t>元、负债总额</w:t>
            </w:r>
            <w:r>
              <w:rPr>
                <w:rFonts w:ascii="Times New Roman" w:hAnsi="Times New Roman" w:cs="Times New Roman" w:eastAsia="Times New Roman" w:hint="default"/>
                <w:sz w:val="18"/>
                <w:szCs w:val="18"/>
              </w:rPr>
              <w:t>49,153,747.47</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元、股东权益</w:t>
            </w:r>
            <w:r>
              <w:rPr>
                <w:rFonts w:ascii="Times New Roman" w:hAnsi="Times New Roman" w:cs="Times New Roman" w:eastAsia="Times New Roman" w:hint="default"/>
                <w:sz w:val="18"/>
                <w:szCs w:val="18"/>
              </w:rPr>
              <w:t>32,628,970.44 </w:t>
            </w:r>
            <w:r>
              <w:rPr>
                <w:rFonts w:ascii="宋体" w:hAnsi="宋体" w:cs="宋体" w:eastAsia="宋体" w:hint="default"/>
                <w:sz w:val="18"/>
                <w:szCs w:val="18"/>
              </w:rPr>
              <w:t>元。</w:t>
            </w:r>
          </w:p>
        </w:tc>
      </w:tr>
    </w:tbl>
    <w:p>
      <w:pPr>
        <w:spacing w:after="0" w:line="300" w:lineRule="auto"/>
        <w:jc w:val="both"/>
        <w:rPr>
          <w:rFonts w:ascii="宋体" w:hAnsi="宋体" w:cs="宋体" w:eastAsia="宋体" w:hint="default"/>
          <w:sz w:val="18"/>
          <w:szCs w:val="18"/>
        </w:rPr>
        <w:sectPr>
          <w:pgSz w:w="11910" w:h="16840"/>
          <w:pgMar w:header="877" w:footer="1227" w:top="1100" w:bottom="1420" w:left="980" w:right="980"/>
        </w:sectPr>
      </w:pPr>
    </w:p>
    <w:p>
      <w:pPr>
        <w:spacing w:line="240" w:lineRule="auto" w:before="4"/>
        <w:rPr>
          <w:rFonts w:ascii="Times New Roman" w:hAnsi="Times New Roman" w:cs="Times New Roman" w:eastAsia="Times New Roman" w:hint="default"/>
          <w:sz w:val="27"/>
          <w:szCs w:val="27"/>
        </w:rPr>
      </w:pPr>
    </w:p>
    <w:p>
      <w:pPr>
        <w:spacing w:line="3185" w:lineRule="exact"/>
        <w:ind w:left="14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3"/>
          <w:sz w:val="20"/>
          <w:szCs w:val="20"/>
        </w:rPr>
        <w:pict>
          <v:group style="width:445.65pt;height:159.3pt;mso-position-horizontal-relative:char;mso-position-vertical-relative:line" coordorigin="0,0" coordsize="8913,3186">
            <v:group style="position:absolute;left:14;top:14;width:8810;height:2" coordorigin="14,14" coordsize="8810,2">
              <v:shape style="position:absolute;left:14;top:14;width:8810;height:2" coordorigin="14,14" coordsize="8810,0" path="m14,14l8824,14e" filled="false" stroked="true" strokeweight=".72pt" strokecolor="#000000">
                <v:path arrowok="t"/>
              </v:shape>
            </v:group>
            <v:group style="position:absolute;left:7;top:7;width:2;height:3171" coordorigin="7,7" coordsize="2,3171">
              <v:shape style="position:absolute;left:7;top:7;width:2;height:3171" coordorigin="7,7" coordsize="0,3171" path="m7,7l7,3178e" filled="false" stroked="true" strokeweight=".72pt" strokecolor="#000000">
                <v:path arrowok="t"/>
              </v:shape>
            </v:group>
            <v:group style="position:absolute;left:14;top:3171;width:8810;height:2" coordorigin="14,3171" coordsize="8810,2">
              <v:shape style="position:absolute;left:14;top:3171;width:8810;height:2" coordorigin="14,3171" coordsize="8810,0" path="m14,3171l8824,3171e" filled="false" stroked="true" strokeweight=".72pt" strokecolor="#000000">
                <v:path arrowok="t"/>
              </v:shape>
            </v:group>
            <v:group style="position:absolute;left:8832;top:7;width:2;height:3171" coordorigin="8832,7" coordsize="2,3171">
              <v:shape style="position:absolute;left:8832;top:7;width:2;height:3171" coordorigin="8832,7" coordsize="0,3171" path="m8832,7l8832,3178e" filled="false" stroked="true" strokeweight=".72pt" strokecolor="#000000">
                <v:path arrowok="t"/>
              </v:shape>
              <v:shape style="position:absolute;left:0;top:0;width:8913;height:3186" type="#_x0000_t202" filled="false" stroked="false">
                <v:textbox inset="0,0,0,0">
                  <w:txbxContent>
                    <w:p>
                      <w:pPr>
                        <w:spacing w:line="300" w:lineRule="auto" w:before="39"/>
                        <w:ind w:left="19" w:right="0" w:firstLine="271"/>
                        <w:jc w:val="left"/>
                        <w:rPr>
                          <w:rFonts w:ascii="宋体" w:hAnsi="宋体" w:cs="宋体" w:eastAsia="宋体" w:hint="default"/>
                          <w:sz w:val="18"/>
                          <w:szCs w:val="18"/>
                        </w:rPr>
                      </w:pPr>
                      <w:r>
                        <w:rPr>
                          <w:rFonts w:ascii="宋体" w:hAnsi="宋体" w:cs="宋体" w:eastAsia="宋体" w:hint="default"/>
                          <w:sz w:val="18"/>
                          <w:szCs w:val="18"/>
                        </w:rPr>
                        <w:t>根据广东中广信资产评估有限公司出具的中广信评报字</w:t>
                      </w:r>
                      <w:r>
                        <w:rPr>
                          <w:rFonts w:ascii="Times New Roman" w:hAnsi="Times New Roman" w:cs="Times New Roman" w:eastAsia="Times New Roman" w:hint="default"/>
                          <w:sz w:val="18"/>
                          <w:szCs w:val="18"/>
                        </w:rPr>
                        <w:t>[2012]</w:t>
                      </w:r>
                      <w:r>
                        <w:rPr>
                          <w:rFonts w:ascii="宋体" w:hAnsi="宋体" w:cs="宋体" w:eastAsia="宋体" w:hint="default"/>
                          <w:sz w:val="18"/>
                          <w:szCs w:val="18"/>
                        </w:rPr>
                        <w:t>第</w:t>
                      </w:r>
                      <w:r>
                        <w:rPr>
                          <w:rFonts w:ascii="Times New Roman" w:hAnsi="Times New Roman" w:cs="Times New Roman" w:eastAsia="Times New Roman" w:hint="default"/>
                          <w:sz w:val="18"/>
                          <w:szCs w:val="18"/>
                        </w:rPr>
                        <w:t>133 </w:t>
                      </w:r>
                      <w:r>
                        <w:rPr>
                          <w:rFonts w:ascii="宋体" w:hAnsi="宋体" w:cs="宋体" w:eastAsia="宋体" w:hint="default"/>
                          <w:sz w:val="18"/>
                          <w:szCs w:val="18"/>
                        </w:rPr>
                        <w:t>号《评估报告》，</w:t>
                      </w:r>
                      <w:r>
                        <w:rPr>
                          <w:rFonts w:ascii="宋体" w:hAnsi="宋体" w:cs="宋体" w:eastAsia="宋体" w:hint="default"/>
                          <w:spacing w:val="-37"/>
                          <w:sz w:val="18"/>
                          <w:szCs w:val="18"/>
                        </w:rPr>
                        <w:t> </w:t>
                      </w:r>
                      <w:r>
                        <w:rPr>
                          <w:rFonts w:ascii="宋体" w:hAnsi="宋体" w:cs="宋体" w:eastAsia="宋体" w:hint="default"/>
                          <w:sz w:val="18"/>
                          <w:szCs w:val="18"/>
                        </w:rPr>
                        <w:t>固定资产中房屋建筑</w:t>
                      </w:r>
                      <w:r>
                        <w:rPr>
                          <w:rFonts w:ascii="宋体" w:hAnsi="宋体" w:cs="宋体" w:eastAsia="宋体" w:hint="default"/>
                          <w:sz w:val="18"/>
                          <w:szCs w:val="18"/>
                        </w:rPr>
                        <w:t> 物类资产评估净值比账面净值增加</w:t>
                      </w:r>
                      <w:r>
                        <w:rPr>
                          <w:rFonts w:ascii="Times New Roman" w:hAnsi="Times New Roman" w:cs="Times New Roman" w:eastAsia="Times New Roman" w:hint="default"/>
                          <w:sz w:val="18"/>
                          <w:szCs w:val="18"/>
                        </w:rPr>
                        <w:t>22,491,750.00 </w:t>
                      </w:r>
                      <w:r>
                        <w:rPr>
                          <w:rFonts w:ascii="宋体" w:hAnsi="宋体" w:cs="宋体" w:eastAsia="宋体" w:hint="default"/>
                          <w:spacing w:val="-3"/>
                          <w:sz w:val="18"/>
                          <w:szCs w:val="18"/>
                        </w:rPr>
                        <w:t>元，变动率为</w:t>
                      </w:r>
                      <w:r>
                        <w:rPr>
                          <w:rFonts w:ascii="Times New Roman" w:hAnsi="Times New Roman" w:cs="Times New Roman" w:eastAsia="Times New Roman" w:hint="default"/>
                          <w:spacing w:val="-3"/>
                          <w:sz w:val="18"/>
                          <w:szCs w:val="18"/>
                        </w:rPr>
                        <w:t>75.96%</w:t>
                      </w:r>
                      <w:r>
                        <w:rPr>
                          <w:rFonts w:ascii="宋体" w:hAnsi="宋体" w:cs="宋体" w:eastAsia="宋体" w:hint="default"/>
                          <w:spacing w:val="-3"/>
                          <w:sz w:val="18"/>
                          <w:szCs w:val="18"/>
                        </w:rPr>
                        <w:t>，主要原因是：企业账面值与评估值内涵不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一致，评估值为市场价值标准，包含了企业账面值中没涵盖的土地使用权价值、企业开发利润及相关销售税费等。</w:t>
                      </w:r>
                    </w:p>
                    <w:p>
                      <w:pPr>
                        <w:spacing w:line="300" w:lineRule="auto" w:before="31"/>
                        <w:ind w:left="19" w:right="83" w:firstLine="271"/>
                        <w:jc w:val="left"/>
                        <w:rPr>
                          <w:rFonts w:ascii="宋体" w:hAnsi="宋体" w:cs="宋体" w:eastAsia="宋体" w:hint="default"/>
                          <w:sz w:val="18"/>
                          <w:szCs w:val="18"/>
                        </w:rPr>
                      </w:pPr>
                      <w:r>
                        <w:rPr>
                          <w:rFonts w:ascii="宋体" w:hAnsi="宋体" w:cs="宋体" w:eastAsia="宋体" w:hint="default"/>
                          <w:sz w:val="18"/>
                          <w:szCs w:val="18"/>
                        </w:rPr>
                        <w:t>土地使用权评估值合计为</w:t>
                      </w:r>
                      <w:r>
                        <w:rPr>
                          <w:rFonts w:ascii="Times New Roman" w:hAnsi="Times New Roman" w:cs="Times New Roman" w:eastAsia="Times New Roman" w:hint="default"/>
                          <w:sz w:val="18"/>
                          <w:szCs w:val="18"/>
                        </w:rPr>
                        <w:t>11,731,000.00 </w:t>
                      </w:r>
                      <w:r>
                        <w:rPr>
                          <w:rFonts w:ascii="宋体" w:hAnsi="宋体" w:cs="宋体" w:eastAsia="宋体" w:hint="default"/>
                          <w:sz w:val="18"/>
                          <w:szCs w:val="18"/>
                        </w:rPr>
                        <w:t>元，其中一期建设用地账面值</w:t>
                      </w:r>
                      <w:r>
                        <w:rPr>
                          <w:rFonts w:ascii="Times New Roman" w:hAnsi="Times New Roman" w:cs="Times New Roman" w:eastAsia="Times New Roman" w:hint="default"/>
                          <w:sz w:val="18"/>
                          <w:szCs w:val="18"/>
                        </w:rPr>
                        <w:t>3,617,650.54 </w:t>
                      </w:r>
                      <w:r>
                        <w:rPr>
                          <w:rFonts w:ascii="宋体" w:hAnsi="宋体" w:cs="宋体" w:eastAsia="宋体" w:hint="default"/>
                          <w:spacing w:val="-3"/>
                          <w:sz w:val="18"/>
                          <w:szCs w:val="18"/>
                        </w:rPr>
                        <w:t>元，其价值已包含在</w:t>
                      </w:r>
                      <w:r>
                        <w:rPr>
                          <w:rFonts w:ascii="Times New Roman" w:hAnsi="Times New Roman" w:cs="Times New Roman" w:eastAsia="Times New Roman" w:hint="default"/>
                          <w:spacing w:val="-3"/>
                          <w:sz w:val="18"/>
                          <w:szCs w:val="18"/>
                        </w:rPr>
                        <w:t>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号楼 及</w:t>
                      </w:r>
                      <w:r>
                        <w:rPr>
                          <w:rFonts w:ascii="Times New Roman" w:hAnsi="Times New Roman" w:cs="Times New Roman" w:eastAsia="Times New Roman" w:hint="default"/>
                          <w:sz w:val="18"/>
                          <w:szCs w:val="18"/>
                        </w:rPr>
                        <w:t>7 </w:t>
                      </w:r>
                      <w:r>
                        <w:rPr>
                          <w:rFonts w:ascii="宋体" w:hAnsi="宋体" w:cs="宋体" w:eastAsia="宋体" w:hint="default"/>
                          <w:sz w:val="18"/>
                          <w:szCs w:val="18"/>
                        </w:rPr>
                        <w:t>号楼建筑物评估价值内；二期建设用地账面值</w:t>
                      </w:r>
                      <w:r>
                        <w:rPr>
                          <w:rFonts w:ascii="Times New Roman" w:hAnsi="Times New Roman" w:cs="Times New Roman" w:eastAsia="Times New Roman" w:hint="default"/>
                          <w:sz w:val="18"/>
                          <w:szCs w:val="18"/>
                        </w:rPr>
                        <w:t>6,601,701.27 </w:t>
                      </w:r>
                      <w:r>
                        <w:rPr>
                          <w:rFonts w:ascii="宋体" w:hAnsi="宋体" w:cs="宋体" w:eastAsia="宋体" w:hint="default"/>
                          <w:sz w:val="18"/>
                          <w:szCs w:val="18"/>
                        </w:rPr>
                        <w:t>元，评估值</w:t>
                      </w:r>
                      <w:r>
                        <w:rPr>
                          <w:rFonts w:ascii="Times New Roman" w:hAnsi="Times New Roman" w:cs="Times New Roman" w:eastAsia="Times New Roman" w:hint="default"/>
                          <w:sz w:val="18"/>
                          <w:szCs w:val="18"/>
                        </w:rPr>
                        <w:t>11,731,000.00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元，比账面值增加 </w:t>
                      </w:r>
                      <w:r>
                        <w:rPr>
                          <w:rFonts w:ascii="Times New Roman" w:hAnsi="Times New Roman" w:cs="Times New Roman" w:eastAsia="Times New Roman" w:hint="default"/>
                          <w:sz w:val="18"/>
                          <w:szCs w:val="18"/>
                        </w:rPr>
                        <w:t>5,129,298.73</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元，单项变动率为</w:t>
                      </w:r>
                      <w:r>
                        <w:rPr>
                          <w:rFonts w:ascii="Times New Roman" w:hAnsi="Times New Roman" w:cs="Times New Roman" w:eastAsia="Times New Roman" w:hint="default"/>
                          <w:sz w:val="18"/>
                          <w:szCs w:val="18"/>
                        </w:rPr>
                        <w:t>77.70%</w:t>
                      </w:r>
                      <w:r>
                        <w:rPr>
                          <w:rFonts w:ascii="宋体" w:hAnsi="宋体" w:cs="宋体" w:eastAsia="宋体" w:hint="default"/>
                          <w:sz w:val="18"/>
                          <w:szCs w:val="18"/>
                        </w:rPr>
                        <w:t>，变动原因：企业前期取得土地成本相对较低，评估中按现行市场价值标 准进行评估出现升值。</w:t>
                      </w:r>
                    </w:p>
                    <w:p>
                      <w:pPr>
                        <w:spacing w:line="300" w:lineRule="auto" w:before="31"/>
                        <w:ind w:left="19" w:right="84" w:firstLine="360"/>
                        <w:jc w:val="left"/>
                        <w:rPr>
                          <w:rFonts w:ascii="宋体" w:hAnsi="宋体" w:cs="宋体" w:eastAsia="宋体" w:hint="default"/>
                          <w:sz w:val="18"/>
                          <w:szCs w:val="18"/>
                        </w:rPr>
                      </w:pPr>
                      <w:r>
                        <w:rPr>
                          <w:rFonts w:ascii="宋体" w:hAnsi="宋体" w:cs="宋体" w:eastAsia="宋体" w:hint="default"/>
                          <w:sz w:val="18"/>
                          <w:szCs w:val="18"/>
                        </w:rPr>
                        <w:t>经双方协商，采用资产基础法评估股东全部权益价值</w:t>
                      </w:r>
                      <w:r>
                        <w:rPr>
                          <w:rFonts w:ascii="Times New Roman" w:hAnsi="Times New Roman" w:cs="Times New Roman" w:eastAsia="Times New Roman" w:hint="default"/>
                          <w:sz w:val="18"/>
                          <w:szCs w:val="18"/>
                        </w:rPr>
                        <w:t>56,632,368.63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元作为交易定价的参考依据，最终确定了 本次德居安广州全部股权的转让价格为</w:t>
                      </w:r>
                      <w:r>
                        <w:rPr>
                          <w:rFonts w:ascii="Times New Roman" w:hAnsi="Times New Roman" w:cs="Times New Roman" w:eastAsia="Times New Roman" w:hint="default"/>
                          <w:sz w:val="18"/>
                          <w:szCs w:val="18"/>
                        </w:rPr>
                        <w:t>56,632,368.63</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元。</w:t>
                      </w:r>
                    </w:p>
                    <w:p>
                      <w:pPr>
                        <w:spacing w:before="13"/>
                        <w:ind w:left="379" w:right="0" w:firstLine="0"/>
                        <w:jc w:val="left"/>
                        <w:rPr>
                          <w:rFonts w:ascii="宋体" w:hAnsi="宋体" w:cs="宋体" w:eastAsia="宋体" w:hint="default"/>
                          <w:sz w:val="18"/>
                          <w:szCs w:val="18"/>
                        </w:rPr>
                      </w:pPr>
                      <w:r>
                        <w:rPr>
                          <w:rFonts w:ascii="宋体" w:hAnsi="宋体" w:cs="宋体" w:eastAsia="宋体" w:hint="default"/>
                          <w:sz w:val="18"/>
                          <w:szCs w:val="18"/>
                        </w:rPr>
                        <w:t>截至本报告披露日，上述股权转让合同已执行完毕。</w:t>
                      </w:r>
                    </w:p>
                  </w:txbxContent>
                </v:textbox>
                <w10:wrap type="none"/>
              </v:shape>
            </v:group>
          </v:group>
        </w:pict>
      </w:r>
      <w:r>
        <w:rPr>
          <w:rFonts w:ascii="Times New Roman" w:hAnsi="Times New Roman" w:cs="Times New Roman" w:eastAsia="Times New Roman" w:hint="default"/>
          <w:position w:val="-63"/>
          <w:sz w:val="20"/>
          <w:szCs w:val="20"/>
        </w:rPr>
      </w:r>
    </w:p>
    <w:p>
      <w:pPr>
        <w:spacing w:after="0" w:line="3185" w:lineRule="exact"/>
        <w:rPr>
          <w:rFonts w:ascii="Times New Roman" w:hAnsi="Times New Roman" w:cs="Times New Roman" w:eastAsia="Times New Roman" w:hint="default"/>
          <w:sz w:val="20"/>
          <w:szCs w:val="20"/>
        </w:rPr>
        <w:sectPr>
          <w:pgSz w:w="11910" w:h="16840"/>
          <w:pgMar w:header="877" w:footer="1227" w:top="1100" w:bottom="1420" w:left="980" w:right="980"/>
        </w:sectPr>
      </w:pPr>
    </w:p>
    <w:p>
      <w:pPr>
        <w:spacing w:line="240" w:lineRule="auto" w:before="2"/>
        <w:rPr>
          <w:rFonts w:ascii="Times New Roman" w:hAnsi="Times New Roman" w:cs="Times New Roman" w:eastAsia="Times New Roman" w:hint="default"/>
          <w:sz w:val="3"/>
          <w:szCs w:val="3"/>
        </w:rPr>
      </w:pPr>
      <w:r>
        <w:rPr/>
        <w:pict>
          <v:shape style="position:absolute;margin-left:482.592987pt;margin-top:394.395996pt;width:170.45pt;height:93.65pt;mso-position-horizontal-relative:page;mso-position-vertical-relative:page;z-index:-759904" type="#_x0000_t202" filled="false" stroked="false">
            <v:textbox inset="0,0,0,0">
              <w:txbxContent>
                <w:p>
                  <w:pPr>
                    <w:pStyle w:val="BodyText"/>
                    <w:spacing w:line="203" w:lineRule="exact"/>
                    <w:ind w:left="0" w:right="0"/>
                    <w:jc w:val="left"/>
                  </w:pPr>
                  <w:r>
                    <w:rPr/>
                    <w:t>得转让其持有的本公司股份。</w:t>
                  </w:r>
                </w:p>
              </w:txbxContent>
            </v:textbox>
            <w10:wrap type="none"/>
          </v:shape>
        </w:pict>
      </w: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1"/>
          <w:szCs w:val="21"/>
        </w:rPr>
      </w:pPr>
    </w:p>
    <w:p>
      <w:pPr>
        <w:pStyle w:val="Heading2"/>
        <w:spacing w:line="240" w:lineRule="auto" w:before="26"/>
        <w:ind w:left="140" w:right="0"/>
        <w:jc w:val="left"/>
        <w:rPr>
          <w:b w:val="0"/>
          <w:bCs w:val="0"/>
        </w:rPr>
      </w:pPr>
      <w:r>
        <w:rPr/>
        <w:t>八、承诺事项履行情况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40" w:right="0"/>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35" w:type="dxa"/>
        <w:tblLayout w:type="fixed"/>
        <w:tblCellMar>
          <w:top w:w="0" w:type="dxa"/>
          <w:left w:w="0" w:type="dxa"/>
          <w:bottom w:w="0" w:type="dxa"/>
          <w:right w:w="0" w:type="dxa"/>
        </w:tblCellMar>
        <w:tblLook w:val="01E0"/>
      </w:tblPr>
      <w:tblGrid>
        <w:gridCol w:w="3971"/>
        <w:gridCol w:w="1843"/>
        <w:gridCol w:w="4678"/>
        <w:gridCol w:w="1133"/>
        <w:gridCol w:w="994"/>
        <w:gridCol w:w="1442"/>
      </w:tblGrid>
      <w:tr>
        <w:trPr>
          <w:trHeight w:val="396"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承诺人</w:t>
            </w:r>
          </w:p>
        </w:tc>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10" w:hRule="exact"/>
        </w:trPr>
        <w:tc>
          <w:tcPr>
            <w:tcW w:w="3971"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84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5"/>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678"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5"/>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3" w:type="dxa"/>
            <w:tcBorders>
              <w:top w:val="single" w:sz="5" w:space="0" w:color="000000"/>
              <w:left w:val="single" w:sz="4" w:space="0" w:color="000000"/>
              <w:bottom w:val="single" w:sz="4" w:space="0" w:color="000000"/>
              <w:right w:val="single" w:sz="4" w:space="0" w:color="000000"/>
            </w:tcBorders>
          </w:tcPr>
          <w:p>
            <w:pPr/>
          </w:p>
        </w:tc>
        <w:tc>
          <w:tcPr>
            <w:tcW w:w="994"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42"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5"/>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资产置换时所作承诺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9"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张波、张频、李乐霓</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2"/>
              <w:jc w:val="left"/>
              <w:rPr>
                <w:rFonts w:ascii="宋体" w:hAnsi="宋体" w:cs="宋体" w:eastAsia="宋体" w:hint="default"/>
                <w:sz w:val="18"/>
                <w:szCs w:val="18"/>
              </w:rPr>
            </w:pPr>
            <w:r>
              <w:rPr>
                <w:rFonts w:ascii="宋体" w:hAnsi="宋体" w:cs="宋体" w:eastAsia="宋体" w:hint="default"/>
                <w:spacing w:val="-3"/>
                <w:sz w:val="18"/>
                <w:szCs w:val="18"/>
              </w:rPr>
              <w:t>自公司股票上市之日起三十六个月内，不转让或者委托他人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管理其直接或者间接持有的公司公开发行股票前已发行的 </w:t>
            </w:r>
            <w:r>
              <w:rPr>
                <w:rFonts w:ascii="宋体" w:hAnsi="宋体" w:cs="宋体" w:eastAsia="宋体" w:hint="default"/>
                <w:spacing w:val="-3"/>
                <w:sz w:val="18"/>
                <w:szCs w:val="18"/>
              </w:rPr>
              <w:t>股份，也不由公司回购其直接或者间接持有的公司公开发行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股票前已发行的股份。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2011.1.7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2011.1.7-20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14.1.7</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9"/>
              <w:jc w:val="left"/>
              <w:rPr>
                <w:rFonts w:ascii="宋体" w:hAnsi="宋体" w:cs="宋体" w:eastAsia="宋体" w:hint="default"/>
                <w:sz w:val="18"/>
                <w:szCs w:val="18"/>
              </w:rPr>
            </w:pPr>
            <w:r>
              <w:rPr>
                <w:rFonts w:ascii="宋体" w:hAnsi="宋体" w:cs="宋体" w:eastAsia="宋体" w:hint="default"/>
                <w:sz w:val="18"/>
                <w:szCs w:val="18"/>
              </w:rPr>
              <w:t>报告期内承诺人 均严格遵守承诺， 未发现存在违反 承诺的情况。</w:t>
            </w:r>
          </w:p>
        </w:tc>
      </w:tr>
      <w:tr>
        <w:trPr>
          <w:trHeight w:val="4146" w:hRule="exact"/>
        </w:trPr>
        <w:tc>
          <w:tcPr>
            <w:tcW w:w="3971" w:type="dxa"/>
            <w:vMerge w:val="restart"/>
            <w:tcBorders>
              <w:top w:val="single" w:sz="4" w:space="0" w:color="000000"/>
              <w:left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张波、张频、李乐霓</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1"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、在其任职期间每年转让的所持有发行人股份不超过其所 </w:t>
            </w:r>
            <w:r>
              <w:rPr>
                <w:rFonts w:ascii="宋体" w:hAnsi="宋体" w:cs="宋体" w:eastAsia="宋体" w:hint="default"/>
                <w:spacing w:val="-3"/>
                <w:sz w:val="18"/>
                <w:szCs w:val="18"/>
              </w:rPr>
              <w:t>持有发行人股份总数的百分之二十五。首次公开发行股票上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个月内申报离职的，自申报离职之日起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 </w:t>
            </w:r>
            <w:r>
              <w:rPr>
                <w:rFonts w:ascii="宋体" w:hAnsi="宋体" w:cs="宋体" w:eastAsia="宋体" w:hint="default"/>
                <w:spacing w:val="-3"/>
                <w:sz w:val="18"/>
                <w:szCs w:val="18"/>
              </w:rPr>
              <w:t>内不得转让其直接持有的本公司股份；在首次公开发行股票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上市之日起第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个月至第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4"/>
                <w:sz w:val="18"/>
                <w:szCs w:val="18"/>
              </w:rPr>
              <w:t> </w:t>
            </w:r>
            <w:r>
              <w:rPr>
                <w:rFonts w:ascii="宋体" w:hAnsi="宋体" w:cs="宋体" w:eastAsia="宋体" w:hint="default"/>
                <w:spacing w:val="-5"/>
                <w:sz w:val="18"/>
                <w:szCs w:val="18"/>
              </w:rPr>
              <w:t>个月之间申报离职的，自申报</w:t>
            </w:r>
          </w:p>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离职之日起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个月内不得转让其直接持有的本公司股份；</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在首次公开发行股票上市之日起第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个月后申报离职的，</w:t>
            </w:r>
          </w:p>
          <w:p>
            <w:pPr>
              <w:pStyle w:val="TableParagraph"/>
              <w:spacing w:line="312" w:lineRule="auto" w:before="63"/>
              <w:ind w:left="21" w:right="22"/>
              <w:jc w:val="left"/>
              <w:rPr>
                <w:rFonts w:ascii="宋体" w:hAnsi="宋体" w:cs="宋体" w:eastAsia="宋体" w:hint="default"/>
                <w:sz w:val="18"/>
                <w:szCs w:val="18"/>
              </w:rPr>
            </w:pPr>
            <w:r>
              <w:rPr>
                <w:rFonts w:ascii="宋体" w:hAnsi="宋体" w:cs="宋体" w:eastAsia="宋体" w:hint="default"/>
                <w:sz w:val="18"/>
                <w:szCs w:val="18"/>
              </w:rPr>
              <w:t>自申报离职之日起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个月内不 </w:t>
            </w:r>
            <w:r>
              <w:rPr>
                <w:rFonts w:ascii="Times New Roman" w:hAnsi="Times New Roman" w:cs="Times New Roman" w:eastAsia="Times New Roman" w:hint="default"/>
                <w:sz w:val="18"/>
                <w:szCs w:val="18"/>
              </w:rPr>
              <w:t>2</w:t>
            </w:r>
            <w:r>
              <w:rPr>
                <w:rFonts w:ascii="宋体" w:hAnsi="宋体" w:cs="宋体" w:eastAsia="宋体" w:hint="default"/>
                <w:sz w:val="18"/>
                <w:szCs w:val="18"/>
              </w:rPr>
              <w:t>、不以任何方式（包括但不限于单独经营、通过合资经营 </w:t>
            </w:r>
            <w:r>
              <w:rPr>
                <w:rFonts w:ascii="宋体" w:hAnsi="宋体" w:cs="宋体" w:eastAsia="宋体" w:hint="default"/>
                <w:spacing w:val="-3"/>
                <w:sz w:val="18"/>
                <w:szCs w:val="18"/>
              </w:rPr>
              <w:t>或拥有另一家公司或企业的股份及其他权益）直接或间接参</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与任何与公司构成竞争的任何业务或活动，并同时承诺如果</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违反本承诺，愿意承担由此产生的全部责任，赔偿或补偿由</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此给公司造成的所有直接或间接损失。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2011.1.7</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1872" w:lineRule="exact"/>
              <w:ind w:right="-51"/>
              <w:jc w:val="left"/>
              <w:rPr>
                <w:rFonts w:ascii="宋体" w:hAnsi="宋体" w:cs="宋体" w:eastAsia="宋体" w:hint="default"/>
                <w:sz w:val="20"/>
                <w:szCs w:val="20"/>
              </w:rPr>
            </w:pPr>
            <w:r>
              <w:rPr>
                <w:rFonts w:ascii="宋体" w:hAnsi="宋体" w:cs="宋体" w:eastAsia="宋体" w:hint="default"/>
                <w:position w:val="-36"/>
                <w:sz w:val="20"/>
                <w:szCs w:val="20"/>
              </w:rPr>
              <w:pict>
                <v:group style="width:56.2pt;height:93.65pt;mso-position-horizontal-relative:char;mso-position-vertical-relative:line" coordorigin="0,0" coordsize="1124,1873">
                  <v:group style="position:absolute;left:0;top:0;width:1124;height:1873" coordorigin="0,0" coordsize="1124,1873">
                    <v:shape style="position:absolute;left:0;top:0;width:1124;height:1873" coordorigin="0,0" coordsize="1124,1873" path="m0,1872l1124,1872,1124,0,0,0,0,1872xe" filled="true" fillcolor="#ffffff" stroked="false">
                      <v:path arrowok="t"/>
                      <v:fill type="solid"/>
                    </v:shape>
                  </v:group>
                </v:group>
              </w:pict>
            </w:r>
            <w:r>
              <w:rPr>
                <w:rFonts w:ascii="宋体" w:hAnsi="宋体" w:cs="宋体" w:eastAsia="宋体" w:hint="default"/>
                <w:position w:val="-36"/>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316" w:lineRule="auto"/>
              <w:ind w:left="21" w:right="-29"/>
              <w:jc w:val="left"/>
              <w:rPr>
                <w:rFonts w:ascii="宋体" w:hAnsi="宋体" w:cs="宋体" w:eastAsia="宋体" w:hint="default"/>
                <w:sz w:val="18"/>
                <w:szCs w:val="18"/>
              </w:rPr>
            </w:pPr>
            <w:r>
              <w:rPr>
                <w:rFonts w:ascii="宋体" w:hAnsi="宋体" w:cs="宋体" w:eastAsia="宋体" w:hint="default"/>
                <w:sz w:val="18"/>
                <w:szCs w:val="18"/>
              </w:rPr>
              <w:t>报告期内承诺人 均严格遵守承诺， 未发现存在违反 承诺的情况。</w:t>
            </w:r>
          </w:p>
        </w:tc>
      </w:tr>
      <w:tr>
        <w:trPr>
          <w:trHeight w:val="403" w:hRule="exact"/>
        </w:trPr>
        <w:tc>
          <w:tcPr>
            <w:tcW w:w="3971"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）为避免因为公司和易视通讯在报告期内未及时为员工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2011.1.7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8"/>
                <w:szCs w:val="18"/>
              </w:rPr>
            </w:pPr>
            <w:r>
              <w:rPr>
                <w:rFonts w:ascii="宋体" w:hAnsi="宋体" w:cs="宋体" w:eastAsia="宋体" w:hint="default"/>
                <w:sz w:val="18"/>
                <w:szCs w:val="18"/>
              </w:rPr>
              <w:t>报告期内承诺人</w:t>
            </w:r>
          </w:p>
        </w:tc>
      </w:tr>
    </w:tbl>
    <w:p>
      <w:pPr>
        <w:spacing w:after="0" w:line="240" w:lineRule="auto"/>
        <w:jc w:val="left"/>
        <w:rPr>
          <w:rFonts w:ascii="宋体" w:hAnsi="宋体" w:cs="宋体" w:eastAsia="宋体" w:hint="default"/>
          <w:sz w:val="18"/>
          <w:szCs w:val="18"/>
        </w:rPr>
        <w:sectPr>
          <w:headerReference w:type="default" r:id="rId21"/>
          <w:footerReference w:type="default" r:id="rId22"/>
          <w:pgSz w:w="16840" w:h="11910" w:orient="landscape"/>
          <w:pgMar w:header="867" w:footer="1227" w:top="1060" w:bottom="1420" w:left="1300" w:right="1220"/>
          <w:pgNumType w:start="40"/>
        </w:sectPr>
      </w:pPr>
    </w:p>
    <w:p>
      <w:pPr>
        <w:pStyle w:val="BodyText"/>
        <w:spacing w:line="314" w:lineRule="auto" w:before="86"/>
        <w:ind w:left="5980" w:right="-20"/>
        <w:jc w:val="left"/>
      </w:pPr>
      <w:r>
        <w:rPr/>
        <w:pict>
          <v:shape style="position:absolute;margin-left:518.590027pt;margin-top:57.236008pt;width:134.450pt;height:452.5pt;mso-position-horizontal-relative:page;mso-position-vertical-relative:page;z-index:-75988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BodyText"/>
                    <w:spacing w:line="240" w:lineRule="auto"/>
                    <w:ind w:left="0" w:right="0"/>
                    <w:jc w:val="left"/>
                  </w:pPr>
                  <w:r>
                    <w:rPr/>
                    <w:t>尚未缴纳相关税款，</w:t>
                  </w:r>
                </w:p>
              </w:txbxContent>
            </v:textbox>
            <w10:wrap type="none"/>
          </v:shape>
        </w:pict>
      </w:r>
      <w:r>
        <w:rPr/>
        <w:pict>
          <v:group style="position:absolute;margin-left:70.199997pt;margin-top:55.200008pt;width:705.1pt;height:455.3pt;mso-position-horizontal-relative:page;mso-position-vertical-relative:page;z-index:-759856" coordorigin="1404,1104" coordsize="14102,9106">
            <v:group style="position:absolute;left:1411;top:1111;width:14018;height:2" coordorigin="1411,1111" coordsize="14018,2">
              <v:shape style="position:absolute;left:1411;top:1111;width:14018;height:2" coordorigin="1411,1111" coordsize="14018,0" path="m1411,1111l15429,1111e" filled="false" stroked="true" strokeweight=".72pt" strokecolor="#000000">
                <v:path arrowok="t"/>
              </v:shape>
            </v:group>
            <v:group style="position:absolute;left:11937;top:1145;width:1124;height:9050" coordorigin="11937,1145" coordsize="1124,9050">
              <v:shape style="position:absolute;left:11937;top:1145;width:1124;height:9050" coordorigin="11937,1145" coordsize="1124,9050" path="m11937,10195l13060,10195,13060,1145,11937,1145,11937,10195xe" filled="true" fillcolor="#ffffff" stroked="false">
                <v:path arrowok="t"/>
                <v:fill type="solid"/>
              </v:shape>
            </v:group>
            <v:group style="position:absolute;left:1445;top:1138;width:3961;height:2" coordorigin="1445,1138" coordsize="3961,2">
              <v:shape style="position:absolute;left:1445;top:1138;width:3961;height:2" coordorigin="1445,1138" coordsize="3961,0" path="m1445,1138l5406,1138e" filled="false" stroked="true" strokeweight=".48pt" strokecolor="#000000">
                <v:path arrowok="t"/>
              </v:shape>
            </v:group>
            <v:group style="position:absolute;left:5415;top:1138;width:1834;height:2" coordorigin="5415,1138" coordsize="1834,2">
              <v:shape style="position:absolute;left:5415;top:1138;width:1834;height:2" coordorigin="5415,1138" coordsize="1834,0" path="m5415,1138l7249,1138e" filled="false" stroked="true" strokeweight=".48pt" strokecolor="#000000">
                <v:path arrowok="t"/>
              </v:shape>
            </v:group>
            <v:group style="position:absolute;left:7259;top:1138;width:4669;height:2" coordorigin="7259,1138" coordsize="4669,2">
              <v:shape style="position:absolute;left:7259;top:1138;width:4669;height:2" coordorigin="7259,1138" coordsize="4669,0" path="m7259,1138l11927,1138e" filled="false" stroked="true" strokeweight=".48pt" strokecolor="#000000">
                <v:path arrowok="t"/>
              </v:shape>
            </v:group>
            <v:group style="position:absolute;left:11937;top:1138;width:1124;height:2" coordorigin="11937,1138" coordsize="1124,2">
              <v:shape style="position:absolute;left:11937;top:1138;width:1124;height:2" coordorigin="11937,1138" coordsize="1124,0" path="m11937,1138l13060,1138e" filled="false" stroked="true" strokeweight=".48pt" strokecolor="#000000">
                <v:path arrowok="t"/>
              </v:shape>
            </v:group>
            <v:group style="position:absolute;left:13070;top:1138;width:984;height:2" coordorigin="13070,1138" coordsize="984,2">
              <v:shape style="position:absolute;left:13070;top:1138;width:984;height:2" coordorigin="13070,1138" coordsize="984,0" path="m13070,1138l14054,1138e" filled="false" stroked="true" strokeweight=".48pt" strokecolor="#000000">
                <v:path arrowok="t"/>
              </v:shape>
            </v:group>
            <v:group style="position:absolute;left:14064;top:1138;width:1433;height:2" coordorigin="14064,1138" coordsize="1433,2">
              <v:shape style="position:absolute;left:14064;top:1138;width:1433;height:2" coordorigin="14064,1138" coordsize="1433,0" path="m14064,1138l15496,1138e" filled="false" stroked="true" strokeweight=".48pt" strokecolor="#000000">
                <v:path arrowok="t"/>
              </v:shape>
            </v:group>
            <v:group style="position:absolute;left:1440;top:1133;width:2;height:9072" coordorigin="1440,1133" coordsize="2,9072">
              <v:shape style="position:absolute;left:1440;top:1133;width:2;height:9072" coordorigin="1440,1133" coordsize="0,9072" path="m1440,1133l1440,10204e" filled="false" stroked="true" strokeweight=".48pt" strokecolor="#000000">
                <v:path arrowok="t"/>
              </v:shape>
            </v:group>
            <v:group style="position:absolute;left:1445;top:10200;width:3961;height:2" coordorigin="1445,10200" coordsize="3961,2">
              <v:shape style="position:absolute;left:1445;top:10200;width:3961;height:2" coordorigin="1445,10200" coordsize="3961,0" path="m1445,10200l5406,10200e" filled="false" stroked="true" strokeweight=".48pt" strokecolor="#000000">
                <v:path arrowok="t"/>
              </v:shape>
            </v:group>
            <v:group style="position:absolute;left:5411;top:1133;width:2;height:9072" coordorigin="5411,1133" coordsize="2,9072">
              <v:shape style="position:absolute;left:5411;top:1133;width:2;height:9072" coordorigin="5411,1133" coordsize="0,9072" path="m5411,1133l5411,10204e" filled="false" stroked="true" strokeweight=".48pt" strokecolor="#000000">
                <v:path arrowok="t"/>
              </v:shape>
            </v:group>
            <v:group style="position:absolute;left:5415;top:10200;width:1834;height:2" coordorigin="5415,10200" coordsize="1834,2">
              <v:shape style="position:absolute;left:5415;top:10200;width:1834;height:2" coordorigin="5415,10200" coordsize="1834,0" path="m5415,10200l7249,10200e" filled="false" stroked="true" strokeweight=".48pt" strokecolor="#000000">
                <v:path arrowok="t"/>
              </v:shape>
            </v:group>
            <v:group style="position:absolute;left:7254;top:1133;width:2;height:9072" coordorigin="7254,1133" coordsize="2,9072">
              <v:shape style="position:absolute;left:7254;top:1133;width:2;height:9072" coordorigin="7254,1133" coordsize="0,9072" path="m7254,1133l7254,10204e" filled="false" stroked="true" strokeweight=".48pt" strokecolor="#000000">
                <v:path arrowok="t"/>
              </v:shape>
            </v:group>
            <v:group style="position:absolute;left:7259;top:10200;width:4669;height:2" coordorigin="7259,10200" coordsize="4669,2">
              <v:shape style="position:absolute;left:7259;top:10200;width:4669;height:2" coordorigin="7259,10200" coordsize="4669,0" path="m7259,10200l11927,10200e" filled="false" stroked="true" strokeweight=".48pt" strokecolor="#000000">
                <v:path arrowok="t"/>
              </v:shape>
            </v:group>
            <v:group style="position:absolute;left:11932;top:1133;width:2;height:9072" coordorigin="11932,1133" coordsize="2,9072">
              <v:shape style="position:absolute;left:11932;top:1133;width:2;height:9072" coordorigin="11932,1133" coordsize="0,9072" path="m11932,1133l11932,10204e" filled="false" stroked="true" strokeweight=".48pt" strokecolor="#000000">
                <v:path arrowok="t"/>
              </v:shape>
            </v:group>
            <v:group style="position:absolute;left:11937;top:10200;width:1124;height:2" coordorigin="11937,10200" coordsize="1124,2">
              <v:shape style="position:absolute;left:11937;top:10200;width:1124;height:2" coordorigin="11937,10200" coordsize="1124,0" path="m11937,10200l13060,10200e" filled="false" stroked="true" strokeweight=".48pt" strokecolor="#000000">
                <v:path arrowok="t"/>
              </v:shape>
            </v:group>
            <v:group style="position:absolute;left:13065;top:1133;width:2;height:9072" coordorigin="13065,1133" coordsize="2,9072">
              <v:shape style="position:absolute;left:13065;top:1133;width:2;height:9072" coordorigin="13065,1133" coordsize="0,9072" path="m13065,1133l13065,10204e" filled="false" stroked="true" strokeweight=".48pt" strokecolor="#000000">
                <v:path arrowok="t"/>
              </v:shape>
            </v:group>
            <v:group style="position:absolute;left:13070;top:10200;width:984;height:2" coordorigin="13070,10200" coordsize="984,2">
              <v:shape style="position:absolute;left:13070;top:10200;width:984;height:2" coordorigin="13070,10200" coordsize="984,0" path="m13070,10200l14054,10200e" filled="false" stroked="true" strokeweight=".48pt" strokecolor="#000000">
                <v:path arrowok="t"/>
              </v:shape>
            </v:group>
            <v:group style="position:absolute;left:14059;top:1133;width:2;height:9072" coordorigin="14059,1133" coordsize="2,9072">
              <v:shape style="position:absolute;left:14059;top:1133;width:2;height:9072" coordorigin="14059,1133" coordsize="0,9072" path="m14059,1133l14059,10204e" filled="false" stroked="true" strokeweight=".48pt" strokecolor="#000000">
                <v:path arrowok="t"/>
              </v:shape>
            </v:group>
            <v:group style="position:absolute;left:14064;top:10200;width:1433;height:2" coordorigin="14064,10200" coordsize="1433,2">
              <v:shape style="position:absolute;left:14064;top:10200;width:1433;height:2" coordorigin="14064,10200" coordsize="1433,0" path="m14064,10200l15496,10200e" filled="false" stroked="true" strokeweight=".48pt" strokecolor="#000000">
                <v:path arrowok="t"/>
              </v:shape>
            </v:group>
            <v:group style="position:absolute;left:15501;top:1133;width:2;height:9072" coordorigin="15501,1133" coordsize="2,9072">
              <v:shape style="position:absolute;left:15501;top:1133;width:2;height:9072" coordorigin="15501,1133" coordsize="0,9072" path="m15501,1133l15501,10204e" filled="false" stroked="true" strokeweight=".48pt" strokecolor="#000000">
                <v:path arrowok="t"/>
              </v:shape>
            </v:group>
            <w10:wrap type="none"/>
          </v:group>
        </w:pict>
      </w:r>
      <w:r>
        <w:rPr/>
        <w:t>缴纳住房公积金而导致公司存在补缴、追偿或处罚的风险， </w:t>
      </w:r>
      <w:r>
        <w:rPr>
          <w:spacing w:val="-3"/>
        </w:rPr>
        <w:t>公司控股股东张波出具承诺，全额承担该补缴、追偿或处罚</w:t>
      </w:r>
      <w:r>
        <w:rPr>
          <w:spacing w:val="-70"/>
        </w:rPr>
        <w:t> </w:t>
      </w:r>
      <w:r>
        <w:rPr>
          <w:spacing w:val="-70"/>
        </w:rPr>
      </w:r>
      <w:r>
        <w:rPr>
          <w:spacing w:val="-6"/>
        </w:rPr>
        <w:t>款项，保证公司不会因此遭受任何损失。（</w:t>
      </w:r>
      <w:r>
        <w:rPr>
          <w:rFonts w:ascii="Times New Roman" w:hAnsi="Times New Roman" w:cs="Times New Roman" w:eastAsia="Times New Roman" w:hint="default"/>
          <w:spacing w:val="-6"/>
        </w:rPr>
        <w:t>2</w:t>
      </w:r>
      <w:r>
        <w:rPr>
          <w:spacing w:val="-6"/>
        </w:rPr>
        <w:t>）为避免因为公</w:t>
      </w:r>
      <w:r>
        <w:rPr>
          <w:spacing w:val="-78"/>
        </w:rPr>
        <w:t> </w:t>
      </w:r>
      <w:r>
        <w:rPr>
          <w:spacing w:val="-78"/>
        </w:rPr>
      </w:r>
      <w:r>
        <w:rPr/>
        <w:t>司分公司租赁的部分房产存在一定的瑕疵而导致的处罚和 </w:t>
      </w:r>
      <w:r>
        <w:rPr>
          <w:spacing w:val="-3"/>
        </w:rPr>
        <w:t>损失风险，公司控股股东张波出具承诺，承担由此引产生的</w:t>
      </w:r>
      <w:r>
        <w:rPr>
          <w:spacing w:val="-70"/>
        </w:rPr>
        <w:t> </w:t>
      </w:r>
      <w:r>
        <w:rPr>
          <w:spacing w:val="-70"/>
        </w:rPr>
      </w:r>
      <w:r>
        <w:rPr>
          <w:spacing w:val="-6"/>
        </w:rPr>
        <w:t>所有损失。（</w:t>
      </w:r>
      <w:r>
        <w:rPr>
          <w:rFonts w:ascii="Times New Roman" w:hAnsi="Times New Roman" w:cs="Times New Roman" w:eastAsia="Times New Roman" w:hint="default"/>
          <w:spacing w:val="-6"/>
        </w:rPr>
        <w:t>3</w:t>
      </w:r>
      <w:r>
        <w:rPr>
          <w:spacing w:val="-6"/>
        </w:rPr>
        <w:t>）为避免因为公司拥有的核心技术今后存在一</w:t>
      </w:r>
      <w:r>
        <w:rPr>
          <w:spacing w:val="-77"/>
        </w:rPr>
        <w:t> </w:t>
      </w:r>
      <w:r>
        <w:rPr>
          <w:spacing w:val="-77"/>
        </w:rPr>
      </w:r>
      <w:r>
        <w:rPr>
          <w:spacing w:val="-3"/>
        </w:rPr>
        <w:t>定的纠纷或潜在纠纷而导致的法律风险，公司控股股东张波</w:t>
      </w:r>
      <w:r>
        <w:rPr>
          <w:spacing w:val="-70"/>
        </w:rPr>
        <w:t> </w:t>
      </w:r>
      <w:r>
        <w:rPr>
          <w:spacing w:val="-70"/>
        </w:rPr>
      </w:r>
      <w:r>
        <w:rPr>
          <w:spacing w:val="-6"/>
        </w:rPr>
        <w:t>出具承诺，承担由此产生的法律责任。（</w:t>
      </w:r>
      <w:r>
        <w:rPr>
          <w:rFonts w:ascii="Times New Roman" w:hAnsi="Times New Roman" w:cs="Times New Roman" w:eastAsia="Times New Roman" w:hint="default"/>
          <w:spacing w:val="-6"/>
        </w:rPr>
        <w:t>4</w:t>
      </w:r>
      <w:r>
        <w:rPr>
          <w:spacing w:val="-6"/>
        </w:rPr>
        <w:t>）为避免未来可能</w:t>
      </w:r>
      <w:r>
        <w:rPr>
          <w:spacing w:val="-78"/>
        </w:rPr>
        <w:t> </w:t>
      </w:r>
      <w:r>
        <w:rPr>
          <w:spacing w:val="-78"/>
        </w:rPr>
      </w:r>
      <w:r>
        <w:rPr>
          <w:spacing w:val="-3"/>
        </w:rPr>
        <w:t>与德居安广州之间发生的关联交易，确保公司及全体股东利</w:t>
      </w:r>
      <w:r>
        <w:rPr>
          <w:spacing w:val="-70"/>
        </w:rPr>
        <w:t> </w:t>
      </w:r>
      <w:r>
        <w:rPr>
          <w:spacing w:val="-70"/>
        </w:rPr>
      </w:r>
      <w:r>
        <w:rPr>
          <w:spacing w:val="-3"/>
        </w:rPr>
        <w:t>益不会受到损害，公司控股股东张波出具《关于减少和避免</w:t>
      </w:r>
      <w:r>
        <w:rPr>
          <w:spacing w:val="-70"/>
        </w:rPr>
        <w:t> </w:t>
      </w:r>
      <w:r>
        <w:rPr>
          <w:spacing w:val="-70"/>
        </w:rPr>
      </w:r>
      <w:r>
        <w:rPr>
          <w:spacing w:val="-4"/>
        </w:rPr>
        <w:t>与广东安居宝数码科技股份有限公司关联交易的承诺函》，</w:t>
      </w:r>
      <w:r>
        <w:rPr>
          <w:spacing w:val="-78"/>
        </w:rPr>
        <w:t> </w:t>
      </w:r>
      <w:r>
        <w:rPr>
          <w:spacing w:val="-78"/>
        </w:rPr>
      </w:r>
      <w:r>
        <w:rPr>
          <w:spacing w:val="-3"/>
        </w:rPr>
        <w:t>其承诺：德居安广州今后将不会向安居宝数码销售电容器等</w:t>
      </w:r>
      <w:r>
        <w:rPr>
          <w:spacing w:val="-70"/>
        </w:rPr>
        <w:t> </w:t>
      </w:r>
      <w:r>
        <w:rPr>
          <w:spacing w:val="-70"/>
        </w:rPr>
      </w:r>
      <w:r>
        <w:rPr>
          <w:spacing w:val="-3"/>
        </w:rPr>
        <w:t>新型电子元器件，并且，在本人作为安居宝数码的控股股东</w:t>
      </w:r>
      <w:r>
        <w:rPr>
          <w:spacing w:val="-70"/>
        </w:rPr>
        <w:t> </w:t>
      </w:r>
      <w:r>
        <w:rPr>
          <w:spacing w:val="-70"/>
        </w:rPr>
      </w:r>
      <w:r>
        <w:rPr>
          <w:spacing w:val="-3"/>
        </w:rPr>
        <w:t>期间，将尽量减少和避免与安居宝数码的关联交易。若有不</w:t>
      </w:r>
      <w:r>
        <w:rPr>
          <w:spacing w:val="-70"/>
        </w:rPr>
        <w:t> </w:t>
      </w:r>
      <w:r>
        <w:rPr>
          <w:spacing w:val="-70"/>
        </w:rPr>
      </w:r>
      <w:r>
        <w:rPr>
          <w:spacing w:val="-3"/>
        </w:rPr>
        <w:t>可避免的关联交易，本人及本人控制的其他企业与安居宝数</w:t>
      </w:r>
      <w:r>
        <w:rPr>
          <w:spacing w:val="-70"/>
        </w:rPr>
        <w:t> </w:t>
      </w:r>
      <w:r>
        <w:rPr>
          <w:spacing w:val="-70"/>
        </w:rPr>
      </w:r>
      <w:r>
        <w:rPr>
          <w:spacing w:val="-3"/>
        </w:rPr>
        <w:t>码将依法签订协议，并将按照有关法律、法规和规范性文件</w:t>
      </w:r>
      <w:r>
        <w:rPr>
          <w:spacing w:val="-70"/>
        </w:rPr>
        <w:t> </w:t>
      </w:r>
      <w:r>
        <w:rPr>
          <w:spacing w:val="-70"/>
        </w:rPr>
      </w:r>
      <w:r>
        <w:rPr>
          <w:spacing w:val="-3"/>
        </w:rPr>
        <w:t>以及安居宝数码《公司章程》等有关规定，依法履行相关程</w:t>
      </w:r>
      <w:r>
        <w:rPr>
          <w:spacing w:val="-72"/>
        </w:rPr>
        <w:t> </w:t>
      </w:r>
      <w:r>
        <w:rPr>
          <w:spacing w:val="-72"/>
        </w:rPr>
      </w:r>
      <w:r>
        <w:rPr>
          <w:spacing w:val="-3"/>
        </w:rPr>
        <w:t>序，保证不会通过关联交易损害安居宝数码及安居宝数码其</w:t>
      </w:r>
      <w:r>
        <w:rPr>
          <w:spacing w:val="-70"/>
        </w:rPr>
        <w:t> </w:t>
      </w:r>
      <w:r>
        <w:rPr>
          <w:spacing w:val="-70"/>
        </w:rPr>
      </w:r>
      <w:r>
        <w:rPr>
          <w:spacing w:val="-6"/>
        </w:rPr>
        <w:t>他股东的合法权益。（</w:t>
      </w:r>
      <w:r>
        <w:rPr>
          <w:rFonts w:ascii="Times New Roman" w:hAnsi="Times New Roman" w:cs="Times New Roman" w:eastAsia="Times New Roman" w:hint="default"/>
          <w:spacing w:val="-6"/>
        </w:rPr>
        <w:t>5</w:t>
      </w:r>
      <w:r>
        <w:rPr>
          <w:spacing w:val="-6"/>
        </w:rPr>
        <w:t>）为进一步确保公司的独立性，公司</w:t>
      </w:r>
      <w:r>
        <w:rPr>
          <w:spacing w:val="-78"/>
        </w:rPr>
        <w:t> </w:t>
      </w:r>
      <w:r>
        <w:rPr>
          <w:spacing w:val="-78"/>
        </w:rPr>
      </w:r>
      <w:r>
        <w:rPr>
          <w:spacing w:val="-3"/>
        </w:rPr>
        <w:t>控股股东张波出具《关于保证广东安居宝数码科技股份有限</w:t>
      </w:r>
      <w:r>
        <w:rPr>
          <w:spacing w:val="-70"/>
        </w:rPr>
        <w:t> </w:t>
      </w:r>
      <w:r>
        <w:rPr>
          <w:spacing w:val="-70"/>
        </w:rPr>
      </w:r>
      <w:r>
        <w:rPr>
          <w:spacing w:val="-4"/>
        </w:rPr>
        <w:t>公司独立性的承诺函》，承诺：本人及本人控制的其他企业</w:t>
      </w:r>
      <w:r>
        <w:rPr>
          <w:spacing w:val="-76"/>
        </w:rPr>
        <w:t> </w:t>
      </w:r>
      <w:r>
        <w:rPr>
          <w:spacing w:val="-76"/>
        </w:rPr>
      </w:r>
      <w:r>
        <w:rPr>
          <w:spacing w:val="-3"/>
        </w:rPr>
        <w:t>将在人员、财务、资产、业务和机构等方面与公司保持独立</w:t>
      </w:r>
      <w:r>
        <w:rPr>
          <w:spacing w:val="-72"/>
        </w:rPr>
        <w:t> </w:t>
      </w:r>
      <w:r>
        <w:rPr>
          <w:spacing w:val="-72"/>
        </w:rPr>
      </w:r>
      <w:r>
        <w:rPr>
          <w:spacing w:val="-3"/>
        </w:rPr>
        <w:t>性，切实做到相互独立，以进一步优化法人治理结构，充分</w:t>
      </w:r>
      <w:r>
        <w:rPr>
          <w:spacing w:val="-72"/>
        </w:rPr>
        <w:t> </w:t>
      </w:r>
      <w:r>
        <w:rPr>
          <w:spacing w:val="-72"/>
        </w:rPr>
      </w:r>
      <w:r>
        <w:rPr>
          <w:spacing w:val="-6"/>
        </w:rPr>
        <w:t>保障全体股东的利益。（</w:t>
      </w:r>
      <w:r>
        <w:rPr>
          <w:rFonts w:ascii="Times New Roman" w:hAnsi="Times New Roman" w:cs="Times New Roman" w:eastAsia="Times New Roman" w:hint="default"/>
          <w:spacing w:val="-6"/>
        </w:rPr>
        <w:t>6</w:t>
      </w:r>
      <w:r>
        <w:rPr>
          <w:spacing w:val="-6"/>
        </w:rPr>
        <w:t>）为进一步完善法人治理结构，保</w:t>
      </w:r>
      <w:r>
        <w:rPr>
          <w:spacing w:val="-78"/>
        </w:rPr>
        <w:t> </w:t>
      </w:r>
      <w:r>
        <w:rPr>
          <w:spacing w:val="-78"/>
        </w:rPr>
      </w:r>
      <w:r>
        <w:rPr/>
        <w:t>障其他股东特别是中小股东利益，</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月，公司和控 股股东承诺：在改选下一届董事会成员时，将增加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名外 </w:t>
      </w:r>
      <w:r>
        <w:rPr>
          <w:spacing w:val="-13"/>
        </w:rPr>
        <w:t>部董事。（</w:t>
      </w:r>
      <w:r>
        <w:rPr>
          <w:rFonts w:ascii="Times New Roman" w:hAnsi="Times New Roman" w:cs="Times New Roman" w:eastAsia="Times New Roman" w:hint="default"/>
          <w:spacing w:val="-13"/>
        </w:rPr>
        <w:t>7</w:t>
      </w:r>
      <w:r>
        <w:rPr>
          <w:spacing w:val="-13"/>
        </w:rPr>
        <w:t>）公司整体变更为股份公司时</w:t>
      </w:r>
    </w:p>
    <w:p>
      <w:pPr>
        <w:pStyle w:val="BodyText"/>
        <w:spacing w:line="300" w:lineRule="auto" w:before="1"/>
        <w:ind w:left="5980" w:right="-20"/>
        <w:jc w:val="left"/>
      </w:pP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16"/>
        </w:rPr>
        <w:t> </w:t>
      </w:r>
      <w:r>
        <w:rPr/>
        <w:t>月，全体发起人出具承诺：由于公司税务主管部 门同意各发起人免缴整体变更股份有限公司时涉及的个人</w:t>
      </w:r>
    </w:p>
    <w:p>
      <w:pPr>
        <w:pStyle w:val="BodyText"/>
        <w:spacing w:line="316" w:lineRule="auto" w:before="86"/>
        <w:ind w:left="2084" w:right="150"/>
        <w:jc w:val="left"/>
      </w:pPr>
      <w:r>
        <w:rPr>
          <w:spacing w:val="-7"/>
        </w:rPr>
        <w:br w:type="column"/>
      </w:r>
      <w:r>
        <w:rPr>
          <w:spacing w:val="-7"/>
        </w:rPr>
        <w:t>严格遵守承诺，未</w:t>
      </w:r>
      <w:r>
        <w:rPr>
          <w:spacing w:val="-87"/>
        </w:rPr>
        <w:t> </w:t>
      </w:r>
      <w:r>
        <w:rPr>
          <w:spacing w:val="-87"/>
        </w:rPr>
      </w:r>
      <w:r>
        <w:rPr/>
        <w:t>发现存在违反承 诺的情况。其中</w:t>
      </w:r>
    </w:p>
    <w:p>
      <w:pPr>
        <w:pStyle w:val="BodyText"/>
        <w:spacing w:line="309" w:lineRule="auto" w:before="19"/>
        <w:ind w:left="2084" w:right="94"/>
        <w:jc w:val="left"/>
      </w:pPr>
      <w:r>
        <w:rPr/>
        <w:t>（</w:t>
      </w:r>
      <w:r>
        <w:rPr>
          <w:rFonts w:ascii="Times New Roman" w:hAnsi="Times New Roman" w:cs="Times New Roman" w:eastAsia="Times New Roman" w:hint="default"/>
        </w:rPr>
        <w:t>4</w:t>
      </w:r>
      <w:r>
        <w:rPr/>
        <w:t>）为有效避免 和解决与德居安 广州的关联交易， 公司于</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月已完成收购德 居安广州</w:t>
      </w:r>
      <w:r>
        <w:rPr>
          <w:spacing w:val="-46"/>
        </w:rPr>
        <w:t> </w:t>
      </w:r>
      <w:r>
        <w:rPr>
          <w:rFonts w:ascii="Times New Roman" w:hAnsi="Times New Roman" w:cs="Times New Roman" w:eastAsia="Times New Roman" w:hint="default"/>
        </w:rPr>
        <w:t>100%</w:t>
      </w:r>
      <w:r>
        <w:rPr/>
        <w:t>股 </w:t>
      </w:r>
      <w:r>
        <w:rPr>
          <w:spacing w:val="-17"/>
        </w:rPr>
        <w:t>权事宜；（</w:t>
      </w:r>
      <w:r>
        <w:rPr>
          <w:rFonts w:ascii="Times New Roman" w:hAnsi="Times New Roman" w:cs="Times New Roman" w:eastAsia="Times New Roman" w:hint="default"/>
          <w:spacing w:val="-17"/>
        </w:rPr>
        <w:t>6</w:t>
      </w:r>
      <w:r>
        <w:rPr>
          <w:spacing w:val="-17"/>
        </w:rPr>
        <w:t>）已履</w:t>
      </w:r>
      <w:r>
        <w:rPr>
          <w:spacing w:val="-82"/>
        </w:rPr>
        <w:t> </w:t>
      </w:r>
      <w:r>
        <w:rPr>
          <w:spacing w:val="-82"/>
        </w:rPr>
      </w:r>
      <w:r>
        <w:rPr>
          <w:spacing w:val="-7"/>
        </w:rPr>
        <w:t>行完毕。其他尚在</w:t>
      </w:r>
      <w:r>
        <w:rPr>
          <w:spacing w:val="-87"/>
        </w:rPr>
        <w:t> </w:t>
      </w:r>
      <w:r>
        <w:rPr>
          <w:spacing w:val="-87"/>
        </w:rPr>
      </w:r>
      <w:r>
        <w:rPr/>
        <w:t>履行中。</w:t>
      </w:r>
    </w:p>
    <w:p>
      <w:pPr>
        <w:spacing w:after="0" w:line="309" w:lineRule="auto"/>
        <w:jc w:val="left"/>
        <w:sectPr>
          <w:pgSz w:w="16840" w:h="11910" w:orient="landscape"/>
          <w:pgMar w:header="867" w:footer="1227" w:top="1060" w:bottom="1420" w:left="1300" w:right="1200"/>
          <w:cols w:num="2" w:equalWidth="0">
            <w:col w:w="10661" w:space="40"/>
            <w:col w:w="3639"/>
          </w:cols>
        </w:sectPr>
      </w:pPr>
    </w:p>
    <w:p>
      <w:pPr>
        <w:spacing w:line="240" w:lineRule="auto" w:before="11"/>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971"/>
        <w:gridCol w:w="1843"/>
        <w:gridCol w:w="4678"/>
        <w:gridCol w:w="1133"/>
        <w:gridCol w:w="994"/>
        <w:gridCol w:w="1442"/>
      </w:tblGrid>
      <w:tr>
        <w:trPr>
          <w:trHeight w:val="1937" w:hRule="exact"/>
        </w:trPr>
        <w:tc>
          <w:tcPr>
            <w:tcW w:w="3971" w:type="dxa"/>
            <w:tcBorders>
              <w:top w:val="single" w:sz="15" w:space="0" w:color="000000"/>
              <w:left w:val="single" w:sz="4" w:space="0" w:color="000000"/>
              <w:bottom w:val="single" w:sz="4" w:space="0" w:color="000000"/>
              <w:right w:val="single" w:sz="4" w:space="0" w:color="000000"/>
            </w:tcBorders>
          </w:tcPr>
          <w:p>
            <w:pPr/>
          </w:p>
        </w:tc>
        <w:tc>
          <w:tcPr>
            <w:tcW w:w="1843" w:type="dxa"/>
            <w:tcBorders>
              <w:top w:val="single" w:sz="15" w:space="0" w:color="000000"/>
              <w:left w:val="single" w:sz="4" w:space="0" w:color="000000"/>
              <w:bottom w:val="single" w:sz="4" w:space="0" w:color="000000"/>
              <w:right w:val="single" w:sz="4" w:space="0" w:color="000000"/>
            </w:tcBorders>
          </w:tcPr>
          <w:p>
            <w:pPr/>
          </w:p>
        </w:tc>
        <w:tc>
          <w:tcPr>
            <w:tcW w:w="4678"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1" w:right="-34"/>
              <w:jc w:val="left"/>
              <w:rPr>
                <w:rFonts w:ascii="宋体" w:hAnsi="宋体" w:cs="宋体" w:eastAsia="宋体" w:hint="default"/>
                <w:sz w:val="18"/>
                <w:szCs w:val="18"/>
              </w:rPr>
            </w:pPr>
            <w:r>
              <w:rPr>
                <w:rFonts w:ascii="宋体" w:hAnsi="宋体" w:cs="宋体" w:eastAsia="宋体" w:hint="default"/>
                <w:spacing w:val="-3"/>
                <w:sz w:val="18"/>
                <w:szCs w:val="18"/>
              </w:rPr>
              <w:t>所得税，公司暂未代扣代缴相关税款。如果今后国家有关税</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务主管部门就上述事项要求本人补交税款或承担法律责任， 本人愿意按照有关部门的要求自行补缴税款或承担相应的 </w:t>
            </w:r>
            <w:r>
              <w:rPr>
                <w:rFonts w:ascii="宋体" w:hAnsi="宋体" w:cs="宋体" w:eastAsia="宋体" w:hint="default"/>
                <w:spacing w:val="-3"/>
                <w:sz w:val="18"/>
                <w:szCs w:val="18"/>
              </w:rPr>
              <w:t>法律责任。如有关部门要求公司承担法律责任，本人愿意按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发起设立股份有限公司时的持股比例承担相应法律责任并 对公司因此受到的损失给予补偿。</w:t>
            </w:r>
          </w:p>
        </w:tc>
        <w:tc>
          <w:tcPr>
            <w:tcW w:w="1133" w:type="dxa"/>
            <w:tcBorders>
              <w:top w:val="single" w:sz="15" w:space="0" w:color="000000"/>
              <w:left w:val="single" w:sz="4" w:space="0" w:color="000000"/>
              <w:bottom w:val="single" w:sz="4" w:space="0" w:color="000000"/>
              <w:right w:val="single" w:sz="4" w:space="0" w:color="000000"/>
            </w:tcBorders>
          </w:tcPr>
          <w:p>
            <w:pPr>
              <w:pStyle w:val="TableParagraph"/>
              <w:spacing w:line="1910" w:lineRule="exact"/>
              <w:ind w:right="-51"/>
              <w:jc w:val="left"/>
              <w:rPr>
                <w:rFonts w:ascii="宋体" w:hAnsi="宋体" w:cs="宋体" w:eastAsia="宋体" w:hint="default"/>
                <w:sz w:val="20"/>
                <w:szCs w:val="20"/>
              </w:rPr>
            </w:pPr>
            <w:r>
              <w:rPr>
                <w:rFonts w:ascii="宋体" w:hAnsi="宋体" w:cs="宋体" w:eastAsia="宋体" w:hint="default"/>
                <w:position w:val="-37"/>
                <w:sz w:val="20"/>
                <w:szCs w:val="20"/>
              </w:rPr>
              <w:pict>
                <v:group style="width:56.2pt;height:95.55pt;mso-position-horizontal-relative:char;mso-position-vertical-relative:line" coordorigin="0,0" coordsize="1124,1911">
                  <v:group style="position:absolute;left:0;top:0;width:1124;height:1911" coordorigin="0,0" coordsize="1124,1911">
                    <v:shape style="position:absolute;left:0;top:0;width:1124;height:1911" coordorigin="0,0" coordsize="1124,1911" path="m0,1911l1124,1911,1124,0,0,0,0,1911xe" filled="true" fillcolor="#ffffff" stroked="false">
                      <v:path arrowok="t"/>
                      <v:fill type="solid"/>
                    </v:shape>
                  </v:group>
                </v:group>
              </w:pict>
            </w:r>
            <w:r>
              <w:rPr>
                <w:rFonts w:ascii="宋体" w:hAnsi="宋体" w:cs="宋体" w:eastAsia="宋体" w:hint="default"/>
                <w:position w:val="-37"/>
                <w:sz w:val="20"/>
                <w:szCs w:val="20"/>
              </w:rPr>
            </w:r>
          </w:p>
        </w:tc>
        <w:tc>
          <w:tcPr>
            <w:tcW w:w="994" w:type="dxa"/>
            <w:tcBorders>
              <w:top w:val="single" w:sz="15" w:space="0" w:color="000000"/>
              <w:left w:val="single" w:sz="4" w:space="0" w:color="000000"/>
              <w:bottom w:val="single" w:sz="4" w:space="0" w:color="000000"/>
              <w:right w:val="single" w:sz="4" w:space="0" w:color="000000"/>
            </w:tcBorders>
          </w:tcPr>
          <w:p>
            <w:pPr/>
          </w:p>
        </w:tc>
        <w:tc>
          <w:tcPr>
            <w:tcW w:w="1442"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67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100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100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是否就导致的同业竞争和关联交易问题作出承诺</w:t>
            </w:r>
          </w:p>
        </w:tc>
        <w:tc>
          <w:tcPr>
            <w:tcW w:w="100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100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100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100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截止本报告期末，所有承诺人均严格遵守承诺，未出现违反承诺的情况。</w:t>
            </w:r>
          </w:p>
        </w:tc>
      </w:tr>
    </w:tbl>
    <w:p>
      <w:pPr>
        <w:spacing w:line="240" w:lineRule="auto" w:before="3"/>
        <w:rPr>
          <w:rFonts w:ascii="宋体" w:hAnsi="宋体" w:cs="宋体" w:eastAsia="宋体" w:hint="default"/>
          <w:sz w:val="19"/>
          <w:szCs w:val="19"/>
        </w:rPr>
      </w:pPr>
    </w:p>
    <w:p>
      <w:pPr>
        <w:pStyle w:val="Heading3"/>
        <w:spacing w:line="240" w:lineRule="auto" w:before="36"/>
        <w:ind w:left="120"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、公司资产或项目存在盈利预测，且报告期仍处在盈利预测期间，公司就资产或项目达到原盈利预测及其原因做出说明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20" w:right="0"/>
        <w:jc w:val="left"/>
      </w:pPr>
      <w:r>
        <w:rPr/>
        <w:t>报告期内，公司不存在资产或项目存在盈利预测，且报告期仍处在盈利预测期间等情况。</w:t>
      </w:r>
    </w:p>
    <w:p>
      <w:pPr>
        <w:spacing w:after="0" w:line="240" w:lineRule="auto"/>
        <w:jc w:val="left"/>
        <w:sectPr>
          <w:pgSz w:w="16840" w:h="11910" w:orient="landscape"/>
          <w:pgMar w:header="867" w:footer="1227" w:top="1060" w:bottom="1420" w:left="1320" w:right="12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2"/>
        <w:spacing w:line="240" w:lineRule="auto" w:before="26"/>
        <w:ind w:right="0"/>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B3B3B3"/>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40</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B3B3B3"/>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B3B3B3"/>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陈雄溢</w:t>
            </w:r>
            <w:r>
              <w:rPr>
                <w:rFonts w:ascii="宋体" w:hAnsi="宋体" w:cs="宋体" w:eastAsia="宋体" w:hint="default"/>
                <w:spacing w:val="1"/>
                <w:sz w:val="18"/>
                <w:szCs w:val="18"/>
              </w:rPr>
              <w:t> </w:t>
            </w:r>
            <w:r>
              <w:rPr>
                <w:rFonts w:ascii="宋体" w:hAnsi="宋体" w:cs="宋体" w:eastAsia="宋体" w:hint="default"/>
                <w:sz w:val="18"/>
                <w:szCs w:val="18"/>
              </w:rPr>
              <w:t>郑德伦</w:t>
            </w:r>
          </w:p>
        </w:tc>
      </w:tr>
    </w:tbl>
    <w:p>
      <w:pPr>
        <w:pStyle w:val="BodyText"/>
        <w:spacing w:line="240" w:lineRule="auto" w:before="49"/>
        <w:ind w:right="0"/>
        <w:jc w:val="left"/>
      </w:pPr>
      <w:r>
        <w:rPr/>
        <w:t>是否改聘会计师事务所</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4"/>
          <w:szCs w:val="24"/>
        </w:rPr>
      </w:pPr>
    </w:p>
    <w:p>
      <w:pPr>
        <w:pStyle w:val="Heading2"/>
        <w:spacing w:line="240" w:lineRule="auto"/>
        <w:ind w:right="136"/>
        <w:jc w:val="left"/>
        <w:rPr>
          <w:b w:val="0"/>
          <w:bCs w:val="0"/>
        </w:rPr>
      </w:pPr>
      <w:r>
        <w:rPr/>
        <w:t>十、上市公司及其董事、监事、高级管理人员、公司股东、实际控制人和收购人处罚及整改</w:t>
      </w:r>
      <w:r>
        <w:rPr>
          <w:w w:val="99"/>
        </w:rPr>
        <w:t> </w:t>
      </w:r>
      <w:r>
        <w:rPr/>
        <w:t>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5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上市公司及其子公司是否被列入环保部门公布的污染严重企业名单</w:t>
      </w:r>
    </w:p>
    <w:p>
      <w:pPr>
        <w:pStyle w:val="BodyText"/>
        <w:spacing w:line="340" w:lineRule="auto" w:before="43"/>
        <w:ind w:right="5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上市公司及其子公司是否存在其他重大社会安全问题</w:t>
      </w:r>
    </w:p>
    <w:p>
      <w:pPr>
        <w:pStyle w:val="BodyText"/>
        <w:spacing w:line="340" w:lineRule="auto" w:before="39"/>
        <w:ind w:right="7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报告期内是否被行政处罚</w:t>
      </w:r>
    </w:p>
    <w:p>
      <w:pPr>
        <w:pStyle w:val="BodyText"/>
        <w:spacing w:line="240" w:lineRule="auto" w:before="4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十一、公司股东及其一致行动人在报告期提出或实施股份增持计划的情况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w:t>
      </w:r>
      <w:r>
        <w:rPr>
          <w:rFonts w:ascii="Times New Roman" w:hAnsi="Times New Roman" w:cs="Times New Roman" w:eastAsia="Times New Roman" w:hint="default"/>
        </w:rPr>
        <w:t>,</w:t>
      </w:r>
      <w:r>
        <w:rPr/>
        <w:t>公司股东及其一致行动人在报告期内未提出或实施股份增持计划。</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十二、</w:t>
      </w:r>
      <w:r>
        <w:rPr>
          <w:rFonts w:ascii="Times New Roman" w:hAnsi="Times New Roman" w:cs="Times New Roman" w:eastAsia="Times New Roman" w:hint="default"/>
        </w:rPr>
        <w:t>2012 </w:t>
      </w:r>
      <w:r>
        <w:rPr/>
        <w:t>年董事、监事、高级管理人员、持股</w:t>
      </w:r>
      <w:r>
        <w:rPr>
          <w:spacing w:val="-64"/>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t>报告期内，公司董事、监事、高级管理人员、持股</w:t>
      </w:r>
      <w:r>
        <w:rPr>
          <w:spacing w:val="-45"/>
        </w:rPr>
        <w:t> </w:t>
      </w:r>
      <w:r>
        <w:rPr>
          <w:rFonts w:ascii="Times New Roman" w:hAnsi="Times New Roman" w:cs="Times New Roman" w:eastAsia="Times New Roman" w:hint="default"/>
        </w:rPr>
        <w:t>5%</w:t>
      </w:r>
      <w:r>
        <w:rPr/>
        <w:t>以上的股东不存在违规买卖公司股票的情况。</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十三、违规对外担保情况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报告期内，公司不存在违规对外担保的情况。</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十四、年度报告披露后面临暂停上市和终止上市情况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w:t>
      </w:r>
      <w:r>
        <w:rPr>
          <w:rFonts w:ascii="Times New Roman" w:hAnsi="Times New Roman" w:cs="Times New Roman" w:eastAsia="Times New Roman" w:hint="default"/>
        </w:rPr>
        <w:t>2012</w:t>
      </w:r>
      <w:r>
        <w:rPr/>
        <w:t>年年度报告披露后，不存在面临暂停上市和终止上市的情况。</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十五、其他重大事项的说明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44" w:firstLine="360"/>
        <w:jc w:val="left"/>
      </w:pPr>
      <w:r>
        <w:rPr/>
        <w:t>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日公告，与广东奥迪安监控技术有限公司（以下简称</w:t>
      </w:r>
      <w:r>
        <w:rPr>
          <w:rFonts w:ascii="Times New Roman" w:hAnsi="Times New Roman" w:cs="Times New Roman" w:eastAsia="Times New Roman" w:hint="default"/>
        </w:rPr>
        <w:t>“</w:t>
      </w:r>
      <w:r>
        <w:rPr/>
        <w:t>奥迪安</w:t>
      </w:r>
      <w:r>
        <w:rPr>
          <w:rFonts w:ascii="Times New Roman" w:hAnsi="Times New Roman" w:cs="Times New Roman" w:eastAsia="Times New Roman" w:hint="default"/>
        </w:rPr>
        <w:t>”</w:t>
      </w:r>
      <w:r>
        <w:rPr/>
        <w:t>）签署了《合作意向书》，拟在平安 城市建设领域开展合作，其后于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日签署了《＜合作意向书＞补充协议》。为降低合作风险，公司本着审慎的原</w:t>
      </w:r>
    </w:p>
    <w:p>
      <w:pPr>
        <w:spacing w:after="0" w:line="300" w:lineRule="auto"/>
        <w:jc w:val="left"/>
        <w:sectPr>
          <w:headerReference w:type="default" r:id="rId23"/>
          <w:footerReference w:type="default" r:id="rId24"/>
          <w:pgSz w:w="11910" w:h="16840"/>
          <w:pgMar w:header="877" w:footer="1227" w:top="1100" w:bottom="1420" w:left="980" w:right="980"/>
          <w:pgNumType w:start="43"/>
        </w:sectPr>
      </w:pPr>
    </w:p>
    <w:p>
      <w:pPr>
        <w:spacing w:line="240" w:lineRule="auto" w:before="11"/>
        <w:rPr>
          <w:rFonts w:ascii="宋体" w:hAnsi="宋体" w:cs="宋体" w:eastAsia="宋体" w:hint="default"/>
          <w:sz w:val="21"/>
          <w:szCs w:val="21"/>
        </w:rPr>
      </w:pPr>
    </w:p>
    <w:p>
      <w:pPr>
        <w:pStyle w:val="BodyText"/>
        <w:spacing w:line="319" w:lineRule="auto" w:before="44"/>
        <w:ind w:right="88"/>
        <w:jc w:val="left"/>
      </w:pPr>
      <w:r>
        <w:rPr>
          <w:spacing w:val="-2"/>
        </w:rPr>
        <w:t>则，对奥迪安公司进行了详细的财务、法律方面的尽职调查工作，并聘请专业的审计、评估机构进行审计和评估，并就合作</w:t>
      </w:r>
      <w:r>
        <w:rPr>
          <w:spacing w:val="-66"/>
        </w:rPr>
        <w:t> </w:t>
      </w:r>
      <w:r>
        <w:rPr>
          <w:spacing w:val="-66"/>
        </w:rPr>
      </w:r>
      <w:r>
        <w:rPr/>
        <w:t>细节、方案进行了详细论证。</w:t>
      </w:r>
    </w:p>
    <w:p>
      <w:pPr>
        <w:pStyle w:val="BodyText"/>
        <w:spacing w:line="300" w:lineRule="auto" w:before="58"/>
        <w:ind w:right="94" w:firstLine="360"/>
        <w:jc w:val="left"/>
      </w:pPr>
      <w:r>
        <w:rPr/>
        <w:t>公司与奥迪安原股东梁广洋、邓桂平于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日正式签署了《合作协议》，各方约定按照每出资</w:t>
      </w:r>
      <w:r>
        <w:rPr>
          <w:rFonts w:ascii="Times New Roman" w:hAnsi="Times New Roman" w:cs="Times New Roman" w:eastAsia="Times New Roman" w:hint="default"/>
        </w:rPr>
        <w:t>1</w:t>
      </w:r>
      <w:r>
        <w:rPr/>
        <w:t>元折算</w:t>
      </w:r>
      <w:r>
        <w:rPr>
          <w:rFonts w:ascii="Times New Roman" w:hAnsi="Times New Roman" w:cs="Times New Roman" w:eastAsia="Times New Roman" w:hint="default"/>
        </w:rPr>
        <w:t>1</w:t>
      </w:r>
      <w:r>
        <w:rPr/>
        <w:t>元出资 额的方式，将奥迪安注册资本由原来的</w:t>
      </w:r>
      <w:r>
        <w:rPr>
          <w:rFonts w:ascii="Times New Roman" w:hAnsi="Times New Roman" w:cs="Times New Roman" w:eastAsia="Times New Roman" w:hint="default"/>
        </w:rPr>
        <w:t>1100</w:t>
      </w:r>
      <w:r>
        <w:rPr/>
        <w:t>万元人民币增加至</w:t>
      </w:r>
      <w:r>
        <w:rPr>
          <w:rFonts w:ascii="Times New Roman" w:hAnsi="Times New Roman" w:cs="Times New Roman" w:eastAsia="Times New Roman" w:hint="default"/>
        </w:rPr>
        <w:t>3000</w:t>
      </w:r>
      <w:r>
        <w:rPr/>
        <w:t>万元人民币，新增注册资本</w:t>
      </w:r>
      <w:r>
        <w:rPr>
          <w:rFonts w:ascii="Times New Roman" w:hAnsi="Times New Roman" w:cs="Times New Roman" w:eastAsia="Times New Roman" w:hint="default"/>
        </w:rPr>
        <w:t>1900</w:t>
      </w:r>
      <w:r>
        <w:rPr/>
        <w:t>万元由安居宝、梁广洋、 </w:t>
      </w:r>
      <w:r>
        <w:rPr>
          <w:spacing w:val="-1"/>
        </w:rPr>
        <w:t>邓桂平分别以货币认缴</w:t>
      </w:r>
      <w:r>
        <w:rPr>
          <w:rFonts w:ascii="Times New Roman" w:hAnsi="Times New Roman" w:cs="Times New Roman" w:eastAsia="Times New Roman" w:hint="default"/>
          <w:spacing w:val="-1"/>
        </w:rPr>
        <w:t>1800</w:t>
      </w:r>
      <w:r>
        <w:rPr>
          <w:spacing w:val="-1"/>
        </w:rPr>
        <w:t>万元、</w:t>
      </w:r>
      <w:r>
        <w:rPr>
          <w:rFonts w:ascii="Times New Roman" w:hAnsi="Times New Roman" w:cs="Times New Roman" w:eastAsia="Times New Roman" w:hint="default"/>
          <w:spacing w:val="-1"/>
        </w:rPr>
        <w:t>50.27</w:t>
      </w:r>
      <w:r>
        <w:rPr>
          <w:spacing w:val="-1"/>
        </w:rPr>
        <w:t>万元和</w:t>
      </w:r>
      <w:r>
        <w:rPr>
          <w:rFonts w:ascii="Times New Roman" w:hAnsi="Times New Roman" w:cs="Times New Roman" w:eastAsia="Times New Roman" w:hint="default"/>
          <w:spacing w:val="-1"/>
        </w:rPr>
        <w:t>49.73</w:t>
      </w:r>
      <w:r>
        <w:rPr>
          <w:spacing w:val="-1"/>
        </w:rPr>
        <w:t>万元。增资完成后，公司持有奥迪安</w:t>
      </w:r>
      <w:r>
        <w:rPr>
          <w:rFonts w:ascii="Times New Roman" w:hAnsi="Times New Roman" w:cs="Times New Roman" w:eastAsia="Times New Roman" w:hint="default"/>
          <w:spacing w:val="-1"/>
        </w:rPr>
        <w:t>60%</w:t>
      </w:r>
      <w:r>
        <w:rPr>
          <w:spacing w:val="-1"/>
        </w:rPr>
        <w:t>的股权，奥迪安原股东梁广洋、</w:t>
      </w:r>
      <w:r>
        <w:rPr/>
        <w:t> 邓桂平分别持有奥迪安</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19.89%</w:t>
      </w:r>
      <w:r>
        <w:rPr/>
        <w:t>的股权。具体内容详见</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日刊登在巨潮资讯网的相关公告。</w:t>
      </w:r>
    </w:p>
    <w:p>
      <w:pPr>
        <w:pStyle w:val="BodyText"/>
        <w:spacing w:line="300" w:lineRule="auto" w:before="51"/>
        <w:ind w:right="191" w:firstLine="360"/>
        <w:jc w:val="both"/>
      </w:pPr>
      <w:r>
        <w:rPr>
          <w:spacing w:val="-4"/>
        </w:rPr>
        <w:t>为了增强公司产品竞争力，挖掘新的利润增长点，公司于</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17</w:t>
      </w:r>
      <w:r>
        <w:rPr>
          <w:spacing w:val="-4"/>
        </w:rPr>
        <w:t>日召开的第二届董事会第一次会议审议通过了《关</w:t>
      </w:r>
      <w:r>
        <w:rPr/>
        <w:t> </w:t>
      </w:r>
      <w:r>
        <w:rPr>
          <w:spacing w:val="-2"/>
        </w:rPr>
        <w:t>于使用部分超募资金投资设立全资子公司》的议案，同意公司使用超募资金</w:t>
      </w:r>
      <w:r>
        <w:rPr>
          <w:rFonts w:ascii="Times New Roman" w:hAnsi="Times New Roman" w:cs="Times New Roman" w:eastAsia="Times New Roman" w:hint="default"/>
          <w:spacing w:val="-2"/>
        </w:rPr>
        <w:t>3000</w:t>
      </w:r>
      <w:r>
        <w:rPr>
          <w:spacing w:val="-2"/>
        </w:rPr>
        <w:t>万元设立全资子公司广东安居宝光电传输科</w:t>
      </w:r>
      <w:r>
        <w:rPr>
          <w:spacing w:val="-61"/>
        </w:rPr>
        <w:t> </w:t>
      </w:r>
      <w:r>
        <w:rPr>
          <w:spacing w:val="-61"/>
        </w:rPr>
      </w:r>
      <w:r>
        <w:rPr/>
        <w:t>技有限公司，主要从事安防线缆的研发、设计、生产和销售。具体内容详见</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日刊登在巨潮资讯网的相关公告。</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pStyle w:val="Heading1"/>
        <w:spacing w:line="240" w:lineRule="auto"/>
        <w:ind w:left="2964" w:right="88"/>
        <w:jc w:val="left"/>
        <w:rPr>
          <w:b w:val="0"/>
          <w:bCs w:val="0"/>
        </w:rPr>
      </w:pPr>
      <w:bookmarkStart w:name="_TOC_250004" w:id="6"/>
      <w:r>
        <w:rPr/>
        <w:t>第六节</w:t>
      </w:r>
      <w:r>
        <w:rPr>
          <w:spacing w:val="-6"/>
        </w:rPr>
        <w:t> </w:t>
      </w:r>
      <w:r>
        <w:rPr/>
        <w:t>股份变动及股东情况</w:t>
      </w:r>
      <w:bookmarkEnd w:id="6"/>
      <w:r>
        <w:rPr>
          <w:b w:val="0"/>
          <w:bCs w:val="0"/>
        </w:rPr>
      </w:r>
    </w:p>
    <w:p>
      <w:pPr>
        <w:spacing w:line="240" w:lineRule="auto" w:before="3"/>
        <w:rPr>
          <w:rFonts w:ascii="宋体" w:hAnsi="宋体" w:cs="宋体" w:eastAsia="宋体" w:hint="default"/>
          <w:b/>
          <w:bCs/>
          <w:sz w:val="39"/>
          <w:szCs w:val="39"/>
        </w:rPr>
      </w:pPr>
    </w:p>
    <w:p>
      <w:pPr>
        <w:pStyle w:val="Heading2"/>
        <w:spacing w:line="240" w:lineRule="auto"/>
        <w:ind w:right="88"/>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8"/>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282"/>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79"/>
        <w:gridCol w:w="1185"/>
        <w:gridCol w:w="845"/>
        <w:gridCol w:w="845"/>
        <w:gridCol w:w="538"/>
        <w:gridCol w:w="711"/>
        <w:gridCol w:w="991"/>
        <w:gridCol w:w="994"/>
        <w:gridCol w:w="991"/>
        <w:gridCol w:w="775"/>
      </w:tblGrid>
      <w:tr>
        <w:trPr>
          <w:trHeight w:val="403" w:hRule="exact"/>
        </w:trPr>
        <w:tc>
          <w:tcPr>
            <w:tcW w:w="1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0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7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679" w:type="dxa"/>
            <w:vMerge w:val="restart"/>
            <w:tcBorders>
              <w:top w:val="nil" w:sz="6" w:space="0" w:color="auto"/>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0" w:right="79"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79" w:type="dxa"/>
            <w:vMerge/>
            <w:tcBorders>
              <w:left w:val="single" w:sz="4" w:space="0" w:color="000000"/>
              <w:bottom w:val="nil" w:sz="6" w:space="0" w:color="auto"/>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11"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199" w:hRule="exact"/>
        </w:trPr>
        <w:tc>
          <w:tcPr>
            <w:tcW w:w="1679"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538" w:type="dxa"/>
            <w:vMerge/>
            <w:tcBorders>
              <w:left w:val="single" w:sz="4" w:space="0" w:color="000000"/>
              <w:bottom w:val="nil" w:sz="6" w:space="0" w:color="auto"/>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79"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w:t>
            </w:r>
          </w:p>
        </w:tc>
        <w:tc>
          <w:tcPr>
            <w:tcW w:w="84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-10,000,000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125,000,000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69.44%</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w:t>
            </w:r>
          </w:p>
        </w:tc>
        <w:tc>
          <w:tcPr>
            <w:tcW w:w="84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-10,000,000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125,000,000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69.44%</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5.56%</w:t>
            </w:r>
          </w:p>
        </w:tc>
        <w:tc>
          <w:tcPr>
            <w:tcW w:w="84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-10,000,000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69.44%</w:t>
            </w:r>
          </w:p>
        </w:tc>
        <w:tc>
          <w:tcPr>
            <w:tcW w:w="84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125,000,000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69.44%</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w:t>
            </w:r>
          </w:p>
        </w:tc>
        <w:tc>
          <w:tcPr>
            <w:tcW w:w="84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center"/>
              <w:rPr>
                <w:rFonts w:ascii="Times New Roman" w:hAnsi="Times New Roman" w:cs="Times New Roman" w:eastAsia="Times New Roman" w:hint="default"/>
                <w:sz w:val="18"/>
                <w:szCs w:val="18"/>
              </w:rPr>
            </w:pPr>
            <w:r>
              <w:rPr>
                <w:rFonts w:ascii="Times New Roman"/>
                <w:sz w:val="18"/>
              </w:rPr>
              <w:t>10,000,000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55,000,000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30.56%</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w:t>
            </w:r>
          </w:p>
        </w:tc>
        <w:tc>
          <w:tcPr>
            <w:tcW w:w="84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center"/>
              <w:rPr>
                <w:rFonts w:ascii="Times New Roman" w:hAnsi="Times New Roman" w:cs="Times New Roman" w:eastAsia="Times New Roman" w:hint="default"/>
                <w:sz w:val="18"/>
                <w:szCs w:val="18"/>
              </w:rPr>
            </w:pPr>
            <w:r>
              <w:rPr>
                <w:rFonts w:ascii="Times New Roman"/>
                <w:sz w:val="18"/>
              </w:rPr>
              <w:t>10,000,000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55,000,000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30.56%</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84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180,000,000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357" w:lineRule="auto" w:before="49"/>
        <w:ind w:left="513" w:right="183" w:hanging="361"/>
        <w:jc w:val="left"/>
        <w:rPr>
          <w:rFonts w:ascii="Times New Roman" w:hAnsi="Times New Roman" w:cs="Times New Roman" w:eastAsia="Times New Roman" w:hint="default"/>
        </w:rPr>
      </w:pPr>
      <w:r>
        <w:rPr/>
        <w:t>股份变动的原因 本报告期末，公司首次公开发行前已发行股份</w:t>
      </w:r>
      <w:r>
        <w:rPr>
          <w:rFonts w:ascii="Times New Roman" w:hAnsi="Times New Roman" w:cs="Times New Roman" w:eastAsia="Times New Roman" w:hint="default"/>
        </w:rPr>
        <w:t>1000</w:t>
      </w:r>
      <w:r>
        <w:rPr/>
        <w:t>万股于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日锁定期满，解除限售。具体内容详见</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p>
    <w:p>
      <w:pPr>
        <w:pStyle w:val="BodyText"/>
        <w:spacing w:line="214" w:lineRule="exact"/>
        <w:ind w:right="88"/>
        <w:jc w:val="left"/>
      </w:pPr>
      <w:r>
        <w:rPr/>
        <w:t>月</w:t>
      </w:r>
      <w:r>
        <w:rPr>
          <w:rFonts w:ascii="Times New Roman" w:hAnsi="Times New Roman" w:cs="Times New Roman" w:eastAsia="Times New Roman" w:hint="default"/>
        </w:rPr>
        <w:t>5</w:t>
      </w:r>
      <w:r>
        <w:rPr/>
        <w:t>日刊登在巨潮资讯网的相关公告，公告编号为</w:t>
      </w:r>
      <w:r>
        <w:rPr>
          <w:rFonts w:ascii="Times New Roman" w:hAnsi="Times New Roman" w:cs="Times New Roman" w:eastAsia="Times New Roman" w:hint="default"/>
        </w:rPr>
        <w:t>2012-052</w:t>
      </w:r>
      <w:r>
        <w:rPr/>
        <w:t>。</w:t>
      </w:r>
    </w:p>
    <w:p>
      <w:pPr>
        <w:pStyle w:val="BodyText"/>
        <w:spacing w:line="240" w:lineRule="auto" w:before="104"/>
        <w:ind w:right="88"/>
        <w:jc w:val="left"/>
      </w:pPr>
      <w:r>
        <w:rPr/>
        <w:t>股份变动的批准情况</w:t>
      </w:r>
    </w:p>
    <w:p>
      <w:pPr>
        <w:pStyle w:val="BodyText"/>
        <w:spacing w:line="338" w:lineRule="auto" w:before="117"/>
        <w:ind w:left="513" w:right="88"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4"/>
        </w:rPr>
        <w:t>公司首次公开发行前已发行股份锁定期满，经中国证券登记结算公司深圳分公司审核确认后，相关解锁手续已办理完毕。</w:t>
      </w:r>
    </w:p>
    <w:p>
      <w:pPr>
        <w:pStyle w:val="BodyText"/>
        <w:spacing w:line="240" w:lineRule="auto" w:before="43"/>
        <w:ind w:right="88"/>
        <w:jc w:val="left"/>
      </w:pPr>
      <w:r>
        <w:rPr/>
        <w:t>股份变动的过户情况</w:t>
      </w:r>
    </w:p>
    <w:p>
      <w:pPr>
        <w:pStyle w:val="BodyText"/>
        <w:spacing w:line="338" w:lineRule="auto" w:before="117"/>
        <w:ind w:right="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6"/>
        </w:rPr>
        <w:t> </w:t>
      </w:r>
      <w:r>
        <w:rPr/>
        <w:t>不适用 股份变动对最近一年和最近一期基本每股收益和稀释每股收益、归属于公司普通股股东的每股净资产等财务指标的影响</w:t>
      </w:r>
    </w:p>
    <w:p>
      <w:pPr>
        <w:pStyle w:val="BodyText"/>
        <w:spacing w:line="340" w:lineRule="auto" w:before="43"/>
        <w:ind w:right="5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spacing w:after="0" w:line="340" w:lineRule="auto"/>
        <w:jc w:val="left"/>
        <w:sectPr>
          <w:footerReference w:type="default" r:id="rId25"/>
          <w:pgSz w:w="11910" w:h="16840"/>
          <w:pgMar w:footer="1227" w:header="877" w:top="1100" w:bottom="1420" w:left="980" w:right="940"/>
          <w:pgNumType w:start="44"/>
        </w:sectPr>
      </w:pPr>
    </w:p>
    <w:p>
      <w:pPr>
        <w:spacing w:line="240" w:lineRule="auto" w:before="11"/>
        <w:rPr>
          <w:rFonts w:ascii="宋体" w:hAnsi="宋体" w:cs="宋体" w:eastAsia="宋体" w:hint="default"/>
          <w:sz w:val="21"/>
          <w:szCs w:val="21"/>
        </w:rPr>
      </w:pPr>
    </w:p>
    <w:p>
      <w:pPr>
        <w:pStyle w:val="BodyText"/>
        <w:spacing w:line="309" w:lineRule="auto" w:before="44"/>
        <w:ind w:right="154" w:firstLine="360"/>
        <w:jc w:val="both"/>
      </w:pPr>
      <w:r>
        <w:rPr/>
        <w:t>除上述首次公开发行前已发行股份</w:t>
      </w:r>
      <w:r>
        <w:rPr>
          <w:rFonts w:ascii="Times New Roman" w:hAnsi="Times New Roman" w:cs="Times New Roman" w:eastAsia="Times New Roman" w:hint="default"/>
        </w:rPr>
        <w:t>1000</w:t>
      </w:r>
      <w:r>
        <w:rPr/>
        <w:t>万股于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日锁定期满，解除限售外，截止本报告披露日，公司首次公 开发行前已发行股份</w:t>
      </w:r>
      <w:r>
        <w:rPr>
          <w:rFonts w:ascii="宋体" w:hAnsi="宋体" w:cs="宋体" w:eastAsia="宋体" w:hint="default"/>
        </w:rPr>
        <w:t>375</w:t>
      </w:r>
      <w:r>
        <w:rPr/>
        <w:t>万股已于</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7</w:t>
      </w:r>
      <w:r>
        <w:rPr/>
        <w:t>日锁定期满，解除限售。具体内容详见</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28</w:t>
      </w:r>
      <w:r>
        <w:rPr/>
        <w:t>日刊登在巨潮资讯网的相 关公告，公告编号为</w:t>
      </w:r>
      <w:r>
        <w:rPr>
          <w:rFonts w:ascii="宋体" w:hAnsi="宋体" w:cs="宋体" w:eastAsia="宋体" w:hint="default"/>
        </w:rPr>
        <w:t>2012-061</w:t>
      </w:r>
      <w:r>
        <w:rPr/>
        <w:t>。</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517"/>
        <w:gridCol w:w="1702"/>
        <w:gridCol w:w="1277"/>
        <w:gridCol w:w="1133"/>
        <w:gridCol w:w="1207"/>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1"/>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70,250,000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2014-1-7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48,500,000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2014-1-7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李乐霓</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2014-1-7</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深圳市和泰成长 创业投资有限责 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2012-12-7</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广州海汇成长创 业投资中心（有 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2012-12-7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广发信德投资管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2012-12-7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黄伟宁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2013-1-7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李志共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2013-1-7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高静迟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312,500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2013-1-7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付远东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2013-1-7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2013-1-7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黄园缘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2013-1-7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2013-1-7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王训平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2013-1-7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朱超华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2013-1-7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张瑞斌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2013-1-7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汪海林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2013-1-7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陈爱莲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312,500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2013-1-7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袁丽莎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2013-1-7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2013-1-7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潘传丽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2013-1-7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2013-1-7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邹志红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2013-1-7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江树停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2013-1-7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王忠涛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2013-1-7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517"/>
        <w:gridCol w:w="1702"/>
        <w:gridCol w:w="1277"/>
        <w:gridCol w:w="1133"/>
        <w:gridCol w:w="1207"/>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倪静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10"/>
              <w:jc w:val="right"/>
              <w:rPr>
                <w:rFonts w:ascii="Times New Roman" w:hAnsi="Times New Roman" w:cs="Times New Roman" w:eastAsia="Times New Roman" w:hint="default"/>
                <w:sz w:val="18"/>
                <w:szCs w:val="18"/>
              </w:rPr>
            </w:pPr>
            <w:r>
              <w:rPr>
                <w:rFonts w:ascii="Times New Roman"/>
                <w:spacing w:val="-1"/>
                <w:sz w:val="18"/>
              </w:rPr>
              <w:t>2013-1-7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余德城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10"/>
              <w:jc w:val="right"/>
              <w:rPr>
                <w:rFonts w:ascii="Times New Roman" w:hAnsi="Times New Roman" w:cs="Times New Roman" w:eastAsia="Times New Roman" w:hint="default"/>
                <w:sz w:val="18"/>
                <w:szCs w:val="18"/>
              </w:rPr>
            </w:pPr>
            <w:r>
              <w:rPr>
                <w:rFonts w:ascii="Times New Roman"/>
                <w:spacing w:val="-1"/>
                <w:sz w:val="18"/>
              </w:rPr>
              <w:t>2013-1-7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135,000,000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125,000,000</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35"/>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b/>
          <w:bCs/>
          <w:sz w:val="18"/>
          <w:szCs w:val="18"/>
        </w:rPr>
      </w:pPr>
    </w:p>
    <w:p>
      <w:pPr>
        <w:pStyle w:val="Heading2"/>
        <w:spacing w:line="240" w:lineRule="auto" w:before="26"/>
        <w:ind w:right="88"/>
        <w:jc w:val="left"/>
        <w:rPr>
          <w:b w:val="0"/>
          <w:bCs w:val="0"/>
        </w:rPr>
      </w:pPr>
      <w:r>
        <w:rPr/>
        <w:t>二、证券发行与上市</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574"/>
        <w:jc w:val="left"/>
      </w:pPr>
      <w:r>
        <w:rPr>
          <w:rFonts w:ascii="Times New Roman" w:hAnsi="Times New Roman" w:cs="Times New Roman" w:eastAsia="Times New Roman" w:hint="default"/>
        </w:rPr>
        <w:t>1</w:t>
      </w:r>
      <w:r>
        <w:rPr/>
        <w:t>、报告期内证券发行情况 报告期间内，公司不存在证券发行情况。</w:t>
      </w:r>
    </w:p>
    <w:p>
      <w:pPr>
        <w:pStyle w:val="BodyText"/>
        <w:spacing w:line="328" w:lineRule="auto" w:before="41"/>
        <w:ind w:right="94"/>
        <w:jc w:val="left"/>
      </w:pPr>
      <w:r>
        <w:rPr>
          <w:rFonts w:ascii="Times New Roman" w:hAnsi="Times New Roman" w:cs="Times New Roman" w:eastAsia="Times New Roman" w:hint="default"/>
        </w:rPr>
        <w:t>2</w:t>
      </w:r>
      <w:r>
        <w:rPr/>
        <w:t>、公司股份总数及股东结构的变动、公司资产和负债结构的变动情况说明 报告期内，公司不存在因送股、转增股本、配股、增发新股、非公开发行股票、权证行权、实施股权激励计划、企业合并、 可转债转股、减资、债券发行或其他原因引起公司股份总数及结构的变动、公司资产和负债结构的变动情况。</w:t>
      </w:r>
    </w:p>
    <w:p>
      <w:pPr>
        <w:spacing w:line="240" w:lineRule="auto" w:before="3"/>
        <w:rPr>
          <w:rFonts w:ascii="宋体" w:hAnsi="宋体" w:cs="宋体" w:eastAsia="宋体" w:hint="default"/>
          <w:sz w:val="20"/>
          <w:szCs w:val="20"/>
        </w:rPr>
      </w:pPr>
    </w:p>
    <w:p>
      <w:pPr>
        <w:pStyle w:val="Heading2"/>
        <w:spacing w:line="240" w:lineRule="auto"/>
        <w:ind w:right="88"/>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88"/>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282"/>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4"/>
        <w:gridCol w:w="1363"/>
        <w:gridCol w:w="1380"/>
        <w:gridCol w:w="1362"/>
        <w:gridCol w:w="1368"/>
        <w:gridCol w:w="1363"/>
        <w:gridCol w:w="1374"/>
      </w:tblGrid>
      <w:tr>
        <w:trPr>
          <w:trHeight w:val="408" w:hRule="exact"/>
        </w:trPr>
        <w:tc>
          <w:tcPr>
            <w:tcW w:w="2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8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14,388</w:t>
            </w:r>
          </w:p>
        </w:tc>
        <w:tc>
          <w:tcPr>
            <w:tcW w:w="40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个交易日末的股东总数</w:t>
            </w:r>
          </w:p>
        </w:tc>
        <w:tc>
          <w:tcPr>
            <w:tcW w:w="13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36" w:right="0"/>
              <w:jc w:val="left"/>
              <w:rPr>
                <w:rFonts w:ascii="Times New Roman" w:hAnsi="Times New Roman" w:cs="Times New Roman" w:eastAsia="Times New Roman" w:hint="default"/>
                <w:sz w:val="18"/>
                <w:szCs w:val="18"/>
              </w:rPr>
            </w:pPr>
            <w:r>
              <w:rPr>
                <w:rFonts w:ascii="Times New Roman"/>
                <w:sz w:val="18"/>
              </w:rPr>
              <w:t>12,974</w:t>
            </w:r>
          </w:p>
        </w:tc>
      </w:tr>
      <w:tr>
        <w:trPr>
          <w:trHeight w:val="39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11" w:hRule="exact"/>
        </w:trPr>
        <w:tc>
          <w:tcPr>
            <w:tcW w:w="13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30" w:right="47" w:hanging="180"/>
              <w:jc w:val="left"/>
              <w:rPr>
                <w:rFonts w:ascii="宋体" w:hAnsi="宋体" w:cs="宋体" w:eastAsia="宋体" w:hint="default"/>
                <w:sz w:val="18"/>
                <w:szCs w:val="18"/>
              </w:rPr>
            </w:pPr>
            <w:r>
              <w:rPr>
                <w:rFonts w:ascii="宋体" w:hAnsi="宋体" w:cs="宋体" w:eastAsia="宋体" w:hint="default"/>
                <w:sz w:val="18"/>
                <w:szCs w:val="18"/>
              </w:rPr>
              <w:t>持有有限售条件 的股份数量</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3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0" w:hRule="exact"/>
        </w:trPr>
        <w:tc>
          <w:tcPr>
            <w:tcW w:w="13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0"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3"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368" w:type="dxa"/>
            <w:vMerge/>
            <w:tcBorders>
              <w:left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4"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1362"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13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37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39.03%</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70,250,000</w:t>
            </w:r>
          </w:p>
        </w:tc>
        <w:tc>
          <w:tcPr>
            <w:tcW w:w="1368"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8"/>
                <w:szCs w:val="18"/>
              </w:rPr>
            </w:pPr>
            <w:r>
              <w:rPr>
                <w:rFonts w:ascii="Times New Roman"/>
                <w:spacing w:val="-1"/>
                <w:sz w:val="18"/>
              </w:rPr>
              <w:t>70,250,000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张频</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26.94%</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48,500,000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深圳市和泰成长 创业投资有限责 任公司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2.08%</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9"/>
              <w:jc w:val="both"/>
              <w:rPr>
                <w:rFonts w:ascii="宋体" w:hAnsi="宋体" w:cs="宋体" w:eastAsia="宋体" w:hint="default"/>
                <w:sz w:val="18"/>
                <w:szCs w:val="18"/>
              </w:rPr>
            </w:pPr>
            <w:r>
              <w:rPr>
                <w:rFonts w:ascii="宋体" w:hAnsi="宋体" w:cs="宋体" w:eastAsia="宋体" w:hint="default"/>
                <w:sz w:val="18"/>
                <w:szCs w:val="18"/>
              </w:rPr>
              <w:t>广州海汇成长创 业投资中心（有 限合伙）</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2.08%</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兴业银行股份有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兴全有 机增长灵活配置 混合型证券投资 基金</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1.46%</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2,621,965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李乐霓</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z w:val="18"/>
              </w:rPr>
              <w:t>1.39%</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招商银行</w:t>
            </w:r>
            <w:r>
              <w:rPr>
                <w:rFonts w:ascii="Times New Roman" w:hAnsi="Times New Roman" w:cs="Times New Roman" w:eastAsia="Times New Roman" w:hint="default"/>
                <w:sz w:val="18"/>
                <w:szCs w:val="18"/>
              </w:rPr>
              <w:t>-</w:t>
            </w:r>
            <w:r>
              <w:rPr>
                <w:rFonts w:ascii="宋体" w:hAnsi="宋体" w:cs="宋体" w:eastAsia="宋体" w:hint="default"/>
                <w:sz w:val="18"/>
                <w:szCs w:val="18"/>
              </w:rPr>
              <w:t>兴全 轻资产投资股票 型证券投资基金</w:t>
            </w:r>
          </w:p>
          <w:p>
            <w:pPr>
              <w:pStyle w:val="TableParagraph"/>
              <w:spacing w:line="240" w:lineRule="auto" w:before="2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0.67%</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1,199,949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27" w:top="1100" w:bottom="1420" w:left="980" w:right="94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68"/>
        <w:gridCol w:w="1368"/>
        <w:gridCol w:w="1369"/>
        <w:gridCol w:w="1368"/>
      </w:tblGrid>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87"/>
              <w:jc w:val="left"/>
              <w:rPr>
                <w:rFonts w:ascii="宋体" w:hAnsi="宋体" w:cs="宋体" w:eastAsia="宋体" w:hint="default"/>
                <w:sz w:val="18"/>
                <w:szCs w:val="18"/>
              </w:rPr>
            </w:pPr>
            <w:r>
              <w:rPr>
                <w:rFonts w:ascii="宋体" w:hAnsi="宋体" w:cs="宋体" w:eastAsia="宋体" w:hint="default"/>
                <w:sz w:val="18"/>
                <w:szCs w:val="18"/>
              </w:rPr>
              <w:t>大成基金公司</w:t>
            </w:r>
            <w:r>
              <w:rPr>
                <w:rFonts w:ascii="Times New Roman" w:hAnsi="Times New Roman" w:cs="Times New Roman" w:eastAsia="Times New Roman" w:hint="default"/>
                <w:sz w:val="18"/>
                <w:szCs w:val="18"/>
              </w:rPr>
              <w:t>- </w:t>
            </w:r>
            <w:r>
              <w:rPr>
                <w:rFonts w:ascii="宋体" w:hAnsi="宋体" w:cs="宋体" w:eastAsia="宋体" w:hint="default"/>
                <w:sz w:val="18"/>
                <w:szCs w:val="18"/>
              </w:rPr>
              <w:t>农行</w:t>
            </w:r>
            <w:r>
              <w:rPr>
                <w:rFonts w:ascii="Times New Roman" w:hAnsi="Times New Roman" w:cs="Times New Roman" w:eastAsia="Times New Roman" w:hint="default"/>
                <w:sz w:val="18"/>
                <w:szCs w:val="18"/>
              </w:rPr>
              <w:t>-</w:t>
            </w:r>
            <w:r>
              <w:rPr>
                <w:rFonts w:ascii="宋体" w:hAnsi="宋体" w:cs="宋体" w:eastAsia="宋体" w:hint="default"/>
                <w:sz w:val="18"/>
                <w:szCs w:val="18"/>
              </w:rPr>
              <w:t>徐国义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967,759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69"/>
              <w:jc w:val="left"/>
              <w:rPr>
                <w:rFonts w:ascii="宋体" w:hAnsi="宋体" w:cs="宋体" w:eastAsia="宋体" w:hint="default"/>
                <w:sz w:val="18"/>
                <w:szCs w:val="18"/>
              </w:rPr>
            </w:pPr>
            <w:r>
              <w:rPr>
                <w:rFonts w:ascii="宋体" w:hAnsi="宋体" w:cs="宋体" w:eastAsia="宋体" w:hint="default"/>
                <w:sz w:val="18"/>
                <w:szCs w:val="18"/>
              </w:rPr>
              <w:t>交通银行</w:t>
            </w:r>
            <w:r>
              <w:rPr>
                <w:rFonts w:ascii="Times New Roman" w:hAnsi="Times New Roman" w:cs="Times New Roman" w:eastAsia="Times New Roman" w:hint="default"/>
                <w:sz w:val="18"/>
                <w:szCs w:val="18"/>
              </w:rPr>
              <w:t>-</w:t>
            </w:r>
            <w:r>
              <w:rPr>
                <w:rFonts w:ascii="宋体" w:hAnsi="宋体" w:cs="宋体" w:eastAsia="宋体" w:hint="default"/>
                <w:sz w:val="18"/>
                <w:szCs w:val="18"/>
              </w:rPr>
              <w:t>泰达 宏利价值优化型 成长类行业证券 投资基金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910,005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平安信托有限责 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投资精 英之尚雅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909,004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58"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3" w:hRule="exact"/>
        </w:trPr>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4104" w:type="dxa"/>
            <w:gridSpan w:val="3"/>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17"/>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left"/>
              <w:rPr>
                <w:rFonts w:ascii="宋体" w:hAnsi="宋体" w:cs="宋体" w:eastAsia="宋体" w:hint="default"/>
                <w:sz w:val="18"/>
                <w:szCs w:val="18"/>
              </w:rPr>
            </w:pPr>
            <w:r>
              <w:rPr>
                <w:rFonts w:ascii="宋体" w:hAnsi="宋体" w:cs="宋体" w:eastAsia="宋体" w:hint="default"/>
                <w:sz w:val="18"/>
                <w:szCs w:val="18"/>
              </w:rPr>
              <w:t>深圳市和泰成长创业投资有限责 任公司</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3,750,000</w:t>
            </w:r>
          </w:p>
        </w:tc>
      </w:tr>
      <w:tr>
        <w:trPr>
          <w:trHeight w:val="715"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3"/>
              <w:jc w:val="left"/>
              <w:rPr>
                <w:rFonts w:ascii="宋体" w:hAnsi="宋体" w:cs="宋体" w:eastAsia="宋体" w:hint="default"/>
                <w:sz w:val="18"/>
                <w:szCs w:val="18"/>
              </w:rPr>
            </w:pPr>
            <w:r>
              <w:rPr>
                <w:rFonts w:ascii="宋体" w:hAnsi="宋体" w:cs="宋体" w:eastAsia="宋体" w:hint="default"/>
                <w:spacing w:val="-2"/>
                <w:sz w:val="18"/>
                <w:szCs w:val="18"/>
              </w:rPr>
              <w:t>广州海汇成长创业投资中心（有限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合伙）</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3,750,000</w:t>
            </w:r>
          </w:p>
        </w:tc>
      </w:tr>
      <w:tr>
        <w:trPr>
          <w:trHeight w:val="1025"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6"/>
              <w:jc w:val="left"/>
              <w:rPr>
                <w:rFonts w:ascii="宋体" w:hAnsi="宋体" w:cs="宋体" w:eastAsia="宋体" w:hint="default"/>
                <w:sz w:val="18"/>
                <w:szCs w:val="18"/>
              </w:rPr>
            </w:pPr>
            <w:r>
              <w:rPr>
                <w:rFonts w:ascii="宋体" w:hAnsi="宋体" w:cs="宋体" w:eastAsia="宋体" w:hint="default"/>
                <w:sz w:val="18"/>
                <w:szCs w:val="18"/>
              </w:rPr>
              <w:t>兴业银行股份有限公司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兴全有机 增长灵活配置混合型证券投资基 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2,621,965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2,621,965</w:t>
            </w:r>
          </w:p>
        </w:tc>
      </w:tr>
      <w:tr>
        <w:trPr>
          <w:trHeight w:val="715"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16"/>
              <w:jc w:val="left"/>
              <w:rPr>
                <w:rFonts w:ascii="宋体" w:hAnsi="宋体" w:cs="宋体" w:eastAsia="宋体" w:hint="default"/>
                <w:sz w:val="18"/>
                <w:szCs w:val="18"/>
              </w:rPr>
            </w:pPr>
            <w:r>
              <w:rPr>
                <w:rFonts w:ascii="宋体" w:hAnsi="宋体" w:cs="宋体" w:eastAsia="宋体" w:hint="default"/>
                <w:sz w:val="18"/>
                <w:szCs w:val="18"/>
              </w:rPr>
              <w:t>招商银行</w:t>
            </w:r>
            <w:r>
              <w:rPr>
                <w:rFonts w:ascii="Times New Roman" w:hAnsi="Times New Roman" w:cs="Times New Roman" w:eastAsia="Times New Roman" w:hint="default"/>
                <w:sz w:val="18"/>
                <w:szCs w:val="18"/>
              </w:rPr>
              <w:t>-</w:t>
            </w:r>
            <w:r>
              <w:rPr>
                <w:rFonts w:ascii="宋体" w:hAnsi="宋体" w:cs="宋体" w:eastAsia="宋体" w:hint="default"/>
                <w:sz w:val="18"/>
                <w:szCs w:val="18"/>
              </w:rPr>
              <w:t>兴全轻资产投资股票型 证券投资基金（</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1,199,949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1,199,949</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大成基金公司</w:t>
            </w:r>
            <w:r>
              <w:rPr>
                <w:rFonts w:ascii="Times New Roman" w:hAnsi="Times New Roman" w:cs="Times New Roman" w:eastAsia="Times New Roman" w:hint="default"/>
                <w:sz w:val="18"/>
                <w:szCs w:val="18"/>
              </w:rPr>
              <w:t>-</w:t>
            </w:r>
            <w:r>
              <w:rPr>
                <w:rFonts w:ascii="宋体" w:hAnsi="宋体" w:cs="宋体" w:eastAsia="宋体" w:hint="default"/>
                <w:sz w:val="18"/>
                <w:szCs w:val="18"/>
              </w:rPr>
              <w:t>农行</w:t>
            </w:r>
            <w:r>
              <w:rPr>
                <w:rFonts w:ascii="Times New Roman" w:hAnsi="Times New Roman" w:cs="Times New Roman" w:eastAsia="Times New Roman" w:hint="default"/>
                <w:sz w:val="18"/>
                <w:szCs w:val="18"/>
              </w:rPr>
              <w:t>-</w:t>
            </w:r>
            <w:r>
              <w:rPr>
                <w:rFonts w:ascii="宋体" w:hAnsi="宋体" w:cs="宋体" w:eastAsia="宋体" w:hint="default"/>
                <w:sz w:val="18"/>
                <w:szCs w:val="18"/>
              </w:rPr>
              <w:t>徐国义</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967,759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967,759</w:t>
            </w:r>
          </w:p>
        </w:tc>
      </w:tr>
      <w:tr>
        <w:trPr>
          <w:trHeight w:val="715"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16"/>
              <w:jc w:val="left"/>
              <w:rPr>
                <w:rFonts w:ascii="宋体" w:hAnsi="宋体" w:cs="宋体" w:eastAsia="宋体" w:hint="default"/>
                <w:sz w:val="18"/>
                <w:szCs w:val="18"/>
              </w:rPr>
            </w:pPr>
            <w:r>
              <w:rPr>
                <w:rFonts w:ascii="宋体" w:hAnsi="宋体" w:cs="宋体" w:eastAsia="宋体" w:hint="default"/>
                <w:sz w:val="18"/>
                <w:szCs w:val="18"/>
              </w:rPr>
              <w:t>交通银行</w:t>
            </w:r>
            <w:r>
              <w:rPr>
                <w:rFonts w:ascii="Times New Roman" w:hAnsi="Times New Roman" w:cs="Times New Roman" w:eastAsia="Times New Roman" w:hint="default"/>
                <w:sz w:val="18"/>
                <w:szCs w:val="18"/>
              </w:rPr>
              <w:t>-</w:t>
            </w:r>
            <w:r>
              <w:rPr>
                <w:rFonts w:ascii="宋体" w:hAnsi="宋体" w:cs="宋体" w:eastAsia="宋体" w:hint="default"/>
                <w:sz w:val="18"/>
                <w:szCs w:val="18"/>
              </w:rPr>
              <w:t>泰达宏利价值优化型成 长类行业证券投资基金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910,005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910,005</w:t>
            </w:r>
          </w:p>
        </w:tc>
      </w:tr>
      <w:tr>
        <w:trPr>
          <w:trHeight w:val="71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6"/>
              <w:jc w:val="left"/>
              <w:rPr>
                <w:rFonts w:ascii="宋体" w:hAnsi="宋体" w:cs="宋体" w:eastAsia="宋体" w:hint="default"/>
                <w:sz w:val="18"/>
                <w:szCs w:val="18"/>
              </w:rPr>
            </w:pPr>
            <w:r>
              <w:rPr>
                <w:rFonts w:ascii="宋体" w:hAnsi="宋体" w:cs="宋体" w:eastAsia="宋体" w:hint="default"/>
                <w:sz w:val="18"/>
                <w:szCs w:val="18"/>
              </w:rPr>
              <w:t>平安信托有限责任公司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投资精英 之尚雅</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909,004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909,004</w:t>
            </w:r>
          </w:p>
        </w:tc>
      </w:tr>
      <w:tr>
        <w:trPr>
          <w:trHeight w:val="715"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16"/>
              <w:jc w:val="left"/>
              <w:rPr>
                <w:rFonts w:ascii="宋体" w:hAnsi="宋体" w:cs="宋体" w:eastAsia="宋体" w:hint="default"/>
                <w:sz w:val="18"/>
                <w:szCs w:val="18"/>
              </w:rPr>
            </w:pPr>
            <w:r>
              <w:rPr>
                <w:rFonts w:ascii="宋体" w:hAnsi="宋体" w:cs="宋体" w:eastAsia="宋体" w:hint="default"/>
                <w:sz w:val="18"/>
                <w:szCs w:val="18"/>
              </w:rPr>
              <w:t>中国建设银行</w:t>
            </w:r>
            <w:r>
              <w:rPr>
                <w:rFonts w:ascii="Times New Roman" w:hAnsi="Times New Roman" w:cs="Times New Roman" w:eastAsia="Times New Roman" w:hint="default"/>
                <w:sz w:val="18"/>
                <w:szCs w:val="18"/>
              </w:rPr>
              <w:t>-</w:t>
            </w:r>
            <w:r>
              <w:rPr>
                <w:rFonts w:ascii="宋体" w:hAnsi="宋体" w:cs="宋体" w:eastAsia="宋体" w:hint="default"/>
                <w:sz w:val="18"/>
                <w:szCs w:val="18"/>
              </w:rPr>
              <w:t>银河行业优选股票 型证券投资基金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w:t>
            </w:r>
          </w:p>
        </w:tc>
      </w:tr>
      <w:tr>
        <w:trPr>
          <w:trHeight w:val="71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大成基金公司</w:t>
            </w:r>
            <w:r>
              <w:rPr>
                <w:rFonts w:ascii="Times New Roman" w:hAnsi="Times New Roman" w:cs="Times New Roman" w:eastAsia="Times New Roman" w:hint="default"/>
                <w:sz w:val="18"/>
                <w:szCs w:val="18"/>
              </w:rPr>
              <w:t>-</w:t>
            </w:r>
            <w:r>
              <w:rPr>
                <w:rFonts w:ascii="宋体" w:hAnsi="宋体" w:cs="宋体" w:eastAsia="宋体" w:hint="default"/>
                <w:sz w:val="18"/>
                <w:szCs w:val="18"/>
              </w:rPr>
              <w:t>交行</w:t>
            </w:r>
            <w:r>
              <w:rPr>
                <w:rFonts w:ascii="Times New Roman" w:hAnsi="Times New Roman" w:cs="Times New Roman" w:eastAsia="Times New Roman" w:hint="default"/>
                <w:sz w:val="18"/>
                <w:szCs w:val="18"/>
              </w:rPr>
              <w:t>-</w:t>
            </w:r>
            <w:r>
              <w:rPr>
                <w:rFonts w:ascii="宋体" w:hAnsi="宋体" w:cs="宋体" w:eastAsia="宋体" w:hint="default"/>
                <w:sz w:val="18"/>
                <w:szCs w:val="18"/>
              </w:rPr>
              <w:t>景瑞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号灵活</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配置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期特定多个客户资产管</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598,069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598,069</w:t>
            </w:r>
          </w:p>
        </w:tc>
      </w:tr>
      <w:tr>
        <w:trPr>
          <w:trHeight w:val="404"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中信信托有限责任公司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双盈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532,700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532,700</w:t>
            </w:r>
          </w:p>
        </w:tc>
      </w:tr>
      <w:tr>
        <w:trPr>
          <w:trHeight w:val="1027" w:hRule="exact"/>
        </w:trPr>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7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5"/>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both"/>
              <w:rPr>
                <w:rFonts w:ascii="宋体" w:hAnsi="宋体" w:cs="宋体" w:eastAsia="宋体" w:hint="default"/>
                <w:sz w:val="18"/>
                <w:szCs w:val="18"/>
              </w:rPr>
            </w:pPr>
            <w:r>
              <w:rPr>
                <w:rFonts w:ascii="宋体" w:hAnsi="宋体" w:cs="宋体" w:eastAsia="宋体" w:hint="default"/>
                <w:spacing w:val="-4"/>
                <w:sz w:val="18"/>
                <w:szCs w:val="18"/>
              </w:rPr>
              <w:t>股东张波先生、张频先生、李乐霓女士三人作为公司一致行动人，合计持有公司</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67.36%</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pacing w:val="-2"/>
                <w:sz w:val="18"/>
                <w:szCs w:val="18"/>
              </w:rPr>
              <w:t>股权；公司未知其他股东是否存在关联关系或是否属于《上市公司收购管理办法》规定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的一致行动人。</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0" w:firstLine="432"/>
        <w:jc w:val="left"/>
      </w:pPr>
      <w:r>
        <w:rPr/>
        <w:t>张波先生：男，</w:t>
      </w:r>
      <w:r>
        <w:rPr>
          <w:rFonts w:ascii="Times New Roman" w:hAnsi="Times New Roman" w:cs="Times New Roman" w:eastAsia="Times New Roman" w:hint="default"/>
        </w:rPr>
        <w:t>1963</w:t>
      </w:r>
      <w:r>
        <w:rPr/>
        <w:t>年出生，毕业于华南工学院（现华南理工大学）计算机系，获学士学位。曾任职于广东电子研究 </w:t>
      </w:r>
      <w:r>
        <w:rPr>
          <w:spacing w:val="-2"/>
        </w:rPr>
        <w:t>所担任技术骨干，并先后担任过大型电子公司厂长、总经理等职务；是本公司及安居宝品牌的主要创始人，目前担任本公司</w:t>
      </w:r>
    </w:p>
    <w:p>
      <w:pPr>
        <w:spacing w:after="0" w:line="300" w:lineRule="auto"/>
        <w:jc w:val="left"/>
        <w:sectPr>
          <w:pgSz w:w="11910" w:h="16840"/>
          <w:pgMar w:header="877" w:footer="1227" w:top="1100" w:bottom="1420" w:left="980" w:right="980"/>
        </w:sectPr>
      </w:pPr>
    </w:p>
    <w:p>
      <w:pPr>
        <w:spacing w:line="240" w:lineRule="auto" w:before="11"/>
        <w:rPr>
          <w:rFonts w:ascii="宋体" w:hAnsi="宋体" w:cs="宋体" w:eastAsia="宋体" w:hint="default"/>
          <w:sz w:val="21"/>
          <w:szCs w:val="21"/>
        </w:rPr>
      </w:pPr>
    </w:p>
    <w:p>
      <w:pPr>
        <w:pStyle w:val="BodyText"/>
        <w:spacing w:line="300" w:lineRule="auto" w:before="44"/>
        <w:ind w:right="151"/>
        <w:jc w:val="both"/>
      </w:pPr>
      <w:r>
        <w:rPr/>
        <w:t>董事长兼总经理。张波先生是楼宇对讲行业标准的起草者之一，曾被评为</w:t>
      </w:r>
      <w:r>
        <w:rPr>
          <w:rFonts w:ascii="Times New Roman" w:hAnsi="Times New Roman" w:cs="Times New Roman" w:eastAsia="Times New Roman" w:hint="default"/>
        </w:rPr>
        <w:t>“</w:t>
      </w:r>
      <w:r>
        <w:rPr/>
        <w:t>中国安防十大领军人物</w:t>
      </w:r>
      <w:r>
        <w:rPr>
          <w:rFonts w:ascii="Times New Roman" w:hAnsi="Times New Roman" w:cs="Times New Roman" w:eastAsia="Times New Roman" w:hint="default"/>
        </w:rPr>
        <w:t>”</w:t>
      </w:r>
      <w:r>
        <w:rPr/>
        <w:t>，获得</w:t>
      </w:r>
      <w:r>
        <w:rPr>
          <w:rFonts w:ascii="Times New Roman" w:hAnsi="Times New Roman" w:cs="Times New Roman" w:eastAsia="Times New Roman" w:hint="default"/>
        </w:rPr>
        <w:t>“</w:t>
      </w:r>
      <w:r>
        <w:rPr/>
        <w:t>中国安防十年开 </w:t>
      </w:r>
      <w:r>
        <w:rPr>
          <w:spacing w:val="-1"/>
        </w:rPr>
        <w:t>拓奖</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改革开放</w:t>
      </w:r>
      <w:r>
        <w:rPr>
          <w:rFonts w:ascii="Times New Roman" w:hAnsi="Times New Roman" w:cs="Times New Roman" w:eastAsia="Times New Roman" w:hint="default"/>
          <w:spacing w:val="-1"/>
        </w:rPr>
        <w:t>30</w:t>
      </w:r>
      <w:r>
        <w:rPr>
          <w:spacing w:val="-1"/>
        </w:rPr>
        <w:t>年影响中国安防</w:t>
      </w:r>
      <w:r>
        <w:rPr>
          <w:rFonts w:ascii="Times New Roman" w:hAnsi="Times New Roman" w:cs="Times New Roman" w:eastAsia="Times New Roman" w:hint="default"/>
          <w:spacing w:val="-1"/>
        </w:rPr>
        <w:t>30</w:t>
      </w:r>
      <w:r>
        <w:rPr>
          <w:spacing w:val="-1"/>
        </w:rPr>
        <w:t>人</w:t>
      </w:r>
      <w:r>
        <w:rPr>
          <w:rFonts w:ascii="Times New Roman" w:hAnsi="Times New Roman" w:cs="Times New Roman" w:eastAsia="Times New Roman" w:hint="default"/>
          <w:spacing w:val="-1"/>
        </w:rPr>
        <w:t>”</w:t>
      </w:r>
      <w:r>
        <w:rPr>
          <w:spacing w:val="-1"/>
        </w:rPr>
        <w:t>殊荣，</w:t>
      </w:r>
      <w:r>
        <w:rPr>
          <w:rFonts w:ascii="Times New Roman" w:hAnsi="Times New Roman" w:cs="Times New Roman" w:eastAsia="Times New Roman" w:hint="default"/>
          <w:spacing w:val="-1"/>
        </w:rPr>
        <w:t>2009</w:t>
      </w:r>
      <w:r>
        <w:rPr>
          <w:spacing w:val="-1"/>
        </w:rPr>
        <w:t>年被广东省安全技术防范行业协会聘任为</w:t>
      </w:r>
      <w:r>
        <w:rPr>
          <w:rFonts w:ascii="Times New Roman" w:hAnsi="Times New Roman" w:cs="Times New Roman" w:eastAsia="Times New Roman" w:hint="default"/>
          <w:spacing w:val="-1"/>
        </w:rPr>
        <w:t>“</w:t>
      </w:r>
      <w:r>
        <w:rPr>
          <w:spacing w:val="-1"/>
        </w:rPr>
        <w:t>广东省安全技术防范专家委</w:t>
      </w:r>
      <w:r>
        <w:rPr>
          <w:spacing w:val="-76"/>
        </w:rPr>
        <w:t> </w:t>
      </w:r>
      <w:r>
        <w:rPr/>
        <w:t>员会专家</w:t>
      </w:r>
      <w:r>
        <w:rPr>
          <w:rFonts w:ascii="Times New Roman" w:hAnsi="Times New Roman" w:cs="Times New Roman" w:eastAsia="Times New Roman" w:hint="default"/>
        </w:rPr>
        <w:t>”</w:t>
      </w:r>
      <w:r>
        <w:rPr/>
        <w:t>。</w:t>
      </w:r>
    </w:p>
    <w:p>
      <w:pPr>
        <w:pStyle w:val="BodyText"/>
        <w:spacing w:line="300" w:lineRule="auto" w:before="13"/>
        <w:ind w:right="0" w:firstLine="432"/>
        <w:jc w:val="left"/>
      </w:pPr>
      <w:r>
        <w:rPr>
          <w:spacing w:val="-2"/>
        </w:rPr>
        <w:t>张波先生为本公司控股股东、实际控制人，截至本报告期末，持有公司股份</w:t>
      </w:r>
      <w:r>
        <w:rPr>
          <w:rFonts w:ascii="Times New Roman" w:hAnsi="Times New Roman" w:cs="Times New Roman" w:eastAsia="Times New Roman" w:hint="default"/>
          <w:spacing w:val="-2"/>
        </w:rPr>
        <w:t>70,250,000</w:t>
      </w:r>
      <w:r>
        <w:rPr>
          <w:spacing w:val="-2"/>
        </w:rPr>
        <w:t>股，占公司总股本</w:t>
      </w:r>
      <w:r>
        <w:rPr>
          <w:rFonts w:ascii="Times New Roman" w:hAnsi="Times New Roman" w:cs="Times New Roman" w:eastAsia="Times New Roman" w:hint="default"/>
          <w:spacing w:val="-2"/>
        </w:rPr>
        <w:t>39.03%</w:t>
      </w:r>
      <w:r>
        <w:rPr>
          <w:spacing w:val="-2"/>
        </w:rPr>
        <w:t>，在过</w:t>
      </w:r>
      <w:r>
        <w:rPr/>
        <w:t> 去</w:t>
      </w:r>
      <w:r>
        <w:rPr>
          <w:rFonts w:ascii="Times New Roman" w:hAnsi="Times New Roman" w:cs="Times New Roman" w:eastAsia="Times New Roman" w:hint="default"/>
        </w:rPr>
        <w:t>10</w:t>
      </w:r>
      <w:r>
        <w:rPr/>
        <w:t>年未曾有控股的其他上市公司情况。</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公司实际控制人情况详见</w:t>
      </w:r>
      <w:r>
        <w:rPr>
          <w:rFonts w:ascii="Times New Roman" w:hAnsi="Times New Roman" w:cs="Times New Roman" w:eastAsia="Times New Roman" w:hint="default"/>
        </w:rPr>
        <w:t>“2</w:t>
      </w:r>
      <w:r>
        <w:rPr/>
        <w:t>、公司控股股东情况</w:t>
      </w:r>
      <w:r>
        <w:rPr>
          <w:rFonts w:ascii="Times New Roman" w:hAnsi="Times New Roman" w:cs="Times New Roman" w:eastAsia="Times New Roman" w:hint="default"/>
        </w:rPr>
        <w:t>”</w:t>
      </w:r>
      <w:r>
        <w:rPr/>
        <w:t>。</w:t>
      </w:r>
    </w:p>
    <w:p>
      <w:pPr>
        <w:pStyle w:val="BodyText"/>
        <w:spacing w:line="240" w:lineRule="auto" w:before="103"/>
        <w:ind w:left="2993" w:right="0"/>
        <w:jc w:val="left"/>
      </w:pPr>
      <w:r>
        <w:rPr/>
        <w:t>公司与实际控制人之间的产权及控制关系的方框图</w:t>
      </w:r>
    </w:p>
    <w:p>
      <w:pPr>
        <w:spacing w:line="240" w:lineRule="auto" w:before="8"/>
        <w:rPr>
          <w:rFonts w:ascii="宋体" w:hAnsi="宋体" w:cs="宋体" w:eastAsia="宋体" w:hint="default"/>
          <w:sz w:val="11"/>
          <w:szCs w:val="11"/>
        </w:rPr>
      </w:pPr>
    </w:p>
    <w:p>
      <w:pPr>
        <w:spacing w:line="3909" w:lineRule="exact"/>
        <w:ind w:left="1312"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4680042" cy="2482596"/>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6" cstate="print"/>
                    <a:stretch>
                      <a:fillRect/>
                    </a:stretch>
                  </pic:blipFill>
                  <pic:spPr>
                    <a:xfrm>
                      <a:off x="0" y="0"/>
                      <a:ext cx="4680042" cy="2482596"/>
                    </a:xfrm>
                    <a:prstGeom prst="rect">
                      <a:avLst/>
                    </a:prstGeom>
                  </pic:spPr>
                </pic:pic>
              </a:graphicData>
            </a:graphic>
          </wp:inline>
        </w:drawing>
      </w:r>
      <w:r>
        <w:rPr>
          <w:rFonts w:ascii="宋体" w:hAnsi="宋体" w:cs="宋体" w:eastAsia="宋体" w:hint="default"/>
          <w:position w:val="-77"/>
          <w:sz w:val="20"/>
          <w:szCs w:val="20"/>
        </w:rPr>
      </w:r>
    </w:p>
    <w:p>
      <w:pPr>
        <w:spacing w:line="240" w:lineRule="auto" w:before="10"/>
        <w:rPr>
          <w:rFonts w:ascii="宋体" w:hAnsi="宋体" w:cs="宋体" w:eastAsia="宋体" w:hint="default"/>
          <w:sz w:val="20"/>
          <w:szCs w:val="20"/>
        </w:rPr>
      </w:pPr>
    </w:p>
    <w:p>
      <w:pPr>
        <w:pStyle w:val="BodyText"/>
        <w:spacing w:line="240" w:lineRule="auto"/>
        <w:ind w:right="0"/>
        <w:jc w:val="left"/>
      </w:pPr>
      <w:r>
        <w:rPr/>
        <w:t>实际控制人通过信托或其他资产管理方式控制公司</w:t>
      </w:r>
    </w:p>
    <w:p>
      <w:pPr>
        <w:spacing w:line="240" w:lineRule="auto" w:before="1"/>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spacing w:line="544" w:lineRule="auto" w:before="0"/>
        <w:ind w:left="152" w:right="525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b/>
          <w:bCs/>
          <w:w w:val="100"/>
          <w:sz w:val="21"/>
          <w:szCs w:val="21"/>
        </w:rPr>
        <w:t> </w:t>
      </w:r>
      <w:r>
        <w:rPr>
          <w:rFonts w:ascii="宋体" w:hAnsi="宋体" w:cs="宋体" w:eastAsia="宋体" w:hint="default"/>
          <w:sz w:val="18"/>
          <w:szCs w:val="18"/>
        </w:rPr>
        <w:t>报告期内，公司不存在其他持股在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以上的法人股东。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、前</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名有限售条件股东持股数量及限售条件</w:t>
      </w:r>
      <w:r>
        <w:rPr>
          <w:rFonts w:ascii="宋体" w:hAnsi="宋体" w:cs="宋体" w:eastAsia="宋体" w:hint="default"/>
          <w:sz w:val="21"/>
          <w:szCs w:val="21"/>
        </w:rPr>
      </w:r>
    </w:p>
    <w:p>
      <w:pPr>
        <w:spacing w:line="240" w:lineRule="auto" w:before="2"/>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1" w:hanging="452"/>
              <w:jc w:val="left"/>
              <w:rPr>
                <w:rFonts w:ascii="宋体" w:hAnsi="宋体" w:cs="宋体" w:eastAsia="宋体" w:hint="default"/>
                <w:sz w:val="18"/>
                <w:szCs w:val="18"/>
              </w:rPr>
            </w:pPr>
            <w:r>
              <w:rPr>
                <w:rFonts w:ascii="宋体" w:hAnsi="宋体" w:cs="宋体" w:eastAsia="宋体" w:hint="default"/>
                <w:sz w:val="18"/>
                <w:szCs w:val="18"/>
              </w:rPr>
              <w:t>持有的有限售条件股份 数量（股）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70,250,000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李乐霓</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黄伟宁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张瑞斌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李志共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陈爱莲</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r>
    </w:tbl>
    <w:p>
      <w:pPr>
        <w:spacing w:after="0" w:line="240"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高静迟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黄园缘</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潘传丽</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r>
    </w:tbl>
    <w:p>
      <w:pPr>
        <w:spacing w:after="0" w:line="240" w:lineRule="auto"/>
        <w:jc w:val="left"/>
        <w:rPr>
          <w:rFonts w:ascii="宋体" w:hAnsi="宋体" w:cs="宋体" w:eastAsia="宋体" w:hint="default"/>
          <w:sz w:val="18"/>
          <w:szCs w:val="18"/>
        </w:rPr>
        <w:sectPr>
          <w:pgSz w:w="11910" w:h="16840"/>
          <w:pgMar w:header="877" w:footer="1227" w:top="1100" w:bottom="1420" w:left="980" w:right="980"/>
        </w:sectPr>
      </w:pPr>
    </w:p>
    <w:p>
      <w:pPr>
        <w:pStyle w:val="BodyText"/>
        <w:spacing w:line="240" w:lineRule="auto" w:before="15"/>
        <w:ind w:left="0" w:right="213"/>
        <w:jc w:val="right"/>
      </w:pPr>
      <w:r>
        <w:rPr/>
        <w:t>广东安居宝数码科技股份有限公司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61"/>
        <w:ind w:left="3776" w:right="0"/>
        <w:jc w:val="left"/>
        <w:rPr>
          <w:b w:val="0"/>
          <w:bCs w:val="0"/>
        </w:rPr>
      </w:pPr>
      <w:bookmarkStart w:name="_TOC_250003" w:id="7"/>
      <w:r>
        <w:rPr/>
        <w:t>第七节</w:t>
      </w:r>
      <w:r>
        <w:rPr>
          <w:spacing w:val="-8"/>
        </w:rPr>
        <w:t> </w:t>
      </w:r>
      <w:r>
        <w:rPr/>
        <w:t>董事、监事、高级管理人员和员工情况</w:t>
      </w:r>
      <w:bookmarkEnd w:id="7"/>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140" w:right="0"/>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35" w:type="dxa"/>
        <w:tblLayout w:type="fixed"/>
        <w:tblCellMar>
          <w:top w:w="0" w:type="dxa"/>
          <w:left w:w="0" w:type="dxa"/>
          <w:bottom w:w="0" w:type="dxa"/>
          <w:right w:w="0" w:type="dxa"/>
        </w:tblCellMar>
        <w:tblLook w:val="01E0"/>
      </w:tblPr>
      <w:tblGrid>
        <w:gridCol w:w="708"/>
        <w:gridCol w:w="1843"/>
        <w:gridCol w:w="569"/>
        <w:gridCol w:w="566"/>
        <w:gridCol w:w="1277"/>
        <w:gridCol w:w="991"/>
        <w:gridCol w:w="1133"/>
        <w:gridCol w:w="1136"/>
        <w:gridCol w:w="991"/>
        <w:gridCol w:w="994"/>
        <w:gridCol w:w="838"/>
        <w:gridCol w:w="1147"/>
        <w:gridCol w:w="991"/>
        <w:gridCol w:w="874"/>
      </w:tblGrid>
      <w:tr>
        <w:trPr>
          <w:trHeight w:val="1025"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66"/>
              <w:jc w:val="right"/>
              <w:rPr>
                <w:rFonts w:ascii="宋体" w:hAnsi="宋体" w:cs="宋体" w:eastAsia="宋体" w:hint="default"/>
                <w:sz w:val="18"/>
                <w:szCs w:val="18"/>
              </w:rPr>
            </w:pPr>
            <w:r>
              <w:rPr>
                <w:rFonts w:ascii="宋体" w:hAnsi="宋体" w:cs="宋体" w:eastAsia="宋体" w:hint="default"/>
                <w:sz w:val="18"/>
                <w:szCs w:val="18"/>
              </w:rPr>
              <w:t>姓名</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9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9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8" w:right="41"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1" w:firstLine="88"/>
              <w:jc w:val="left"/>
              <w:rPr>
                <w:rFonts w:ascii="宋体" w:hAnsi="宋体" w:cs="宋体" w:eastAsia="宋体" w:hint="default"/>
                <w:sz w:val="18"/>
                <w:szCs w:val="18"/>
              </w:rPr>
            </w:pPr>
            <w:r>
              <w:rPr>
                <w:rFonts w:ascii="宋体" w:hAnsi="宋体" w:cs="宋体" w:eastAsia="宋体" w:hint="default"/>
                <w:sz w:val="18"/>
                <w:szCs w:val="18"/>
              </w:rPr>
              <w:t>本期增持股 份数量（股）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38" w:firstLine="16"/>
              <w:jc w:val="left"/>
              <w:rPr>
                <w:rFonts w:ascii="宋体" w:hAnsi="宋体" w:cs="宋体" w:eastAsia="宋体" w:hint="default"/>
                <w:sz w:val="18"/>
                <w:szCs w:val="18"/>
              </w:rPr>
            </w:pPr>
            <w:r>
              <w:rPr>
                <w:rFonts w:ascii="宋体" w:hAnsi="宋体" w:cs="宋体" w:eastAsia="宋体" w:hint="default"/>
                <w:sz w:val="18"/>
                <w:szCs w:val="18"/>
              </w:rPr>
              <w:t>本期减持股 </w:t>
            </w:r>
            <w:r>
              <w:rPr>
                <w:rFonts w:ascii="宋体" w:hAnsi="宋体" w:cs="宋体" w:eastAsia="宋体" w:hint="default"/>
                <w:spacing w:val="-12"/>
                <w:sz w:val="18"/>
                <w:szCs w:val="18"/>
              </w:rPr>
              <w:t>份数量（股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4"/>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3"/>
                <w:sz w:val="18"/>
                <w:szCs w:val="18"/>
              </w:rPr>
              <w:t> </w:t>
            </w:r>
            <w:r>
              <w:rPr>
                <w:rFonts w:ascii="宋体" w:hAnsi="宋体" w:cs="宋体" w:eastAsia="宋体" w:hint="default"/>
                <w:sz w:val="18"/>
                <w:szCs w:val="18"/>
              </w:rPr>
              <w:t>（股）</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53" w:firstLine="31"/>
              <w:jc w:val="both"/>
              <w:rPr>
                <w:rFonts w:ascii="宋体" w:hAnsi="宋体" w:cs="宋体" w:eastAsia="宋体" w:hint="default"/>
                <w:sz w:val="18"/>
                <w:szCs w:val="18"/>
              </w:rPr>
            </w:pPr>
            <w:r>
              <w:rPr>
                <w:rFonts w:ascii="宋体" w:hAnsi="宋体" w:cs="宋体" w:eastAsia="宋体" w:hint="default"/>
                <w:sz w:val="18"/>
                <w:szCs w:val="18"/>
              </w:rPr>
              <w:t>期初持有 股票期权 </w:t>
            </w:r>
            <w:r>
              <w:rPr>
                <w:rFonts w:ascii="宋体" w:hAnsi="宋体" w:cs="宋体" w:eastAsia="宋体" w:hint="default"/>
                <w:spacing w:val="-8"/>
                <w:sz w:val="18"/>
                <w:szCs w:val="18"/>
              </w:rPr>
              <w:t>数量（股</w:t>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6" w:right="29"/>
              <w:jc w:val="left"/>
              <w:rPr>
                <w:rFonts w:ascii="宋体" w:hAnsi="宋体" w:cs="宋体" w:eastAsia="宋体" w:hint="default"/>
                <w:sz w:val="18"/>
                <w:szCs w:val="18"/>
              </w:rPr>
            </w:pPr>
            <w:r>
              <w:rPr>
                <w:rFonts w:ascii="宋体" w:hAnsi="宋体" w:cs="宋体" w:eastAsia="宋体" w:hint="default"/>
                <w:sz w:val="18"/>
                <w:szCs w:val="18"/>
              </w:rPr>
              <w:t>其中：被授予 的限制性股票</w:t>
            </w:r>
          </w:p>
          <w:p>
            <w:pPr>
              <w:pStyle w:val="TableParagraph"/>
              <w:spacing w:line="240" w:lineRule="auto" w:before="21"/>
              <w:ind w:left="-12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27"/>
                <w:sz w:val="18"/>
                <w:szCs w:val="18"/>
              </w:rPr>
              <w:t> </w:t>
            </w:r>
            <w:r>
              <w:rPr>
                <w:rFonts w:ascii="宋体" w:hAnsi="宋体" w:cs="宋体" w:eastAsia="宋体" w:hint="default"/>
                <w:sz w:val="18"/>
                <w:szCs w:val="18"/>
              </w:rPr>
              <w:t>数量（股）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8" w:right="41"/>
              <w:jc w:val="center"/>
              <w:rPr>
                <w:rFonts w:ascii="宋体" w:hAnsi="宋体" w:cs="宋体" w:eastAsia="宋体" w:hint="default"/>
                <w:sz w:val="18"/>
                <w:szCs w:val="18"/>
              </w:rPr>
            </w:pPr>
            <w:r>
              <w:rPr>
                <w:rFonts w:ascii="宋体" w:hAnsi="宋体" w:cs="宋体" w:eastAsia="宋体" w:hint="default"/>
                <w:sz w:val="18"/>
                <w:szCs w:val="18"/>
              </w:rPr>
              <w:t>期末持有股 票期权数量</w:t>
            </w:r>
          </w:p>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（股）</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2009.03.09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2015.04.05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70,250,000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70,250,000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2009.03.09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2015.04.05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48,500,000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李乐霓</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2009.03.09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2015.04.05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柳晓川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2009.03.09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2015.04.05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杨如旺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Times New Roman" w:hAnsi="Times New Roman" w:cs="Times New Roman" w:eastAsia="Times New Roman" w:hint="default"/>
                <w:sz w:val="18"/>
                <w:szCs w:val="18"/>
              </w:rPr>
            </w:pPr>
            <w:r>
              <w:rPr>
                <w:rFonts w:ascii="Times New Roman"/>
                <w:sz w:val="18"/>
              </w:rPr>
              <w:t>2012.05.08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Times New Roman" w:hAnsi="Times New Roman" w:cs="Times New Roman" w:eastAsia="Times New Roman" w:hint="default"/>
                <w:sz w:val="18"/>
                <w:szCs w:val="18"/>
              </w:rPr>
            </w:pPr>
            <w:r>
              <w:rPr>
                <w:rFonts w:ascii="Times New Roman"/>
                <w:sz w:val="18"/>
              </w:rPr>
              <w:t>2015.05.07</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李建辉</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 w:right="0"/>
              <w:jc w:val="left"/>
              <w:rPr>
                <w:rFonts w:ascii="Times New Roman" w:hAnsi="Times New Roman" w:cs="Times New Roman" w:eastAsia="Times New Roman" w:hint="default"/>
                <w:sz w:val="18"/>
                <w:szCs w:val="18"/>
              </w:rPr>
            </w:pPr>
            <w:r>
              <w:rPr>
                <w:rFonts w:ascii="Times New Roman"/>
                <w:sz w:val="18"/>
              </w:rPr>
              <w:t>2012.04.06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 w:right="0"/>
              <w:jc w:val="left"/>
              <w:rPr>
                <w:rFonts w:ascii="Times New Roman" w:hAnsi="Times New Roman" w:cs="Times New Roman" w:eastAsia="Times New Roman" w:hint="default"/>
                <w:sz w:val="18"/>
                <w:szCs w:val="18"/>
              </w:rPr>
            </w:pPr>
            <w:r>
              <w:rPr>
                <w:rFonts w:ascii="Times New Roman"/>
                <w:sz w:val="18"/>
              </w:rPr>
              <w:t>2015.04.05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张方方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2012.05.08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2015.05.07</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李定安</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2009.03.09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2012.03.08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范文梅</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2009.03.09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2015.04.05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袁丽莎</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2012.04.06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2015.04.05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罗莹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2012.03.15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2015.04.05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黄伟宁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董事会秘书、副总经理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18"/>
                <w:szCs w:val="18"/>
              </w:rPr>
            </w:pPr>
            <w:r>
              <w:rPr>
                <w:rFonts w:ascii="Times New Roman"/>
                <w:sz w:val="18"/>
              </w:rPr>
              <w:t>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1" w:right="0"/>
              <w:jc w:val="left"/>
              <w:rPr>
                <w:rFonts w:ascii="Times New Roman" w:hAnsi="Times New Roman" w:cs="Times New Roman" w:eastAsia="Times New Roman" w:hint="default"/>
                <w:sz w:val="18"/>
                <w:szCs w:val="18"/>
              </w:rPr>
            </w:pPr>
            <w:r>
              <w:rPr>
                <w:rFonts w:ascii="Times New Roman"/>
                <w:sz w:val="18"/>
              </w:rPr>
              <w:t>2009.03.09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1" w:right="0"/>
              <w:jc w:val="left"/>
              <w:rPr>
                <w:rFonts w:ascii="Times New Roman" w:hAnsi="Times New Roman" w:cs="Times New Roman" w:eastAsia="Times New Roman" w:hint="default"/>
                <w:sz w:val="18"/>
                <w:szCs w:val="18"/>
              </w:rPr>
            </w:pPr>
            <w:r>
              <w:rPr>
                <w:rFonts w:ascii="Times New Roman"/>
                <w:sz w:val="18"/>
              </w:rPr>
              <w:t>2015.04.05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18"/>
                <w:szCs w:val="18"/>
              </w:rPr>
            </w:pPr>
            <w:r>
              <w:rPr>
                <w:rFonts w:ascii="Times New Roman"/>
                <w:spacing w:val="-1"/>
                <w:sz w:val="18"/>
              </w:rPr>
              <w:t>625,000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18"/>
                <w:szCs w:val="18"/>
              </w:rPr>
            </w:pPr>
            <w:r>
              <w:rPr>
                <w:rFonts w:ascii="Times New Roman"/>
                <w:spacing w:val="-1"/>
                <w:sz w:val="18"/>
              </w:rPr>
              <w:t>625,000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黄光明</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2011.08.12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2015.04.05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张瑞斌</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z w:val="18"/>
              </w:rPr>
              <w:t>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1" w:right="0"/>
              <w:jc w:val="left"/>
              <w:rPr>
                <w:rFonts w:ascii="Times New Roman" w:hAnsi="Times New Roman" w:cs="Times New Roman" w:eastAsia="Times New Roman" w:hint="default"/>
                <w:sz w:val="18"/>
                <w:szCs w:val="18"/>
              </w:rPr>
            </w:pPr>
            <w:r>
              <w:rPr>
                <w:rFonts w:ascii="Times New Roman"/>
                <w:sz w:val="18"/>
              </w:rPr>
              <w:t>2009.03.09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1" w:right="0"/>
              <w:jc w:val="left"/>
              <w:rPr>
                <w:rFonts w:ascii="Times New Roman" w:hAnsi="Times New Roman" w:cs="Times New Roman" w:eastAsia="Times New Roman" w:hint="default"/>
                <w:sz w:val="18"/>
                <w:szCs w:val="18"/>
              </w:rPr>
            </w:pPr>
            <w:r>
              <w:rPr>
                <w:rFonts w:ascii="Times New Roman"/>
                <w:sz w:val="18"/>
              </w:rPr>
              <w:t>2015.04.05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625,000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625,000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6"/>
              <w:jc w:val="right"/>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122,575,000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122,575,000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27"/>
        <w:ind w:left="7010" w:right="7087"/>
        <w:jc w:val="center"/>
        <w:rPr>
          <w:rFonts w:ascii="Times New Roman" w:hAnsi="Times New Roman" w:cs="Times New Roman" w:eastAsia="Times New Roman" w:hint="default"/>
        </w:rPr>
      </w:pPr>
      <w:r>
        <w:rPr>
          <w:rFonts w:ascii="Times New Roman"/>
        </w:rPr>
        <w:t>50</w:t>
      </w:r>
    </w:p>
    <w:p>
      <w:pPr>
        <w:spacing w:after="0" w:line="240" w:lineRule="auto"/>
        <w:jc w:val="center"/>
        <w:rPr>
          <w:rFonts w:ascii="Times New Roman" w:hAnsi="Times New Roman" w:cs="Times New Roman" w:eastAsia="Times New Roman" w:hint="default"/>
        </w:rPr>
        <w:sectPr>
          <w:headerReference w:type="default" r:id="rId27"/>
          <w:footerReference w:type="default" r:id="rId28"/>
          <w:pgSz w:w="16840" w:h="11910" w:orient="landscape"/>
          <w:pgMar w:header="0" w:footer="0" w:top="800" w:bottom="280" w:left="1300" w:right="1220"/>
        </w:sectPr>
      </w:pPr>
    </w:p>
    <w:p>
      <w:pPr>
        <w:spacing w:line="240" w:lineRule="auto" w:before="9"/>
        <w:rPr>
          <w:rFonts w:ascii="Times New Roman" w:hAnsi="Times New Roman" w:cs="Times New Roman" w:eastAsia="Times New Roman" w:hint="default"/>
          <w:sz w:val="24"/>
          <w:szCs w:val="24"/>
        </w:rPr>
      </w:pPr>
    </w:p>
    <w:p>
      <w:pPr>
        <w:pStyle w:val="BodyText"/>
        <w:spacing w:line="319" w:lineRule="auto" w:before="44"/>
        <w:ind w:right="191" w:firstLine="360"/>
        <w:jc w:val="both"/>
      </w:pPr>
      <w:r>
        <w:rPr/>
        <w:t>公司第一届董事会已于</w:t>
      </w:r>
      <w:r>
        <w:rPr>
          <w:rFonts w:ascii="宋体" w:hAnsi="宋体" w:cs="宋体" w:eastAsia="宋体" w:hint="default"/>
        </w:rPr>
        <w:t>2012</w:t>
      </w:r>
      <w:r>
        <w:rPr/>
        <w:t>年</w:t>
      </w:r>
      <w:r>
        <w:rPr>
          <w:rFonts w:ascii="宋体" w:hAnsi="宋体" w:cs="宋体" w:eastAsia="宋体" w:hint="default"/>
        </w:rPr>
        <w:t>3</w:t>
      </w:r>
      <w:r>
        <w:rPr/>
        <w:t>月任期届满。公司</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6</w:t>
      </w:r>
      <w:r>
        <w:rPr/>
        <w:t>日召开的</w:t>
      </w:r>
      <w:r>
        <w:rPr>
          <w:rFonts w:ascii="宋体" w:hAnsi="宋体" w:cs="宋体" w:eastAsia="宋体" w:hint="default"/>
        </w:rPr>
        <w:t>2011</w:t>
      </w:r>
      <w:r>
        <w:rPr/>
        <w:t>年年度股东大会选举张波先生、张频先生、 </w:t>
      </w:r>
      <w:r>
        <w:rPr>
          <w:spacing w:val="-2"/>
        </w:rPr>
        <w:t>李乐霓女士为第二届董事会非独立董事；选举柳晓川先生、李建辉先生为第二届董事会独立董事，原独立董事李定安先生任</w:t>
      </w:r>
      <w:r>
        <w:rPr>
          <w:spacing w:val="-63"/>
        </w:rPr>
        <w:t> </w:t>
      </w:r>
      <w:r>
        <w:rPr>
          <w:spacing w:val="-63"/>
        </w:rPr>
      </w:r>
      <w:r>
        <w:rPr>
          <w:spacing w:val="-2"/>
        </w:rPr>
        <w:t>期满后因个人原因不再担任公司独立董事职务。公司</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8</w:t>
      </w:r>
      <w:r>
        <w:rPr>
          <w:spacing w:val="-2"/>
        </w:rPr>
        <w:t>日召开的</w:t>
      </w:r>
      <w:r>
        <w:rPr>
          <w:rFonts w:ascii="宋体" w:hAnsi="宋体" w:cs="宋体" w:eastAsia="宋体" w:hint="default"/>
          <w:spacing w:val="-2"/>
        </w:rPr>
        <w:t>2012</w:t>
      </w:r>
      <w:r>
        <w:rPr>
          <w:spacing w:val="-2"/>
        </w:rPr>
        <w:t>年第一次临时股东大会选举杨如旺先生、张方</w:t>
      </w:r>
      <w:r>
        <w:rPr>
          <w:spacing w:val="-58"/>
        </w:rPr>
        <w:t> </w:t>
      </w:r>
      <w:r>
        <w:rPr>
          <w:spacing w:val="-58"/>
        </w:rPr>
      </w:r>
      <w:r>
        <w:rPr/>
        <w:t>方女士为第二届董事会独立董事。上述</w:t>
      </w:r>
      <w:r>
        <w:rPr>
          <w:rFonts w:ascii="宋体" w:hAnsi="宋体" w:cs="宋体" w:eastAsia="宋体" w:hint="default"/>
        </w:rPr>
        <w:t>7</w:t>
      </w:r>
      <w:r>
        <w:rPr/>
        <w:t>人共同组成公司第二届董事会，任期三年。</w:t>
      </w:r>
    </w:p>
    <w:p>
      <w:pPr>
        <w:pStyle w:val="BodyText"/>
        <w:spacing w:line="316" w:lineRule="auto" w:before="17"/>
        <w:ind w:right="184" w:firstLine="360"/>
        <w:jc w:val="left"/>
      </w:pPr>
      <w:r>
        <w:rPr/>
        <w:t>公司第一届监事会已于</w:t>
      </w:r>
      <w:r>
        <w:rPr>
          <w:rFonts w:ascii="宋体" w:hAnsi="宋体" w:cs="宋体" w:eastAsia="宋体" w:hint="default"/>
        </w:rPr>
        <w:t>2012</w:t>
      </w:r>
      <w:r>
        <w:rPr/>
        <w:t>年</w:t>
      </w:r>
      <w:r>
        <w:rPr>
          <w:rFonts w:ascii="宋体" w:hAnsi="宋体" w:cs="宋体" w:eastAsia="宋体" w:hint="default"/>
        </w:rPr>
        <w:t>3</w:t>
      </w:r>
      <w:r>
        <w:rPr/>
        <w:t>月任期届满。公司</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6</w:t>
      </w:r>
      <w:r>
        <w:rPr/>
        <w:t>日召开的</w:t>
      </w:r>
      <w:r>
        <w:rPr>
          <w:rFonts w:ascii="宋体" w:hAnsi="宋体" w:cs="宋体" w:eastAsia="宋体" w:hint="default"/>
        </w:rPr>
        <w:t>2011</w:t>
      </w:r>
      <w:r>
        <w:rPr/>
        <w:t>年度股东大会选举范文梅女士、袁丽莎女士 为公司股东代表监事，并与职工代表监事罗莹女士组成第二届监事会，任期三年。</w:t>
      </w:r>
    </w:p>
    <w:p>
      <w:pPr>
        <w:spacing w:line="240" w:lineRule="auto" w:before="11"/>
        <w:rPr>
          <w:rFonts w:ascii="宋体" w:hAnsi="宋体" w:cs="宋体" w:eastAsia="宋体" w:hint="default"/>
          <w:sz w:val="20"/>
          <w:szCs w:val="20"/>
        </w:rPr>
      </w:pPr>
    </w:p>
    <w:p>
      <w:pPr>
        <w:pStyle w:val="Heading2"/>
        <w:spacing w:line="240" w:lineRule="auto"/>
        <w:ind w:right="88"/>
        <w:jc w:val="left"/>
        <w:rPr>
          <w:b w:val="0"/>
          <w:bCs w:val="0"/>
        </w:rPr>
      </w:pPr>
      <w:r>
        <w:rPr/>
        <w:t>二、任职情况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88"/>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240" w:lineRule="auto" w:before="101"/>
        <w:ind w:right="88"/>
        <w:jc w:val="left"/>
      </w:pPr>
      <w:r>
        <w:rPr>
          <w:rFonts w:ascii="Times New Roman" w:hAnsi="Times New Roman" w:cs="Times New Roman" w:eastAsia="Times New Roman" w:hint="default"/>
        </w:rPr>
        <w:t>1</w:t>
      </w:r>
      <w:r>
        <w:rPr/>
        <w:t>、董事会成员</w:t>
      </w:r>
    </w:p>
    <w:p>
      <w:pPr>
        <w:pStyle w:val="BodyText"/>
        <w:spacing w:line="300" w:lineRule="auto" w:before="63"/>
        <w:ind w:right="188" w:firstLine="432"/>
        <w:jc w:val="left"/>
      </w:pPr>
      <w:r>
        <w:rPr/>
        <w:t>张波先生</w:t>
      </w:r>
      <w:r>
        <w:rPr>
          <w:rFonts w:ascii="Times New Roman" w:hAnsi="Times New Roman" w:cs="Times New Roman" w:eastAsia="Times New Roman" w:hint="default"/>
        </w:rPr>
        <w:t>:1963</w:t>
      </w:r>
      <w:r>
        <w:rPr/>
        <w:t>年出生，毕业于华南工学院</w:t>
      </w:r>
      <w:r>
        <w:rPr>
          <w:rFonts w:ascii="Times New Roman" w:hAnsi="Times New Roman" w:cs="Times New Roman" w:eastAsia="Times New Roman" w:hint="default"/>
        </w:rPr>
        <w:t>(</w:t>
      </w:r>
      <w:r>
        <w:rPr/>
        <w:t>现华南理工大学</w:t>
      </w:r>
      <w:r>
        <w:rPr>
          <w:rFonts w:ascii="Times New Roman" w:hAnsi="Times New Roman" w:cs="Times New Roman" w:eastAsia="Times New Roman" w:hint="default"/>
        </w:rPr>
        <w:t>)</w:t>
      </w:r>
      <w:r>
        <w:rPr/>
        <w:t>计算机系，获学士学位。曾任职于广东电子研究所担任技 </w:t>
      </w:r>
      <w:r>
        <w:rPr>
          <w:spacing w:val="-1"/>
        </w:rPr>
        <w:t>术骨干</w:t>
      </w:r>
      <w:r>
        <w:rPr>
          <w:rFonts w:ascii="Times New Roman" w:hAnsi="Times New Roman" w:cs="Times New Roman" w:eastAsia="Times New Roman" w:hint="default"/>
          <w:spacing w:val="-1"/>
        </w:rPr>
        <w:t>,</w:t>
      </w:r>
      <w:r>
        <w:rPr>
          <w:spacing w:val="-1"/>
        </w:rPr>
        <w:t>并先后担任过大型电子公司厂长、总经理等职务</w:t>
      </w:r>
      <w:r>
        <w:rPr>
          <w:rFonts w:ascii="Times New Roman" w:hAnsi="Times New Roman" w:cs="Times New Roman" w:eastAsia="Times New Roman" w:hint="default"/>
          <w:spacing w:val="-1"/>
        </w:rPr>
        <w:t>;</w:t>
      </w:r>
      <w:r>
        <w:rPr>
          <w:spacing w:val="-1"/>
        </w:rPr>
        <w:t>是本公司及安居宝品牌的主要创始人</w:t>
      </w:r>
      <w:r>
        <w:rPr>
          <w:rFonts w:ascii="Times New Roman" w:hAnsi="Times New Roman" w:cs="Times New Roman" w:eastAsia="Times New Roman" w:hint="default"/>
          <w:spacing w:val="-1"/>
        </w:rPr>
        <w:t>,</w:t>
      </w:r>
      <w:r>
        <w:rPr>
          <w:spacing w:val="-1"/>
        </w:rPr>
        <w:t>目前担任本公司董事长兼总经</w:t>
      </w:r>
      <w:r>
        <w:rPr>
          <w:spacing w:val="-78"/>
        </w:rPr>
        <w:t> </w:t>
      </w:r>
      <w:r>
        <w:rPr/>
        <w:t>理</w:t>
      </w:r>
      <w:r>
        <w:rPr>
          <w:rFonts w:ascii="Times New Roman" w:hAnsi="Times New Roman" w:cs="Times New Roman" w:eastAsia="Times New Roman" w:hint="default"/>
        </w:rPr>
        <w:t>.</w:t>
      </w:r>
      <w:r>
        <w:rPr/>
        <w:t>张波先生是楼宇对讲行业标准的起草者之一</w:t>
      </w:r>
      <w:r>
        <w:rPr>
          <w:rFonts w:ascii="Times New Roman" w:hAnsi="Times New Roman" w:cs="Times New Roman" w:eastAsia="Times New Roman" w:hint="default"/>
        </w:rPr>
        <w:t>,</w:t>
      </w:r>
      <w:r>
        <w:rPr/>
        <w:t>曾被评为</w:t>
      </w:r>
      <w:r>
        <w:rPr>
          <w:rFonts w:ascii="Times New Roman" w:hAnsi="Times New Roman" w:cs="Times New Roman" w:eastAsia="Times New Roman" w:hint="default"/>
        </w:rPr>
        <w:t>"</w:t>
      </w:r>
      <w:r>
        <w:rPr/>
        <w:t>中国安防十大领军人物</w:t>
      </w:r>
      <w:r>
        <w:rPr>
          <w:rFonts w:ascii="Times New Roman" w:hAnsi="Times New Roman" w:cs="Times New Roman" w:eastAsia="Times New Roman" w:hint="default"/>
        </w:rPr>
        <w:t>",</w:t>
      </w:r>
      <w:r>
        <w:rPr/>
        <w:t>获得</w:t>
      </w:r>
      <w:r>
        <w:rPr>
          <w:rFonts w:ascii="Times New Roman" w:hAnsi="Times New Roman" w:cs="Times New Roman" w:eastAsia="Times New Roman" w:hint="default"/>
        </w:rPr>
        <w:t>"</w:t>
      </w:r>
      <w:r>
        <w:rPr/>
        <w:t>中国安防十年开拓奖</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改革开放 </w:t>
      </w:r>
      <w:r>
        <w:rPr>
          <w:rFonts w:ascii="Times New Roman" w:hAnsi="Times New Roman" w:cs="Times New Roman" w:eastAsia="Times New Roman" w:hint="default"/>
        </w:rPr>
        <w:t>30</w:t>
      </w:r>
      <w:r>
        <w:rPr/>
        <w:t>年影响中国安防</w:t>
      </w:r>
      <w:r>
        <w:rPr>
          <w:rFonts w:ascii="Times New Roman" w:hAnsi="Times New Roman" w:cs="Times New Roman" w:eastAsia="Times New Roman" w:hint="default"/>
        </w:rPr>
        <w:t>30</w:t>
      </w:r>
      <w:r>
        <w:rPr/>
        <w:t>人</w:t>
      </w:r>
      <w:r>
        <w:rPr>
          <w:rFonts w:ascii="Times New Roman" w:hAnsi="Times New Roman" w:cs="Times New Roman" w:eastAsia="Times New Roman" w:hint="default"/>
        </w:rPr>
        <w:t>"</w:t>
      </w:r>
      <w:r>
        <w:rPr/>
        <w:t>殊荣</w:t>
      </w:r>
      <w:r>
        <w:rPr>
          <w:rFonts w:ascii="Times New Roman" w:hAnsi="Times New Roman" w:cs="Times New Roman" w:eastAsia="Times New Roman" w:hint="default"/>
        </w:rPr>
        <w:t>,2009</w:t>
      </w:r>
      <w:r>
        <w:rPr/>
        <w:t>年被广东省安全技术防范行业协会聘任为</w:t>
      </w:r>
      <w:r>
        <w:rPr>
          <w:rFonts w:ascii="Times New Roman" w:hAnsi="Times New Roman" w:cs="Times New Roman" w:eastAsia="Times New Roman" w:hint="default"/>
        </w:rPr>
        <w:t>"</w:t>
      </w:r>
      <w:r>
        <w:rPr/>
        <w:t>广东省安全技术防范专家委员会专家</w:t>
      </w:r>
      <w:r>
        <w:rPr>
          <w:rFonts w:ascii="Times New Roman" w:hAnsi="Times New Roman" w:cs="Times New Roman" w:eastAsia="Times New Roman" w:hint="default"/>
        </w:rPr>
        <w:t>"</w:t>
      </w:r>
      <w:r>
        <w:rPr/>
        <w:t>。目前担 任公司董事长兼总经理。</w:t>
      </w:r>
    </w:p>
    <w:p>
      <w:pPr>
        <w:pStyle w:val="BodyText"/>
        <w:spacing w:line="300" w:lineRule="auto" w:before="31"/>
        <w:ind w:right="107" w:firstLine="432"/>
        <w:jc w:val="left"/>
      </w:pPr>
      <w:r>
        <w:rPr/>
        <w:t>张频先生</w:t>
      </w:r>
      <w:r>
        <w:rPr>
          <w:rFonts w:ascii="Times New Roman" w:hAnsi="Times New Roman" w:cs="Times New Roman" w:eastAsia="Times New Roman" w:hint="default"/>
        </w:rPr>
        <w:t>:1966</w:t>
      </w:r>
      <w:r>
        <w:rPr/>
        <w:t>年出生</w:t>
      </w:r>
      <w:r>
        <w:rPr>
          <w:rFonts w:ascii="Times New Roman" w:hAnsi="Times New Roman" w:cs="Times New Roman" w:eastAsia="Times New Roman" w:hint="default"/>
        </w:rPr>
        <w:t>.2003</w:t>
      </w:r>
      <w:r>
        <w:rPr/>
        <w:t>年至今，先后担任广州市安居宝科技有限公司、广州市安居宝数码科技有限公司副总经理， 目前担任公司副董事长兼副总经理。</w:t>
      </w:r>
    </w:p>
    <w:p>
      <w:pPr>
        <w:pStyle w:val="BodyText"/>
        <w:spacing w:line="300" w:lineRule="auto" w:before="31"/>
        <w:ind w:right="138" w:firstLine="432"/>
        <w:jc w:val="left"/>
      </w:pPr>
      <w:r>
        <w:rPr/>
        <w:t>李乐霓女士</w:t>
      </w:r>
      <w:r>
        <w:rPr>
          <w:rFonts w:ascii="Times New Roman" w:hAnsi="Times New Roman" w:cs="Times New Roman" w:eastAsia="Times New Roman" w:hint="default"/>
        </w:rPr>
        <w:t>:1964</w:t>
      </w:r>
      <w:r>
        <w:rPr>
          <w:rFonts w:ascii="Times New Roman" w:hAnsi="Times New Roman" w:cs="Times New Roman" w:eastAsia="Times New Roman" w:hint="default"/>
          <w:spacing w:val="26"/>
        </w:rPr>
        <w:t> </w:t>
      </w:r>
      <w:r>
        <w:rPr/>
        <w:t>年出生</w:t>
      </w:r>
      <w:r>
        <w:rPr>
          <w:rFonts w:ascii="Times New Roman" w:hAnsi="Times New Roman" w:cs="Times New Roman" w:eastAsia="Times New Roman" w:hint="default"/>
        </w:rPr>
        <w:t>,</w:t>
      </w:r>
      <w:r>
        <w:rPr/>
        <w:t>毕业于广东工业大学</w:t>
      </w:r>
      <w:r>
        <w:rPr>
          <w:rFonts w:ascii="Times New Roman" w:hAnsi="Times New Roman" w:cs="Times New Roman" w:eastAsia="Times New Roman" w:hint="default"/>
        </w:rPr>
        <w:t>(</w:t>
      </w:r>
      <w:r>
        <w:rPr/>
        <w:t>原名广东省建筑工程专科学院</w:t>
      </w:r>
      <w:r>
        <w:rPr>
          <w:rFonts w:ascii="Times New Roman" w:hAnsi="Times New Roman" w:cs="Times New Roman" w:eastAsia="Times New Roman" w:hint="default"/>
        </w:rPr>
        <w:t>)</w:t>
      </w:r>
      <w:r>
        <w:rPr/>
        <w:t>工业与民用建筑专业班</w:t>
      </w:r>
      <w:r>
        <w:rPr>
          <w:rFonts w:ascii="Times New Roman" w:hAnsi="Times New Roman" w:cs="Times New Roman" w:eastAsia="Times New Roman" w:hint="default"/>
        </w:rPr>
        <w:t>.</w:t>
      </w:r>
      <w:r>
        <w:rPr/>
        <w:t>曾任职于广州市 东山建筑设计院从事建筑设计工作</w:t>
      </w:r>
      <w:r>
        <w:rPr>
          <w:rFonts w:ascii="Times New Roman" w:hAnsi="Times New Roman" w:cs="Times New Roman" w:eastAsia="Times New Roman" w:hint="default"/>
        </w:rPr>
        <w:t>,</w:t>
      </w:r>
      <w:r>
        <w:rPr/>
        <w:t>并于 </w:t>
      </w:r>
      <w:r>
        <w:rPr>
          <w:rFonts w:ascii="Times New Roman" w:hAnsi="Times New Roman" w:cs="Times New Roman" w:eastAsia="Times New Roman" w:hint="default"/>
        </w:rPr>
        <w:t>1992 </w:t>
      </w:r>
      <w:r>
        <w:rPr/>
        <w:t>年 </w:t>
      </w:r>
      <w:r>
        <w:rPr>
          <w:rFonts w:ascii="Times New Roman" w:hAnsi="Times New Roman" w:cs="Times New Roman" w:eastAsia="Times New Roman" w:hint="default"/>
        </w:rPr>
        <w:t>12 </w:t>
      </w:r>
      <w:r>
        <w:rPr/>
        <w:t>月被评审为建筑工程师</w:t>
      </w:r>
      <w:r>
        <w:rPr>
          <w:rFonts w:ascii="Times New Roman" w:hAnsi="Times New Roman" w:cs="Times New Roman" w:eastAsia="Times New Roman" w:hint="default"/>
        </w:rPr>
        <w:t>;2002</w:t>
      </w:r>
      <w:r>
        <w:rPr>
          <w:rFonts w:ascii="Times New Roman" w:hAnsi="Times New Roman" w:cs="Times New Roman" w:eastAsia="Times New Roman" w:hint="default"/>
          <w:spacing w:val="41"/>
        </w:rPr>
        <w:t> </w:t>
      </w:r>
      <w:r>
        <w:rPr/>
        <w:t>年</w:t>
      </w:r>
      <w:r>
        <w:rPr>
          <w:rFonts w:ascii="Times New Roman" w:hAnsi="Times New Roman" w:cs="Times New Roman" w:eastAsia="Times New Roman" w:hint="default"/>
        </w:rPr>
        <w:t>,</w:t>
      </w:r>
      <w:r>
        <w:rPr/>
        <w:t>先后担任广州市安居宝科技有限公司、 广州市安居宝数码科技有限公司监事、审计部部长</w:t>
      </w:r>
      <w:r>
        <w:rPr>
          <w:rFonts w:ascii="Times New Roman" w:hAnsi="Times New Roman" w:cs="Times New Roman" w:eastAsia="Times New Roman" w:hint="default"/>
        </w:rPr>
        <w:t>,</w:t>
      </w:r>
      <w:r>
        <w:rPr/>
        <w:t>目前担任本公司董事。</w:t>
      </w:r>
    </w:p>
    <w:p>
      <w:pPr>
        <w:pStyle w:val="BodyText"/>
        <w:spacing w:line="300" w:lineRule="auto" w:before="13"/>
        <w:ind w:right="88" w:firstLine="360"/>
        <w:jc w:val="left"/>
      </w:pPr>
      <w:r>
        <w:rPr/>
        <w:t>柳晓川先生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w:t>
      </w:r>
      <w:r>
        <w:rPr/>
        <w:t>男</w:t>
      </w:r>
      <w:r>
        <w:rPr>
          <w:rFonts w:ascii="Times New Roman" w:hAnsi="Times New Roman" w:cs="Times New Roman" w:eastAsia="Times New Roman" w:hint="default"/>
        </w:rPr>
        <w:t>,1942</w:t>
      </w:r>
      <w:r>
        <w:rPr/>
        <w:t>年生</w:t>
      </w:r>
      <w:r>
        <w:rPr>
          <w:rFonts w:ascii="Times New Roman" w:hAnsi="Times New Roman" w:cs="Times New Roman" w:eastAsia="Times New Roman" w:hint="default"/>
        </w:rPr>
        <w:t>,</w:t>
      </w:r>
      <w:r>
        <w:rPr/>
        <w:t>大学本科毕业</w:t>
      </w:r>
      <w:r>
        <w:rPr>
          <w:rFonts w:ascii="Times New Roman" w:hAnsi="Times New Roman" w:cs="Times New Roman" w:eastAsia="Times New Roman" w:hint="default"/>
        </w:rPr>
        <w:t>(</w:t>
      </w:r>
      <w:r>
        <w:rPr/>
        <w:t>硕士研究生班结业</w:t>
      </w:r>
      <w:r>
        <w:rPr>
          <w:rFonts w:ascii="Times New Roman" w:hAnsi="Times New Roman" w:cs="Times New Roman" w:eastAsia="Times New Roman" w:hint="default"/>
        </w:rPr>
        <w:t>),</w:t>
      </w:r>
      <w:r>
        <w:rPr/>
        <w:t>技术职称为研究员</w:t>
      </w:r>
      <w:r>
        <w:rPr>
          <w:rFonts w:ascii="Times New Roman" w:hAnsi="Times New Roman" w:cs="Times New Roman" w:eastAsia="Times New Roman" w:hint="default"/>
        </w:rPr>
        <w:t>.</w:t>
      </w:r>
      <w:r>
        <w:rPr/>
        <w:t>曾先后担任公安部第一研究所 </w:t>
      </w:r>
      <w:r>
        <w:rPr>
          <w:spacing w:val="-2"/>
        </w:rPr>
        <w:t>项目组长、研究室副主任、主任、副所长</w:t>
      </w:r>
      <w:r>
        <w:rPr>
          <w:rFonts w:ascii="Times New Roman" w:hAnsi="Times New Roman" w:cs="Times New Roman" w:eastAsia="Times New Roman" w:hint="default"/>
          <w:spacing w:val="-2"/>
        </w:rPr>
        <w:t>,</w:t>
      </w:r>
      <w:r>
        <w:rPr>
          <w:spacing w:val="-2"/>
        </w:rPr>
        <w:t>公安部计算机通信局副局长、局长</w:t>
      </w:r>
      <w:r>
        <w:rPr>
          <w:rFonts w:ascii="Times New Roman" w:hAnsi="Times New Roman" w:cs="Times New Roman" w:eastAsia="Times New Roman" w:hint="default"/>
          <w:spacing w:val="-2"/>
        </w:rPr>
        <w:t>,</w:t>
      </w:r>
      <w:r>
        <w:rPr>
          <w:spacing w:val="-2"/>
        </w:rPr>
        <w:t>中国人民公安大学校长</w:t>
      </w:r>
      <w:r>
        <w:rPr>
          <w:rFonts w:ascii="Times New Roman" w:hAnsi="Times New Roman" w:cs="Times New Roman" w:eastAsia="Times New Roman" w:hint="default"/>
          <w:spacing w:val="-2"/>
        </w:rPr>
        <w:t>,</w:t>
      </w:r>
      <w:r>
        <w:rPr>
          <w:spacing w:val="-2"/>
        </w:rPr>
        <w:t>公安部科技局局长</w:t>
      </w:r>
      <w:r>
        <w:rPr>
          <w:rFonts w:ascii="Times New Roman" w:hAnsi="Times New Roman" w:cs="Times New Roman" w:eastAsia="Times New Roman" w:hint="default"/>
          <w:spacing w:val="-2"/>
        </w:rPr>
        <w:t>,</w:t>
      </w:r>
      <w:r>
        <w:rPr>
          <w:spacing w:val="-2"/>
        </w:rPr>
        <w:t>公安</w:t>
      </w:r>
      <w:r>
        <w:rPr>
          <w:spacing w:val="-61"/>
        </w:rPr>
        <w:t> </w:t>
      </w:r>
      <w:r>
        <w:rPr/>
        <w:t>部装备财务局局长</w:t>
      </w:r>
      <w:r>
        <w:rPr>
          <w:rFonts w:ascii="Times New Roman" w:hAnsi="Times New Roman" w:cs="Times New Roman" w:eastAsia="Times New Roman" w:hint="default"/>
        </w:rPr>
        <w:t>,</w:t>
      </w:r>
      <w:r>
        <w:rPr/>
        <w:t>中国人民武装警察部队学院院长等职务</w:t>
      </w:r>
      <w:r>
        <w:rPr>
          <w:rFonts w:ascii="Times New Roman" w:hAnsi="Times New Roman" w:cs="Times New Roman" w:eastAsia="Times New Roman" w:hint="default"/>
        </w:rPr>
        <w:t>.</w:t>
      </w:r>
      <w:r>
        <w:rPr/>
        <w:t>现任中国安全防范产品行业协会名誉理事长</w:t>
      </w:r>
      <w:r>
        <w:rPr>
          <w:rFonts w:ascii="Times New Roman" w:hAnsi="Times New Roman" w:cs="Times New Roman" w:eastAsia="Times New Roman" w:hint="default"/>
        </w:rPr>
        <w:t>,</w:t>
      </w:r>
      <w:r>
        <w:rPr/>
        <w:t>中国电子学会高级 会员</w:t>
      </w:r>
      <w:r>
        <w:rPr>
          <w:rFonts w:ascii="Times New Roman" w:hAnsi="Times New Roman" w:cs="Times New Roman" w:eastAsia="Times New Roman" w:hint="default"/>
        </w:rPr>
        <w:t>,</w:t>
      </w:r>
      <w:r>
        <w:rPr/>
        <w:t>浙江大华技术股份有限公司、广东安居宝数码科技股份有限公司独立董事。</w:t>
      </w:r>
    </w:p>
    <w:p>
      <w:pPr>
        <w:pStyle w:val="BodyText"/>
        <w:spacing w:line="300" w:lineRule="auto" w:before="13"/>
        <w:ind w:right="88" w:firstLine="360"/>
        <w:jc w:val="left"/>
      </w:pPr>
      <w:r>
        <w:rPr>
          <w:spacing w:val="-2"/>
        </w:rPr>
        <w:t>杨如旺先生</w:t>
      </w:r>
      <w:r>
        <w:rPr>
          <w:rFonts w:ascii="Times New Roman" w:hAnsi="Times New Roman" w:cs="Times New Roman" w:eastAsia="Times New Roman" w:hint="default"/>
          <w:spacing w:val="-2"/>
        </w:rPr>
        <w:t>:1976</w:t>
      </w:r>
      <w:r>
        <w:rPr>
          <w:spacing w:val="-2"/>
        </w:rPr>
        <w:t>年</w:t>
      </w:r>
      <w:r>
        <w:rPr>
          <w:rFonts w:ascii="Times New Roman" w:hAnsi="Times New Roman" w:cs="Times New Roman" w:eastAsia="Times New Roman" w:hint="default"/>
          <w:spacing w:val="-2"/>
        </w:rPr>
        <w:t>9</w:t>
      </w:r>
      <w:r>
        <w:rPr>
          <w:spacing w:val="-2"/>
        </w:rPr>
        <w:t>月出生</w:t>
      </w:r>
      <w:r>
        <w:rPr>
          <w:rFonts w:ascii="Times New Roman" w:hAnsi="Times New Roman" w:cs="Times New Roman" w:eastAsia="Times New Roman" w:hint="default"/>
          <w:spacing w:val="-2"/>
        </w:rPr>
        <w:t>,</w:t>
      </w:r>
      <w:r>
        <w:rPr>
          <w:spacing w:val="-2"/>
        </w:rPr>
        <w:t>中国国籍</w:t>
      </w:r>
      <w:r>
        <w:rPr>
          <w:rFonts w:ascii="Times New Roman" w:hAnsi="Times New Roman" w:cs="Times New Roman" w:eastAsia="Times New Roman" w:hint="default"/>
          <w:spacing w:val="-2"/>
        </w:rPr>
        <w:t>,</w:t>
      </w:r>
      <w:r>
        <w:rPr>
          <w:spacing w:val="-2"/>
        </w:rPr>
        <w:t>中共党员</w:t>
      </w:r>
      <w:r>
        <w:rPr>
          <w:rFonts w:ascii="Times New Roman" w:hAnsi="Times New Roman" w:cs="Times New Roman" w:eastAsia="Times New Roman" w:hint="default"/>
          <w:spacing w:val="-2"/>
        </w:rPr>
        <w:t>,</w:t>
      </w:r>
      <w:r>
        <w:rPr>
          <w:spacing w:val="-2"/>
        </w:rPr>
        <w:t>法学学士、经济学硕士</w:t>
      </w:r>
      <w:r>
        <w:rPr>
          <w:rFonts w:ascii="Times New Roman" w:hAnsi="Times New Roman" w:cs="Times New Roman" w:eastAsia="Times New Roman" w:hint="default"/>
          <w:spacing w:val="-2"/>
        </w:rPr>
        <w:t>,</w:t>
      </w:r>
      <w:r>
        <w:rPr>
          <w:spacing w:val="-2"/>
        </w:rPr>
        <w:t>律师</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7</w:t>
      </w:r>
      <w:r>
        <w:rPr>
          <w:spacing w:val="-2"/>
        </w:rPr>
        <w:t>月毕业于广西大学法学院本科毕业、</w:t>
      </w:r>
      <w:r>
        <w:rPr/>
        <w:t> 获法学学士学位</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月获中山大学经济学硕士学位</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7</w:t>
      </w:r>
      <w:r>
        <w:rPr/>
        <w:t>月参加工作</w:t>
      </w:r>
      <w:r>
        <w:rPr>
          <w:rFonts w:ascii="Times New Roman" w:hAnsi="Times New Roman" w:cs="Times New Roman" w:eastAsia="Times New Roman" w:hint="default"/>
        </w:rPr>
        <w:t>,</w:t>
      </w:r>
      <w:r>
        <w:rPr/>
        <w:t>先后任广西国信新兴律师事务所律师、北京市德 </w:t>
      </w:r>
      <w:r>
        <w:rPr>
          <w:spacing w:val="-2"/>
        </w:rPr>
        <w:t>恒律师事务所广州分所律师</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7</w:t>
      </w:r>
      <w:r>
        <w:rPr>
          <w:spacing w:val="-2"/>
        </w:rPr>
        <w:t>月后至今任广东厚诚律师事务所律师、主任、合伙人</w:t>
      </w:r>
      <w:r>
        <w:rPr>
          <w:rFonts w:ascii="Times New Roman" w:hAnsi="Times New Roman" w:cs="Times New Roman" w:eastAsia="Times New Roman" w:hint="default"/>
          <w:spacing w:val="-2"/>
        </w:rPr>
        <w:t>.</w:t>
      </w:r>
      <w:r>
        <w:rPr>
          <w:spacing w:val="-2"/>
        </w:rPr>
        <w:t>自</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日起，担任公司独立</w:t>
      </w:r>
      <w:r>
        <w:rPr>
          <w:spacing w:val="-58"/>
        </w:rPr>
        <w:t> </w:t>
      </w:r>
      <w:r>
        <w:rPr>
          <w:spacing w:val="-58"/>
        </w:rPr>
      </w:r>
      <w:r>
        <w:rPr/>
        <w:t>董事。</w:t>
      </w:r>
    </w:p>
    <w:p>
      <w:pPr>
        <w:pStyle w:val="BodyText"/>
        <w:spacing w:line="300" w:lineRule="auto" w:before="31"/>
        <w:ind w:right="88" w:firstLine="360"/>
        <w:jc w:val="left"/>
      </w:pPr>
      <w:r>
        <w:rPr/>
        <w:t>李建辉先生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,1968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spacing w:val="-3"/>
        </w:rPr>
        <w:t>月生</w:t>
      </w:r>
      <w:r>
        <w:rPr>
          <w:rFonts w:ascii="Times New Roman" w:hAnsi="Times New Roman" w:cs="Times New Roman" w:eastAsia="Times New Roman" w:hint="default"/>
          <w:spacing w:val="-3"/>
        </w:rPr>
        <w:t>,</w:t>
      </w:r>
      <w:r>
        <w:rPr>
          <w:spacing w:val="-3"/>
        </w:rPr>
        <w:t>毕业于广东省社科院硕士研究生</w:t>
      </w:r>
      <w:r>
        <w:rPr>
          <w:rFonts w:ascii="Times New Roman" w:hAnsi="Times New Roman" w:cs="Times New Roman" w:eastAsia="Times New Roman" w:hint="default"/>
          <w:spacing w:val="-3"/>
        </w:rPr>
        <w:t>.</w:t>
      </w:r>
      <w:r>
        <w:rPr>
          <w:spacing w:val="-3"/>
        </w:rPr>
        <w:t>高级会计师、中国注册会计师、中国注册评估师</w:t>
      </w:r>
      <w:r>
        <w:rPr>
          <w:rFonts w:ascii="Times New Roman" w:hAnsi="Times New Roman" w:cs="Times New Roman" w:eastAsia="Times New Roman" w:hint="default"/>
          <w:spacing w:val="-3"/>
        </w:rPr>
        <w:t>,</w:t>
      </w:r>
      <w:r>
        <w:rPr>
          <w:rFonts w:ascii="Times New Roman" w:hAnsi="Times New Roman" w:cs="Times New Roman" w:eastAsia="Times New Roman" w:hint="default"/>
        </w:rPr>
        <w:t> </w:t>
      </w:r>
      <w:r>
        <w:rPr/>
        <w:t>广州注册会计师协会专业指导委员会专家</w:t>
      </w:r>
      <w:r>
        <w:rPr>
          <w:rFonts w:ascii="Times New Roman" w:hAnsi="Times New Roman" w:cs="Times New Roman" w:eastAsia="Times New Roman" w:hint="default"/>
        </w:rPr>
        <w:t>,</w:t>
      </w:r>
      <w:r>
        <w:rPr/>
        <w:t>民进广东省委参工委委员</w:t>
      </w:r>
      <w:r>
        <w:rPr>
          <w:rFonts w:ascii="Times New Roman" w:hAnsi="Times New Roman" w:cs="Times New Roman" w:eastAsia="Times New Roman" w:hint="default"/>
        </w:rPr>
        <w:t>,</w:t>
      </w:r>
      <w:r>
        <w:rPr/>
        <w:t>广州市仲裁委仲裁员</w:t>
      </w:r>
      <w:r>
        <w:rPr>
          <w:rFonts w:ascii="Times New Roman" w:hAnsi="Times New Roman" w:cs="Times New Roman" w:eastAsia="Times New Roman" w:hint="default"/>
        </w:rPr>
        <w:t>,</w:t>
      </w:r>
      <w:r>
        <w:rPr/>
        <w:t>入选广东省国资委评审专家库专 家</w:t>
      </w:r>
      <w:r>
        <w:rPr>
          <w:rFonts w:ascii="Times New Roman" w:hAnsi="Times New Roman" w:cs="Times New Roman" w:eastAsia="Times New Roman" w:hint="default"/>
        </w:rPr>
        <w:t>.2008 </w:t>
      </w:r>
      <w:r>
        <w:rPr/>
        <w:t>年至 </w:t>
      </w:r>
      <w:r>
        <w:rPr>
          <w:rFonts w:ascii="Times New Roman" w:hAnsi="Times New Roman" w:cs="Times New Roman" w:eastAsia="Times New Roman" w:hint="default"/>
        </w:rPr>
        <w:t>2010 </w:t>
      </w:r>
      <w:r>
        <w:rPr/>
        <w:t>年担任广州建筑集团有限公司副总会计师</w:t>
      </w:r>
      <w:r>
        <w:rPr>
          <w:rFonts w:ascii="Times New Roman" w:hAnsi="Times New Roman" w:cs="Times New Roman" w:eastAsia="Times New Roman" w:hint="default"/>
        </w:rPr>
        <w:t>/</w:t>
      </w:r>
      <w:r>
        <w:rPr/>
        <w:t>高级会计师</w:t>
      </w:r>
      <w:r>
        <w:rPr>
          <w:rFonts w:ascii="Times New Roman" w:hAnsi="Times New Roman" w:cs="Times New Roman" w:eastAsia="Times New Roman" w:hint="default"/>
        </w:rPr>
        <w:t>;2010 </w:t>
      </w:r>
      <w:r>
        <w:rPr/>
        <w:t>年至 </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6</w:t>
      </w:r>
      <w:r>
        <w:rPr>
          <w:rFonts w:ascii="Times New Roman" w:hAnsi="Times New Roman" w:cs="Times New Roman" w:eastAsia="Times New Roman" w:hint="default"/>
          <w:spacing w:val="29"/>
        </w:rPr>
        <w:t> </w:t>
      </w:r>
      <w:r>
        <w:rPr/>
        <w:t>月担任广州建筑股份有限公 司财务负责人</w:t>
      </w:r>
      <w:r>
        <w:rPr>
          <w:rFonts w:ascii="Times New Roman" w:hAnsi="Times New Roman" w:cs="Times New Roman" w:eastAsia="Times New Roman" w:hint="default"/>
        </w:rPr>
        <w:t>;</w:t>
      </w:r>
      <w:r>
        <w:rPr/>
        <w:t>现任广州光领会计师事务所顾问</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6</w:t>
      </w:r>
      <w:r>
        <w:rPr/>
        <w:t>日起，担任公司独立董事。</w:t>
      </w:r>
    </w:p>
    <w:p>
      <w:pPr>
        <w:pStyle w:val="BodyText"/>
        <w:spacing w:line="300" w:lineRule="auto" w:before="13"/>
        <w:ind w:right="320" w:firstLine="432"/>
        <w:jc w:val="both"/>
      </w:pPr>
      <w:r>
        <w:rPr/>
        <w:t>张方方女士</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12</w:t>
      </w:r>
      <w:r>
        <w:rPr/>
        <w:t>月生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w:t>
      </w:r>
      <w:r>
        <w:rPr/>
        <w:t>先后毕业于武汉大学经济学院本科</w:t>
      </w:r>
      <w:r>
        <w:rPr>
          <w:rFonts w:ascii="Times New Roman" w:hAnsi="Times New Roman" w:cs="Times New Roman" w:eastAsia="Times New Roman" w:hint="default"/>
        </w:rPr>
        <w:t>,</w:t>
      </w:r>
      <w:r>
        <w:rPr/>
        <w:t>中山大学岭南学院硕士研究生</w:t>
      </w:r>
      <w:r>
        <w:rPr>
          <w:rFonts w:ascii="Times New Roman" w:hAnsi="Times New Roman" w:cs="Times New Roman" w:eastAsia="Times New Roman" w:hint="default"/>
        </w:rPr>
        <w:t>,</w:t>
      </w:r>
      <w:r>
        <w:rPr/>
        <w:t>武汉大学经济 学院博士研究生</w:t>
      </w:r>
      <w:r>
        <w:rPr>
          <w:rFonts w:ascii="Times New Roman" w:hAnsi="Times New Roman" w:cs="Times New Roman" w:eastAsia="Times New Roman" w:hint="default"/>
        </w:rPr>
        <w:t>.1989</w:t>
      </w:r>
      <w:r>
        <w:rPr/>
        <w:t>年至</w:t>
      </w:r>
      <w:r>
        <w:rPr>
          <w:rFonts w:ascii="Times New Roman" w:hAnsi="Times New Roman" w:cs="Times New Roman" w:eastAsia="Times New Roman" w:hint="default"/>
        </w:rPr>
        <w:t>1995</w:t>
      </w:r>
      <w:r>
        <w:rPr/>
        <w:t>年担任广东商学院学报编辑部编辑</w:t>
      </w:r>
      <w:r>
        <w:rPr>
          <w:rFonts w:ascii="Times New Roman" w:hAnsi="Times New Roman" w:cs="Times New Roman" w:eastAsia="Times New Roman" w:hint="default"/>
        </w:rPr>
        <w:t>;1998</w:t>
      </w:r>
      <w:r>
        <w:rPr/>
        <w:t>年至</w:t>
      </w:r>
      <w:r>
        <w:rPr>
          <w:rFonts w:ascii="Times New Roman" w:hAnsi="Times New Roman" w:cs="Times New Roman" w:eastAsia="Times New Roman" w:hint="default"/>
        </w:rPr>
        <w:t>2001</w:t>
      </w:r>
      <w:r>
        <w:rPr/>
        <w:t>年担任暨南大学经济学院讲师</w:t>
      </w:r>
      <w:r>
        <w:rPr>
          <w:rFonts w:ascii="Times New Roman" w:hAnsi="Times New Roman" w:cs="Times New Roman" w:eastAsia="Times New Roman" w:hint="default"/>
        </w:rPr>
        <w:t>;2001</w:t>
      </w:r>
      <w:r>
        <w:rPr/>
        <w:t>年至今 担任暨南大学经济学院副教授</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日起，担任公司独立董事。</w:t>
      </w:r>
    </w:p>
    <w:p>
      <w:pPr>
        <w:pStyle w:val="BodyText"/>
        <w:spacing w:line="240" w:lineRule="auto" w:before="13"/>
        <w:ind w:right="88"/>
        <w:jc w:val="left"/>
      </w:pPr>
      <w:r>
        <w:rPr>
          <w:rFonts w:ascii="Times New Roman" w:hAnsi="Times New Roman" w:cs="Times New Roman" w:eastAsia="Times New Roman" w:hint="default"/>
        </w:rPr>
        <w:t>2</w:t>
      </w:r>
      <w:r>
        <w:rPr/>
        <w:t>、监事会成员</w:t>
      </w:r>
    </w:p>
    <w:p>
      <w:pPr>
        <w:pStyle w:val="BodyText"/>
        <w:spacing w:line="300" w:lineRule="auto" w:before="63"/>
        <w:ind w:right="224" w:firstLine="360"/>
        <w:jc w:val="left"/>
      </w:pPr>
      <w:r>
        <w:rPr/>
        <w:t>范文梅女士</w:t>
      </w:r>
      <w:r>
        <w:rPr>
          <w:rFonts w:ascii="Times New Roman" w:hAnsi="Times New Roman" w:cs="Times New Roman" w:eastAsia="Times New Roman" w:hint="default"/>
        </w:rPr>
        <w:t>:1967</w:t>
      </w:r>
      <w:r>
        <w:rPr/>
        <w:t>年出生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w:t>
      </w:r>
      <w:r>
        <w:rPr/>
        <w:t>具有会计师资格</w:t>
      </w:r>
      <w:r>
        <w:rPr>
          <w:rFonts w:ascii="Times New Roman" w:hAnsi="Times New Roman" w:cs="Times New Roman" w:eastAsia="Times New Roman" w:hint="default"/>
        </w:rPr>
        <w:t>.2003</w:t>
      </w:r>
      <w:r>
        <w:rPr/>
        <w:t>年加入安居宝从事财务工作</w:t>
      </w:r>
      <w:r>
        <w:rPr>
          <w:rFonts w:ascii="Times New Roman" w:hAnsi="Times New Roman" w:cs="Times New Roman" w:eastAsia="Times New Roman" w:hint="default"/>
        </w:rPr>
        <w:t>,</w:t>
      </w:r>
      <w:r>
        <w:rPr/>
        <w:t>曾担任广州市安居宝数码科技有限 公司审计主管</w:t>
      </w:r>
      <w:r>
        <w:rPr>
          <w:rFonts w:ascii="Times New Roman" w:hAnsi="Times New Roman" w:cs="Times New Roman" w:eastAsia="Times New Roman" w:hint="default"/>
        </w:rPr>
        <w:t>,</w:t>
      </w:r>
      <w:r>
        <w:rPr/>
        <w:t>现任本公司监事会主席、审计部部长。</w:t>
      </w:r>
    </w:p>
    <w:p>
      <w:pPr>
        <w:pStyle w:val="BodyText"/>
        <w:spacing w:line="300" w:lineRule="auto" w:before="13"/>
        <w:ind w:right="179" w:firstLine="360"/>
        <w:jc w:val="left"/>
      </w:pPr>
      <w:r>
        <w:rPr/>
        <w:t>袁丽莎女士</w:t>
      </w:r>
      <w:r>
        <w:rPr>
          <w:rFonts w:ascii="Times New Roman" w:hAnsi="Times New Roman" w:cs="Times New Roman" w:eastAsia="Times New Roman" w:hint="default"/>
        </w:rPr>
        <w:t>:1960</w:t>
      </w:r>
      <w:r>
        <w:rPr/>
        <w:t>年</w:t>
      </w:r>
      <w:r>
        <w:rPr>
          <w:rFonts w:ascii="Times New Roman" w:hAnsi="Times New Roman" w:cs="Times New Roman" w:eastAsia="Times New Roman" w:hint="default"/>
        </w:rPr>
        <w:t>4</w:t>
      </w:r>
      <w:r>
        <w:rPr/>
        <w:t>月出生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6</w:t>
      </w:r>
      <w:r>
        <w:rPr/>
        <w:t>月在广州蓄牧场务农</w:t>
      </w:r>
      <w:r>
        <w:rPr>
          <w:rFonts w:ascii="Times New Roman" w:hAnsi="Times New Roman" w:cs="Times New Roman" w:eastAsia="Times New Roman" w:hint="default"/>
        </w:rPr>
        <w:t>,1980</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月在广州无线电有 限公司任采购经理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月至今担任广东安居宝数码科技股份有限公司任采购经理。</w:t>
      </w:r>
    </w:p>
    <w:p>
      <w:pPr>
        <w:pStyle w:val="BodyText"/>
        <w:spacing w:line="240" w:lineRule="auto" w:before="13"/>
        <w:ind w:left="513" w:right="88"/>
        <w:jc w:val="left"/>
      </w:pPr>
      <w:r>
        <w:rPr/>
        <w:t>罗莹女士</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,1981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日生</w:t>
      </w:r>
      <w:r>
        <w:rPr>
          <w:rFonts w:ascii="Times New Roman" w:hAnsi="Times New Roman" w:cs="Times New Roman" w:eastAsia="Times New Roman" w:hint="default"/>
        </w:rPr>
        <w:t>,</w:t>
      </w:r>
      <w:r>
        <w:rPr/>
        <w:t>毕业于湖南师范大学</w:t>
      </w:r>
      <w:r>
        <w:rPr>
          <w:rFonts w:ascii="Times New Roman" w:hAnsi="Times New Roman" w:cs="Times New Roman" w:eastAsia="Times New Roman" w:hint="default"/>
        </w:rPr>
        <w:t>.2003</w:t>
      </w:r>
      <w:r>
        <w:rPr/>
        <w:t>至</w:t>
      </w:r>
      <w:r>
        <w:rPr>
          <w:rFonts w:ascii="Times New Roman" w:hAnsi="Times New Roman" w:cs="Times New Roman" w:eastAsia="Times New Roman" w:hint="default"/>
        </w:rPr>
        <w:t>2009</w:t>
      </w:r>
      <w:r>
        <w:rPr/>
        <w:t>年担任广州金桥管理干部学院教师</w:t>
      </w:r>
      <w:r>
        <w:rPr>
          <w:rFonts w:ascii="Times New Roman" w:hAnsi="Times New Roman" w:cs="Times New Roman" w:eastAsia="Times New Roman" w:hint="default"/>
        </w:rPr>
        <w:t>;2009</w:t>
      </w:r>
      <w:r>
        <w:rPr/>
        <w:t>年至</w:t>
      </w:r>
    </w:p>
    <w:p>
      <w:pPr>
        <w:pStyle w:val="BodyText"/>
        <w:spacing w:line="240" w:lineRule="auto" w:before="63"/>
        <w:ind w:right="88"/>
        <w:jc w:val="left"/>
      </w:pPr>
      <w:r>
        <w:rPr>
          <w:rFonts w:ascii="Times New Roman" w:hAnsi="Times New Roman" w:cs="Times New Roman" w:eastAsia="Times New Roman" w:hint="default"/>
        </w:rPr>
        <w:t>2011</w:t>
      </w:r>
      <w:r>
        <w:rPr/>
        <w:t>年担任江西双胞胎集团行政主管</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月至今担任广东安居宝数码科技股份有限公司总经理办公室主任。</w:t>
      </w:r>
    </w:p>
    <w:p>
      <w:pPr>
        <w:pStyle w:val="BodyText"/>
        <w:spacing w:line="240" w:lineRule="auto" w:before="62"/>
        <w:ind w:right="88"/>
        <w:jc w:val="left"/>
      </w:pPr>
      <w:r>
        <w:rPr>
          <w:rFonts w:ascii="Times New Roman" w:hAnsi="Times New Roman" w:cs="Times New Roman" w:eastAsia="Times New Roman" w:hint="default"/>
        </w:rPr>
        <w:t>3</w:t>
      </w:r>
      <w:r>
        <w:rPr/>
        <w:t>、高级管理人员</w:t>
      </w:r>
    </w:p>
    <w:p>
      <w:pPr>
        <w:spacing w:after="0" w:line="240" w:lineRule="auto"/>
        <w:jc w:val="left"/>
        <w:sectPr>
          <w:footerReference w:type="default" r:id="rId29"/>
          <w:pgSz w:w="11910" w:h="16840"/>
          <w:pgMar w:footer="1227" w:header="0" w:top="1100" w:bottom="1420" w:left="980" w:right="940"/>
          <w:pgNumType w:start="51"/>
        </w:sectPr>
      </w:pPr>
    </w:p>
    <w:p>
      <w:pPr>
        <w:spacing w:line="240" w:lineRule="auto" w:before="11"/>
        <w:rPr>
          <w:rFonts w:ascii="宋体" w:hAnsi="宋体" w:cs="宋体" w:eastAsia="宋体" w:hint="default"/>
          <w:sz w:val="21"/>
          <w:szCs w:val="21"/>
        </w:rPr>
      </w:pPr>
    </w:p>
    <w:p>
      <w:pPr>
        <w:pStyle w:val="BodyText"/>
        <w:spacing w:line="300" w:lineRule="auto" w:before="44"/>
        <w:ind w:right="199" w:firstLine="360"/>
        <w:jc w:val="left"/>
      </w:pPr>
      <w:r>
        <w:rPr/>
        <w:t>黄伟宁先生</w:t>
      </w:r>
      <w:r>
        <w:rPr>
          <w:rFonts w:ascii="Times New Roman" w:hAnsi="Times New Roman" w:cs="Times New Roman" w:eastAsia="Times New Roman" w:hint="default"/>
        </w:rPr>
        <w:t>:</w:t>
      </w:r>
      <w:r>
        <w:rPr/>
        <w:t>副总经理、董事会秘书</w:t>
      </w:r>
      <w:r>
        <w:rPr>
          <w:rFonts w:ascii="Times New Roman" w:hAnsi="Times New Roman" w:cs="Times New Roman" w:eastAsia="Times New Roman" w:hint="default"/>
        </w:rPr>
        <w:t>,1963</w:t>
      </w:r>
      <w:r>
        <w:rPr/>
        <w:t>年出生</w:t>
      </w:r>
      <w:r>
        <w:rPr>
          <w:rFonts w:ascii="Times New Roman" w:hAnsi="Times New Roman" w:cs="Times New Roman" w:eastAsia="Times New Roman" w:hint="default"/>
        </w:rPr>
        <w:t>,</w:t>
      </w:r>
      <w:r>
        <w:rPr/>
        <w:t>毕业于华南工学院</w:t>
      </w:r>
      <w:r>
        <w:rPr>
          <w:rFonts w:ascii="Times New Roman" w:hAnsi="Times New Roman" w:cs="Times New Roman" w:eastAsia="Times New Roman" w:hint="default"/>
        </w:rPr>
        <w:t>(</w:t>
      </w:r>
      <w:r>
        <w:rPr/>
        <w:t>现华南理工大学</w:t>
      </w:r>
      <w:r>
        <w:rPr>
          <w:rFonts w:ascii="Times New Roman" w:hAnsi="Times New Roman" w:cs="Times New Roman" w:eastAsia="Times New Roman" w:hint="default"/>
        </w:rPr>
        <w:t>)</w:t>
      </w:r>
      <w:r>
        <w:rPr/>
        <w:t>计算机系</w:t>
      </w:r>
      <w:r>
        <w:rPr>
          <w:rFonts w:ascii="Times New Roman" w:hAnsi="Times New Roman" w:cs="Times New Roman" w:eastAsia="Times New Roman" w:hint="default"/>
        </w:rPr>
        <w:t>,</w:t>
      </w:r>
      <w:r>
        <w:rPr/>
        <w:t>获学士学位</w:t>
      </w:r>
      <w:r>
        <w:rPr>
          <w:rFonts w:ascii="Times New Roman" w:hAnsi="Times New Roman" w:cs="Times New Roman" w:eastAsia="Times New Roman" w:hint="default"/>
        </w:rPr>
        <w:t>.2003</w:t>
      </w:r>
      <w:r>
        <w:rPr/>
        <w:t>年至今</w:t>
      </w:r>
      <w:r>
        <w:rPr>
          <w:rFonts w:ascii="Times New Roman" w:hAnsi="Times New Roman" w:cs="Times New Roman" w:eastAsia="Times New Roman" w:hint="default"/>
        </w:rPr>
        <w:t>, </w:t>
      </w:r>
      <w:r>
        <w:rPr/>
        <w:t>先后担任广州市安居宝科技有限公司、广州市安居宝数码科技有限公司副总经理</w:t>
      </w:r>
      <w:r>
        <w:rPr>
          <w:rFonts w:ascii="Times New Roman" w:hAnsi="Times New Roman" w:cs="Times New Roman" w:eastAsia="Times New Roman" w:hint="default"/>
        </w:rPr>
        <w:t>,</w:t>
      </w:r>
      <w:r>
        <w:rPr/>
        <w:t>目前担任公司董事会秘书。</w:t>
      </w:r>
    </w:p>
    <w:p>
      <w:pPr>
        <w:pStyle w:val="BodyText"/>
        <w:spacing w:line="300" w:lineRule="auto" w:before="13"/>
        <w:ind w:right="184" w:firstLine="360"/>
        <w:jc w:val="left"/>
      </w:pPr>
      <w:r>
        <w:rPr/>
        <w:t>黄光明先生</w:t>
      </w:r>
      <w:r>
        <w:rPr>
          <w:rFonts w:ascii="Times New Roman" w:hAnsi="Times New Roman" w:cs="Times New Roman" w:eastAsia="Times New Roman" w:hint="default"/>
        </w:rPr>
        <w:t>:</w:t>
      </w:r>
      <w:r>
        <w:rPr/>
        <w:t>财务总监</w:t>
      </w:r>
      <w:r>
        <w:rPr>
          <w:rFonts w:ascii="Times New Roman" w:hAnsi="Times New Roman" w:cs="Times New Roman" w:eastAsia="Times New Roman" w:hint="default"/>
        </w:rPr>
        <w:t>,1970</w:t>
      </w:r>
      <w:r>
        <w:rPr/>
        <w:t>年出生</w:t>
      </w:r>
      <w:r>
        <w:rPr>
          <w:rFonts w:ascii="Times New Roman" w:hAnsi="Times New Roman" w:cs="Times New Roman" w:eastAsia="Times New Roman" w:hint="default"/>
        </w:rPr>
        <w:t>,</w:t>
      </w:r>
      <w:r>
        <w:rPr/>
        <w:t>高级会计师</w:t>
      </w:r>
      <w:r>
        <w:rPr>
          <w:rFonts w:ascii="Times New Roman" w:hAnsi="Times New Roman" w:cs="Times New Roman" w:eastAsia="Times New Roman" w:hint="default"/>
        </w:rPr>
        <w:t>,</w:t>
      </w:r>
      <w:r>
        <w:rPr/>
        <w:t>中南财经大学毕业</w:t>
      </w:r>
      <w:r>
        <w:rPr>
          <w:rFonts w:ascii="Times New Roman" w:hAnsi="Times New Roman" w:cs="Times New Roman" w:eastAsia="Times New Roman" w:hint="default"/>
        </w:rPr>
        <w:t>.</w:t>
      </w:r>
      <w:r>
        <w:rPr/>
        <w:t>曾任深圳融通供应链股份有限公司、深圳嘉力达实业 有限公司担任财务总监职务</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月起至今担任广东安居宝数码科技股份有限公司财务部部长、财务总监职务。</w:t>
      </w:r>
    </w:p>
    <w:p>
      <w:pPr>
        <w:pStyle w:val="BodyText"/>
        <w:spacing w:line="300" w:lineRule="auto" w:before="13"/>
        <w:ind w:right="149" w:firstLine="360"/>
        <w:jc w:val="left"/>
      </w:pPr>
      <w:r>
        <w:rPr/>
        <w:t>张瑞斌先生</w:t>
      </w:r>
      <w:r>
        <w:rPr>
          <w:rFonts w:ascii="Times New Roman" w:hAnsi="Times New Roman" w:cs="Times New Roman" w:eastAsia="Times New Roman" w:hint="default"/>
        </w:rPr>
        <w:t>:1970</w:t>
      </w:r>
      <w:r>
        <w:rPr/>
        <w:t>年出生</w:t>
      </w:r>
      <w:r>
        <w:rPr>
          <w:rFonts w:ascii="Times New Roman" w:hAnsi="Times New Roman" w:cs="Times New Roman" w:eastAsia="Times New Roman" w:hint="default"/>
        </w:rPr>
        <w:t>,</w:t>
      </w:r>
      <w:r>
        <w:rPr/>
        <w:t>毕业于北京邮电大学计算机专业</w:t>
      </w:r>
      <w:r>
        <w:rPr>
          <w:rFonts w:ascii="Times New Roman" w:hAnsi="Times New Roman" w:cs="Times New Roman" w:eastAsia="Times New Roman" w:hint="default"/>
        </w:rPr>
        <w:t>,</w:t>
      </w:r>
      <w:r>
        <w:rPr/>
        <w:t>获学士学位</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w:t>
      </w:r>
      <w:r>
        <w:rPr/>
        <w:t>任职于广州邮电通信有限 公司第二研究所</w:t>
      </w:r>
      <w:r>
        <w:rPr>
          <w:rFonts w:ascii="Times New Roman" w:hAnsi="Times New Roman" w:cs="Times New Roman" w:eastAsia="Times New Roman" w:hint="default"/>
        </w:rPr>
        <w:t>,</w:t>
      </w:r>
      <w:r>
        <w:rPr/>
        <w:t>从事通信设备产品研发</w:t>
      </w:r>
      <w:r>
        <w:rPr>
          <w:rFonts w:ascii="Times New Roman" w:hAnsi="Times New Roman" w:cs="Times New Roman" w:eastAsia="Times New Roman" w:hint="default"/>
        </w:rPr>
        <w:t>,</w:t>
      </w:r>
      <w:r>
        <w:rPr/>
        <w:t>任职助工、工程师、副所长、所长</w:t>
      </w:r>
      <w:r>
        <w:rPr>
          <w:rFonts w:ascii="Times New Roman" w:hAnsi="Times New Roman" w:cs="Times New Roman" w:eastAsia="Times New Roman" w:hint="default"/>
        </w:rPr>
        <w:t>,</w:t>
      </w:r>
      <w:r>
        <w:rPr/>
        <w:t>参与主持项目</w:t>
      </w:r>
      <w:r>
        <w:rPr>
          <w:rFonts w:ascii="Times New Roman" w:hAnsi="Times New Roman" w:cs="Times New Roman" w:eastAsia="Times New Roman" w:hint="default"/>
        </w:rPr>
        <w:t>:</w:t>
      </w:r>
      <w:r>
        <w:rPr/>
        <w:t>实时多任务操作系统、</w:t>
      </w:r>
      <w:r>
        <w:rPr>
          <w:rFonts w:ascii="Times New Roman" w:hAnsi="Times New Roman" w:cs="Times New Roman" w:eastAsia="Times New Roman" w:hint="default"/>
        </w:rPr>
        <w:t>7</w:t>
      </w:r>
      <w:r>
        <w:rPr/>
        <w:t>号信令系 统、</w:t>
      </w:r>
      <w:r>
        <w:rPr>
          <w:rFonts w:ascii="Times New Roman" w:hAnsi="Times New Roman" w:cs="Times New Roman" w:eastAsia="Times New Roman" w:hint="default"/>
        </w:rPr>
        <w:t>8000</w:t>
      </w:r>
      <w:r>
        <w:rPr/>
        <w:t>门程控交换机、</w:t>
      </w:r>
      <w:r>
        <w:rPr>
          <w:rFonts w:ascii="Times New Roman" w:hAnsi="Times New Roman" w:cs="Times New Roman" w:eastAsia="Times New Roman" w:hint="default"/>
        </w:rPr>
        <w:t>V5</w:t>
      </w:r>
      <w:r>
        <w:rPr/>
        <w:t>接口用户环路设备</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w:t>
      </w:r>
      <w:r>
        <w:rPr/>
        <w:t>任职于广州邮电科学技术研究院多媒体部</w:t>
      </w:r>
      <w:r>
        <w:rPr>
          <w:rFonts w:ascii="Times New Roman" w:hAnsi="Times New Roman" w:cs="Times New Roman" w:eastAsia="Times New Roman" w:hint="default"/>
        </w:rPr>
        <w:t>,</w:t>
      </w:r>
      <w:r>
        <w:rPr/>
        <w:t>从事多媒体 技术研究工作</w:t>
      </w:r>
      <w:r>
        <w:rPr>
          <w:rFonts w:ascii="Times New Roman" w:hAnsi="Times New Roman" w:cs="Times New Roman" w:eastAsia="Times New Roman" w:hint="default"/>
        </w:rPr>
        <w:t>,</w:t>
      </w:r>
      <w:r>
        <w:rPr/>
        <w:t>任职工程师、项目负责人</w:t>
      </w:r>
      <w:r>
        <w:rPr>
          <w:rFonts w:ascii="Times New Roman" w:hAnsi="Times New Roman" w:cs="Times New Roman" w:eastAsia="Times New Roman" w:hint="default"/>
        </w:rPr>
        <w:t>,</w:t>
      </w:r>
      <w:r>
        <w:rPr/>
        <w:t>参与主持项目</w:t>
      </w:r>
      <w:r>
        <w:rPr>
          <w:rFonts w:ascii="Times New Roman" w:hAnsi="Times New Roman" w:cs="Times New Roman" w:eastAsia="Times New Roman" w:hint="default"/>
        </w:rPr>
        <w:t>:7</w:t>
      </w:r>
      <w:r>
        <w:rPr/>
        <w:t>号信令网关、</w:t>
      </w:r>
      <w:r>
        <w:rPr>
          <w:rFonts w:ascii="Times New Roman" w:hAnsi="Times New Roman" w:cs="Times New Roman" w:eastAsia="Times New Roman" w:hint="default"/>
        </w:rPr>
        <w:t>VOIP</w:t>
      </w:r>
      <w:r>
        <w:rPr/>
        <w:t>系统</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w:t>
      </w:r>
      <w:r>
        <w:rPr/>
        <w:t>任职于广州创想科技 股份有限公司</w:t>
      </w:r>
      <w:r>
        <w:rPr>
          <w:rFonts w:ascii="Times New Roman" w:hAnsi="Times New Roman" w:cs="Times New Roman" w:eastAsia="Times New Roman" w:hint="default"/>
        </w:rPr>
        <w:t>,</w:t>
      </w:r>
      <w:r>
        <w:rPr/>
        <w:t>从事网络通信产品研发工作</w:t>
      </w:r>
      <w:r>
        <w:rPr>
          <w:rFonts w:ascii="Times New Roman" w:hAnsi="Times New Roman" w:cs="Times New Roman" w:eastAsia="Times New Roman" w:hint="default"/>
        </w:rPr>
        <w:t>,</w:t>
      </w:r>
      <w:r>
        <w:rPr/>
        <w:t>任职技术总监</w:t>
      </w:r>
      <w:r>
        <w:rPr>
          <w:rFonts w:ascii="Times New Roman" w:hAnsi="Times New Roman" w:cs="Times New Roman" w:eastAsia="Times New Roman" w:hint="default"/>
        </w:rPr>
        <w:t>,</w:t>
      </w:r>
      <w:r>
        <w:rPr/>
        <w:t>参与主持项目</w:t>
      </w:r>
      <w:r>
        <w:rPr>
          <w:rFonts w:ascii="Times New Roman" w:hAnsi="Times New Roman" w:cs="Times New Roman" w:eastAsia="Times New Roman" w:hint="default"/>
        </w:rPr>
        <w:t>:IP</w:t>
      </w:r>
      <w:r>
        <w:rPr/>
        <w:t>电话网关</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w:t>
      </w:r>
      <w:r>
        <w:rPr/>
        <w:t>任职于广州市易 </w:t>
      </w:r>
      <w:r>
        <w:rPr>
          <w:spacing w:val="-2"/>
        </w:rPr>
        <w:t>视网络通讯技术有限公司</w:t>
      </w:r>
      <w:r>
        <w:rPr>
          <w:rFonts w:ascii="Times New Roman" w:hAnsi="Times New Roman" w:cs="Times New Roman" w:eastAsia="Times New Roman" w:hint="default"/>
          <w:spacing w:val="-2"/>
        </w:rPr>
        <w:t>,</w:t>
      </w:r>
      <w:r>
        <w:rPr>
          <w:spacing w:val="-2"/>
        </w:rPr>
        <w:t>从事安防产品研发工作</w:t>
      </w:r>
      <w:r>
        <w:rPr>
          <w:rFonts w:ascii="Times New Roman" w:hAnsi="Times New Roman" w:cs="Times New Roman" w:eastAsia="Times New Roman" w:hint="default"/>
          <w:spacing w:val="-2"/>
        </w:rPr>
        <w:t>,</w:t>
      </w:r>
      <w:r>
        <w:rPr>
          <w:spacing w:val="-2"/>
        </w:rPr>
        <w:t>任职副总经理、总工程师</w:t>
      </w:r>
      <w:r>
        <w:rPr>
          <w:rFonts w:ascii="Times New Roman" w:hAnsi="Times New Roman" w:cs="Times New Roman" w:eastAsia="Times New Roman" w:hint="default"/>
          <w:spacing w:val="-2"/>
        </w:rPr>
        <w:t>,</w:t>
      </w:r>
      <w:r>
        <w:rPr>
          <w:spacing w:val="-2"/>
        </w:rPr>
        <w:t>参与主持项目</w:t>
      </w:r>
      <w:r>
        <w:rPr>
          <w:rFonts w:ascii="Times New Roman" w:hAnsi="Times New Roman" w:cs="Times New Roman" w:eastAsia="Times New Roman" w:hint="default"/>
          <w:spacing w:val="-2"/>
        </w:rPr>
        <w:t>:</w:t>
      </w:r>
      <w:r>
        <w:rPr>
          <w:spacing w:val="-2"/>
        </w:rPr>
        <w:t>网络摄像机、视频服务器、数字社</w:t>
      </w:r>
      <w:r>
        <w:rPr>
          <w:spacing w:val="-63"/>
        </w:rPr>
        <w:t> </w:t>
      </w:r>
      <w:r>
        <w:rPr>
          <w:spacing w:val="-63"/>
        </w:rPr>
      </w:r>
      <w:r>
        <w:rPr/>
        <w:t>区系统</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w:t>
      </w:r>
      <w:r>
        <w:rPr/>
        <w:t>至今</w:t>
      </w:r>
      <w:r>
        <w:rPr>
          <w:rFonts w:ascii="Times New Roman" w:hAnsi="Times New Roman" w:cs="Times New Roman" w:eastAsia="Times New Roman" w:hint="default"/>
        </w:rPr>
        <w:t>,</w:t>
      </w:r>
      <w:r>
        <w:rPr/>
        <w:t>任职于广东安居宝数码科技股份有限公司</w:t>
      </w:r>
      <w:r>
        <w:rPr>
          <w:rFonts w:ascii="Times New Roman" w:hAnsi="Times New Roman" w:cs="Times New Roman" w:eastAsia="Times New Roman" w:hint="default"/>
        </w:rPr>
        <w:t>,</w:t>
      </w:r>
      <w:r>
        <w:rPr/>
        <w:t>从事安防研发工作</w:t>
      </w:r>
      <w:r>
        <w:rPr>
          <w:rFonts w:ascii="Times New Roman" w:hAnsi="Times New Roman" w:cs="Times New Roman" w:eastAsia="Times New Roman" w:hint="default"/>
        </w:rPr>
        <w:t>,</w:t>
      </w:r>
      <w:r>
        <w:rPr/>
        <w:t>任职总工程师</w:t>
      </w:r>
      <w:r>
        <w:rPr>
          <w:rFonts w:ascii="Times New Roman" w:hAnsi="Times New Roman" w:cs="Times New Roman" w:eastAsia="Times New Roman" w:hint="default"/>
        </w:rPr>
        <w:t>,</w:t>
      </w:r>
      <w:r>
        <w:rPr/>
        <w:t>参与主持项目</w:t>
      </w:r>
      <w:r>
        <w:rPr>
          <w:rFonts w:ascii="Times New Roman" w:hAnsi="Times New Roman" w:cs="Times New Roman" w:eastAsia="Times New Roman" w:hint="default"/>
        </w:rPr>
        <w:t>:</w:t>
      </w:r>
      <w:r>
        <w:rPr/>
        <w:t>可视对讲 系统、智能小区管理系统、数字社区系统等。</w:t>
      </w:r>
    </w:p>
    <w:p>
      <w:pPr>
        <w:pStyle w:val="BodyText"/>
        <w:spacing w:line="360" w:lineRule="auto" w:before="32"/>
        <w:ind w:right="2502" w:firstLine="432"/>
        <w:jc w:val="left"/>
      </w:pPr>
      <w:r>
        <w:rPr/>
        <w:t>公司董事、监事和高级管理人员（包括前任）不存在受证券监管机构处罚的历史情况。 在股东单位任职情况</w:t>
      </w:r>
    </w:p>
    <w:p>
      <w:pPr>
        <w:pStyle w:val="BodyText"/>
        <w:spacing w:line="340" w:lineRule="auto" w:before="25"/>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1"/>
        <w:ind w:right="0"/>
        <w:jc w:val="left"/>
      </w:pPr>
      <w:r>
        <w:rPr/>
        <w:pict>
          <v:group style="position:absolute;margin-left:329.709991pt;margin-top:95.601715pt;width:59.3pt;height:7.8pt;mso-position-horizontal-relative:page;mso-position-vertical-relative:paragraph;z-index:-759784" coordorigin="6594,1912" coordsize="1186,156">
            <v:shape style="position:absolute;left:6594;top:1912;width:1186;height:156" coordorigin="6594,1912" coordsize="1186,156" path="m6594,2068l7780,2068,7780,1912,6594,1912,6594,2068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张方方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七喜控股股份有限公司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2010.05.07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2013.05.07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李建辉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广州光领有限责任公司会计师事务所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顾问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2011.07.01</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杨如旺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广东厚诚律师事务所</w:t>
            </w:r>
          </w:p>
        </w:tc>
        <w:tc>
          <w:tcPr>
            <w:tcW w:w="1064"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49"/>
              <w:ind w:left="23" w:right="120"/>
              <w:jc w:val="left"/>
              <w:rPr>
                <w:rFonts w:ascii="宋体" w:hAnsi="宋体" w:cs="宋体" w:eastAsia="宋体" w:hint="default"/>
                <w:sz w:val="18"/>
                <w:szCs w:val="18"/>
              </w:rPr>
            </w:pPr>
            <w:r>
              <w:rPr>
                <w:rFonts w:ascii="宋体" w:hAnsi="宋体" w:cs="宋体" w:eastAsia="宋体" w:hint="default"/>
                <w:sz w:val="18"/>
                <w:szCs w:val="18"/>
              </w:rPr>
              <w:t>律师、主任 合伙人</w:t>
            </w:r>
          </w:p>
        </w:tc>
        <w:tc>
          <w:tcPr>
            <w:tcW w:w="1195" w:type="dxa"/>
            <w:tcBorders>
              <w:top w:val="single" w:sz="4" w:space="0" w:color="000000"/>
              <w:left w:val="single" w:sz="10" w:space="0" w:color="FFFFFF"/>
              <w:bottom w:val="single" w:sz="4" w:space="0" w:color="000000"/>
              <w:right w:val="single" w:sz="4" w:space="0" w:color="000000"/>
            </w:tcBorders>
          </w:tcPr>
          <w:p>
            <w:pPr>
              <w:pStyle w:val="TableParagraph"/>
              <w:spacing w:line="217" w:lineRule="exact" w:before="49"/>
              <w:ind w:left="-14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16" w:right="0"/>
              <w:jc w:val="left"/>
              <w:rPr>
                <w:rFonts w:ascii="Times New Roman" w:hAnsi="Times New Roman" w:cs="Times New Roman" w:eastAsia="Times New Roman" w:hint="default"/>
                <w:sz w:val="18"/>
                <w:szCs w:val="18"/>
              </w:rPr>
            </w:pPr>
            <w:r>
              <w:rPr>
                <w:rFonts w:ascii="Times New Roman"/>
                <w:sz w:val="18"/>
              </w:rPr>
              <w:t>2008.07.01</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柳晓川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浙江大华技术股份有限公司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2007.06.25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2014.08.10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李定安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佳都新太科技股份有限公司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2008.02.01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2013.06.08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李定安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深圳中恒华发股份有限公司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2008.06.27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2013.08.10.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50"/>
              <w:jc w:val="left"/>
              <w:rPr>
                <w:rFonts w:ascii="宋体" w:hAnsi="宋体" w:cs="宋体" w:eastAsia="宋体" w:hint="default"/>
                <w:sz w:val="18"/>
                <w:szCs w:val="18"/>
              </w:rPr>
            </w:pPr>
            <w:r>
              <w:rPr>
                <w:rFonts w:ascii="宋体" w:hAnsi="宋体" w:cs="宋体" w:eastAsia="宋体" w:hint="default"/>
                <w:sz w:val="18"/>
                <w:szCs w:val="18"/>
              </w:rPr>
              <w:t>除独立董事有在其他单位任职以外，公司董事、监事、高级管理人员未存在兼职情况。公司独立董事李定 安先生任期已满，已于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日卸任公司独立董事。</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5"/>
        <w:gridCol w:w="5975"/>
      </w:tblGrid>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根据公司《董事会薪酬与考核委员会实施细则》的规定。</w:t>
            </w:r>
          </w:p>
        </w:tc>
      </w:tr>
      <w:tr>
        <w:trPr>
          <w:trHeight w:val="71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3"/>
              <w:jc w:val="left"/>
              <w:rPr>
                <w:rFonts w:ascii="宋体" w:hAnsi="宋体" w:cs="宋体" w:eastAsia="宋体" w:hint="default"/>
                <w:sz w:val="18"/>
                <w:szCs w:val="18"/>
              </w:rPr>
            </w:pPr>
            <w:r>
              <w:rPr>
                <w:rFonts w:ascii="宋体" w:hAnsi="宋体" w:cs="宋体" w:eastAsia="宋体" w:hint="default"/>
                <w:spacing w:val="-1"/>
                <w:sz w:val="18"/>
                <w:szCs w:val="18"/>
              </w:rPr>
              <w:t>结合董事、监事、高级管理人员的经营绩效、工作能力、岗位职级等考核确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定。</w:t>
            </w:r>
          </w:p>
        </w:tc>
      </w:tr>
      <w:tr>
        <w:trPr>
          <w:trHeight w:val="715"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董事、监事和高级管理人员报酬的实际支付情</w:t>
            </w:r>
            <w:r>
              <w:rPr>
                <w:rFonts w:ascii="宋体" w:hAnsi="宋体" w:cs="宋体" w:eastAsia="宋体" w:hint="default"/>
                <w:sz w:val="18"/>
                <w:szCs w:val="18"/>
              </w:rPr>
              <w:t> 况</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5"/>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日，公司共有董事、监事、高级管理人员共计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人，</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年实际支付报酬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211.34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bl>
    <w:p>
      <w:pPr>
        <w:pStyle w:val="BodyText"/>
        <w:spacing w:line="240" w:lineRule="auto" w:before="49"/>
        <w:ind w:right="0"/>
        <w:jc w:val="left"/>
      </w:pPr>
      <w:r>
        <w:rPr/>
        <w:t>公司报告期内董事、监事和高级管理人员报酬情况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93"/>
        <w:gridCol w:w="1983"/>
        <w:gridCol w:w="569"/>
        <w:gridCol w:w="566"/>
        <w:gridCol w:w="1133"/>
        <w:gridCol w:w="1418"/>
        <w:gridCol w:w="1561"/>
        <w:gridCol w:w="1346"/>
      </w:tblGrid>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71"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从公司获得的报 酬总额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5" w:right="53" w:hanging="360"/>
              <w:jc w:val="left"/>
              <w:rPr>
                <w:rFonts w:ascii="宋体" w:hAnsi="宋体" w:cs="宋体" w:eastAsia="宋体" w:hint="default"/>
                <w:sz w:val="18"/>
                <w:szCs w:val="18"/>
              </w:rPr>
            </w:pPr>
            <w:r>
              <w:rPr>
                <w:rFonts w:ascii="宋体" w:hAnsi="宋体" w:cs="宋体" w:eastAsia="宋体" w:hint="default"/>
                <w:sz w:val="18"/>
                <w:szCs w:val="18"/>
              </w:rPr>
              <w:t>从股东单位获得的 报酬总额</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8" w:right="36"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报告期末实际所 得报酬</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r>
    </w:tbl>
    <w:p>
      <w:pPr>
        <w:spacing w:after="0" w:line="316" w:lineRule="auto"/>
        <w:jc w:val="left"/>
        <w:rPr>
          <w:rFonts w:ascii="Times New Roman" w:hAnsi="Times New Roman" w:cs="Times New Roman" w:eastAsia="Times New Roman" w:hint="default"/>
          <w:sz w:val="18"/>
          <w:szCs w:val="18"/>
        </w:rPr>
        <w:sectPr>
          <w:pgSz w:w="11910" w:h="16840"/>
          <w:pgMar w:header="0"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994"/>
        <w:gridCol w:w="1983"/>
        <w:gridCol w:w="569"/>
        <w:gridCol w:w="566"/>
        <w:gridCol w:w="1133"/>
        <w:gridCol w:w="1418"/>
        <w:gridCol w:w="1561"/>
        <w:gridCol w:w="1346"/>
      </w:tblGrid>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29.98</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29.98</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副董事长、副总经理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28.19</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28.19</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李乐霓</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9.82</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9.82</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柳晓川</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6.00</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杨如旺</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李建辉</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4.50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4.50</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张方方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李定安</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1.50</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范文梅</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15.33</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15.33</w:t>
            </w:r>
          </w:p>
        </w:tc>
      </w:tr>
      <w:tr>
        <w:trPr>
          <w:trHeight w:val="40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袁丽莎</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2"/>
                <w:sz w:val="18"/>
              </w:rPr>
              <w:t>11.71</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11.71</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8.14</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8.14</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黄伟宁</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董事会秘书、副总经理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30.44</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30.44</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黄光明</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29.23</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29.23</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张瑞斌</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28.50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28.50</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211.34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211.34</w:t>
            </w:r>
          </w:p>
        </w:tc>
      </w:tr>
    </w:tbl>
    <w:p>
      <w:pPr>
        <w:pStyle w:val="BodyText"/>
        <w:spacing w:line="357" w:lineRule="auto" w:before="49"/>
        <w:ind w:right="4734"/>
        <w:jc w:val="left"/>
      </w:pPr>
      <w:r>
        <w:rPr/>
        <w:t>注：李乐霓女士薪酬来源于广州市德居安电子科技有限公司。 公司董事、监事、高级管理人员报告期内被授予的股权激励情况</w:t>
      </w:r>
    </w:p>
    <w:p>
      <w:pPr>
        <w:pStyle w:val="BodyText"/>
        <w:spacing w:line="240" w:lineRule="auto" w:before="2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四、公司董事、监事、高级管理人员变动情况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变动情形</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变动日期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李定安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2012.04.06</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任期已满</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截至报告期末，公司未发生核心技术团队或关键技术人员变动的情况。</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六、公司员工情况</w:t>
      </w:r>
      <w:r>
        <w:rPr>
          <w:b w:val="0"/>
          <w:bCs w:val="0"/>
        </w:rPr>
      </w:r>
    </w:p>
    <w:p>
      <w:pPr>
        <w:spacing w:line="240" w:lineRule="auto" w:before="2"/>
        <w:rPr>
          <w:rFonts w:ascii="宋体" w:hAnsi="宋体" w:cs="宋体" w:eastAsia="宋体" w:hint="default"/>
          <w:b/>
          <w:bCs/>
          <w:sz w:val="28"/>
          <w:szCs w:val="28"/>
        </w:rPr>
      </w:pPr>
    </w:p>
    <w:p>
      <w:pPr>
        <w:pStyle w:val="BodyText"/>
        <w:spacing w:line="422" w:lineRule="auto"/>
        <w:ind w:right="3384"/>
        <w:jc w:val="left"/>
      </w:pPr>
      <w:r>
        <w:rPr/>
        <w:t>报告期末，公司员工总数为</w:t>
      </w:r>
      <w:r>
        <w:rPr>
          <w:rFonts w:ascii="宋体" w:hAnsi="宋体" w:cs="宋体" w:eastAsia="宋体" w:hint="default"/>
        </w:rPr>
        <w:t>692</w:t>
      </w:r>
      <w:r>
        <w:rPr/>
        <w:t>人，其专业构成、教育程度及年龄结构情况如下： </w:t>
      </w:r>
      <w:r>
        <w:rPr>
          <w:rFonts w:ascii="宋体" w:hAnsi="宋体" w:cs="宋体" w:eastAsia="宋体" w:hint="default"/>
        </w:rPr>
        <w:t>1</w:t>
      </w:r>
      <w:r>
        <w:rPr/>
        <w:t>、专业结构</w:t>
      </w:r>
    </w:p>
    <w:tbl>
      <w:tblPr>
        <w:tblW w:w="0" w:type="auto"/>
        <w:jc w:val="left"/>
        <w:tblInd w:w="145" w:type="dxa"/>
        <w:tblLayout w:type="fixed"/>
        <w:tblCellMar>
          <w:top w:w="0" w:type="dxa"/>
          <w:left w:w="0" w:type="dxa"/>
          <w:bottom w:w="0" w:type="dxa"/>
          <w:right w:w="0" w:type="dxa"/>
        </w:tblCellMar>
        <w:tblLook w:val="01E0"/>
      </w:tblPr>
      <w:tblGrid>
        <w:gridCol w:w="2840"/>
        <w:gridCol w:w="2842"/>
        <w:gridCol w:w="2842"/>
      </w:tblGrid>
      <w:tr>
        <w:trPr>
          <w:trHeight w:val="348" w:hRule="exact"/>
        </w:trPr>
        <w:tc>
          <w:tcPr>
            <w:tcW w:w="284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left="1054" w:right="0"/>
              <w:jc w:val="left"/>
              <w:rPr>
                <w:rFonts w:ascii="宋体" w:hAnsi="宋体" w:cs="宋体" w:eastAsia="宋体" w:hint="default"/>
                <w:sz w:val="18"/>
                <w:szCs w:val="18"/>
              </w:rPr>
            </w:pPr>
            <w:r>
              <w:rPr>
                <w:rFonts w:ascii="宋体" w:hAnsi="宋体" w:cs="宋体" w:eastAsia="宋体" w:hint="default"/>
                <w:b/>
                <w:bCs/>
                <w:sz w:val="18"/>
                <w:szCs w:val="18"/>
              </w:rPr>
              <w:t>专业结构</w:t>
            </w:r>
            <w:r>
              <w:rPr>
                <w:rFonts w:ascii="宋体" w:hAnsi="宋体" w:cs="宋体" w:eastAsia="宋体" w:hint="default"/>
                <w:sz w:val="18"/>
                <w:szCs w:val="18"/>
              </w:rPr>
            </w:r>
          </w:p>
        </w:tc>
        <w:tc>
          <w:tcPr>
            <w:tcW w:w="284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right="1227"/>
              <w:jc w:val="righ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284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占总人数比例</w:t>
            </w:r>
            <w:r>
              <w:rPr>
                <w:rFonts w:ascii="宋体" w:hAnsi="宋体" w:cs="宋体" w:eastAsia="宋体" w:hint="default"/>
                <w:sz w:val="18"/>
                <w:szCs w:val="18"/>
              </w:rPr>
            </w:r>
          </w:p>
        </w:tc>
      </w:tr>
      <w:tr>
        <w:trPr>
          <w:trHeight w:val="346"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54"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318"/>
              <w:jc w:val="right"/>
              <w:rPr>
                <w:rFonts w:ascii="宋体" w:hAnsi="宋体" w:cs="宋体" w:eastAsia="宋体" w:hint="default"/>
                <w:sz w:val="18"/>
                <w:szCs w:val="18"/>
              </w:rPr>
            </w:pPr>
            <w:r>
              <w:rPr>
                <w:rFonts w:ascii="宋体"/>
                <w:sz w:val="18"/>
              </w:rPr>
              <w:t>42</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6.07%</w:t>
            </w:r>
          </w:p>
        </w:tc>
      </w:tr>
      <w:tr>
        <w:trPr>
          <w:trHeight w:val="348"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5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318"/>
              <w:jc w:val="right"/>
              <w:rPr>
                <w:rFonts w:ascii="宋体" w:hAnsi="宋体" w:cs="宋体" w:eastAsia="宋体" w:hint="default"/>
                <w:sz w:val="18"/>
                <w:szCs w:val="18"/>
              </w:rPr>
            </w:pPr>
            <w:r>
              <w:rPr>
                <w:rFonts w:ascii="宋体"/>
                <w:sz w:val="18"/>
              </w:rPr>
              <w:t>31</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4.48%</w:t>
            </w:r>
          </w:p>
        </w:tc>
      </w:tr>
      <w:tr>
        <w:trPr>
          <w:trHeight w:val="346"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5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272"/>
              <w:jc w:val="right"/>
              <w:rPr>
                <w:rFonts w:ascii="宋体" w:hAnsi="宋体" w:cs="宋体" w:eastAsia="宋体" w:hint="default"/>
                <w:sz w:val="18"/>
                <w:szCs w:val="18"/>
              </w:rPr>
            </w:pPr>
            <w:r>
              <w:rPr>
                <w:rFonts w:ascii="宋体"/>
                <w:sz w:val="18"/>
              </w:rPr>
              <w:t>235</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33.96%</w:t>
            </w:r>
          </w:p>
        </w:tc>
      </w:tr>
      <w:tr>
        <w:trPr>
          <w:trHeight w:val="348"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5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272"/>
              <w:jc w:val="right"/>
              <w:rPr>
                <w:rFonts w:ascii="宋体" w:hAnsi="宋体" w:cs="宋体" w:eastAsia="宋体" w:hint="default"/>
                <w:sz w:val="18"/>
                <w:szCs w:val="18"/>
              </w:rPr>
            </w:pPr>
            <w:r>
              <w:rPr>
                <w:rFonts w:ascii="宋体"/>
                <w:sz w:val="18"/>
              </w:rPr>
              <w:t>144</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20.81%</w:t>
            </w:r>
          </w:p>
        </w:tc>
      </w:tr>
      <w:tr>
        <w:trPr>
          <w:trHeight w:val="348"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5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318"/>
              <w:jc w:val="right"/>
              <w:rPr>
                <w:rFonts w:ascii="宋体" w:hAnsi="宋体" w:cs="宋体" w:eastAsia="宋体" w:hint="default"/>
                <w:sz w:val="18"/>
                <w:szCs w:val="18"/>
              </w:rPr>
            </w:pPr>
            <w:r>
              <w:rPr>
                <w:rFonts w:ascii="宋体"/>
                <w:sz w:val="18"/>
              </w:rPr>
              <w:t>61</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8.81%</w:t>
            </w:r>
          </w:p>
        </w:tc>
      </w:tr>
    </w:tbl>
    <w:p>
      <w:pPr>
        <w:spacing w:after="0" w:line="240" w:lineRule="auto"/>
        <w:jc w:val="center"/>
        <w:rPr>
          <w:rFonts w:ascii="宋体" w:hAnsi="宋体" w:cs="宋体" w:eastAsia="宋体" w:hint="default"/>
          <w:sz w:val="18"/>
          <w:szCs w:val="18"/>
        </w:rPr>
        <w:sectPr>
          <w:pgSz w:w="11910" w:h="16840"/>
          <w:pgMar w:header="0"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2840"/>
        <w:gridCol w:w="2842"/>
        <w:gridCol w:w="2842"/>
      </w:tblGrid>
      <w:tr>
        <w:trPr>
          <w:trHeight w:val="348"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179</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25.87%</w:t>
            </w:r>
          </w:p>
        </w:tc>
      </w:tr>
      <w:tr>
        <w:trPr>
          <w:trHeight w:val="346"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b/>
                <w:sz w:val="18"/>
              </w:rPr>
              <w:t>692</w:t>
            </w:r>
            <w:r>
              <w:rPr>
                <w:rFonts w:ascii="宋体"/>
                <w:sz w:val="18"/>
              </w:rPr>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b/>
                <w:sz w:val="18"/>
              </w:rPr>
              <w:t>100%</w:t>
            </w:r>
            <w:r>
              <w:rPr>
                <w:rFonts w:ascii="宋体"/>
                <w:sz w:val="18"/>
              </w:rPr>
            </w:r>
          </w:p>
        </w:tc>
      </w:tr>
    </w:tbl>
    <w:p>
      <w:pPr>
        <w:spacing w:line="240" w:lineRule="auto" w:before="1"/>
        <w:rPr>
          <w:rFonts w:ascii="宋体" w:hAnsi="宋体" w:cs="宋体" w:eastAsia="宋体" w:hint="default"/>
          <w:sz w:val="21"/>
          <w:szCs w:val="21"/>
        </w:rPr>
      </w:pPr>
    </w:p>
    <w:p>
      <w:pPr>
        <w:pStyle w:val="BodyText"/>
        <w:spacing w:line="240" w:lineRule="auto" w:before="44"/>
        <w:ind w:right="0"/>
        <w:jc w:val="left"/>
      </w:pPr>
      <w:r>
        <w:rPr>
          <w:rFonts w:ascii="宋体" w:hAnsi="宋体" w:cs="宋体" w:eastAsia="宋体" w:hint="default"/>
        </w:rPr>
        <w:t>2</w:t>
      </w:r>
      <w:r>
        <w:rPr/>
        <w:t>、教育程度</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840"/>
        <w:gridCol w:w="2842"/>
        <w:gridCol w:w="2842"/>
      </w:tblGrid>
      <w:tr>
        <w:trPr>
          <w:trHeight w:val="336" w:hRule="exact"/>
        </w:trPr>
        <w:tc>
          <w:tcPr>
            <w:tcW w:w="284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受教育程度</w:t>
            </w:r>
            <w:r>
              <w:rPr>
                <w:rFonts w:ascii="宋体" w:hAnsi="宋体" w:cs="宋体" w:eastAsia="宋体" w:hint="default"/>
                <w:sz w:val="18"/>
                <w:szCs w:val="18"/>
              </w:rPr>
            </w:r>
          </w:p>
        </w:tc>
        <w:tc>
          <w:tcPr>
            <w:tcW w:w="284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1233" w:right="0"/>
              <w:jc w:val="lef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284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占总人数比例</w:t>
            </w:r>
            <w:r>
              <w:rPr>
                <w:rFonts w:ascii="宋体" w:hAnsi="宋体" w:cs="宋体" w:eastAsia="宋体" w:hint="default"/>
                <w:sz w:val="18"/>
                <w:szCs w:val="18"/>
              </w:rPr>
            </w:r>
          </w:p>
        </w:tc>
      </w:tr>
      <w:tr>
        <w:trPr>
          <w:trHeight w:val="360" w:hRule="exact"/>
        </w:trPr>
        <w:tc>
          <w:tcPr>
            <w:tcW w:w="284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本科及本科以上</w:t>
            </w:r>
          </w:p>
        </w:tc>
        <w:tc>
          <w:tcPr>
            <w:tcW w:w="284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5"/>
              <w:ind w:left="1279" w:right="0"/>
              <w:jc w:val="left"/>
              <w:rPr>
                <w:rFonts w:ascii="宋体" w:hAnsi="宋体" w:cs="宋体" w:eastAsia="宋体" w:hint="default"/>
                <w:sz w:val="18"/>
                <w:szCs w:val="18"/>
              </w:rPr>
            </w:pPr>
            <w:r>
              <w:rPr>
                <w:rFonts w:ascii="宋体"/>
                <w:sz w:val="18"/>
              </w:rPr>
              <w:t>197</w:t>
            </w:r>
          </w:p>
        </w:tc>
        <w:tc>
          <w:tcPr>
            <w:tcW w:w="284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sz w:val="18"/>
              </w:rPr>
              <w:t>28.47%</w:t>
            </w:r>
          </w:p>
        </w:tc>
      </w:tr>
      <w:tr>
        <w:trPr>
          <w:trHeight w:val="346"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279" w:right="0"/>
              <w:jc w:val="left"/>
              <w:rPr>
                <w:rFonts w:ascii="宋体" w:hAnsi="宋体" w:cs="宋体" w:eastAsia="宋体" w:hint="default"/>
                <w:sz w:val="18"/>
                <w:szCs w:val="18"/>
              </w:rPr>
            </w:pPr>
            <w:r>
              <w:rPr>
                <w:rFonts w:ascii="宋体"/>
                <w:sz w:val="18"/>
              </w:rPr>
              <w:t>288</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41.62%</w:t>
            </w:r>
          </w:p>
        </w:tc>
      </w:tr>
      <w:tr>
        <w:trPr>
          <w:trHeight w:val="348"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大专以下</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79" w:right="0"/>
              <w:jc w:val="left"/>
              <w:rPr>
                <w:rFonts w:ascii="宋体" w:hAnsi="宋体" w:cs="宋体" w:eastAsia="宋体" w:hint="default"/>
                <w:sz w:val="18"/>
                <w:szCs w:val="18"/>
              </w:rPr>
            </w:pPr>
            <w:r>
              <w:rPr>
                <w:rFonts w:ascii="宋体"/>
                <w:sz w:val="18"/>
              </w:rPr>
              <w:t>207</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29.91%</w:t>
            </w:r>
          </w:p>
        </w:tc>
      </w:tr>
      <w:tr>
        <w:trPr>
          <w:trHeight w:val="348"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279" w:right="0"/>
              <w:jc w:val="left"/>
              <w:rPr>
                <w:rFonts w:ascii="宋体" w:hAnsi="宋体" w:cs="宋体" w:eastAsia="宋体" w:hint="default"/>
                <w:sz w:val="18"/>
                <w:szCs w:val="18"/>
              </w:rPr>
            </w:pPr>
            <w:r>
              <w:rPr>
                <w:rFonts w:ascii="宋体"/>
                <w:b/>
                <w:sz w:val="18"/>
              </w:rPr>
              <w:t>692</w:t>
            </w:r>
            <w:r>
              <w:rPr>
                <w:rFonts w:ascii="宋体"/>
                <w:sz w:val="18"/>
              </w:rPr>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b/>
                <w:sz w:val="18"/>
              </w:rPr>
              <w:t>100%</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before="44"/>
        <w:ind w:right="0"/>
        <w:jc w:val="left"/>
      </w:pPr>
      <w:r>
        <w:rPr>
          <w:rFonts w:ascii="宋体" w:hAnsi="宋体" w:cs="宋体" w:eastAsia="宋体" w:hint="default"/>
        </w:rPr>
        <w:t>3</w:t>
      </w:r>
      <w:r>
        <w:rPr/>
        <w:t>、年龄结构</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840"/>
        <w:gridCol w:w="2842"/>
        <w:gridCol w:w="2842"/>
      </w:tblGrid>
      <w:tr>
        <w:trPr>
          <w:trHeight w:val="334" w:hRule="exact"/>
        </w:trPr>
        <w:tc>
          <w:tcPr>
            <w:tcW w:w="284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年龄（岁）</w:t>
            </w:r>
            <w:r>
              <w:rPr>
                <w:rFonts w:ascii="宋体" w:hAnsi="宋体" w:cs="宋体" w:eastAsia="宋体" w:hint="default"/>
                <w:sz w:val="18"/>
                <w:szCs w:val="18"/>
              </w:rPr>
            </w:r>
          </w:p>
        </w:tc>
        <w:tc>
          <w:tcPr>
            <w:tcW w:w="284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right="1227"/>
              <w:jc w:val="righ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284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占总人数比例</w:t>
            </w:r>
            <w:r>
              <w:rPr>
                <w:rFonts w:ascii="宋体" w:hAnsi="宋体" w:cs="宋体" w:eastAsia="宋体" w:hint="default"/>
                <w:sz w:val="18"/>
                <w:szCs w:val="18"/>
              </w:rPr>
            </w:r>
          </w:p>
        </w:tc>
      </w:tr>
      <w:tr>
        <w:trPr>
          <w:trHeight w:val="360" w:hRule="exact"/>
        </w:trPr>
        <w:tc>
          <w:tcPr>
            <w:tcW w:w="284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7"/>
              <w:ind w:left="7" w:right="0"/>
              <w:jc w:val="center"/>
              <w:rPr>
                <w:rFonts w:ascii="宋体" w:hAnsi="宋体" w:cs="宋体" w:eastAsia="宋体" w:hint="default"/>
                <w:sz w:val="18"/>
                <w:szCs w:val="18"/>
              </w:rPr>
            </w:pPr>
            <w:r>
              <w:rPr>
                <w:rFonts w:ascii="宋体" w:hAnsi="宋体" w:cs="宋体" w:eastAsia="宋体" w:hint="default"/>
                <w:sz w:val="18"/>
                <w:szCs w:val="18"/>
              </w:rPr>
              <w:t>51</w:t>
            </w:r>
            <w:r>
              <w:rPr>
                <w:rFonts w:ascii="宋体" w:hAnsi="宋体" w:cs="宋体" w:eastAsia="宋体" w:hint="default"/>
                <w:sz w:val="18"/>
                <w:szCs w:val="18"/>
              </w:rPr>
              <w:t>以上</w:t>
            </w:r>
          </w:p>
        </w:tc>
        <w:tc>
          <w:tcPr>
            <w:tcW w:w="284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9</w:t>
            </w:r>
          </w:p>
        </w:tc>
        <w:tc>
          <w:tcPr>
            <w:tcW w:w="284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1.30%</w:t>
            </w:r>
          </w:p>
        </w:tc>
      </w:tr>
      <w:tr>
        <w:trPr>
          <w:trHeight w:val="346"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41-50</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318"/>
              <w:jc w:val="right"/>
              <w:rPr>
                <w:rFonts w:ascii="宋体" w:hAnsi="宋体" w:cs="宋体" w:eastAsia="宋体" w:hint="default"/>
                <w:sz w:val="18"/>
                <w:szCs w:val="18"/>
              </w:rPr>
            </w:pPr>
            <w:r>
              <w:rPr>
                <w:rFonts w:ascii="宋体"/>
                <w:sz w:val="18"/>
              </w:rPr>
              <w:t>39</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5.63%</w:t>
            </w:r>
          </w:p>
        </w:tc>
      </w:tr>
      <w:tr>
        <w:trPr>
          <w:trHeight w:val="348"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31-40</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272"/>
              <w:jc w:val="right"/>
              <w:rPr>
                <w:rFonts w:ascii="宋体" w:hAnsi="宋体" w:cs="宋体" w:eastAsia="宋体" w:hint="default"/>
                <w:sz w:val="18"/>
                <w:szCs w:val="18"/>
              </w:rPr>
            </w:pPr>
            <w:r>
              <w:rPr>
                <w:rFonts w:ascii="宋体"/>
                <w:sz w:val="18"/>
              </w:rPr>
              <w:t>229</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33.10%</w:t>
            </w:r>
          </w:p>
        </w:tc>
      </w:tr>
      <w:tr>
        <w:trPr>
          <w:trHeight w:val="346"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z w:val="18"/>
                <w:szCs w:val="18"/>
              </w:rPr>
              <w:t>以下</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272"/>
              <w:jc w:val="right"/>
              <w:rPr>
                <w:rFonts w:ascii="宋体" w:hAnsi="宋体" w:cs="宋体" w:eastAsia="宋体" w:hint="default"/>
                <w:sz w:val="18"/>
                <w:szCs w:val="18"/>
              </w:rPr>
            </w:pPr>
            <w:r>
              <w:rPr>
                <w:rFonts w:ascii="宋体"/>
                <w:sz w:val="18"/>
              </w:rPr>
              <w:t>415</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59.97%</w:t>
            </w:r>
          </w:p>
        </w:tc>
      </w:tr>
      <w:tr>
        <w:trPr>
          <w:trHeight w:val="348"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272"/>
              <w:jc w:val="right"/>
              <w:rPr>
                <w:rFonts w:ascii="宋体" w:hAnsi="宋体" w:cs="宋体" w:eastAsia="宋体" w:hint="default"/>
                <w:sz w:val="18"/>
                <w:szCs w:val="18"/>
              </w:rPr>
            </w:pPr>
            <w:r>
              <w:rPr>
                <w:rFonts w:ascii="宋体"/>
                <w:b/>
                <w:sz w:val="18"/>
              </w:rPr>
              <w:t>692</w:t>
            </w:r>
            <w:r>
              <w:rPr>
                <w:rFonts w:ascii="宋体"/>
                <w:sz w:val="18"/>
              </w:rPr>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b/>
                <w:sz w:val="18"/>
              </w:rPr>
              <w:t>100%</w:t>
            </w:r>
            <w:r>
              <w:rPr>
                <w:rFonts w:ascii="宋体"/>
                <w:sz w:val="18"/>
              </w:rPr>
            </w:r>
          </w:p>
        </w:tc>
      </w:tr>
    </w:tbl>
    <w:p>
      <w:pPr>
        <w:pStyle w:val="BodyText"/>
        <w:spacing w:line="240" w:lineRule="auto" w:before="87"/>
        <w:ind w:right="0"/>
        <w:jc w:val="left"/>
      </w:pPr>
      <w:r>
        <w:rPr>
          <w:rFonts w:ascii="宋体" w:hAnsi="宋体" w:cs="宋体" w:eastAsia="宋体" w:hint="default"/>
        </w:rPr>
        <w:t>4</w:t>
      </w:r>
      <w:r>
        <w:rPr/>
        <w:t>、截至报告期末，公司没有需要承担费用的离退休职工。</w:t>
      </w:r>
    </w:p>
    <w:p>
      <w:pPr>
        <w:spacing w:after="0" w:line="240" w:lineRule="auto"/>
        <w:jc w:val="left"/>
        <w:sectPr>
          <w:pgSz w:w="11910" w:h="16840"/>
          <w:pgMar w:header="0" w:footer="1227" w:top="1100" w:bottom="14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3590" w:right="3626"/>
        <w:jc w:val="center"/>
        <w:rPr>
          <w:b w:val="0"/>
          <w:bCs w:val="0"/>
        </w:rPr>
      </w:pPr>
      <w:bookmarkStart w:name="_TOC_250002"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88"/>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88"/>
        <w:jc w:val="left"/>
      </w:pPr>
      <w:r>
        <w:rPr>
          <w:spacing w:val="-4"/>
        </w:rPr>
        <w:t>报告期内，公司严格按照《公司法》、《证券法》、《上市公司治理准则》、《深圳证券交易所创业板股票上市规则》、</w:t>
      </w:r>
    </w:p>
    <w:p>
      <w:pPr>
        <w:pStyle w:val="BodyText"/>
        <w:spacing w:line="316" w:lineRule="auto" w:before="76"/>
        <w:ind w:right="190"/>
        <w:jc w:val="both"/>
      </w:pPr>
      <w:r>
        <w:rPr>
          <w:spacing w:val="-2"/>
        </w:rPr>
        <w:t>《深圳证券交易所创业板上市公司规范运作指引》等法律、法规的要求，建立和完善法人治理结构，建立健全公司内部控制</w:t>
      </w:r>
      <w:r>
        <w:rPr>
          <w:spacing w:val="-62"/>
        </w:rPr>
        <w:t> </w:t>
      </w:r>
      <w:r>
        <w:rPr>
          <w:spacing w:val="-62"/>
        </w:rPr>
      </w:r>
      <w:r>
        <w:rPr>
          <w:spacing w:val="-2"/>
        </w:rPr>
        <w:t>制度，进一步规范公司运作，提高公司治理水平。截至报告期末，公司治理的实际状况符合中国证监会、深圳证券交易所等</w:t>
      </w:r>
      <w:r>
        <w:rPr>
          <w:spacing w:val="-67"/>
        </w:rPr>
        <w:t> </w:t>
      </w:r>
      <w:r>
        <w:rPr>
          <w:spacing w:val="-67"/>
        </w:rPr>
      </w:r>
      <w:r>
        <w:rPr/>
        <w:t>发布的法律法规和规范性文件的要求。</w:t>
      </w:r>
    </w:p>
    <w:p>
      <w:pPr>
        <w:pStyle w:val="BodyText"/>
        <w:spacing w:line="319" w:lineRule="auto" w:before="57"/>
        <w:ind w:right="188" w:firstLine="360"/>
        <w:jc w:val="both"/>
      </w:pPr>
      <w:r>
        <w:rPr>
          <w:spacing w:val="-2"/>
        </w:rPr>
        <w:t>报告期内，公司相继制定或修订了《公司章程》、《董事会秘书工作制度》、《重大信息内部报告制度》、《董事会议</w:t>
      </w:r>
      <w:r>
        <w:rPr/>
        <w:t> </w:t>
      </w:r>
      <w:r>
        <w:rPr>
          <w:spacing w:val="-2"/>
        </w:rPr>
        <w:t>事规则》、《总经理工作细则》、《利润分配管理制度》、《股东分红回报规划》、《对外投资管理制度》、《关联交易管</w:t>
      </w:r>
      <w:r>
        <w:rPr>
          <w:spacing w:val="-69"/>
        </w:rPr>
        <w:t> </w:t>
      </w:r>
      <w:r>
        <w:rPr>
          <w:spacing w:val="-69"/>
        </w:rPr>
      </w:r>
      <w:r>
        <w:rPr/>
        <w:t>理制度》、《子公司管理制度》，并在实际运行中严格遵守执行，从而保障了公司法人治理结构的高效运作。</w:t>
      </w:r>
    </w:p>
    <w:p>
      <w:pPr>
        <w:pStyle w:val="BodyText"/>
        <w:spacing w:line="340" w:lineRule="auto" w:before="58"/>
        <w:ind w:left="513" w:right="88"/>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关于股东与股东大会</w:t>
      </w:r>
      <w:r>
        <w:rPr>
          <w:w w:val="99"/>
        </w:rPr>
        <w:t> </w:t>
      </w:r>
      <w:r>
        <w:rPr>
          <w:spacing w:val="-2"/>
        </w:rPr>
        <w:t>公司严格按照《上市公司股东大会规则》、《公司章程》、《股东大会议事规则》等规定和要求和深圳证券交易所创业</w:t>
      </w:r>
    </w:p>
    <w:p>
      <w:pPr>
        <w:pStyle w:val="BodyText"/>
        <w:spacing w:line="316" w:lineRule="auto" w:before="1"/>
        <w:ind w:right="88"/>
        <w:jc w:val="left"/>
      </w:pPr>
      <w:r>
        <w:rPr>
          <w:spacing w:val="-4"/>
        </w:rPr>
        <w:t>板的相关规定和要求，规范股东大会的召集、召开和表决程序，并尽可能为股东参加股东大会创造便利条件，确保所有股东，</w:t>
      </w:r>
      <w:r>
        <w:rPr>
          <w:spacing w:val="-46"/>
        </w:rPr>
        <w:t> </w:t>
      </w:r>
      <w:r>
        <w:rPr>
          <w:spacing w:val="-46"/>
        </w:rPr>
      </w:r>
      <w:r>
        <w:rPr>
          <w:spacing w:val="-2"/>
        </w:rPr>
        <w:t>特别是公众股东的平等地位，充分行使自己的权利。同时，公司聘请专业律师见证股东大会，确保会议召集召开以及表决程</w:t>
      </w:r>
      <w:r>
        <w:rPr>
          <w:spacing w:val="-64"/>
        </w:rPr>
        <w:t> </w:t>
      </w:r>
      <w:r>
        <w:rPr>
          <w:spacing w:val="-64"/>
        </w:rPr>
      </w:r>
      <w:r>
        <w:rPr/>
        <w:t>序符合相关法律规定，维护股东的合法权益。</w:t>
      </w:r>
    </w:p>
    <w:p>
      <w:pPr>
        <w:pStyle w:val="BodyText"/>
        <w:spacing w:line="312" w:lineRule="auto" w:before="57"/>
        <w:ind w:right="191" w:firstLine="360"/>
        <w:jc w:val="both"/>
      </w:pPr>
      <w:r>
        <w:rPr>
          <w:spacing w:val="-2"/>
        </w:rPr>
        <w:t>报告期内，公司召开的股东大会不存在违反《上市公司股东大会规则》的情形，公司未发生单独或合并持有公司有表决</w:t>
      </w:r>
      <w:r>
        <w:rPr/>
        <w:t> </w:t>
      </w:r>
      <w:r>
        <w:rPr>
          <w:spacing w:val="-1"/>
        </w:rPr>
        <w:t>权股份总数</w:t>
      </w:r>
      <w:r>
        <w:rPr>
          <w:rFonts w:ascii="Times New Roman" w:hAnsi="Times New Roman" w:cs="Times New Roman" w:eastAsia="Times New Roman" w:hint="default"/>
          <w:spacing w:val="-1"/>
        </w:rPr>
        <w:t>10%</w:t>
      </w:r>
      <w:r>
        <w:rPr>
          <w:spacing w:val="-1"/>
        </w:rPr>
        <w:t>以上的股东请求召开临时股东大会的情形，未发生应监事会提议召开的股东大会情形。公司所有应经股东大</w:t>
      </w:r>
      <w:r>
        <w:rPr>
          <w:spacing w:val="-88"/>
        </w:rPr>
        <w:t> </w:t>
      </w:r>
      <w:r>
        <w:rPr>
          <w:spacing w:val="-88"/>
        </w:rPr>
      </w:r>
      <w:r>
        <w:rPr>
          <w:spacing w:val="-2"/>
        </w:rPr>
        <w:t>会审议的重大事项，均按照《公司法》、《公司章程》的规定通过股东大会审议，不存在绕过股东大会或先实施后审议的情</w:t>
      </w:r>
      <w:r>
        <w:rPr>
          <w:spacing w:val="-69"/>
        </w:rPr>
        <w:t> </w:t>
      </w:r>
      <w:r>
        <w:rPr>
          <w:spacing w:val="-69"/>
        </w:rPr>
      </w:r>
      <w:r>
        <w:rPr/>
        <w:t>形。</w:t>
      </w:r>
    </w:p>
    <w:p>
      <w:pPr>
        <w:pStyle w:val="BodyText"/>
        <w:spacing w:line="360" w:lineRule="auto" w:before="63"/>
        <w:ind w:left="513" w:right="88"/>
        <w:jc w:val="left"/>
      </w:pPr>
      <w:r>
        <w:rPr/>
        <w:t>（二）</w:t>
      </w:r>
      <w:r>
        <w:rPr>
          <w:spacing w:val="-19"/>
        </w:rPr>
        <w:t> </w:t>
      </w:r>
      <w:r>
        <w:rPr/>
        <w:t>关于公司与控股股东</w:t>
      </w:r>
      <w:r>
        <w:rPr/>
        <w:t> </w:t>
      </w:r>
      <w:r>
        <w:rPr>
          <w:spacing w:val="-2"/>
        </w:rPr>
        <w:t>公司控股股东严格《上市公司治理准则》、《深圳证券交易所创业板股票上市规则》、《深圳证券交易所创业板上市公</w:t>
      </w:r>
    </w:p>
    <w:p>
      <w:pPr>
        <w:pStyle w:val="BodyText"/>
        <w:spacing w:line="222" w:lineRule="exact"/>
        <w:ind w:right="0"/>
        <w:jc w:val="left"/>
      </w:pPr>
      <w:r>
        <w:rPr/>
        <w:t>司规范运作指引》、《公司章程》等规定和要求，规范自身行为，不存在超越公司股东大会直接或间接干预公司的决策和经</w:t>
      </w:r>
    </w:p>
    <w:p>
      <w:pPr>
        <w:pStyle w:val="BodyText"/>
        <w:spacing w:line="316" w:lineRule="auto" w:before="76"/>
        <w:ind w:right="88"/>
        <w:jc w:val="left"/>
      </w:pPr>
      <w:r>
        <w:rPr>
          <w:spacing w:val="-4"/>
        </w:rPr>
        <w:t>营活动的行为，未损害公司及其他股东的利益，不存在控股股东占用公司资金的现象，公司亦无为控股股东提供担保的情形。</w:t>
      </w:r>
      <w:r>
        <w:rPr>
          <w:spacing w:val="-42"/>
        </w:rPr>
        <w:t> </w:t>
      </w:r>
      <w:r>
        <w:rPr>
          <w:spacing w:val="-42"/>
        </w:rPr>
      </w:r>
      <w:r>
        <w:rPr>
          <w:spacing w:val="-2"/>
        </w:rPr>
        <w:t>公司拥有独立完整的业务和自主经营能力，在业务、资产、人员、机构、财务上独立于控股股东，公司董事会、监事会和内</w:t>
      </w:r>
      <w:r>
        <w:rPr>
          <w:spacing w:val="-73"/>
        </w:rPr>
        <w:t> </w:t>
      </w:r>
      <w:r>
        <w:rPr>
          <w:spacing w:val="-73"/>
        </w:rPr>
      </w:r>
      <w:r>
        <w:rPr/>
        <w:t>部机构独立运行。</w:t>
      </w:r>
    </w:p>
    <w:p>
      <w:pPr>
        <w:pStyle w:val="BodyText"/>
        <w:spacing w:line="340" w:lineRule="auto" w:before="57"/>
        <w:ind w:left="513" w:right="88"/>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关于董事与董事会</w:t>
      </w:r>
      <w:r>
        <w:rPr>
          <w:w w:val="99"/>
        </w:rPr>
        <w:t> </w:t>
      </w:r>
      <w:r>
        <w:rPr>
          <w:spacing w:val="-2"/>
        </w:rPr>
        <w:t>根据《公司章程》及《董事会议事规则》的规定公司董事会由</w:t>
      </w:r>
      <w:r>
        <w:rPr>
          <w:rFonts w:ascii="Times New Roman" w:hAnsi="Times New Roman" w:cs="Times New Roman" w:eastAsia="Times New Roman" w:hint="default"/>
          <w:spacing w:val="-2"/>
        </w:rPr>
        <w:t>7</w:t>
      </w:r>
      <w:r>
        <w:rPr>
          <w:spacing w:val="-2"/>
        </w:rPr>
        <w:t>名董事组成，其中独立董事</w:t>
      </w:r>
      <w:r>
        <w:rPr>
          <w:rFonts w:ascii="Times New Roman" w:hAnsi="Times New Roman" w:cs="Times New Roman" w:eastAsia="Times New Roman" w:hint="default"/>
          <w:spacing w:val="-2"/>
        </w:rPr>
        <w:t>4</w:t>
      </w:r>
      <w:r>
        <w:rPr>
          <w:spacing w:val="-2"/>
        </w:rPr>
        <w:t>名，公司选聘董事、董事会</w:t>
      </w:r>
    </w:p>
    <w:p>
      <w:pPr>
        <w:pStyle w:val="BodyText"/>
        <w:spacing w:line="215" w:lineRule="exact"/>
        <w:ind w:right="88"/>
        <w:jc w:val="left"/>
      </w:pPr>
      <w:r>
        <w:rPr>
          <w:spacing w:val="-4"/>
        </w:rPr>
        <w:t>人数、构成及资格均符合法律、法规和公司章程的规定。董事会均严格按照《公司章程》及《董事会议事规则》的程序召集、</w:t>
      </w:r>
    </w:p>
    <w:p>
      <w:pPr>
        <w:pStyle w:val="BodyText"/>
        <w:spacing w:line="316" w:lineRule="auto" w:before="76"/>
        <w:ind w:right="88"/>
        <w:jc w:val="left"/>
      </w:pPr>
      <w:r>
        <w:rPr>
          <w:spacing w:val="-2"/>
        </w:rPr>
        <w:t>召开。各位董事能够依据《董事会议事规则》、《独立董事制度》、《深圳证券交易所创业板上市公司规范运作指引》等规</w:t>
      </w:r>
      <w:r>
        <w:rPr>
          <w:spacing w:val="-68"/>
        </w:rPr>
        <w:t> </w:t>
      </w:r>
      <w:r>
        <w:rPr>
          <w:spacing w:val="-68"/>
        </w:rPr>
      </w:r>
      <w:r>
        <w:rPr>
          <w:spacing w:val="-2"/>
        </w:rPr>
        <w:t>定开展工作，出席董事会和股东大会，勤勉尽责的履行职责和义务，同时积极参加相关培训，熟悉相关法律法规。公司按照</w:t>
      </w:r>
    </w:p>
    <w:p>
      <w:pPr>
        <w:pStyle w:val="BodyText"/>
        <w:spacing w:line="309" w:lineRule="auto" w:before="19"/>
        <w:ind w:right="191"/>
        <w:jc w:val="both"/>
      </w:pPr>
      <w:r>
        <w:rPr>
          <w:spacing w:val="-2"/>
        </w:rPr>
        <w:t>《深圳证券交易所创业板上市公司规范运作指引》的要求，下设有战略委员会、薪酬与考核委员会、审计委员会和提名委员</w:t>
      </w:r>
      <w:r>
        <w:rPr>
          <w:spacing w:val="-64"/>
        </w:rPr>
        <w:t> </w:t>
      </w:r>
      <w:r>
        <w:rPr>
          <w:spacing w:val="-64"/>
        </w:rPr>
      </w:r>
      <w:r>
        <w:rPr/>
        <w:t>会四个专门委员会，各委员会中独立董事占比均超</w:t>
      </w:r>
      <w:r>
        <w:rPr>
          <w:rFonts w:ascii="Times New Roman" w:hAnsi="Times New Roman" w:cs="Times New Roman" w:eastAsia="Times New Roman" w:hint="default"/>
        </w:rPr>
        <w:t>1/2</w:t>
      </w:r>
      <w:r>
        <w:rPr/>
        <w:t>，提高了董事会履职能力和专业化程度，保障了董事会决策的科学性</w:t>
      </w:r>
      <w:r>
        <w:rPr>
          <w:spacing w:val="-49"/>
        </w:rPr>
        <w:t> </w:t>
      </w:r>
      <w:r>
        <w:rPr>
          <w:spacing w:val="-49"/>
        </w:rPr>
      </w:r>
      <w:r>
        <w:rPr/>
        <w:t>和规范性。</w:t>
      </w:r>
    </w:p>
    <w:p>
      <w:pPr>
        <w:pStyle w:val="BodyText"/>
        <w:spacing w:line="240" w:lineRule="auto" w:before="65"/>
        <w:ind w:left="513" w:right="88"/>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关于监事与监事会</w:t>
      </w:r>
    </w:p>
    <w:p>
      <w:pPr>
        <w:pStyle w:val="BodyText"/>
        <w:spacing w:line="312" w:lineRule="auto" w:before="101"/>
        <w:ind w:right="188" w:firstLine="360"/>
        <w:jc w:val="both"/>
      </w:pPr>
      <w:r>
        <w:rPr/>
        <w:t>根据《公司章程》和《监事会议事规则》的规定，公司监事会由</w:t>
      </w:r>
      <w:r>
        <w:rPr>
          <w:rFonts w:ascii="Times New Roman" w:hAnsi="Times New Roman" w:cs="Times New Roman" w:eastAsia="Times New Roman" w:hint="default"/>
        </w:rPr>
        <w:t>3 </w:t>
      </w:r>
      <w:r>
        <w:rPr/>
        <w:t>名监事组成，其中职工监事代表</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名，监事会的人数 </w:t>
      </w:r>
      <w:r>
        <w:rPr>
          <w:spacing w:val="-2"/>
        </w:rPr>
        <w:t>和构成均符合法律法规的要求。监事会均按照《公司章程》及《监事会议事规则》的程序召集、召开，各位监事均能认真履</w:t>
      </w:r>
      <w:r>
        <w:rPr>
          <w:spacing w:val="-72"/>
        </w:rPr>
        <w:t> </w:t>
      </w:r>
      <w:r>
        <w:rPr>
          <w:spacing w:val="-72"/>
        </w:rPr>
      </w:r>
      <w:r>
        <w:rPr>
          <w:spacing w:val="-2"/>
        </w:rPr>
        <w:t>行自己的职责，对公司重大事项、财务状况以及董事、高管人员履行职责的合法合规性进行监督，切实维护公司及股东的合</w:t>
      </w:r>
      <w:r>
        <w:rPr>
          <w:spacing w:val="-64"/>
        </w:rPr>
        <w:t> </w:t>
      </w:r>
      <w:r>
        <w:rPr>
          <w:spacing w:val="-64"/>
        </w:rPr>
      </w:r>
      <w:r>
        <w:rPr/>
        <w:t>法权益。</w:t>
      </w:r>
    </w:p>
    <w:p>
      <w:pPr>
        <w:pStyle w:val="BodyText"/>
        <w:spacing w:line="240" w:lineRule="auto" w:before="63"/>
        <w:ind w:left="513" w:right="88"/>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关于绩效评价与激励约束机制</w:t>
      </w:r>
    </w:p>
    <w:p>
      <w:pPr>
        <w:spacing w:after="0" w:line="240" w:lineRule="auto"/>
        <w:jc w:val="left"/>
        <w:sectPr>
          <w:pgSz w:w="11910" w:h="16840"/>
          <w:pgMar w:header="0" w:footer="1227" w:top="1100" w:bottom="1420" w:left="980" w:right="940"/>
        </w:sectPr>
      </w:pPr>
    </w:p>
    <w:p>
      <w:pPr>
        <w:spacing w:line="240" w:lineRule="auto" w:before="11"/>
        <w:rPr>
          <w:rFonts w:ascii="宋体" w:hAnsi="宋体" w:cs="宋体" w:eastAsia="宋体" w:hint="default"/>
          <w:sz w:val="21"/>
          <w:szCs w:val="21"/>
        </w:rPr>
      </w:pPr>
    </w:p>
    <w:p>
      <w:pPr>
        <w:pStyle w:val="BodyText"/>
        <w:spacing w:line="319" w:lineRule="auto" w:before="44"/>
        <w:ind w:right="94" w:firstLine="360"/>
        <w:jc w:val="left"/>
      </w:pPr>
      <w:r>
        <w:rPr>
          <w:spacing w:val="-2"/>
        </w:rPr>
        <w:t>公司已建立较为完善的高管人员绩效考评与激励约束机制，高管人员的聘任公开、透明，符合法律、法规的规定。公司</w:t>
      </w:r>
      <w:r>
        <w:rPr/>
        <w:t> 严格按照规定对高管人员进行绩效评价与考核，在强化对高管人员的考评激励作用的同时，保证了公司近远期目标的达成。</w:t>
      </w:r>
    </w:p>
    <w:p>
      <w:pPr>
        <w:pStyle w:val="BodyText"/>
        <w:spacing w:line="338" w:lineRule="auto" w:before="58"/>
        <w:ind w:left="513" w:right="88"/>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关于信息披露与透明度</w:t>
      </w:r>
      <w:r>
        <w:rPr>
          <w:w w:val="99"/>
        </w:rPr>
        <w:t> </w:t>
      </w:r>
      <w:r>
        <w:rPr>
          <w:spacing w:val="-4"/>
        </w:rPr>
        <w:t>报告期内，公司严格按照有关法律法规以及《信息披露制度》、《投资者关系管理制度》等的要求，真实、准确、及时、</w:t>
      </w:r>
    </w:p>
    <w:p>
      <w:pPr>
        <w:pStyle w:val="BodyText"/>
        <w:spacing w:line="316" w:lineRule="auto" w:before="2"/>
        <w:ind w:right="193"/>
        <w:jc w:val="both"/>
      </w:pPr>
      <w:r>
        <w:rPr>
          <w:spacing w:val="-2"/>
        </w:rPr>
        <w:t>公平、完整地披露有关信息，并指定公司董事会秘书负责信息披露工作，协调公司与投资者的关系，接待股东来访，回答投</w:t>
      </w:r>
      <w:r>
        <w:rPr>
          <w:spacing w:val="-67"/>
        </w:rPr>
        <w:t> </w:t>
      </w:r>
      <w:r>
        <w:rPr>
          <w:spacing w:val="-67"/>
        </w:rPr>
      </w:r>
      <w:r>
        <w:rPr>
          <w:spacing w:val="-2"/>
        </w:rPr>
        <w:t>资者咨询，向投资者提供公司已披露的资料；公司所有需披露的信息均在指定网站巨潮资讯网和其他中国证监会指定的信息</w:t>
      </w:r>
      <w:r>
        <w:rPr>
          <w:spacing w:val="-64"/>
        </w:rPr>
        <w:t> </w:t>
      </w:r>
      <w:r>
        <w:rPr>
          <w:spacing w:val="-64"/>
        </w:rPr>
      </w:r>
      <w:r>
        <w:rPr/>
        <w:t>披露媒体上全面披露，确保公司所有股东能够以平等的机会获得信息。</w:t>
      </w:r>
    </w:p>
    <w:p>
      <w:pPr>
        <w:pStyle w:val="BodyText"/>
        <w:spacing w:line="340" w:lineRule="auto" w:before="59"/>
        <w:ind w:left="513" w:right="88"/>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关于相关利益者</w:t>
      </w:r>
      <w:r>
        <w:rPr>
          <w:w w:val="99"/>
        </w:rPr>
        <w:t> </w:t>
      </w:r>
      <w:r>
        <w:rPr>
          <w:spacing w:val="-2"/>
        </w:rPr>
        <w:t>公司充分尊重债权人、供应商、客户、公司员工等相关利益者的合法权益，积极与相关利益者合作，加强与各方的沟通</w:t>
      </w:r>
    </w:p>
    <w:p>
      <w:pPr>
        <w:pStyle w:val="BodyText"/>
        <w:spacing w:line="357" w:lineRule="auto" w:before="1"/>
        <w:ind w:right="4594"/>
        <w:jc w:val="left"/>
      </w:pPr>
      <w:r>
        <w:rPr/>
        <w:t>和交流，共同推进公司持续、稳定、健康地发展。 公司治理与《公司法》和中国证监会相关规定的要求是否存在差异</w:t>
      </w:r>
    </w:p>
    <w:p>
      <w:pPr>
        <w:pStyle w:val="BodyText"/>
        <w:spacing w:line="240" w:lineRule="auto" w:before="29"/>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30"/>
              <w:jc w:val="right"/>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76"/>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19"/>
              <w:jc w:val="left"/>
              <w:rPr>
                <w:rFonts w:ascii="宋体" w:hAnsi="宋体" w:cs="宋体" w:eastAsia="宋体" w:hint="default"/>
                <w:sz w:val="18"/>
                <w:szCs w:val="18"/>
              </w:rPr>
            </w:pPr>
            <w:r>
              <w:rPr>
                <w:rFonts w:ascii="宋体" w:hAnsi="宋体" w:cs="宋体" w:eastAsia="宋体" w:hint="default"/>
                <w:spacing w:val="-5"/>
                <w:sz w:val="18"/>
                <w:szCs w:val="18"/>
              </w:rPr>
              <w:t>巨潮资讯网：</w:t>
            </w:r>
            <w:r>
              <w:rPr>
                <w:rFonts w:ascii="Times New Roman" w:hAnsi="Times New Roman" w:cs="Times New Roman" w:eastAsia="Times New Roman" w:hint="default"/>
                <w:spacing w:val="-5"/>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 会决议公告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r>
    </w:tbl>
    <w:p>
      <w:pPr>
        <w:spacing w:line="240" w:lineRule="auto" w:before="3"/>
        <w:rPr>
          <w:rFonts w:ascii="宋体" w:hAnsi="宋体" w:cs="宋体" w:eastAsia="宋体" w:hint="default"/>
          <w:b/>
          <w:bCs/>
          <w:sz w:val="19"/>
          <w:szCs w:val="19"/>
        </w:rPr>
      </w:pPr>
    </w:p>
    <w:p>
      <w:pPr>
        <w:pStyle w:val="Heading3"/>
        <w:spacing w:line="240" w:lineRule="auto" w:before="36"/>
        <w:ind w:right="88"/>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pacing w:val="-6"/>
                <w:sz w:val="18"/>
                <w:szCs w:val="18"/>
              </w:rPr>
              <w:t>巨潮资讯网：</w:t>
            </w:r>
            <w:r>
              <w:rPr>
                <w:rFonts w:ascii="Times New Roman" w:hAnsi="Times New Roman" w:cs="Times New Roman" w:eastAsia="Times New Roman" w:hint="default"/>
                <w:spacing w:val="-6"/>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年第一次临</w:t>
            </w:r>
            <w:r>
              <w:rPr>
                <w:rFonts w:ascii="宋体" w:hAnsi="宋体" w:cs="宋体" w:eastAsia="宋体" w:hint="default"/>
                <w:spacing w:val="-88"/>
                <w:sz w:val="18"/>
                <w:szCs w:val="18"/>
              </w:rPr>
              <w:t> </w:t>
            </w:r>
            <w:r>
              <w:rPr>
                <w:rFonts w:ascii="宋体" w:hAnsi="宋体" w:cs="宋体" w:eastAsia="宋体" w:hint="default"/>
                <w:sz w:val="18"/>
                <w:szCs w:val="18"/>
              </w:rPr>
              <w:t>时股东大会决议公告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pacing w:val="-6"/>
                <w:sz w:val="18"/>
                <w:szCs w:val="18"/>
              </w:rPr>
              <w:t>巨潮资讯网：</w:t>
            </w:r>
            <w:r>
              <w:rPr>
                <w:rFonts w:ascii="Times New Roman" w:hAnsi="Times New Roman" w:cs="Times New Roman" w:eastAsia="Times New Roman" w:hint="default"/>
                <w:spacing w:val="-6"/>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年第二次临</w:t>
            </w:r>
            <w:r>
              <w:rPr>
                <w:rFonts w:ascii="宋体" w:hAnsi="宋体" w:cs="宋体" w:eastAsia="宋体" w:hint="default"/>
                <w:spacing w:val="-88"/>
                <w:sz w:val="18"/>
                <w:szCs w:val="18"/>
              </w:rPr>
              <w:t> </w:t>
            </w:r>
            <w:r>
              <w:rPr>
                <w:rFonts w:ascii="宋体" w:hAnsi="宋体" w:cs="宋体" w:eastAsia="宋体" w:hint="default"/>
                <w:sz w:val="18"/>
                <w:szCs w:val="18"/>
              </w:rPr>
              <w:t>时股东大会决议公告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before="26"/>
        <w:ind w:right="88"/>
        <w:jc w:val="left"/>
        <w:rPr>
          <w:b w:val="0"/>
          <w:bCs w:val="0"/>
        </w:rPr>
      </w:pPr>
      <w:r>
        <w:rPr/>
        <w:t>三、报告期董事会召开情况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第一届董事会第十五次会议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巨潮资讯网：第一届董事会第 十五次会议决议公告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第二届董事会第一次会议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巨潮资讯网：第二届董事会第 一次会议决议公告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第二届董事会第二次会议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巨潮资讯网：第二届董事会第 二次会议决议公告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0" w:footer="1227" w:top="1100" w:bottom="1420" w:left="980" w:right="94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第二届董事会第三次会议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巨潮资讯网：第二届董事会第 三次会议决议公告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第二届董事会第四次会议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巨潮资讯网：第二届董事会第 四次会议决议公告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第二届董事会第五次会议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巨潮资讯网：第二届董事会第 五次会议决议公告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第二届董事会第六次会议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巨潮资讯网：第二届董事会第 六次会议决议公告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第二届董事会第七次会议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巨潮资讯网：第二届董事会第 七次会议决议公告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before="26"/>
        <w:ind w:right="88"/>
        <w:jc w:val="left"/>
        <w:rPr>
          <w:b w:val="0"/>
          <w:bCs w:val="0"/>
        </w:rPr>
      </w:pPr>
      <w:r>
        <w:rPr/>
        <w:t>四、年度报告重大差错责任追究制度的建立与执行情况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88" w:firstLine="360"/>
        <w:jc w:val="left"/>
      </w:pPr>
      <w:r>
        <w:rPr>
          <w:spacing w:val="-2"/>
        </w:rPr>
        <w:t>为提高公司规范运作水平，加大对年报信息披露责任人的问责力度，提高年报信息披露的质量和透明度，增强年报信息</w:t>
      </w:r>
      <w:r>
        <w:rPr/>
        <w:t> </w:t>
      </w:r>
      <w:r>
        <w:rPr>
          <w:spacing w:val="-14"/>
        </w:rPr>
        <w:t>披露的真实性、准确性、完整性和及时性，根据《公司法》、《证券法》、《会计法》、《上市公司信息披露管理办法》、《上市公</w:t>
      </w:r>
      <w:r>
        <w:rPr>
          <w:spacing w:val="-83"/>
        </w:rPr>
        <w:t> </w:t>
      </w:r>
      <w:r>
        <w:rPr>
          <w:spacing w:val="-83"/>
        </w:rPr>
      </w:r>
      <w:r>
        <w:rPr>
          <w:spacing w:val="-4"/>
        </w:rPr>
        <w:t>司治理准则》和《深圳证券交易所创业板股票上市规则》、《深圳证券交易所创业板上市公司规范运作指引》等法律、法规、</w:t>
      </w:r>
      <w:r>
        <w:rPr>
          <w:spacing w:val="-52"/>
        </w:rPr>
        <w:t> </w:t>
      </w:r>
      <w:r>
        <w:rPr>
          <w:spacing w:val="-52"/>
        </w:rPr>
      </w:r>
      <w:r>
        <w:rPr>
          <w:spacing w:val="-2"/>
        </w:rPr>
        <w:t>规范性文件及《公司章程》等制度规定，结合公司的实际情况，已制定了《年报信息披露重大差错责任追究制度》并由公司</w:t>
      </w:r>
      <w:r>
        <w:rPr>
          <w:spacing w:val="-68"/>
        </w:rPr>
        <w:t> </w:t>
      </w:r>
      <w:r>
        <w:rPr>
          <w:spacing w:val="-68"/>
        </w:rPr>
      </w:r>
      <w:r>
        <w:rPr>
          <w:spacing w:val="-2"/>
        </w:rPr>
        <w:t>第一届董事会第十次会议审议通过后执行。报告期内，公司未发生重大会计差错更正、重大遗漏信息补充及业绩预告修正等</w:t>
      </w:r>
      <w:r>
        <w:rPr>
          <w:spacing w:val="-66"/>
        </w:rPr>
        <w:t> </w:t>
      </w:r>
      <w:r>
        <w:rPr>
          <w:spacing w:val="-66"/>
        </w:rPr>
      </w:r>
      <w:r>
        <w:rPr/>
        <w:t>情况。</w:t>
      </w:r>
    </w:p>
    <w:p>
      <w:pPr>
        <w:spacing w:line="240" w:lineRule="auto" w:before="11"/>
        <w:rPr>
          <w:rFonts w:ascii="宋体" w:hAnsi="宋体" w:cs="宋体" w:eastAsia="宋体" w:hint="default"/>
          <w:sz w:val="20"/>
          <w:szCs w:val="20"/>
        </w:rPr>
      </w:pPr>
    </w:p>
    <w:p>
      <w:pPr>
        <w:pStyle w:val="Heading2"/>
        <w:spacing w:line="240" w:lineRule="auto"/>
        <w:ind w:right="88"/>
        <w:jc w:val="left"/>
        <w:rPr>
          <w:b w:val="0"/>
          <w:bCs w:val="0"/>
        </w:rPr>
      </w:pP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8"/>
        <w:jc w:val="left"/>
      </w:pPr>
      <w:r>
        <w:rPr/>
        <w:t>监事会在报告期内的监督活动是否发现公司存在风险</w:t>
      </w:r>
    </w:p>
    <w:p>
      <w:pPr>
        <w:pStyle w:val="BodyText"/>
        <w:spacing w:line="340" w:lineRule="auto" w:before="115"/>
        <w:ind w:right="63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after="0" w:line="340" w:lineRule="auto"/>
        <w:jc w:val="left"/>
        <w:sectPr>
          <w:pgSz w:w="11910" w:h="16840"/>
          <w:pgMar w:header="0" w:footer="1227" w:top="1100" w:bottom="142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590" w:right="3626"/>
        <w:jc w:val="center"/>
        <w:rPr>
          <w:b w:val="0"/>
          <w:bCs w:val="0"/>
        </w:rPr>
      </w:pPr>
      <w:bookmarkStart w:name="_TOC_250001" w:id="9"/>
      <w:r>
        <w:rPr/>
        <w:t>第九节</w:t>
      </w:r>
      <w:r>
        <w:rPr>
          <w:spacing w:val="-2"/>
        </w:rPr>
        <w:t> </w:t>
      </w:r>
      <w:r>
        <w:rPr/>
        <w:t>财务报告</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88"/>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410159 </w:t>
            </w:r>
            <w:r>
              <w:rPr>
                <w:rFonts w:ascii="宋体" w:hAnsi="宋体" w:cs="宋体" w:eastAsia="宋体" w:hint="default"/>
                <w:sz w:val="18"/>
                <w:szCs w:val="18"/>
              </w:rPr>
              <w:t>号</w:t>
            </w:r>
          </w:p>
        </w:tc>
      </w:tr>
    </w:tbl>
    <w:p>
      <w:pPr>
        <w:pStyle w:val="Heading2"/>
        <w:spacing w:line="240" w:lineRule="auto"/>
        <w:ind w:left="3590" w:right="3628"/>
        <w:jc w:val="center"/>
        <w:rPr>
          <w:b w:val="0"/>
          <w:bCs w:val="0"/>
        </w:rPr>
      </w:pPr>
      <w:r>
        <w:rPr/>
        <w:t>审计报告正文</w:t>
      </w:r>
      <w:r>
        <w:rPr>
          <w:b w:val="0"/>
          <w:bCs w:val="0"/>
        </w:rPr>
      </w:r>
    </w:p>
    <w:p>
      <w:pPr>
        <w:pStyle w:val="Heading2"/>
        <w:spacing w:line="240" w:lineRule="auto" w:before="39"/>
        <w:ind w:right="88"/>
        <w:jc w:val="left"/>
        <w:rPr>
          <w:b w:val="0"/>
          <w:bCs w:val="0"/>
        </w:rPr>
      </w:pPr>
      <w:r>
        <w:rPr/>
        <w:t>全体股东：</w:t>
      </w:r>
      <w:r>
        <w:rPr>
          <w:b w:val="0"/>
          <w:bCs w:val="0"/>
        </w:rPr>
      </w:r>
    </w:p>
    <w:p>
      <w:pPr>
        <w:pStyle w:val="BodyText"/>
        <w:spacing w:line="316" w:lineRule="auto" w:before="46"/>
        <w:ind w:right="186" w:firstLine="360"/>
        <w:jc w:val="both"/>
      </w:pPr>
      <w:r>
        <w:rPr>
          <w:spacing w:val="-2"/>
        </w:rPr>
        <w:t>我们审计了后附的广东安居宝数码科技股份有限公司（以下简称贵公司）财务报表，包括</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的资产负债表和</w:t>
      </w:r>
      <w:r>
        <w:rPr/>
        <w:t> </w:t>
      </w:r>
      <w:r>
        <w:rPr>
          <w:spacing w:val="-2"/>
        </w:rPr>
        <w:t>合并资产负债表、</w:t>
      </w:r>
      <w:r>
        <w:rPr>
          <w:rFonts w:ascii="宋体" w:hAnsi="宋体" w:cs="宋体" w:eastAsia="宋体" w:hint="default"/>
          <w:spacing w:val="-2"/>
        </w:rPr>
        <w:t>2012</w:t>
      </w:r>
      <w:r>
        <w:rPr>
          <w:spacing w:val="-2"/>
        </w:rPr>
        <w:t>年度的利润表和合并利润表、</w:t>
      </w:r>
      <w:r>
        <w:rPr>
          <w:rFonts w:ascii="宋体" w:hAnsi="宋体" w:cs="宋体" w:eastAsia="宋体" w:hint="default"/>
          <w:spacing w:val="-2"/>
        </w:rPr>
        <w:t>2012</w:t>
      </w:r>
      <w:r>
        <w:rPr>
          <w:spacing w:val="-2"/>
        </w:rPr>
        <w:t>年度的现金流量表和合并现金流量表、</w:t>
      </w:r>
      <w:r>
        <w:rPr>
          <w:rFonts w:ascii="宋体" w:hAnsi="宋体" w:cs="宋体" w:eastAsia="宋体" w:hint="default"/>
          <w:spacing w:val="-2"/>
        </w:rPr>
        <w:t>2012</w:t>
      </w:r>
      <w:r>
        <w:rPr>
          <w:spacing w:val="-2"/>
        </w:rPr>
        <w:t>年度的所有者权益变动</w:t>
      </w:r>
      <w:r>
        <w:rPr>
          <w:spacing w:val="-54"/>
        </w:rPr>
        <w:t> </w:t>
      </w:r>
      <w:r>
        <w:rPr>
          <w:spacing w:val="-54"/>
        </w:rPr>
      </w:r>
      <w:r>
        <w:rPr/>
        <w:t>表和合并所有者权益变动表以及财务报表附注。</w:t>
      </w:r>
    </w:p>
    <w:p>
      <w:pPr>
        <w:spacing w:line="316" w:lineRule="auto" w:before="19"/>
        <w:ind w:left="513" w:right="183" w:hanging="8"/>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编制和公允列报财务报表是贵公司管理层的责任。这种责任包括：（</w:t>
      </w:r>
      <w:r>
        <w:rPr>
          <w:rFonts w:ascii="宋体" w:hAnsi="宋体" w:cs="宋体" w:eastAsia="宋体" w:hint="default"/>
          <w:sz w:val="18"/>
          <w:szCs w:val="18"/>
        </w:rPr>
        <w:t>1</w:t>
      </w:r>
      <w:r>
        <w:rPr>
          <w:rFonts w:ascii="宋体" w:hAnsi="宋体" w:cs="宋体" w:eastAsia="宋体" w:hint="default"/>
          <w:sz w:val="18"/>
          <w:szCs w:val="18"/>
        </w:rPr>
        <w:t>）按照企业会计准则的规定编制财务报表，并使</w:t>
      </w:r>
    </w:p>
    <w:p>
      <w:pPr>
        <w:pStyle w:val="BodyText"/>
        <w:spacing w:line="316" w:lineRule="auto" w:before="19"/>
        <w:ind w:left="506" w:right="88" w:hanging="354"/>
        <w:jc w:val="left"/>
      </w:pPr>
      <w:r>
        <w:rPr/>
        <w:t>其实现公允反映；（</w:t>
      </w:r>
      <w:r>
        <w:rPr>
          <w:rFonts w:ascii="宋体" w:hAnsi="宋体" w:cs="宋体" w:eastAsia="宋体" w:hint="default"/>
        </w:rPr>
        <w:t>2</w:t>
      </w:r>
      <w:r>
        <w:rPr/>
        <w:t>）设计、执行和维护必要的内部控制，以使财务报表不存在由于舞弊或错误导致的重大错报。 </w:t>
      </w: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316" w:lineRule="auto" w:before="19"/>
        <w:ind w:right="88"/>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9"/>
        <w:ind w:right="94"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3"/>
        </w:rPr>
        <w:t> </w:t>
      </w:r>
      <w:r>
        <w:rPr>
          <w:spacing w:val="-63"/>
        </w:rPr>
      </w:r>
      <w:r>
        <w:rPr/>
        <w:t>计政策的恰当性和作出会计估计的合理性，以及评价财务报表的总体列报。</w:t>
      </w:r>
    </w:p>
    <w:p>
      <w:pPr>
        <w:pStyle w:val="BodyText"/>
        <w:spacing w:line="316" w:lineRule="auto" w:before="19"/>
        <w:ind w:left="506" w:right="3153" w:firstLine="7"/>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16" w:lineRule="auto" w:before="19"/>
        <w:ind w:right="88" w:firstLine="360"/>
        <w:jc w:val="left"/>
      </w:pPr>
      <w:r>
        <w:rPr>
          <w:spacing w:val="-2"/>
        </w:rPr>
        <w:t>我们认为，贵公司财务报表在所有重大方面按照企业会计准则的规定编制，公允反映了贵公司</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日的财务状</w:t>
      </w:r>
      <w:r>
        <w:rPr/>
        <w:t> 况以及</w:t>
      </w:r>
      <w:r>
        <w:rPr>
          <w:rFonts w:ascii="宋体" w:hAnsi="宋体" w:cs="宋体" w:eastAsia="宋体" w:hint="default"/>
        </w:rPr>
        <w:t>2012</w:t>
      </w:r>
      <w:r>
        <w:rPr/>
        <w:t>年度的经营成果和现金流量。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9"/>
          <w:szCs w:val="19"/>
        </w:rPr>
      </w:pPr>
    </w:p>
    <w:p>
      <w:pPr>
        <w:pStyle w:val="Heading5"/>
        <w:tabs>
          <w:tab w:pos="7279" w:val="left" w:leader="none"/>
        </w:tabs>
        <w:spacing w:line="636" w:lineRule="auto"/>
        <w:ind w:left="7265" w:right="718" w:hanging="7113"/>
        <w:jc w:val="right"/>
        <w:rPr>
          <w:b w:val="0"/>
          <w:bCs w:val="0"/>
        </w:rPr>
      </w:pPr>
      <w:r>
        <w:rPr>
          <w:w w:val="95"/>
        </w:rPr>
        <w:t>立信会计师事务所（特殊普通合伙）</w:t>
        <w:tab/>
        <w:tab/>
        <w:t>中国注册会计师：陈雄溢</w:t>
      </w:r>
      <w:r>
        <w:rPr>
          <w:spacing w:val="4"/>
          <w:w w:val="95"/>
        </w:rPr>
        <w:t> </w:t>
      </w:r>
      <w:r>
        <w:rPr>
          <w:spacing w:val="4"/>
          <w:w w:val="95"/>
        </w:rPr>
      </w:r>
      <w:r>
        <w:rPr>
          <w:w w:val="95"/>
        </w:rPr>
        <w:t>中国注册会计师：郑德伦</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4"/>
          <w:szCs w:val="24"/>
        </w:rPr>
      </w:pPr>
    </w:p>
    <w:p>
      <w:pPr>
        <w:pStyle w:val="Heading5"/>
        <w:tabs>
          <w:tab w:pos="7344" w:val="left" w:leader="none"/>
        </w:tabs>
        <w:spacing w:line="240" w:lineRule="auto"/>
        <w:ind w:left="1557" w:right="88"/>
        <w:jc w:val="left"/>
        <w:rPr>
          <w:b w:val="0"/>
          <w:bCs w:val="0"/>
        </w:rPr>
      </w:pPr>
      <w:r>
        <w:rPr>
          <w:w w:val="95"/>
        </w:rPr>
        <w:t>中国·上海</w:t>
        <w:tab/>
      </w:r>
      <w:r>
        <w:rPr/>
        <w:t>二</w:t>
      </w:r>
      <w:r>
        <w:rPr>
          <w:rFonts w:ascii="宋体" w:hAnsi="宋体" w:cs="宋体" w:eastAsia="宋体" w:hint="default"/>
        </w:rPr>
        <w:t>O</w:t>
      </w:r>
      <w:r>
        <w:rPr/>
        <w:t>一三年四月十九日</w:t>
      </w:r>
      <w:r>
        <w:rPr>
          <w:b w:val="0"/>
          <w:bCs w:val="0"/>
        </w:rPr>
      </w:r>
    </w:p>
    <w:p>
      <w:pPr>
        <w:spacing w:after="0" w:line="240" w:lineRule="auto"/>
        <w:jc w:val="left"/>
        <w:sectPr>
          <w:pgSz w:w="11910" w:h="16840"/>
          <w:pgMar w:header="0" w:footer="1227" w:top="1100" w:bottom="1420" w:left="980" w:right="940"/>
        </w:sectPr>
      </w:pPr>
    </w:p>
    <w:p>
      <w:pPr>
        <w:spacing w:line="240" w:lineRule="auto" w:before="9"/>
        <w:rPr>
          <w:rFonts w:ascii="宋体" w:hAnsi="宋体" w:cs="宋体" w:eastAsia="宋体" w:hint="default"/>
          <w:b/>
          <w:bCs/>
          <w:sz w:val="19"/>
          <w:szCs w:val="19"/>
        </w:rPr>
      </w:pPr>
    </w:p>
    <w:p>
      <w:pPr>
        <w:pStyle w:val="Heading2"/>
        <w:spacing w:line="240" w:lineRule="auto" w:before="26"/>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编制单位：广东安居宝数码科技股份有限公司</w:t>
      </w:r>
    </w:p>
    <w:p>
      <w:pPr>
        <w:pStyle w:val="BodyText"/>
        <w:spacing w:line="240" w:lineRule="auto" w:before="117"/>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823,762,702.21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858,915,083.45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4,626,831.19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1,936,160.00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68,596,971.85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50,953,731.30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3,305,065.33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2,765,082.96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23,139,233.32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18,448,273.40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3,993,404.53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6,016,576.21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84,479,794.29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58,323,820.15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1,087,917.19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974,708.92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1,012,991,919.91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998,333,436.39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139,369,603.43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34,787,397.48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50,973,360.86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97,244,262.70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27,310,812.93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24,621,455.24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3,550,486.17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4,870,020.39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2,479,338.63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226,074,283.78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159,132,454.05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1,239,066,203.69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1,157,465,890.44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52,664,225.84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39,996,815.17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23,874,396.85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10,394,469.28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12,339,979.70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9,097,714.68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9,650,719.56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5,078,797.94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109,233,695.95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35,022,874.73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207,763,017.90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99,590,671.80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4,546,987.35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4,116,661.92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5,404,802.78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706,595.00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9,951,790.13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4,823,256.92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217,714,808.03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104,413,928.72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714,826,587.42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771,458,956.05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25,059,041.37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17,401,499.69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98,793,397.48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81,095,953.82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1,018,679,026.27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1,049,956,409.56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2,672,369.39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3,095,552.16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1,021,351,395.66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1,053,051,961.72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1,239,066,203.69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1,157,465,890.44</w:t>
            </w:r>
          </w:p>
        </w:tc>
      </w:tr>
    </w:tbl>
    <w:p>
      <w:pPr>
        <w:spacing w:line="240" w:lineRule="auto" w:before="11"/>
        <w:rPr>
          <w:rFonts w:ascii="Times New Roman" w:hAnsi="Times New Roman" w:cs="Times New Roman" w:eastAsia="Times New Roman" w:hint="default"/>
          <w:sz w:val="22"/>
          <w:szCs w:val="22"/>
        </w:rPr>
      </w:pPr>
    </w:p>
    <w:p>
      <w:pPr>
        <w:pStyle w:val="BodyText"/>
        <w:tabs>
          <w:tab w:pos="3487" w:val="left" w:leader="none"/>
          <w:tab w:pos="7718" w:val="left" w:leader="none"/>
        </w:tabs>
        <w:spacing w:line="240" w:lineRule="auto" w:before="44"/>
        <w:ind w:right="0"/>
        <w:jc w:val="left"/>
      </w:pPr>
      <w:r>
        <w:rPr/>
        <w:t>法定代表人：张波</w:t>
        <w:tab/>
      </w:r>
      <w:r>
        <w:rPr>
          <w:spacing w:val="-1"/>
        </w:rPr>
        <w:t>主管会计工作负责人：黄光明</w:t>
        <w:tab/>
      </w:r>
      <w:r>
        <w:rPr/>
        <w:t>会计机构负责人：吴若顺</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编制单位：广东安居宝数码科技股份有限公司</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5"/>
        <w:gridCol w:w="3302"/>
        <w:gridCol w:w="3290"/>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38" w:right="0"/>
              <w:jc w:val="left"/>
              <w:rPr>
                <w:rFonts w:ascii="Times New Roman" w:hAnsi="Times New Roman" w:cs="Times New Roman" w:eastAsia="Times New Roman" w:hint="default"/>
                <w:sz w:val="18"/>
                <w:szCs w:val="18"/>
              </w:rPr>
            </w:pPr>
            <w:r>
              <w:rPr>
                <w:rFonts w:ascii="Times New Roman"/>
                <w:sz w:val="18"/>
              </w:rPr>
              <w:t>796,104,066.29</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847,894,970.31</w:t>
            </w:r>
          </w:p>
        </w:tc>
      </w:tr>
    </w:tbl>
    <w:p>
      <w:pPr>
        <w:spacing w:after="0" w:line="240" w:lineRule="auto"/>
        <w:jc w:val="left"/>
        <w:rPr>
          <w:rFonts w:ascii="Times New Roman" w:hAnsi="Times New Roman" w:cs="Times New Roman" w:eastAsia="Times New Roman" w:hint="default"/>
          <w:sz w:val="18"/>
          <w:szCs w:val="18"/>
        </w:rPr>
        <w:sectPr>
          <w:pgSz w:w="11910" w:h="16840"/>
          <w:pgMar w:header="0"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4,626,831.19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1,936,160.00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67,769,322.68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50,953,731.30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3,152,394.40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2,709,842.96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23,139,233.32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18,448,273.40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15,204,309.38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3,126,407.87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78,477,056.89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58,323,820.15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1,087,917.19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974,708.92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989,561,131.34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984,367,914.91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70,839,063.37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7,350,000.00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107,882,705.20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34,787,397.48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49,235,693.11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14,310,212.44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14,460,024.10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3,238,500.00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4,441,339.16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2,452,010.14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200,711,820.17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108,285,124.83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1,190,272,951.51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1,092,653,039.74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51,320,524.31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39,996,815.17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23,117,562.25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10,394,469.28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11,658,572.88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9,050,000.00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11,204,993.09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5,687,699.16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63,007,264.93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5,625,102.48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160,308,917.46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70,754,086.09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4,451,422.97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4,116,661.92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5,404,802.78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706,595.00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9,856,225.75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4,823,256.92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170,165,143.21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75,577,343.01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712,919,311.07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736,062,616.33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25,059,041.37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17,401,499.69</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102,129,455.86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83,611,580.71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1,020,107,808.30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1,017,075,696.73</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1,190,272,951.51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1,092,653,039.74</w:t>
            </w:r>
          </w:p>
        </w:tc>
      </w:tr>
    </w:tbl>
    <w:p>
      <w:pPr>
        <w:spacing w:line="240" w:lineRule="auto" w:before="11"/>
        <w:rPr>
          <w:rFonts w:ascii="Times New Roman" w:hAnsi="Times New Roman" w:cs="Times New Roman" w:eastAsia="Times New Roman" w:hint="default"/>
          <w:sz w:val="22"/>
          <w:szCs w:val="22"/>
        </w:rPr>
      </w:pPr>
    </w:p>
    <w:p>
      <w:pPr>
        <w:pStyle w:val="BodyText"/>
        <w:tabs>
          <w:tab w:pos="3487" w:val="left" w:leader="none"/>
          <w:tab w:pos="7718" w:val="left" w:leader="none"/>
        </w:tabs>
        <w:spacing w:line="240" w:lineRule="auto" w:before="44"/>
        <w:ind w:right="0"/>
        <w:jc w:val="left"/>
      </w:pPr>
      <w:r>
        <w:rPr/>
        <w:t>法定代表人：张波</w:t>
        <w:tab/>
      </w:r>
      <w:r>
        <w:rPr>
          <w:spacing w:val="-1"/>
        </w:rPr>
        <w:t>主管会计工作负责人：黄光明</w:t>
        <w:tab/>
      </w:r>
      <w:r>
        <w:rPr/>
        <w:t>会计机构负责人：吴若顺</w:t>
      </w:r>
    </w:p>
    <w:p>
      <w:pPr>
        <w:spacing w:after="0" w:line="240" w:lineRule="auto"/>
        <w:jc w:val="left"/>
        <w:sectPr>
          <w:footerReference w:type="default" r:id="rId30"/>
          <w:pgSz w:w="11910" w:h="16840"/>
          <w:pgMar w:footer="1227" w:header="0" w:top="1100" w:bottom="1420" w:left="980" w:right="980"/>
          <w:pgNumType w:start="63"/>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编制单位：广东安居宝数码科技股份有限公司</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363,242,031.26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253,216,897.20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363,242,031.26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253,216,897.20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293,338,714.76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204,789,143.22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189,216,360.14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132,451,992.24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3,541,149.95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2,557,808.46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63,689,910.59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49,022,257.86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57,491,489.41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38,408,012.10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-23,194,461.52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-22,022,570.81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2,594,266.19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4,371,643.37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69,903,316.50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48,427,753.98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17,076,104.94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16,400,766.96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237,399.30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213,865.67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其中：非流动资产处置损</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6,046.58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43,327.45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86,742,022.14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64,614,655.27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11,410,219.57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6,065,013.35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75,331,802.57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58,549,641.92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369,833.13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-581,730.87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75,754,985.34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58,604,089.76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-423,182.77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-54,447.84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75,331,802.57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58,549,641.92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75,754,985.34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58,604,089.76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-423,182.77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-54,447.84</w:t>
            </w:r>
          </w:p>
        </w:tc>
      </w:tr>
    </w:tbl>
    <w:p>
      <w:pPr>
        <w:pStyle w:val="BodyText"/>
        <w:spacing w:line="240" w:lineRule="auto" w:before="49"/>
        <w:ind w:right="0"/>
        <w:jc w:val="left"/>
      </w:pPr>
      <w:r>
        <w:rPr/>
        <w:t>本期发生同一控制下企业合并的，被合并方在合并前实现的净利润为：</w:t>
      </w:r>
      <w:r>
        <w:rPr>
          <w:rFonts w:ascii="Times New Roman" w:hAnsi="Times New Roman" w:cs="Times New Roman" w:eastAsia="Times New Roman" w:hint="default"/>
        </w:rPr>
        <w:t>369,833.13</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pStyle w:val="BodyText"/>
        <w:tabs>
          <w:tab w:pos="3487" w:val="left" w:leader="none"/>
          <w:tab w:pos="7718" w:val="left" w:leader="none"/>
        </w:tabs>
        <w:spacing w:line="240" w:lineRule="auto" w:before="127"/>
        <w:ind w:right="0"/>
        <w:jc w:val="left"/>
      </w:pPr>
      <w:r>
        <w:rPr/>
        <w:t>法定代表人：张波</w:t>
        <w:tab/>
      </w:r>
      <w:r>
        <w:rPr>
          <w:spacing w:val="-1"/>
        </w:rPr>
        <w:t>主管会计工作负责人：黄光明</w:t>
        <w:tab/>
      </w:r>
      <w:r>
        <w:rPr/>
        <w:t>会计机构负责人：吴若顺</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编制单位：广东安居宝数码科技股份有限公司</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356,713,452.25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253,216,897.20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185,252,125.98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132,451,992.24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3,335,076.74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2,557,808.46</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62,792,884.62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49,022,257.86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54,074,135.38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37,523,113.70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-23,093,352.43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-22,006,796.31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2,569,664.59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4,338,742.66</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71,782,917.37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49,329,778.59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16,841,370.83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16,400,766.96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237,299.06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213,865.67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6,046.58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43,327.45</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88,386,989.14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65,516,679.88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11,811,572.31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6,092,341.84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76,575,416.83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59,424,338.04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76,575,416.83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59,424,338.04</w:t>
            </w:r>
          </w:p>
        </w:tc>
      </w:tr>
    </w:tbl>
    <w:p>
      <w:pPr>
        <w:spacing w:line="240" w:lineRule="auto" w:before="2"/>
        <w:rPr>
          <w:rFonts w:ascii="宋体" w:hAnsi="宋体" w:cs="宋体" w:eastAsia="宋体" w:hint="default"/>
          <w:sz w:val="20"/>
          <w:szCs w:val="20"/>
        </w:rPr>
      </w:pPr>
    </w:p>
    <w:p>
      <w:pPr>
        <w:pStyle w:val="BodyText"/>
        <w:tabs>
          <w:tab w:pos="3487" w:val="left" w:leader="none"/>
          <w:tab w:pos="7718" w:val="left" w:leader="none"/>
        </w:tabs>
        <w:spacing w:line="240" w:lineRule="auto" w:before="44"/>
        <w:ind w:right="0"/>
        <w:jc w:val="left"/>
      </w:pPr>
      <w:r>
        <w:rPr/>
        <w:t>法定代表人：张波</w:t>
        <w:tab/>
      </w:r>
      <w:r>
        <w:rPr>
          <w:spacing w:val="-1"/>
        </w:rPr>
        <w:t>主管会计工作负责人：黄光明</w:t>
        <w:tab/>
      </w:r>
      <w:r>
        <w:rPr/>
        <w:t>会计机构负责人：吴若顺</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编制单位：广东安居宝数码科技股份有限公司</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412,567,391.25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288,376,100.44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13,558,672.66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14,362,415.19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35,621,797.78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12,334,187.18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461,747,861.69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315,072,702.81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223,660,924.53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142,233,914.01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72,529,281.68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49,124,820.04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42,047,816.56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34,470,574.35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57,714,955.59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44,671,801.39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395,952,978.36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270,501,109.79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65,794,883.33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44,571,593.02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57,705,363.66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51,273,151.05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2,151,900.91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59,857,264.57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51,273,151.05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-59,847,264.57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-51,208,151.05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3,150,000.00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10,660,000.00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9,677,472.45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26,650,000.00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20,337,472.45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57,691,450.00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13,307,860.09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61,060,000.00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90,999,310.09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-40,722,527.55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-61,199,310.09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-34,774,908.79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-67,835,868.12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857,694,773.20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925,530,641.32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822,919,864.41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857,694,773.20</w:t>
            </w:r>
          </w:p>
        </w:tc>
      </w:tr>
    </w:tbl>
    <w:p>
      <w:pPr>
        <w:spacing w:line="240" w:lineRule="auto" w:before="11"/>
        <w:rPr>
          <w:rFonts w:ascii="Times New Roman" w:hAnsi="Times New Roman" w:cs="Times New Roman" w:eastAsia="Times New Roman" w:hint="default"/>
          <w:sz w:val="22"/>
          <w:szCs w:val="22"/>
        </w:rPr>
      </w:pPr>
    </w:p>
    <w:p>
      <w:pPr>
        <w:pStyle w:val="BodyText"/>
        <w:tabs>
          <w:tab w:pos="3487" w:val="left" w:leader="none"/>
          <w:tab w:pos="7718" w:val="left" w:leader="none"/>
        </w:tabs>
        <w:spacing w:line="240" w:lineRule="auto" w:before="44"/>
        <w:ind w:right="0"/>
        <w:jc w:val="left"/>
      </w:pPr>
      <w:r>
        <w:rPr/>
        <w:t>法定代表人：张波</w:t>
        <w:tab/>
      </w:r>
      <w:r>
        <w:rPr>
          <w:spacing w:val="-1"/>
        </w:rPr>
        <w:t>主管会计工作负责人：黄光明</w:t>
        <w:tab/>
      </w:r>
      <w:r>
        <w:rPr/>
        <w:t>会计机构负责人：吴若顺</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编制单位：广东安居宝数码科技股份有限公司</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404,599,606.06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288,376,100.44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13,326,668.55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14,362,415.19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32,811,678.31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11,947,996.25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450,737,952.92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314,686,511.88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213,559,427.86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142,168,275.01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68,939,646.24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48,732,592.25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40,416,010.56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34,341,398.55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68,991,858.80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41,593,692.97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391,906,943.46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266,835,958.78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58,831,009.46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47,850,553.10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28,080,012.57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29,460,666.45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32,151,900.91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60,231,913.48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36,810,666.45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-60,221,913.48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-36,745,666.45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377,472.45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377,472.45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57,691,450.00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3,997,860.09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81,689,310.09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-50,022,527.55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-81,689,310.09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-51,413,431.57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-70,584,423.44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846,674,660.06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917,259,083.50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795,261,228.49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846,674,660.06</w:t>
            </w:r>
          </w:p>
        </w:tc>
      </w:tr>
    </w:tbl>
    <w:p>
      <w:pPr>
        <w:spacing w:line="240" w:lineRule="auto" w:before="11"/>
        <w:rPr>
          <w:rFonts w:ascii="Times New Roman" w:hAnsi="Times New Roman" w:cs="Times New Roman" w:eastAsia="Times New Roman" w:hint="default"/>
          <w:sz w:val="22"/>
          <w:szCs w:val="22"/>
        </w:rPr>
      </w:pPr>
    </w:p>
    <w:p>
      <w:pPr>
        <w:pStyle w:val="BodyText"/>
        <w:tabs>
          <w:tab w:pos="3487" w:val="left" w:leader="none"/>
          <w:tab w:pos="7718" w:val="left" w:leader="none"/>
        </w:tabs>
        <w:spacing w:line="240" w:lineRule="auto" w:before="44"/>
        <w:ind w:right="0"/>
        <w:jc w:val="left"/>
      </w:pPr>
      <w:r>
        <w:rPr/>
        <w:t>法定代表人：张波</w:t>
        <w:tab/>
      </w:r>
      <w:r>
        <w:rPr>
          <w:spacing w:val="-1"/>
        </w:rPr>
        <w:t>主管会计工作负责人：黄光明</w:t>
        <w:tab/>
      </w:r>
      <w:r>
        <w:rPr/>
        <w:t>会计机构负责人：吴若顺</w:t>
      </w:r>
    </w:p>
    <w:p>
      <w:pPr>
        <w:spacing w:after="0" w:line="240" w:lineRule="auto"/>
        <w:jc w:val="left"/>
        <w:sectPr>
          <w:pgSz w:w="11910" w:h="16840"/>
          <w:pgMar w:header="0" w:footer="1227" w:top="1100" w:bottom="1420" w:left="980" w:right="98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p>
      <w:pPr>
        <w:pStyle w:val="Heading3"/>
        <w:spacing w:line="240" w:lineRule="auto" w:before="36"/>
        <w:ind w:left="140"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headerReference w:type="default" r:id="rId31"/>
          <w:footerReference w:type="default" r:id="rId32"/>
          <w:pgSz w:w="16840" w:h="11910" w:orient="landscape"/>
          <w:pgMar w:header="867" w:footer="1227" w:top="1060" w:bottom="1420" w:left="1300" w:right="1200"/>
          <w:pgNumType w:start="71"/>
        </w:sectPr>
      </w:pPr>
    </w:p>
    <w:p>
      <w:pPr>
        <w:pStyle w:val="BodyText"/>
        <w:spacing w:line="360" w:lineRule="auto" w:before="44"/>
        <w:ind w:left="140" w:right="-20"/>
        <w:jc w:val="left"/>
      </w:pPr>
      <w:r>
        <w:rPr/>
        <w:t>编制单位：广东安居宝数码科技股份有限公司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140" w:right="0"/>
        <w:jc w:val="left"/>
      </w:pPr>
      <w:r>
        <w:rPr/>
        <w:t>单位：元</w:t>
      </w:r>
    </w:p>
    <w:p>
      <w:pPr>
        <w:spacing w:after="0" w:line="240" w:lineRule="auto"/>
        <w:jc w:val="left"/>
        <w:sectPr>
          <w:type w:val="continuous"/>
          <w:pgSz w:w="16840" w:h="11910" w:orient="landscape"/>
          <w:pgMar w:top="880" w:bottom="280" w:left="1300" w:right="1200"/>
          <w:cols w:num="2" w:equalWidth="0">
            <w:col w:w="3741" w:space="9401"/>
            <w:col w:w="1198"/>
          </w:cols>
        </w:sectPr>
      </w:pPr>
    </w:p>
    <w:p>
      <w:pPr>
        <w:spacing w:line="240" w:lineRule="auto" w:before="4"/>
        <w:rPr>
          <w:rFonts w:ascii="宋体" w:hAnsi="宋体" w:cs="宋体" w:eastAsia="宋体" w:hint="default"/>
          <w:sz w:val="8"/>
          <w:szCs w:val="8"/>
        </w:rPr>
      </w:pPr>
      <w:r>
        <w:rPr/>
        <w:pict>
          <v:group style="position:absolute;margin-left:246.5pt;margin-top:369.670013pt;width:58.15pt;height:20.8pt;mso-position-horizontal-relative:page;mso-position-vertical-relative:page;z-index:-759736" coordorigin="4930,7393" coordsize="1163,416">
            <v:group style="position:absolute;left:4942;top:7405;width:2;height:392" coordorigin="4942,7405" coordsize="2,392">
              <v:shape style="position:absolute;left:4942;top:7405;width:2;height:392" coordorigin="4942,7405" coordsize="0,392" path="m4942,7405l4942,7797e" filled="false" stroked="true" strokeweight="1.2pt" strokecolor="#ffffff">
                <v:path arrowok="t"/>
              </v:shape>
            </v:group>
            <v:group style="position:absolute;left:4954;top:7405;width:1139;height:392" coordorigin="4954,7405" coordsize="1139,392">
              <v:shape style="position:absolute;left:4954;top:7405;width:1139;height:392" coordorigin="4954,7405" coordsize="1139,392" path="m4954,7797l6092,7797,6092,7405,4954,7405,4954,7797xe" filled="true" fillcolor="#ffffff" stroked="false">
                <v:path arrowok="t"/>
                <v:fill type="solid"/>
              </v:shape>
            </v:group>
            <w10:wrap type="none"/>
          </v:group>
        </w:pict>
      </w:r>
    </w:p>
    <w:tbl>
      <w:tblPr>
        <w:tblW w:w="0" w:type="auto"/>
        <w:jc w:val="left"/>
        <w:tblInd w:w="147" w:type="dxa"/>
        <w:tblLayout w:type="fixed"/>
        <w:tblCellMar>
          <w:top w:w="0" w:type="dxa"/>
          <w:left w:w="0" w:type="dxa"/>
          <w:bottom w:w="0" w:type="dxa"/>
          <w:right w:w="0" w:type="dxa"/>
        </w:tblCellMar>
        <w:tblLook w:val="01E0"/>
      </w:tblPr>
      <w:tblGrid>
        <w:gridCol w:w="3461"/>
        <w:gridCol w:w="1205"/>
        <w:gridCol w:w="1277"/>
        <w:gridCol w:w="708"/>
        <w:gridCol w:w="864"/>
        <w:gridCol w:w="1121"/>
        <w:gridCol w:w="895"/>
        <w:gridCol w:w="1231"/>
        <w:gridCol w:w="790"/>
        <w:gridCol w:w="1202"/>
        <w:gridCol w:w="1318"/>
      </w:tblGrid>
      <w:tr>
        <w:trPr>
          <w:trHeight w:val="404" w:hRule="exact"/>
        </w:trPr>
        <w:tc>
          <w:tcPr>
            <w:tcW w:w="3461" w:type="dxa"/>
            <w:vMerge w:val="restart"/>
            <w:tcBorders>
              <w:top w:val="single" w:sz="4" w:space="0" w:color="000000"/>
              <w:left w:val="single" w:sz="4" w:space="0" w:color="000000"/>
              <w:right w:val="single" w:sz="4" w:space="0" w:color="000000"/>
            </w:tcBorders>
            <w:shd w:val="clear" w:color="auto" w:fill="D2D2D2"/>
          </w:tcPr>
          <w:p>
            <w:pPr/>
          </w:p>
        </w:tc>
        <w:tc>
          <w:tcPr>
            <w:tcW w:w="1061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0" w:hRule="exact"/>
        </w:trPr>
        <w:tc>
          <w:tcPr>
            <w:tcW w:w="3461" w:type="dxa"/>
            <w:vMerge/>
            <w:tcBorders>
              <w:left w:val="single" w:sz="4" w:space="0" w:color="000000"/>
              <w:bottom w:val="nil" w:sz="6" w:space="0" w:color="auto"/>
              <w:right w:val="single" w:sz="4" w:space="0" w:color="000000"/>
            </w:tcBorders>
            <w:shd w:val="clear" w:color="auto" w:fill="D2D2D2"/>
          </w:tcPr>
          <w:p>
            <w:pPr/>
          </w:p>
        </w:tc>
        <w:tc>
          <w:tcPr>
            <w:tcW w:w="8092" w:type="dxa"/>
            <w:gridSpan w:val="8"/>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02" w:type="dxa"/>
            <w:vMerge w:val="restart"/>
            <w:tcBorders>
              <w:top w:val="single" w:sz="4" w:space="0" w:color="000000"/>
              <w:left w:val="single" w:sz="4" w:space="0" w:color="000000"/>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r>
      <w:tr>
        <w:trPr>
          <w:trHeight w:val="244" w:hRule="exact"/>
        </w:trPr>
        <w:tc>
          <w:tcPr>
            <w:tcW w:w="34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092" w:type="dxa"/>
            <w:gridSpan w:val="8"/>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55" w:hRule="exact"/>
        </w:trPr>
        <w:tc>
          <w:tcPr>
            <w:tcW w:w="3461" w:type="dxa"/>
            <w:vMerge/>
            <w:tcBorders>
              <w:left w:val="single" w:sz="4" w:space="0" w:color="000000"/>
              <w:bottom w:val="nil" w:sz="6" w:space="0" w:color="auto"/>
              <w:right w:val="single" w:sz="4" w:space="0" w:color="000000"/>
            </w:tcBorders>
            <w:shd w:val="clear" w:color="auto" w:fill="D2D2D2"/>
          </w:tcPr>
          <w:p>
            <w:pPr/>
          </w:p>
        </w:tc>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33" w:right="50" w:hanging="269"/>
              <w:jc w:val="left"/>
              <w:rPr>
                <w:rFonts w:ascii="宋体" w:hAnsi="宋体" w:cs="宋体" w:eastAsia="宋体" w:hint="default"/>
                <w:sz w:val="18"/>
                <w:szCs w:val="18"/>
              </w:rPr>
            </w:pPr>
            <w:r>
              <w:rPr>
                <w:rFonts w:ascii="宋体" w:hAnsi="宋体" w:cs="宋体" w:eastAsia="宋体" w:hint="default"/>
                <w:sz w:val="18"/>
                <w:szCs w:val="18"/>
              </w:rPr>
              <w:t>实收资本（或 股本）</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56" w:right="21" w:hanging="236"/>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z w:val="18"/>
                <w:szCs w:val="18"/>
              </w:rPr>
              <w:t> 股</w:t>
            </w:r>
          </w:p>
        </w:tc>
        <w:tc>
          <w:tcPr>
            <w:tcW w:w="8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63" w:right="79"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231"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5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1" w:hRule="exact"/>
        </w:trPr>
        <w:tc>
          <w:tcPr>
            <w:tcW w:w="3461" w:type="dxa"/>
            <w:vMerge w:val="restart"/>
            <w:tcBorders>
              <w:top w:val="nil" w:sz="6" w:space="0" w:color="auto"/>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8" w:type="dxa"/>
            <w:vMerge/>
            <w:tcBorders>
              <w:left w:val="single" w:sz="4" w:space="0" w:color="000000"/>
              <w:right w:val="single" w:sz="4" w:space="0" w:color="000000"/>
            </w:tcBorders>
            <w:shd w:val="clear" w:color="auto" w:fill="D2D2D2"/>
          </w:tcPr>
          <w:p>
            <w:pPr/>
          </w:p>
        </w:tc>
        <w:tc>
          <w:tcPr>
            <w:tcW w:w="8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19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95" w:type="dxa"/>
            <w:vMerge/>
            <w:tcBorders>
              <w:left w:val="single" w:sz="4" w:space="0" w:color="000000"/>
              <w:right w:val="single" w:sz="4" w:space="0" w:color="000000"/>
            </w:tcBorders>
            <w:shd w:val="clear" w:color="auto" w:fill="D2D2D2"/>
          </w:tcPr>
          <w:p>
            <w:pPr/>
          </w:p>
        </w:tc>
        <w:tc>
          <w:tcPr>
            <w:tcW w:w="12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16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2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2"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3461"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864" w:type="dxa"/>
            <w:vMerge/>
            <w:tcBorders>
              <w:left w:val="single" w:sz="4" w:space="0" w:color="000000"/>
              <w:bottom w:val="nil" w:sz="6" w:space="0" w:color="auto"/>
              <w:right w:val="single" w:sz="4" w:space="0" w:color="000000"/>
            </w:tcBorders>
            <w:shd w:val="clear" w:color="auto" w:fill="D2D2D2"/>
          </w:tcPr>
          <w:p>
            <w:pPr/>
          </w:p>
        </w:tc>
        <w:tc>
          <w:tcPr>
            <w:tcW w:w="1121" w:type="dxa"/>
            <w:vMerge/>
            <w:tcBorders>
              <w:left w:val="single" w:sz="4" w:space="0" w:color="000000"/>
              <w:bottom w:val="nil" w:sz="6" w:space="0" w:color="auto"/>
              <w:right w:val="single" w:sz="4" w:space="0" w:color="000000"/>
            </w:tcBorders>
            <w:shd w:val="clear" w:color="auto" w:fill="D2D2D2"/>
          </w:tcPr>
          <w:p>
            <w:pPr/>
          </w:p>
        </w:tc>
        <w:tc>
          <w:tcPr>
            <w:tcW w:w="895" w:type="dxa"/>
            <w:vMerge/>
            <w:tcBorders>
              <w:left w:val="single" w:sz="4" w:space="0" w:color="000000"/>
              <w:right w:val="single" w:sz="4" w:space="0" w:color="000000"/>
            </w:tcBorders>
            <w:shd w:val="clear" w:color="auto" w:fill="D2D2D2"/>
          </w:tcPr>
          <w:p>
            <w:pPr/>
          </w:p>
        </w:tc>
        <w:tc>
          <w:tcPr>
            <w:tcW w:w="1231"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202" w:type="dxa"/>
            <w:vMerge w:val="restart"/>
            <w:tcBorders>
              <w:top w:val="nil" w:sz="6" w:space="0" w:color="auto"/>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3461"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4" w:space="0" w:color="000000"/>
              <w:bottom w:val="single" w:sz="4" w:space="0" w:color="000000"/>
              <w:right w:val="single" w:sz="4" w:space="0" w:color="000000"/>
            </w:tcBorders>
            <w:shd w:val="clear" w:color="auto" w:fill="D2D2D2"/>
          </w:tcPr>
          <w:p>
            <w:pPr/>
          </w:p>
        </w:tc>
        <w:tc>
          <w:tcPr>
            <w:tcW w:w="1231"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34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5"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180,000,000</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771,458,956.05</w:t>
            </w:r>
          </w:p>
        </w:tc>
        <w:tc>
          <w:tcPr>
            <w:tcW w:w="708"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17,401,499.69</w:t>
            </w:r>
          </w:p>
        </w:tc>
        <w:tc>
          <w:tcPr>
            <w:tcW w:w="895" w:type="dxa"/>
            <w:vMerge w:val="restart"/>
            <w:tcBorders>
              <w:top w:val="single" w:sz="4" w:space="0" w:color="000000"/>
              <w:left w:val="single" w:sz="4" w:space="0" w:color="000000"/>
              <w:right w:val="single" w:sz="4" w:space="0" w:color="000000"/>
            </w:tcBorders>
          </w:tcPr>
          <w:p>
            <w:pPr/>
          </w:p>
        </w:tc>
        <w:tc>
          <w:tcPr>
            <w:tcW w:w="12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81,095,953.82</w:t>
            </w:r>
          </w:p>
        </w:tc>
        <w:tc>
          <w:tcPr>
            <w:tcW w:w="790" w:type="dxa"/>
            <w:vMerge w:val="restart"/>
            <w:tcBorders>
              <w:top w:val="single" w:sz="4" w:space="0" w:color="000000"/>
              <w:left w:val="single" w:sz="4" w:space="0" w:color="000000"/>
              <w:right w:val="single" w:sz="4" w:space="0" w:color="000000"/>
            </w:tcBorders>
          </w:tcPr>
          <w:p>
            <w:pP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3,095,552.16</w:t>
            </w:r>
          </w:p>
        </w:tc>
        <w:tc>
          <w:tcPr>
            <w:tcW w:w="13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1,053,051,961.72</w:t>
            </w:r>
          </w:p>
        </w:tc>
      </w:tr>
      <w:tr>
        <w:trPr>
          <w:trHeight w:val="391" w:hRule="exact"/>
        </w:trPr>
        <w:tc>
          <w:tcPr>
            <w:tcW w:w="34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05" w:type="dxa"/>
            <w:vMerge/>
            <w:tcBorders>
              <w:left w:val="single" w:sz="10"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1231"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318" w:type="dxa"/>
            <w:vMerge/>
            <w:tcBorders>
              <w:left w:val="single" w:sz="4" w:space="0" w:color="000000"/>
              <w:right w:val="single" w:sz="4" w:space="0" w:color="000000"/>
            </w:tcBorders>
          </w:tcPr>
          <w:p>
            <w:pPr/>
          </w:p>
        </w:tc>
      </w:tr>
      <w:tr>
        <w:trPr>
          <w:trHeight w:val="161" w:hRule="exact"/>
        </w:trPr>
        <w:tc>
          <w:tcPr>
            <w:tcW w:w="34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5" w:type="dxa"/>
            <w:vMerge/>
            <w:tcBorders>
              <w:left w:val="single" w:sz="10"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1231"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318" w:type="dxa"/>
            <w:vMerge/>
            <w:tcBorders>
              <w:left w:val="single" w:sz="4" w:space="0" w:color="000000"/>
              <w:bottom w:val="single" w:sz="4" w:space="0" w:color="000000"/>
              <w:right w:val="single" w:sz="4" w:space="0" w:color="000000"/>
            </w:tcBorders>
          </w:tcPr>
          <w:p>
            <w:pPr/>
          </w:p>
        </w:tc>
      </w:tr>
      <w:tr>
        <w:trPr>
          <w:trHeight w:val="406"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05"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05"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5"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4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5"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180,000,000</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771,458,956.05</w:t>
            </w:r>
          </w:p>
        </w:tc>
        <w:tc>
          <w:tcPr>
            <w:tcW w:w="708"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17,401,499.69</w:t>
            </w:r>
          </w:p>
        </w:tc>
        <w:tc>
          <w:tcPr>
            <w:tcW w:w="895" w:type="dxa"/>
            <w:vMerge w:val="restart"/>
            <w:tcBorders>
              <w:top w:val="single" w:sz="4" w:space="0" w:color="000000"/>
              <w:left w:val="single" w:sz="4" w:space="0" w:color="000000"/>
              <w:right w:val="single" w:sz="4" w:space="0" w:color="000000"/>
            </w:tcBorders>
          </w:tcPr>
          <w:p>
            <w:pPr/>
          </w:p>
        </w:tc>
        <w:tc>
          <w:tcPr>
            <w:tcW w:w="12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81,095,953.82</w:t>
            </w:r>
          </w:p>
        </w:tc>
        <w:tc>
          <w:tcPr>
            <w:tcW w:w="790" w:type="dxa"/>
            <w:vMerge w:val="restart"/>
            <w:tcBorders>
              <w:top w:val="single" w:sz="4" w:space="0" w:color="000000"/>
              <w:left w:val="single" w:sz="4" w:space="0" w:color="000000"/>
              <w:right w:val="single" w:sz="4" w:space="0" w:color="000000"/>
            </w:tcBorders>
          </w:tcPr>
          <w:p>
            <w:pP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3,095,552.16</w:t>
            </w:r>
          </w:p>
        </w:tc>
        <w:tc>
          <w:tcPr>
            <w:tcW w:w="13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1,053,051,961.72</w:t>
            </w:r>
          </w:p>
        </w:tc>
      </w:tr>
      <w:tr>
        <w:trPr>
          <w:trHeight w:val="391" w:hRule="exact"/>
        </w:trPr>
        <w:tc>
          <w:tcPr>
            <w:tcW w:w="34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05" w:type="dxa"/>
            <w:vMerge/>
            <w:tcBorders>
              <w:left w:val="single" w:sz="10"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1231"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318" w:type="dxa"/>
            <w:vMerge/>
            <w:tcBorders>
              <w:left w:val="single" w:sz="4" w:space="0" w:color="000000"/>
              <w:right w:val="single" w:sz="4" w:space="0" w:color="000000"/>
            </w:tcBorders>
          </w:tcPr>
          <w:p>
            <w:pPr/>
          </w:p>
        </w:tc>
      </w:tr>
      <w:tr>
        <w:trPr>
          <w:trHeight w:val="161" w:hRule="exact"/>
        </w:trPr>
        <w:tc>
          <w:tcPr>
            <w:tcW w:w="34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5" w:type="dxa"/>
            <w:vMerge/>
            <w:tcBorders>
              <w:left w:val="single" w:sz="10"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1231"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318" w:type="dxa"/>
            <w:vMerge/>
            <w:tcBorders>
              <w:left w:val="single" w:sz="4" w:space="0" w:color="000000"/>
              <w:bottom w:val="single" w:sz="4" w:space="0" w:color="000000"/>
              <w:right w:val="single" w:sz="4" w:space="0" w:color="000000"/>
            </w:tcBorders>
          </w:tcPr>
          <w:p>
            <w:pPr/>
          </w:p>
        </w:tc>
      </w:tr>
      <w:tr>
        <w:trPr>
          <w:trHeight w:val="168" w:hRule="exact"/>
        </w:trPr>
        <w:tc>
          <w:tcPr>
            <w:tcW w:w="34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5" w:type="dxa"/>
            <w:vMerge w:val="restart"/>
            <w:tcBorders>
              <w:top w:val="single" w:sz="4" w:space="0" w:color="000000"/>
              <w:left w:val="single" w:sz="10" w:space="0" w:color="D2D2D2"/>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-56,632,368.63</w:t>
            </w:r>
          </w:p>
        </w:tc>
        <w:tc>
          <w:tcPr>
            <w:tcW w:w="708"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7,657,541.68</w:t>
            </w:r>
          </w:p>
        </w:tc>
        <w:tc>
          <w:tcPr>
            <w:tcW w:w="895" w:type="dxa"/>
            <w:vMerge w:val="restart"/>
            <w:tcBorders>
              <w:top w:val="single" w:sz="4" w:space="0" w:color="000000"/>
              <w:left w:val="single" w:sz="4" w:space="0" w:color="000000"/>
              <w:right w:val="single" w:sz="4" w:space="0" w:color="000000"/>
            </w:tcBorders>
          </w:tcPr>
          <w:p>
            <w:pPr/>
          </w:p>
        </w:tc>
        <w:tc>
          <w:tcPr>
            <w:tcW w:w="123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17,697,443.66</w:t>
            </w:r>
          </w:p>
        </w:tc>
        <w:tc>
          <w:tcPr>
            <w:tcW w:w="790" w:type="dxa"/>
            <w:vMerge w:val="restart"/>
            <w:tcBorders>
              <w:top w:val="single" w:sz="4" w:space="0" w:color="000000"/>
              <w:left w:val="single" w:sz="4" w:space="0" w:color="000000"/>
              <w:right w:val="single" w:sz="4" w:space="0" w:color="000000"/>
            </w:tcBorders>
          </w:tcPr>
          <w:p>
            <w:pP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-423,182.77</w:t>
            </w:r>
          </w:p>
        </w:tc>
        <w:tc>
          <w:tcPr>
            <w:tcW w:w="13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-31,700,566.06</w:t>
            </w:r>
          </w:p>
        </w:tc>
      </w:tr>
      <w:tr>
        <w:trPr>
          <w:trHeight w:val="391" w:hRule="exact"/>
        </w:trPr>
        <w:tc>
          <w:tcPr>
            <w:tcW w:w="34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号填列</w:t>
            </w:r>
          </w:p>
        </w:tc>
        <w:tc>
          <w:tcPr>
            <w:tcW w:w="1205" w:type="dxa"/>
            <w:vMerge/>
            <w:tcBorders>
              <w:left w:val="single" w:sz="10"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1231"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318" w:type="dxa"/>
            <w:vMerge/>
            <w:tcBorders>
              <w:left w:val="single" w:sz="4" w:space="0" w:color="000000"/>
              <w:right w:val="single" w:sz="4" w:space="0" w:color="000000"/>
            </w:tcBorders>
          </w:tcPr>
          <w:p>
            <w:pPr/>
          </w:p>
        </w:tc>
      </w:tr>
      <w:tr>
        <w:trPr>
          <w:trHeight w:val="168" w:hRule="exact"/>
        </w:trPr>
        <w:tc>
          <w:tcPr>
            <w:tcW w:w="34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5" w:type="dxa"/>
            <w:vMerge/>
            <w:tcBorders>
              <w:left w:val="single" w:sz="10"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1231"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318" w:type="dxa"/>
            <w:vMerge/>
            <w:tcBorders>
              <w:left w:val="single" w:sz="4" w:space="0" w:color="000000"/>
              <w:bottom w:val="single" w:sz="4" w:space="0" w:color="000000"/>
              <w:right w:val="single" w:sz="4" w:space="0" w:color="000000"/>
            </w:tcBorders>
          </w:tcPr>
          <w:p>
            <w:pPr/>
          </w:p>
        </w:tc>
      </w:tr>
      <w:tr>
        <w:trPr>
          <w:trHeight w:val="161" w:hRule="exact"/>
        </w:trPr>
        <w:tc>
          <w:tcPr>
            <w:tcW w:w="34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5" w:type="dxa"/>
            <w:vMerge w:val="restart"/>
            <w:tcBorders>
              <w:top w:val="single" w:sz="4" w:space="0" w:color="000000"/>
              <w:left w:val="single" w:sz="10" w:space="0" w:color="D2D2D2"/>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895" w:type="dxa"/>
            <w:vMerge w:val="restart"/>
            <w:tcBorders>
              <w:top w:val="single" w:sz="4" w:space="0" w:color="000000"/>
              <w:left w:val="single" w:sz="4" w:space="0" w:color="000000"/>
              <w:right w:val="single" w:sz="4" w:space="0" w:color="000000"/>
            </w:tcBorders>
          </w:tcPr>
          <w:p>
            <w:pPr/>
          </w:p>
        </w:tc>
        <w:tc>
          <w:tcPr>
            <w:tcW w:w="12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75,754,985.34</w:t>
            </w:r>
          </w:p>
        </w:tc>
        <w:tc>
          <w:tcPr>
            <w:tcW w:w="790" w:type="dxa"/>
            <w:vMerge w:val="restart"/>
            <w:tcBorders>
              <w:top w:val="single" w:sz="4" w:space="0" w:color="000000"/>
              <w:left w:val="single" w:sz="4" w:space="0" w:color="000000"/>
              <w:right w:val="single" w:sz="4" w:space="0" w:color="000000"/>
            </w:tcBorders>
          </w:tcPr>
          <w:p>
            <w:pP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-423,182.77</w:t>
            </w:r>
          </w:p>
        </w:tc>
        <w:tc>
          <w:tcPr>
            <w:tcW w:w="13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75,331,802.57</w:t>
            </w:r>
          </w:p>
        </w:tc>
      </w:tr>
      <w:tr>
        <w:trPr>
          <w:trHeight w:val="391" w:hRule="exact"/>
        </w:trPr>
        <w:tc>
          <w:tcPr>
            <w:tcW w:w="34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05" w:type="dxa"/>
            <w:vMerge/>
            <w:tcBorders>
              <w:left w:val="single" w:sz="10"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1231"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318" w:type="dxa"/>
            <w:vMerge/>
            <w:tcBorders>
              <w:left w:val="single" w:sz="4" w:space="0" w:color="000000"/>
              <w:right w:val="single" w:sz="4" w:space="0" w:color="000000"/>
            </w:tcBorders>
          </w:tcPr>
          <w:p>
            <w:pPr/>
          </w:p>
        </w:tc>
      </w:tr>
      <w:tr>
        <w:trPr>
          <w:trHeight w:val="161" w:hRule="exact"/>
        </w:trPr>
        <w:tc>
          <w:tcPr>
            <w:tcW w:w="34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5" w:type="dxa"/>
            <w:vMerge/>
            <w:tcBorders>
              <w:left w:val="single" w:sz="10"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1231"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318" w:type="dxa"/>
            <w:vMerge/>
            <w:tcBorders>
              <w:left w:val="single" w:sz="4" w:space="0" w:color="000000"/>
              <w:bottom w:val="single" w:sz="4" w:space="0" w:color="000000"/>
              <w:right w:val="single" w:sz="4" w:space="0" w:color="000000"/>
            </w:tcBorders>
          </w:tcPr>
          <w:p>
            <w:pPr/>
          </w:p>
        </w:tc>
      </w:tr>
      <w:tr>
        <w:trPr>
          <w:trHeight w:val="406"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05"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75" w:hRule="exact"/>
        </w:trPr>
        <w:tc>
          <w:tcPr>
            <w:tcW w:w="34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5" w:type="dxa"/>
            <w:vMerge w:val="restart"/>
            <w:tcBorders>
              <w:top w:val="single" w:sz="4" w:space="0" w:color="000000"/>
              <w:left w:val="single" w:sz="10" w:space="0" w:color="D2D2D2"/>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895" w:type="dxa"/>
            <w:vMerge w:val="restart"/>
            <w:tcBorders>
              <w:top w:val="single" w:sz="4" w:space="0" w:color="000000"/>
              <w:left w:val="single" w:sz="4" w:space="0" w:color="000000"/>
              <w:right w:val="single" w:sz="4" w:space="0" w:color="000000"/>
            </w:tcBorders>
          </w:tcPr>
          <w:p>
            <w:pPr/>
          </w:p>
        </w:tc>
        <w:tc>
          <w:tcPr>
            <w:tcW w:w="123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75,754,985.34</w:t>
            </w:r>
          </w:p>
        </w:tc>
        <w:tc>
          <w:tcPr>
            <w:tcW w:w="790" w:type="dxa"/>
            <w:vMerge w:val="restart"/>
            <w:tcBorders>
              <w:top w:val="single" w:sz="4" w:space="0" w:color="000000"/>
              <w:left w:val="single" w:sz="4" w:space="0" w:color="000000"/>
              <w:right w:val="single" w:sz="4" w:space="0" w:color="000000"/>
            </w:tcBorders>
          </w:tcPr>
          <w:p>
            <w:pP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-423,182.77</w:t>
            </w:r>
          </w:p>
        </w:tc>
        <w:tc>
          <w:tcPr>
            <w:tcW w:w="131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75,331,802.57</w:t>
            </w:r>
          </w:p>
        </w:tc>
      </w:tr>
      <w:tr>
        <w:trPr>
          <w:trHeight w:val="394" w:hRule="exact"/>
        </w:trPr>
        <w:tc>
          <w:tcPr>
            <w:tcW w:w="34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205" w:type="dxa"/>
            <w:vMerge/>
            <w:tcBorders>
              <w:left w:val="single" w:sz="10"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1231"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318" w:type="dxa"/>
            <w:vMerge/>
            <w:tcBorders>
              <w:left w:val="single" w:sz="4" w:space="0" w:color="000000"/>
              <w:right w:val="single" w:sz="4" w:space="0" w:color="000000"/>
            </w:tcBorders>
          </w:tcPr>
          <w:p>
            <w:pPr/>
          </w:p>
        </w:tc>
      </w:tr>
      <w:tr>
        <w:trPr>
          <w:trHeight w:val="173" w:hRule="exact"/>
        </w:trPr>
        <w:tc>
          <w:tcPr>
            <w:tcW w:w="34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5" w:type="dxa"/>
            <w:vMerge/>
            <w:tcBorders>
              <w:left w:val="single" w:sz="10"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1231"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318" w:type="dxa"/>
            <w:vMerge/>
            <w:tcBorders>
              <w:left w:val="single" w:sz="4" w:space="0" w:color="000000"/>
              <w:bottom w:val="single" w:sz="4" w:space="0" w:color="000000"/>
              <w:right w:val="single" w:sz="4" w:space="0" w:color="000000"/>
            </w:tcBorders>
          </w:tcPr>
          <w:p>
            <w:pP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205"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-56,632,368.63</w:t>
            </w: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 w:right="0"/>
              <w:jc w:val="left"/>
              <w:rPr>
                <w:rFonts w:ascii="Times New Roman" w:hAnsi="Times New Roman" w:cs="Times New Roman" w:eastAsia="Times New Roman" w:hint="default"/>
                <w:sz w:val="18"/>
                <w:szCs w:val="18"/>
              </w:rPr>
            </w:pPr>
            <w:r>
              <w:rPr>
                <w:rFonts w:ascii="Times New Roman"/>
                <w:sz w:val="18"/>
              </w:rPr>
              <w:t>-56,632,368.63</w:t>
            </w:r>
          </w:p>
        </w:tc>
      </w:tr>
    </w:tbl>
    <w:p>
      <w:pPr>
        <w:spacing w:after="0" w:line="240" w:lineRule="auto"/>
        <w:jc w:val="left"/>
        <w:rPr>
          <w:rFonts w:ascii="Times New Roman" w:hAnsi="Times New Roman" w:cs="Times New Roman" w:eastAsia="Times New Roman" w:hint="default"/>
          <w:sz w:val="18"/>
          <w:szCs w:val="18"/>
        </w:rPr>
        <w:sectPr>
          <w:type w:val="continuous"/>
          <w:pgSz w:w="16840" w:h="11910" w:orient="landscape"/>
          <w:pgMar w:top="880" w:bottom="280" w:left="1300" w:right="120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485"/>
        <w:gridCol w:w="1193"/>
        <w:gridCol w:w="1277"/>
        <w:gridCol w:w="708"/>
        <w:gridCol w:w="864"/>
        <w:gridCol w:w="1121"/>
        <w:gridCol w:w="895"/>
        <w:gridCol w:w="1231"/>
        <w:gridCol w:w="790"/>
        <w:gridCol w:w="1202"/>
        <w:gridCol w:w="1318"/>
      </w:tblGrid>
      <w:tr>
        <w:trPr>
          <w:trHeight w:val="418" w:hRule="exact"/>
        </w:trPr>
        <w:tc>
          <w:tcPr>
            <w:tcW w:w="348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193"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864" w:type="dxa"/>
            <w:tcBorders>
              <w:top w:val="single" w:sz="15" w:space="0" w:color="000000"/>
              <w:left w:val="single" w:sz="4" w:space="0" w:color="000000"/>
              <w:bottom w:val="single" w:sz="4" w:space="0" w:color="000000"/>
              <w:right w:val="single" w:sz="4" w:space="0" w:color="000000"/>
            </w:tcBorders>
          </w:tcPr>
          <w:p>
            <w:pPr/>
          </w:p>
        </w:tc>
        <w:tc>
          <w:tcPr>
            <w:tcW w:w="1121" w:type="dxa"/>
            <w:tcBorders>
              <w:top w:val="single" w:sz="15" w:space="0" w:color="000000"/>
              <w:left w:val="single" w:sz="4" w:space="0" w:color="000000"/>
              <w:bottom w:val="single" w:sz="4" w:space="0" w:color="000000"/>
              <w:right w:val="single" w:sz="4" w:space="0" w:color="000000"/>
            </w:tcBorders>
          </w:tcPr>
          <w:p>
            <w:pPr/>
          </w:p>
        </w:tc>
        <w:tc>
          <w:tcPr>
            <w:tcW w:w="895" w:type="dxa"/>
            <w:tcBorders>
              <w:top w:val="single" w:sz="15" w:space="0" w:color="000000"/>
              <w:left w:val="single" w:sz="4" w:space="0" w:color="000000"/>
              <w:bottom w:val="single" w:sz="4" w:space="0" w:color="000000"/>
              <w:right w:val="single" w:sz="4" w:space="0" w:color="000000"/>
            </w:tcBorders>
          </w:tcPr>
          <w:p>
            <w:pPr/>
          </w:p>
        </w:tc>
        <w:tc>
          <w:tcPr>
            <w:tcW w:w="1231" w:type="dxa"/>
            <w:tcBorders>
              <w:top w:val="single" w:sz="15" w:space="0" w:color="000000"/>
              <w:left w:val="single" w:sz="4" w:space="0" w:color="000000"/>
              <w:bottom w:val="single" w:sz="4" w:space="0" w:color="000000"/>
              <w:right w:val="single" w:sz="4" w:space="0" w:color="000000"/>
            </w:tcBorders>
          </w:tcPr>
          <w:p>
            <w:pPr/>
          </w:p>
        </w:tc>
        <w:tc>
          <w:tcPr>
            <w:tcW w:w="790" w:type="dxa"/>
            <w:tcBorders>
              <w:top w:val="single" w:sz="15" w:space="0" w:color="000000"/>
              <w:left w:val="single" w:sz="4" w:space="0" w:color="000000"/>
              <w:bottom w:val="single" w:sz="4" w:space="0" w:color="000000"/>
              <w:right w:val="single" w:sz="4" w:space="0" w:color="000000"/>
            </w:tcBorders>
          </w:tcPr>
          <w:p>
            <w:pPr/>
          </w:p>
        </w:tc>
        <w:tc>
          <w:tcPr>
            <w:tcW w:w="1202"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3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-56,632,368.63</w:t>
            </w: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-56,632,368.63</w:t>
            </w:r>
          </w:p>
        </w:tc>
      </w:tr>
      <w:tr>
        <w:trPr>
          <w:trHeight w:val="401" w:hRule="exact"/>
        </w:trPr>
        <w:tc>
          <w:tcPr>
            <w:tcW w:w="3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7,657,541.68</w:t>
            </w:r>
          </w:p>
        </w:tc>
        <w:tc>
          <w:tcPr>
            <w:tcW w:w="89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-58,057,541.68</w:t>
            </w:r>
          </w:p>
        </w:tc>
        <w:tc>
          <w:tcPr>
            <w:tcW w:w="79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-50,400,000.00</w:t>
            </w:r>
          </w:p>
        </w:tc>
      </w:tr>
      <w:tr>
        <w:trPr>
          <w:trHeight w:val="403" w:hRule="exact"/>
        </w:trPr>
        <w:tc>
          <w:tcPr>
            <w:tcW w:w="3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7,657,541.68</w:t>
            </w:r>
          </w:p>
        </w:tc>
        <w:tc>
          <w:tcPr>
            <w:tcW w:w="89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-7,657,541.68</w:t>
            </w:r>
          </w:p>
        </w:tc>
        <w:tc>
          <w:tcPr>
            <w:tcW w:w="79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-50,400,000.00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-50,400,000.00</w:t>
            </w:r>
          </w:p>
        </w:tc>
      </w:tr>
      <w:tr>
        <w:trPr>
          <w:trHeight w:val="401" w:hRule="exact"/>
        </w:trPr>
        <w:tc>
          <w:tcPr>
            <w:tcW w:w="3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180,000,000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714,826,587.42</w:t>
            </w: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25,059,041.37</w:t>
            </w:r>
          </w:p>
        </w:tc>
        <w:tc>
          <w:tcPr>
            <w:tcW w:w="89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98,793,397.48</w:t>
            </w:r>
          </w:p>
        </w:tc>
        <w:tc>
          <w:tcPr>
            <w:tcW w:w="79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5" w:right="0"/>
              <w:jc w:val="left"/>
              <w:rPr>
                <w:rFonts w:ascii="Times New Roman" w:hAnsi="Times New Roman" w:cs="Times New Roman" w:eastAsia="Times New Roman" w:hint="default"/>
                <w:sz w:val="18"/>
                <w:szCs w:val="18"/>
              </w:rPr>
            </w:pPr>
            <w:r>
              <w:rPr>
                <w:rFonts w:ascii="Times New Roman"/>
                <w:sz w:val="18"/>
              </w:rPr>
              <w:t>2,672,369.39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1,021,351,395.66</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1227" w:top="1060" w:bottom="1420" w:left="1320" w:right="1200"/>
        </w:sectPr>
      </w:pPr>
    </w:p>
    <w:p>
      <w:pPr>
        <w:spacing w:line="240" w:lineRule="auto" w:before="2"/>
        <w:rPr>
          <w:rFonts w:ascii="Times New Roman" w:hAnsi="Times New Roman" w:cs="Times New Roman" w:eastAsia="Times New Roman" w:hint="default"/>
          <w:sz w:val="3"/>
          <w:szCs w:val="3"/>
        </w:rPr>
      </w:pPr>
      <w:r>
        <w:rPr/>
        <w:pict>
          <v:group style="position:absolute;margin-left:238.940002pt;margin-top:303.886017pt;width:54.55pt;height:20.95pt;mso-position-horizontal-relative:page;mso-position-vertical-relative:page;z-index:-759664" coordorigin="4779,6078" coordsize="1091,419">
            <v:group style="position:absolute;left:4913;top:6090;width:2;height:395" coordorigin="4913,6090" coordsize="2,395">
              <v:shape style="position:absolute;left:4913;top:6090;width:2;height:395" coordorigin="4913,6090" coordsize="0,395" path="m4913,6090l4913,6484e" filled="false" stroked="true" strokeweight="1.2pt" strokecolor="#ffffff">
                <v:path arrowok="t"/>
              </v:shape>
            </v:group>
            <v:group style="position:absolute;left:4925;top:6090;width:944;height:395" coordorigin="4925,6090" coordsize="944,395">
              <v:shape style="position:absolute;left:4925;top:6090;width:944;height:395" coordorigin="4925,6090" coordsize="944,395" path="m4925,6484l5869,6484,5869,6090,4925,6090,4925,6484xe" filled="true" fillcolor="#ffffff" stroked="false">
                <v:path arrowok="t"/>
                <v:fill type="solid"/>
              </v:shape>
              <v:shape style="position:absolute;left:4779;top:6078;width:1091;height:419" type="#_x0000_t202" filled="false" stroked="false">
                <v:textbox inset="0,0,0,0">
                  <w:txbxContent>
                    <w:p>
                      <w:pPr>
                        <w:spacing w:before="6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17"/>
        <w:ind w:left="140" w:right="0"/>
        <w:jc w:val="left"/>
      </w:pPr>
      <w:r>
        <w:rPr/>
        <w:t>上年金额</w:t>
      </w:r>
    </w:p>
    <w:p>
      <w:pPr>
        <w:pStyle w:val="BodyText"/>
        <w:spacing w:line="240" w:lineRule="auto" w:before="117"/>
        <w:ind w:left="0" w:right="234"/>
        <w:jc w:val="right"/>
      </w:pPr>
      <w:r>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432"/>
        <w:gridCol w:w="79"/>
        <w:gridCol w:w="934"/>
        <w:gridCol w:w="1214"/>
        <w:gridCol w:w="790"/>
        <w:gridCol w:w="1003"/>
        <w:gridCol w:w="1184"/>
        <w:gridCol w:w="816"/>
        <w:gridCol w:w="1169"/>
        <w:gridCol w:w="709"/>
        <w:gridCol w:w="1277"/>
        <w:gridCol w:w="1349"/>
      </w:tblGrid>
      <w:tr>
        <w:trPr>
          <w:trHeight w:val="401" w:hRule="exact"/>
        </w:trPr>
        <w:tc>
          <w:tcPr>
            <w:tcW w:w="3432" w:type="dxa"/>
            <w:vMerge w:val="restart"/>
            <w:tcBorders>
              <w:top w:val="single" w:sz="4" w:space="0" w:color="000000"/>
              <w:left w:val="single" w:sz="4" w:space="0" w:color="000000"/>
              <w:right w:val="single" w:sz="4" w:space="0" w:color="000000"/>
            </w:tcBorders>
            <w:shd w:val="clear" w:color="auto" w:fill="D2D2D2"/>
          </w:tcPr>
          <w:p>
            <w:pPr/>
          </w:p>
        </w:tc>
        <w:tc>
          <w:tcPr>
            <w:tcW w:w="1052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1" w:hRule="exact"/>
        </w:trPr>
        <w:tc>
          <w:tcPr>
            <w:tcW w:w="3432" w:type="dxa"/>
            <w:vMerge/>
            <w:tcBorders>
              <w:left w:val="single" w:sz="4" w:space="0" w:color="000000"/>
              <w:bottom w:val="nil" w:sz="6" w:space="0" w:color="auto"/>
              <w:right w:val="single" w:sz="4" w:space="0" w:color="000000"/>
            </w:tcBorders>
            <w:shd w:val="clear" w:color="auto" w:fill="D2D2D2"/>
          </w:tcPr>
          <w:p>
            <w:pPr/>
          </w:p>
        </w:tc>
        <w:tc>
          <w:tcPr>
            <w:tcW w:w="7898" w:type="dxa"/>
            <w:gridSpan w:val="9"/>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
        </w:tc>
      </w:tr>
      <w:tr>
        <w:trPr>
          <w:trHeight w:val="238" w:hRule="exact"/>
        </w:trPr>
        <w:tc>
          <w:tcPr>
            <w:tcW w:w="34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898" w:type="dxa"/>
            <w:gridSpan w:val="9"/>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349"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3432" w:type="dxa"/>
            <w:vMerge/>
            <w:tcBorders>
              <w:left w:val="single" w:sz="4" w:space="0" w:color="000000"/>
              <w:bottom w:val="nil" w:sz="6" w:space="0" w:color="auto"/>
              <w:right w:val="single" w:sz="4" w:space="0" w:color="000000"/>
            </w:tcBorders>
            <w:shd w:val="clear" w:color="auto" w:fill="D2D2D2"/>
          </w:tcPr>
          <w:p>
            <w:pPr/>
          </w:p>
        </w:tc>
        <w:tc>
          <w:tcPr>
            <w:tcW w:w="10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57"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1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97" w:right="29" w:hanging="269"/>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10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23" w:right="41"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169"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3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3" w:hRule="exact"/>
        </w:trPr>
        <w:tc>
          <w:tcPr>
            <w:tcW w:w="3432" w:type="dxa"/>
            <w:vMerge w:val="restart"/>
            <w:tcBorders>
              <w:top w:val="nil" w:sz="6" w:space="0" w:color="auto"/>
              <w:left w:val="single" w:sz="4" w:space="0" w:color="000000"/>
              <w:right w:val="single" w:sz="4" w:space="0" w:color="000000"/>
            </w:tcBorders>
            <w:shd w:val="clear" w:color="auto" w:fill="D2D2D2"/>
          </w:tcPr>
          <w:p>
            <w:pPr/>
          </w:p>
        </w:tc>
        <w:tc>
          <w:tcPr>
            <w:tcW w:w="1013" w:type="dxa"/>
            <w:gridSpan w:val="2"/>
            <w:vMerge/>
            <w:tcBorders>
              <w:left w:val="single" w:sz="4" w:space="0" w:color="000000"/>
              <w:right w:val="single" w:sz="4" w:space="0" w:color="000000"/>
            </w:tcBorders>
            <w:shd w:val="clear" w:color="auto" w:fill="D2D2D2"/>
          </w:tcPr>
          <w:p>
            <w:pPr/>
          </w:p>
        </w:tc>
        <w:tc>
          <w:tcPr>
            <w:tcW w:w="12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4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0" w:type="dxa"/>
            <w:vMerge/>
            <w:tcBorders>
              <w:left w:val="single" w:sz="4" w:space="0" w:color="000000"/>
              <w:right w:val="single" w:sz="4" w:space="0" w:color="000000"/>
            </w:tcBorders>
            <w:shd w:val="clear" w:color="auto" w:fill="D2D2D2"/>
          </w:tcPr>
          <w:p>
            <w:pPr/>
          </w:p>
        </w:tc>
        <w:tc>
          <w:tcPr>
            <w:tcW w:w="10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16" w:type="dxa"/>
            <w:vMerge/>
            <w:tcBorders>
              <w:left w:val="single" w:sz="4" w:space="0" w:color="000000"/>
              <w:right w:val="single" w:sz="4" w:space="0" w:color="000000"/>
            </w:tcBorders>
            <w:shd w:val="clear" w:color="auto" w:fill="D2D2D2"/>
          </w:tcPr>
          <w:p>
            <w:pPr/>
          </w:p>
        </w:tc>
        <w:tc>
          <w:tcPr>
            <w:tcW w:w="11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vMerge/>
            <w:tcBorders>
              <w:left w:val="single" w:sz="4" w:space="0" w:color="000000"/>
              <w:bottom w:val="nil" w:sz="6" w:space="0" w:color="auto"/>
              <w:right w:val="single" w:sz="4" w:space="0" w:color="000000"/>
            </w:tcBorders>
            <w:shd w:val="clear" w:color="auto" w:fill="D2D2D2"/>
          </w:tcPr>
          <w:p>
            <w:pPr/>
          </w:p>
        </w:tc>
        <w:tc>
          <w:tcPr>
            <w:tcW w:w="1349"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3432" w:type="dxa"/>
            <w:vMerge/>
            <w:tcBorders>
              <w:left w:val="single" w:sz="4" w:space="0" w:color="000000"/>
              <w:right w:val="single" w:sz="4" w:space="0" w:color="000000"/>
            </w:tcBorders>
            <w:shd w:val="clear" w:color="auto" w:fill="D2D2D2"/>
          </w:tcPr>
          <w:p>
            <w:pPr/>
          </w:p>
        </w:tc>
        <w:tc>
          <w:tcPr>
            <w:tcW w:w="1013" w:type="dxa"/>
            <w:gridSpan w:val="2"/>
            <w:vMerge/>
            <w:tcBorders>
              <w:left w:val="single" w:sz="4" w:space="0" w:color="000000"/>
              <w:right w:val="single" w:sz="4" w:space="0" w:color="000000"/>
            </w:tcBorders>
            <w:shd w:val="clear" w:color="auto" w:fill="D2D2D2"/>
          </w:tcPr>
          <w:p>
            <w:pPr/>
          </w:p>
        </w:tc>
        <w:tc>
          <w:tcPr>
            <w:tcW w:w="1214"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1003"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816" w:type="dxa"/>
            <w:vMerge/>
            <w:tcBorders>
              <w:left w:val="single" w:sz="4" w:space="0" w:color="000000"/>
              <w:right w:val="single" w:sz="4" w:space="0" w:color="000000"/>
            </w:tcBorders>
            <w:shd w:val="clear" w:color="auto" w:fill="D2D2D2"/>
          </w:tcPr>
          <w:p>
            <w:pPr/>
          </w:p>
        </w:tc>
        <w:tc>
          <w:tcPr>
            <w:tcW w:w="1169"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34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3432" w:type="dxa"/>
            <w:vMerge/>
            <w:tcBorders>
              <w:left w:val="single" w:sz="4" w:space="0" w:color="000000"/>
              <w:bottom w:val="single" w:sz="4" w:space="0" w:color="000000"/>
              <w:right w:val="single" w:sz="4" w:space="0" w:color="000000"/>
            </w:tcBorders>
            <w:shd w:val="clear" w:color="auto" w:fill="D2D2D2"/>
          </w:tcPr>
          <w:p>
            <w:pPr/>
          </w:p>
        </w:tc>
        <w:tc>
          <w:tcPr>
            <w:tcW w:w="1013" w:type="dxa"/>
            <w:gridSpan w:val="2"/>
            <w:vMerge/>
            <w:tcBorders>
              <w:left w:val="single" w:sz="4" w:space="0" w:color="000000"/>
              <w:bottom w:val="single" w:sz="4" w:space="0" w:color="000000"/>
              <w:right w:val="single" w:sz="4" w:space="0" w:color="000000"/>
            </w:tcBorders>
            <w:shd w:val="clear" w:color="auto" w:fill="D2D2D2"/>
          </w:tcPr>
          <w:p>
            <w:pPr/>
          </w:p>
        </w:tc>
        <w:tc>
          <w:tcPr>
            <w:tcW w:w="121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10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6" w:type="dxa"/>
            <w:vMerge/>
            <w:tcBorders>
              <w:left w:val="single" w:sz="4" w:space="0" w:color="000000"/>
              <w:bottom w:val="single" w:sz="4" w:space="0" w:color="000000"/>
              <w:right w:val="single" w:sz="4" w:space="0" w:color="000000"/>
            </w:tcBorders>
            <w:shd w:val="clear" w:color="auto" w:fill="D2D2D2"/>
          </w:tcPr>
          <w:p>
            <w:pPr/>
          </w:p>
        </w:tc>
        <w:tc>
          <w:tcPr>
            <w:tcW w:w="116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01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left="156" w:right="0"/>
              <w:jc w:val="left"/>
              <w:rPr>
                <w:rFonts w:ascii="Times New Roman" w:hAnsi="Times New Roman" w:cs="Times New Roman" w:eastAsia="Times New Roman" w:hint="default"/>
                <w:sz w:val="18"/>
                <w:szCs w:val="18"/>
              </w:rPr>
            </w:pPr>
            <w:r>
              <w:rPr>
                <w:rFonts w:ascii="Times New Roman"/>
                <w:sz w:val="18"/>
              </w:rPr>
              <w:t>72,000,000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spacing w:val="-1"/>
                <w:sz w:val="18"/>
              </w:rPr>
              <w:t>844,062,616.33</w:t>
            </w:r>
          </w:p>
        </w:tc>
        <w:tc>
          <w:tcPr>
            <w:tcW w:w="790"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11,459,065.89</w:t>
            </w:r>
          </w:p>
        </w:tc>
        <w:tc>
          <w:tcPr>
            <w:tcW w:w="81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87,729,676.47</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1,015,251,358.69</w:t>
            </w:r>
          </w:p>
        </w:tc>
      </w:tr>
      <w:tr>
        <w:trPr>
          <w:trHeight w:val="71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2"/>
                <w:sz w:val="18"/>
                <w:szCs w:val="18"/>
              </w:rPr>
              <w:t>加：同一控制下企业合并产生的追溯调</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整</w:t>
            </w:r>
          </w:p>
        </w:tc>
        <w:tc>
          <w:tcPr>
            <w:tcW w:w="1013" w:type="dxa"/>
            <w:gridSpan w:val="2"/>
            <w:tcBorders>
              <w:top w:val="single" w:sz="4" w:space="0" w:color="000000"/>
              <w:left w:val="single" w:sz="13" w:space="0" w:color="D2D2D2"/>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13" w:type="dxa"/>
            <w:gridSpan w:val="2"/>
            <w:tcBorders>
              <w:top w:val="single" w:sz="4" w:space="0" w:color="000000"/>
              <w:left w:val="single" w:sz="13" w:space="0" w:color="D2D2D2"/>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13" w:type="dxa"/>
            <w:gridSpan w:val="2"/>
            <w:tcBorders>
              <w:top w:val="single" w:sz="4" w:space="0" w:color="000000"/>
              <w:left w:val="single" w:sz="13" w:space="0" w:color="D2D2D2"/>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13" w:type="dxa"/>
            <w:gridSpan w:val="2"/>
            <w:tcBorders>
              <w:top w:val="single" w:sz="4" w:space="0" w:color="000000"/>
              <w:left w:val="single" w:sz="13" w:space="0" w:color="D2D2D2"/>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spacing w:val="-1"/>
                <w:sz w:val="18"/>
              </w:rPr>
              <w:t>35,396,339.72</w:t>
            </w:r>
          </w:p>
        </w:tc>
        <w:tc>
          <w:tcPr>
            <w:tcW w:w="790"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-1,695,378.61</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33,700,961.11</w:t>
            </w:r>
          </w:p>
        </w:tc>
      </w:tr>
      <w:tr>
        <w:trPr>
          <w:trHeight w:val="401"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01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left="156" w:right="0"/>
              <w:jc w:val="left"/>
              <w:rPr>
                <w:rFonts w:ascii="Times New Roman" w:hAnsi="Times New Roman" w:cs="Times New Roman" w:eastAsia="Times New Roman" w:hint="default"/>
                <w:sz w:val="18"/>
                <w:szCs w:val="18"/>
              </w:rPr>
            </w:pPr>
            <w:r>
              <w:rPr>
                <w:rFonts w:ascii="Times New Roman"/>
                <w:sz w:val="18"/>
              </w:rPr>
              <w:t>72,000,000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spacing w:val="-1"/>
                <w:sz w:val="18"/>
              </w:rPr>
              <w:t>879,458,956.05</w:t>
            </w:r>
          </w:p>
        </w:tc>
        <w:tc>
          <w:tcPr>
            <w:tcW w:w="790"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11,459,065.89</w:t>
            </w:r>
          </w:p>
        </w:tc>
        <w:tc>
          <w:tcPr>
            <w:tcW w:w="81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86,034,297.86</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1,048,952,319.80</w:t>
            </w:r>
          </w:p>
        </w:tc>
      </w:tr>
      <w:tr>
        <w:trPr>
          <w:trHeight w:val="404"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5"/>
                <w:sz w:val="18"/>
                <w:szCs w:val="18"/>
              </w:rPr>
              <w:t>三、本期增减变动金额（减少以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79" w:type="dxa"/>
            <w:tcBorders>
              <w:top w:val="single" w:sz="4" w:space="0" w:color="000000"/>
              <w:left w:val="single" w:sz="13" w:space="0" w:color="D2D2D2"/>
              <w:bottom w:val="single" w:sz="4" w:space="0" w:color="000000"/>
              <w:right w:val="nil" w:sz="6" w:space="0" w:color="auto"/>
            </w:tcBorders>
          </w:tcPr>
          <w:p>
            <w:pPr/>
          </w:p>
        </w:tc>
        <w:tc>
          <w:tcPr>
            <w:tcW w:w="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4" w:right="0"/>
              <w:jc w:val="left"/>
              <w:rPr>
                <w:rFonts w:ascii="Times New Roman" w:hAnsi="Times New Roman" w:cs="Times New Roman" w:eastAsia="Times New Roman" w:hint="default"/>
                <w:sz w:val="18"/>
                <w:szCs w:val="18"/>
              </w:rPr>
            </w:pPr>
            <w:r>
              <w:rPr>
                <w:rFonts w:ascii="Times New Roman"/>
                <w:sz w:val="18"/>
              </w:rPr>
              <w:t>108,000,000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Times New Roman" w:hAnsi="Times New Roman" w:cs="Times New Roman" w:eastAsia="Times New Roman" w:hint="default"/>
                <w:sz w:val="18"/>
                <w:szCs w:val="18"/>
              </w:rPr>
            </w:pPr>
            <w:r>
              <w:rPr>
                <w:rFonts w:ascii="Times New Roman"/>
                <w:spacing w:val="-1"/>
                <w:sz w:val="18"/>
              </w:rPr>
              <w:t>-108,000,000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Times New Roman" w:hAnsi="Times New Roman" w:cs="Times New Roman" w:eastAsia="Times New Roman" w:hint="default"/>
                <w:sz w:val="18"/>
                <w:szCs w:val="18"/>
              </w:rPr>
            </w:pPr>
            <w:r>
              <w:rPr>
                <w:rFonts w:ascii="Times New Roman"/>
                <w:spacing w:val="-1"/>
                <w:sz w:val="18"/>
              </w:rPr>
              <w:t>5,942,433.80</w:t>
            </w:r>
          </w:p>
        </w:tc>
        <w:tc>
          <w:tcPr>
            <w:tcW w:w="81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Times New Roman" w:hAnsi="Times New Roman" w:cs="Times New Roman" w:eastAsia="Times New Roman" w:hint="default"/>
                <w:sz w:val="18"/>
                <w:szCs w:val="18"/>
              </w:rPr>
            </w:pPr>
            <w:r>
              <w:rPr>
                <w:rFonts w:ascii="Times New Roman"/>
                <w:spacing w:val="-1"/>
                <w:sz w:val="18"/>
              </w:rPr>
              <w:t>-4,938,344.04</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Times New Roman" w:hAnsi="Times New Roman" w:cs="Times New Roman" w:eastAsia="Times New Roman" w:hint="default"/>
                <w:sz w:val="18"/>
                <w:szCs w:val="18"/>
              </w:rPr>
            </w:pPr>
            <w:r>
              <w:rPr>
                <w:rFonts w:ascii="Times New Roman"/>
                <w:spacing w:val="-1"/>
                <w:sz w:val="18"/>
              </w:rPr>
              <w:t>3,095,552.16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Times New Roman" w:hAnsi="Times New Roman" w:cs="Times New Roman" w:eastAsia="Times New Roman" w:hint="default"/>
                <w:sz w:val="18"/>
                <w:szCs w:val="18"/>
              </w:rPr>
            </w:pPr>
            <w:r>
              <w:rPr>
                <w:rFonts w:ascii="Times New Roman"/>
                <w:spacing w:val="-1"/>
                <w:sz w:val="18"/>
              </w:rPr>
              <w:t>4,099,641.92</w:t>
            </w:r>
          </w:p>
        </w:tc>
      </w:tr>
      <w:tr>
        <w:trPr>
          <w:trHeight w:val="401"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013" w:type="dxa"/>
            <w:gridSpan w:val="2"/>
            <w:tcBorders>
              <w:top w:val="single" w:sz="4" w:space="0" w:color="000000"/>
              <w:left w:val="single" w:sz="13" w:space="0" w:color="D2D2D2"/>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58,604,089.76</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-54,447.84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58,549,641.92</w:t>
            </w:r>
          </w:p>
        </w:tc>
      </w:tr>
      <w:tr>
        <w:trPr>
          <w:trHeight w:val="40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013" w:type="dxa"/>
            <w:gridSpan w:val="2"/>
            <w:tcBorders>
              <w:top w:val="single" w:sz="4" w:space="0" w:color="000000"/>
              <w:left w:val="single" w:sz="13" w:space="0" w:color="D2D2D2"/>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013" w:type="dxa"/>
            <w:gridSpan w:val="2"/>
            <w:tcBorders>
              <w:top w:val="single" w:sz="4" w:space="0" w:color="000000"/>
              <w:left w:val="single" w:sz="13" w:space="0" w:color="D2D2D2"/>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58,604,089.76</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-54,447.84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58,549,641.92</w:t>
            </w:r>
          </w:p>
        </w:tc>
      </w:tr>
      <w:tr>
        <w:trPr>
          <w:trHeight w:val="40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013" w:type="dxa"/>
            <w:gridSpan w:val="2"/>
            <w:tcBorders>
              <w:top w:val="single" w:sz="4" w:space="0" w:color="000000"/>
              <w:left w:val="single" w:sz="13" w:space="0" w:color="D2D2D2"/>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3,150,000.00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3,150,000.00</w:t>
            </w:r>
          </w:p>
        </w:tc>
      </w:tr>
      <w:tr>
        <w:trPr>
          <w:trHeight w:val="52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013" w:type="dxa"/>
            <w:gridSpan w:val="2"/>
            <w:tcBorders>
              <w:top w:val="single" w:sz="4" w:space="0" w:color="000000"/>
              <w:left w:val="single" w:sz="13" w:space="0" w:color="D2D2D2"/>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1"/>
              <w:jc w:val="right"/>
              <w:rPr>
                <w:rFonts w:ascii="Times New Roman" w:hAnsi="Times New Roman" w:cs="Times New Roman" w:eastAsia="Times New Roman" w:hint="default"/>
                <w:sz w:val="18"/>
                <w:szCs w:val="18"/>
              </w:rPr>
            </w:pPr>
            <w:r>
              <w:rPr>
                <w:rFonts w:ascii="Times New Roman"/>
                <w:spacing w:val="-1"/>
                <w:sz w:val="18"/>
              </w:rPr>
              <w:t>3,150,000.00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1"/>
              <w:jc w:val="right"/>
              <w:rPr>
                <w:rFonts w:ascii="Times New Roman" w:hAnsi="Times New Roman" w:cs="Times New Roman" w:eastAsia="Times New Roman" w:hint="default"/>
                <w:sz w:val="18"/>
                <w:szCs w:val="18"/>
              </w:rPr>
            </w:pPr>
            <w:r>
              <w:rPr>
                <w:rFonts w:ascii="Times New Roman"/>
                <w:spacing w:val="-1"/>
                <w:sz w:val="18"/>
              </w:rPr>
              <w:t>3,150,000.00</w:t>
            </w:r>
          </w:p>
        </w:tc>
      </w:tr>
      <w:tr>
        <w:trPr>
          <w:trHeight w:val="524"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013" w:type="dxa"/>
            <w:gridSpan w:val="2"/>
            <w:tcBorders>
              <w:top w:val="single" w:sz="4" w:space="0" w:color="000000"/>
              <w:left w:val="single" w:sz="13" w:space="0" w:color="D2D2D2"/>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37" w:hRule="exact"/>
        </w:trPr>
        <w:tc>
          <w:tcPr>
            <w:tcW w:w="3432"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13" w:type="dxa"/>
            <w:gridSpan w:val="2"/>
            <w:tcBorders>
              <w:top w:val="single" w:sz="4" w:space="0" w:color="000000"/>
              <w:left w:val="single" w:sz="13" w:space="0" w:color="D2D2D2"/>
              <w:bottom w:val="single" w:sz="4" w:space="0" w:color="FFFFFF"/>
              <w:right w:val="single" w:sz="4" w:space="0" w:color="000000"/>
            </w:tcBorders>
          </w:tcPr>
          <w:p>
            <w:pPr/>
          </w:p>
        </w:tc>
        <w:tc>
          <w:tcPr>
            <w:tcW w:w="1214" w:type="dxa"/>
            <w:tcBorders>
              <w:top w:val="single" w:sz="4" w:space="0" w:color="000000"/>
              <w:left w:val="single" w:sz="4" w:space="0" w:color="000000"/>
              <w:bottom w:val="single" w:sz="4" w:space="0" w:color="FFFFFF"/>
              <w:right w:val="single" w:sz="4" w:space="0" w:color="000000"/>
            </w:tcBorders>
          </w:tcPr>
          <w:p>
            <w:pPr/>
          </w:p>
        </w:tc>
        <w:tc>
          <w:tcPr>
            <w:tcW w:w="790" w:type="dxa"/>
            <w:tcBorders>
              <w:top w:val="single" w:sz="4" w:space="0" w:color="000000"/>
              <w:left w:val="single" w:sz="4" w:space="0" w:color="000000"/>
              <w:bottom w:val="single" w:sz="4" w:space="0" w:color="FFFFFF"/>
              <w:right w:val="single" w:sz="4" w:space="0" w:color="000000"/>
            </w:tcBorders>
          </w:tcPr>
          <w:p>
            <w:pPr/>
          </w:p>
        </w:tc>
        <w:tc>
          <w:tcPr>
            <w:tcW w:w="1003" w:type="dxa"/>
            <w:tcBorders>
              <w:top w:val="single" w:sz="4" w:space="0" w:color="000000"/>
              <w:left w:val="single" w:sz="4" w:space="0" w:color="000000"/>
              <w:bottom w:val="single" w:sz="4" w:space="0" w:color="FFFFFF"/>
              <w:right w:val="single" w:sz="4" w:space="0" w:color="000000"/>
            </w:tcBorders>
          </w:tcPr>
          <w:p>
            <w:pPr/>
          </w:p>
        </w:tc>
        <w:tc>
          <w:tcPr>
            <w:tcW w:w="1184" w:type="dxa"/>
            <w:tcBorders>
              <w:top w:val="single" w:sz="4" w:space="0" w:color="000000"/>
              <w:left w:val="single" w:sz="4" w:space="0" w:color="000000"/>
              <w:bottom w:val="single" w:sz="4" w:space="0" w:color="FFFFFF"/>
              <w:right w:val="single" w:sz="4" w:space="0" w:color="000000"/>
            </w:tcBorders>
          </w:tcPr>
          <w:p>
            <w:pPr/>
          </w:p>
        </w:tc>
        <w:tc>
          <w:tcPr>
            <w:tcW w:w="816" w:type="dxa"/>
            <w:tcBorders>
              <w:top w:val="single" w:sz="4" w:space="0" w:color="000000"/>
              <w:left w:val="single" w:sz="4" w:space="0" w:color="000000"/>
              <w:bottom w:val="single" w:sz="4" w:space="0" w:color="FFFFFF"/>
              <w:right w:val="single" w:sz="4" w:space="0" w:color="000000"/>
            </w:tcBorders>
          </w:tcPr>
          <w:p>
            <w:pPr/>
          </w:p>
        </w:tc>
        <w:tc>
          <w:tcPr>
            <w:tcW w:w="1169" w:type="dxa"/>
            <w:tcBorders>
              <w:top w:val="single" w:sz="4" w:space="0" w:color="000000"/>
              <w:left w:val="single" w:sz="4" w:space="0" w:color="000000"/>
              <w:bottom w:val="single" w:sz="4" w:space="0" w:color="FFFFFF"/>
              <w:right w:val="single" w:sz="4" w:space="0" w:color="000000"/>
            </w:tcBorders>
          </w:tcPr>
          <w:p>
            <w:pPr/>
          </w:p>
        </w:tc>
        <w:tc>
          <w:tcPr>
            <w:tcW w:w="709" w:type="dxa"/>
            <w:tcBorders>
              <w:top w:val="single" w:sz="4" w:space="0" w:color="000000"/>
              <w:left w:val="single" w:sz="4" w:space="0" w:color="000000"/>
              <w:bottom w:val="single" w:sz="4" w:space="0" w:color="FFFFFF"/>
              <w:right w:val="single" w:sz="4" w:space="0" w:color="000000"/>
            </w:tcBorders>
          </w:tcPr>
          <w:p>
            <w:pPr/>
          </w:p>
        </w:tc>
        <w:tc>
          <w:tcPr>
            <w:tcW w:w="1277" w:type="dxa"/>
            <w:tcBorders>
              <w:top w:val="single" w:sz="4" w:space="0" w:color="000000"/>
              <w:left w:val="single" w:sz="4" w:space="0" w:color="000000"/>
              <w:bottom w:val="single" w:sz="4" w:space="0" w:color="FFFFFF"/>
              <w:right w:val="single" w:sz="4" w:space="0" w:color="000000"/>
            </w:tcBorders>
          </w:tcPr>
          <w:p>
            <w:pPr/>
          </w:p>
        </w:tc>
        <w:tc>
          <w:tcPr>
            <w:tcW w:w="1349" w:type="dxa"/>
            <w:tcBorders>
              <w:top w:val="single" w:sz="4" w:space="0" w:color="000000"/>
              <w:left w:val="single" w:sz="4" w:space="0" w:color="000000"/>
              <w:bottom w:val="single" w:sz="4" w:space="0" w:color="FFFFFF"/>
              <w:right w:val="single" w:sz="4" w:space="0" w:color="000000"/>
            </w:tcBorders>
          </w:tcPr>
          <w:p>
            <w:pPr/>
          </w:p>
        </w:tc>
      </w:tr>
      <w:tr>
        <w:trPr>
          <w:trHeight w:val="499" w:hRule="exact"/>
        </w:trPr>
        <w:tc>
          <w:tcPr>
            <w:tcW w:w="3432"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4"/>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013" w:type="dxa"/>
            <w:gridSpan w:val="2"/>
            <w:tcBorders>
              <w:top w:val="single" w:sz="4" w:space="0" w:color="FFFFFF"/>
              <w:left w:val="single" w:sz="13" w:space="0" w:color="D2D2D2"/>
              <w:bottom w:val="single" w:sz="4" w:space="0" w:color="000000"/>
              <w:right w:val="single" w:sz="4" w:space="0" w:color="000000"/>
            </w:tcBorders>
          </w:tcPr>
          <w:p>
            <w:pPr/>
          </w:p>
        </w:tc>
        <w:tc>
          <w:tcPr>
            <w:tcW w:w="1214" w:type="dxa"/>
            <w:tcBorders>
              <w:top w:val="single" w:sz="4" w:space="0" w:color="FFFFFF"/>
              <w:left w:val="single" w:sz="4" w:space="0" w:color="000000"/>
              <w:bottom w:val="single" w:sz="4" w:space="0" w:color="000000"/>
              <w:right w:val="single" w:sz="4" w:space="0" w:color="000000"/>
            </w:tcBorders>
          </w:tcPr>
          <w:p>
            <w:pPr/>
          </w:p>
        </w:tc>
        <w:tc>
          <w:tcPr>
            <w:tcW w:w="790" w:type="dxa"/>
            <w:tcBorders>
              <w:top w:val="single" w:sz="4" w:space="0" w:color="FFFFFF"/>
              <w:left w:val="single" w:sz="4" w:space="0" w:color="000000"/>
              <w:bottom w:val="single" w:sz="4" w:space="0" w:color="000000"/>
              <w:right w:val="single" w:sz="4" w:space="0" w:color="000000"/>
            </w:tcBorders>
          </w:tcPr>
          <w:p>
            <w:pPr/>
          </w:p>
        </w:tc>
        <w:tc>
          <w:tcPr>
            <w:tcW w:w="1003" w:type="dxa"/>
            <w:tcBorders>
              <w:top w:val="single" w:sz="4" w:space="0" w:color="FFFFFF"/>
              <w:left w:val="single" w:sz="4" w:space="0" w:color="000000"/>
              <w:bottom w:val="single" w:sz="4" w:space="0" w:color="000000"/>
              <w:right w:val="single" w:sz="4" w:space="0" w:color="000000"/>
            </w:tcBorders>
          </w:tcPr>
          <w:p>
            <w:pPr/>
          </w:p>
        </w:tc>
        <w:tc>
          <w:tcPr>
            <w:tcW w:w="118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5,942,433.80</w:t>
            </w:r>
          </w:p>
        </w:tc>
        <w:tc>
          <w:tcPr>
            <w:tcW w:w="816" w:type="dxa"/>
            <w:tcBorders>
              <w:top w:val="single" w:sz="4" w:space="0" w:color="FFFFFF"/>
              <w:left w:val="single" w:sz="4" w:space="0" w:color="000000"/>
              <w:bottom w:val="single" w:sz="4" w:space="0" w:color="000000"/>
              <w:right w:val="single" w:sz="4" w:space="0" w:color="000000"/>
            </w:tcBorders>
          </w:tcPr>
          <w:p>
            <w:pPr/>
          </w:p>
        </w:tc>
        <w:tc>
          <w:tcPr>
            <w:tcW w:w="116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-63,542,433.80</w:t>
            </w:r>
          </w:p>
        </w:tc>
        <w:tc>
          <w:tcPr>
            <w:tcW w:w="709" w:type="dxa"/>
            <w:tcBorders>
              <w:top w:val="single" w:sz="4" w:space="0" w:color="FFFFFF"/>
              <w:left w:val="single" w:sz="4" w:space="0" w:color="000000"/>
              <w:bottom w:val="single" w:sz="4" w:space="0" w:color="000000"/>
              <w:right w:val="single" w:sz="4" w:space="0" w:color="000000"/>
            </w:tcBorders>
          </w:tcPr>
          <w:p>
            <w:pPr/>
          </w:p>
        </w:tc>
        <w:tc>
          <w:tcPr>
            <w:tcW w:w="1277" w:type="dxa"/>
            <w:tcBorders>
              <w:top w:val="single" w:sz="4" w:space="0" w:color="FFFFFF"/>
              <w:left w:val="single" w:sz="4" w:space="0" w:color="000000"/>
              <w:bottom w:val="single" w:sz="4" w:space="0" w:color="000000"/>
              <w:right w:val="single" w:sz="4" w:space="0" w:color="000000"/>
            </w:tcBorders>
          </w:tcPr>
          <w:p>
            <w:pPr/>
          </w:p>
        </w:tc>
        <w:tc>
          <w:tcPr>
            <w:tcW w:w="134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-57,600,000.00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1227" w:top="1060" w:bottom="1420" w:left="1300" w:right="1300"/>
        </w:sectPr>
      </w:pPr>
    </w:p>
    <w:p>
      <w:pPr>
        <w:spacing w:line="240" w:lineRule="auto" w:before="11"/>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456"/>
        <w:gridCol w:w="1001"/>
        <w:gridCol w:w="1214"/>
        <w:gridCol w:w="790"/>
        <w:gridCol w:w="1003"/>
        <w:gridCol w:w="1184"/>
        <w:gridCol w:w="816"/>
        <w:gridCol w:w="1169"/>
        <w:gridCol w:w="709"/>
        <w:gridCol w:w="1277"/>
        <w:gridCol w:w="1349"/>
      </w:tblGrid>
      <w:tr>
        <w:trPr>
          <w:trHeight w:val="538" w:hRule="exact"/>
        </w:trPr>
        <w:tc>
          <w:tcPr>
            <w:tcW w:w="345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001" w:type="dxa"/>
            <w:tcBorders>
              <w:top w:val="single" w:sz="15" w:space="0" w:color="000000"/>
              <w:left w:val="single" w:sz="4" w:space="0" w:color="000000"/>
              <w:bottom w:val="single" w:sz="4" w:space="0" w:color="000000"/>
              <w:right w:val="single" w:sz="4" w:space="0" w:color="000000"/>
            </w:tcBorders>
          </w:tcPr>
          <w:p>
            <w:pPr/>
          </w:p>
        </w:tc>
        <w:tc>
          <w:tcPr>
            <w:tcW w:w="1214" w:type="dxa"/>
            <w:tcBorders>
              <w:top w:val="single" w:sz="15" w:space="0" w:color="000000"/>
              <w:left w:val="single" w:sz="4" w:space="0" w:color="000000"/>
              <w:bottom w:val="single" w:sz="4" w:space="0" w:color="000000"/>
              <w:right w:val="single" w:sz="4" w:space="0" w:color="000000"/>
            </w:tcBorders>
          </w:tcPr>
          <w:p>
            <w:pPr/>
          </w:p>
        </w:tc>
        <w:tc>
          <w:tcPr>
            <w:tcW w:w="790" w:type="dxa"/>
            <w:tcBorders>
              <w:top w:val="single" w:sz="15" w:space="0" w:color="000000"/>
              <w:left w:val="single" w:sz="4" w:space="0" w:color="000000"/>
              <w:bottom w:val="single" w:sz="4" w:space="0" w:color="000000"/>
              <w:right w:val="single" w:sz="4" w:space="0" w:color="000000"/>
            </w:tcBorders>
          </w:tcPr>
          <w:p>
            <w:pPr/>
          </w:p>
        </w:tc>
        <w:tc>
          <w:tcPr>
            <w:tcW w:w="1003" w:type="dxa"/>
            <w:tcBorders>
              <w:top w:val="single" w:sz="15" w:space="0" w:color="000000"/>
              <w:left w:val="single" w:sz="4" w:space="0" w:color="000000"/>
              <w:bottom w:val="single" w:sz="4" w:space="0" w:color="000000"/>
              <w:right w:val="single" w:sz="4" w:space="0" w:color="000000"/>
            </w:tcBorders>
          </w:tcPr>
          <w:p>
            <w:pPr/>
          </w:p>
        </w:tc>
        <w:tc>
          <w:tcPr>
            <w:tcW w:w="11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54"/>
              <w:ind w:right="21"/>
              <w:jc w:val="right"/>
              <w:rPr>
                <w:rFonts w:ascii="Times New Roman" w:hAnsi="Times New Roman" w:cs="Times New Roman" w:eastAsia="Times New Roman" w:hint="default"/>
                <w:sz w:val="18"/>
                <w:szCs w:val="18"/>
              </w:rPr>
            </w:pPr>
            <w:r>
              <w:rPr>
                <w:rFonts w:ascii="Times New Roman"/>
                <w:spacing w:val="-1"/>
                <w:sz w:val="18"/>
              </w:rPr>
              <w:t>5,942,433.80</w:t>
            </w:r>
          </w:p>
        </w:tc>
        <w:tc>
          <w:tcPr>
            <w:tcW w:w="816" w:type="dxa"/>
            <w:tcBorders>
              <w:top w:val="single" w:sz="15" w:space="0" w:color="000000"/>
              <w:left w:val="single" w:sz="4" w:space="0" w:color="000000"/>
              <w:bottom w:val="single" w:sz="4" w:space="0" w:color="000000"/>
              <w:right w:val="single" w:sz="4" w:space="0" w:color="000000"/>
            </w:tcBorders>
          </w:tcPr>
          <w:p>
            <w:pPr/>
          </w:p>
        </w:tc>
        <w:tc>
          <w:tcPr>
            <w:tcW w:w="11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54"/>
              <w:ind w:right="22"/>
              <w:jc w:val="right"/>
              <w:rPr>
                <w:rFonts w:ascii="Times New Roman" w:hAnsi="Times New Roman" w:cs="Times New Roman" w:eastAsia="Times New Roman" w:hint="default"/>
                <w:sz w:val="18"/>
                <w:szCs w:val="18"/>
              </w:rPr>
            </w:pPr>
            <w:r>
              <w:rPr>
                <w:rFonts w:ascii="Times New Roman"/>
                <w:spacing w:val="-1"/>
                <w:sz w:val="18"/>
              </w:rPr>
              <w:t>-5,942,433.80</w:t>
            </w:r>
          </w:p>
        </w:tc>
        <w:tc>
          <w:tcPr>
            <w:tcW w:w="709"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349"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3456"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001" w:type="dxa"/>
            <w:tcBorders>
              <w:top w:val="single" w:sz="4" w:space="0" w:color="000000"/>
              <w:left w:val="single" w:sz="4" w:space="0" w:color="000000"/>
              <w:bottom w:val="single" w:sz="4" w:space="0" w:color="FFFFFF"/>
              <w:right w:val="single" w:sz="4" w:space="0" w:color="000000"/>
            </w:tcBorders>
          </w:tcPr>
          <w:p>
            <w:pPr/>
          </w:p>
        </w:tc>
        <w:tc>
          <w:tcPr>
            <w:tcW w:w="1214" w:type="dxa"/>
            <w:tcBorders>
              <w:top w:val="single" w:sz="4" w:space="0" w:color="000000"/>
              <w:left w:val="single" w:sz="4" w:space="0" w:color="000000"/>
              <w:bottom w:val="single" w:sz="4" w:space="0" w:color="FFFFFF"/>
              <w:right w:val="single" w:sz="4" w:space="0" w:color="000000"/>
            </w:tcBorders>
          </w:tcPr>
          <w:p>
            <w:pPr/>
          </w:p>
        </w:tc>
        <w:tc>
          <w:tcPr>
            <w:tcW w:w="790" w:type="dxa"/>
            <w:tcBorders>
              <w:top w:val="single" w:sz="4" w:space="0" w:color="000000"/>
              <w:left w:val="single" w:sz="4" w:space="0" w:color="000000"/>
              <w:bottom w:val="single" w:sz="4" w:space="0" w:color="FFFFFF"/>
              <w:right w:val="single" w:sz="4" w:space="0" w:color="000000"/>
            </w:tcBorders>
          </w:tcPr>
          <w:p>
            <w:pPr/>
          </w:p>
        </w:tc>
        <w:tc>
          <w:tcPr>
            <w:tcW w:w="1003" w:type="dxa"/>
            <w:tcBorders>
              <w:top w:val="single" w:sz="4" w:space="0" w:color="000000"/>
              <w:left w:val="single" w:sz="4" w:space="0" w:color="000000"/>
              <w:bottom w:val="single" w:sz="4" w:space="0" w:color="FFFFFF"/>
              <w:right w:val="single" w:sz="4" w:space="0" w:color="000000"/>
            </w:tcBorders>
          </w:tcPr>
          <w:p>
            <w:pPr/>
          </w:p>
        </w:tc>
        <w:tc>
          <w:tcPr>
            <w:tcW w:w="1184" w:type="dxa"/>
            <w:tcBorders>
              <w:top w:val="single" w:sz="4" w:space="0" w:color="000000"/>
              <w:left w:val="single" w:sz="4" w:space="0" w:color="000000"/>
              <w:bottom w:val="single" w:sz="4" w:space="0" w:color="FFFFFF"/>
              <w:right w:val="single" w:sz="4" w:space="0" w:color="000000"/>
            </w:tcBorders>
          </w:tcPr>
          <w:p>
            <w:pPr/>
          </w:p>
        </w:tc>
        <w:tc>
          <w:tcPr>
            <w:tcW w:w="816" w:type="dxa"/>
            <w:tcBorders>
              <w:top w:val="single" w:sz="4" w:space="0" w:color="000000"/>
              <w:left w:val="single" w:sz="4" w:space="0" w:color="000000"/>
              <w:bottom w:val="single" w:sz="4" w:space="0" w:color="FFFFFF"/>
              <w:right w:val="single" w:sz="4" w:space="0" w:color="000000"/>
            </w:tcBorders>
          </w:tcPr>
          <w:p>
            <w:pPr/>
          </w:p>
        </w:tc>
        <w:tc>
          <w:tcPr>
            <w:tcW w:w="1169" w:type="dxa"/>
            <w:tcBorders>
              <w:top w:val="single" w:sz="4" w:space="0" w:color="000000"/>
              <w:left w:val="single" w:sz="4" w:space="0" w:color="000000"/>
              <w:bottom w:val="single" w:sz="4" w:space="0" w:color="FFFFFF"/>
              <w:right w:val="single" w:sz="4" w:space="0" w:color="000000"/>
            </w:tcBorders>
          </w:tcPr>
          <w:p>
            <w:pPr/>
          </w:p>
        </w:tc>
        <w:tc>
          <w:tcPr>
            <w:tcW w:w="709" w:type="dxa"/>
            <w:tcBorders>
              <w:top w:val="single" w:sz="4" w:space="0" w:color="000000"/>
              <w:left w:val="single" w:sz="4" w:space="0" w:color="000000"/>
              <w:bottom w:val="single" w:sz="4" w:space="0" w:color="FFFFFF"/>
              <w:right w:val="single" w:sz="4" w:space="0" w:color="000000"/>
            </w:tcBorders>
          </w:tcPr>
          <w:p>
            <w:pPr/>
          </w:p>
        </w:tc>
        <w:tc>
          <w:tcPr>
            <w:tcW w:w="1277" w:type="dxa"/>
            <w:tcBorders>
              <w:top w:val="single" w:sz="4" w:space="0" w:color="000000"/>
              <w:left w:val="single" w:sz="4" w:space="0" w:color="000000"/>
              <w:bottom w:val="single" w:sz="4" w:space="0" w:color="FFFFFF"/>
              <w:right w:val="single" w:sz="4" w:space="0" w:color="000000"/>
            </w:tcBorders>
          </w:tcPr>
          <w:p>
            <w:pPr/>
          </w:p>
        </w:tc>
        <w:tc>
          <w:tcPr>
            <w:tcW w:w="1349" w:type="dxa"/>
            <w:tcBorders>
              <w:top w:val="single" w:sz="4" w:space="0" w:color="000000"/>
              <w:left w:val="single" w:sz="4" w:space="0" w:color="000000"/>
              <w:bottom w:val="single" w:sz="4" w:space="0" w:color="FFFFFF"/>
              <w:right w:val="single" w:sz="4" w:space="0" w:color="000000"/>
            </w:tcBorders>
          </w:tcPr>
          <w:p>
            <w:pPr/>
          </w:p>
        </w:tc>
      </w:tr>
      <w:tr>
        <w:trPr>
          <w:trHeight w:val="535" w:hRule="exact"/>
        </w:trPr>
        <w:tc>
          <w:tcPr>
            <w:tcW w:w="3456"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1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001" w:type="dxa"/>
            <w:tcBorders>
              <w:top w:val="single" w:sz="4" w:space="0" w:color="FFFFFF"/>
              <w:left w:val="single" w:sz="4" w:space="0" w:color="000000"/>
              <w:bottom w:val="single" w:sz="4" w:space="0" w:color="000000"/>
              <w:right w:val="single" w:sz="4" w:space="0" w:color="000000"/>
            </w:tcBorders>
          </w:tcPr>
          <w:p>
            <w:pPr/>
          </w:p>
        </w:tc>
        <w:tc>
          <w:tcPr>
            <w:tcW w:w="1214" w:type="dxa"/>
            <w:tcBorders>
              <w:top w:val="single" w:sz="4" w:space="0" w:color="FFFFFF"/>
              <w:left w:val="single" w:sz="4" w:space="0" w:color="000000"/>
              <w:bottom w:val="single" w:sz="4" w:space="0" w:color="000000"/>
              <w:right w:val="single" w:sz="4" w:space="0" w:color="000000"/>
            </w:tcBorders>
          </w:tcPr>
          <w:p>
            <w:pPr/>
          </w:p>
        </w:tc>
        <w:tc>
          <w:tcPr>
            <w:tcW w:w="790" w:type="dxa"/>
            <w:tcBorders>
              <w:top w:val="single" w:sz="4" w:space="0" w:color="FFFFFF"/>
              <w:left w:val="single" w:sz="4" w:space="0" w:color="000000"/>
              <w:bottom w:val="single" w:sz="4" w:space="0" w:color="000000"/>
              <w:right w:val="single" w:sz="4" w:space="0" w:color="000000"/>
            </w:tcBorders>
          </w:tcPr>
          <w:p>
            <w:pPr/>
          </w:p>
        </w:tc>
        <w:tc>
          <w:tcPr>
            <w:tcW w:w="1003" w:type="dxa"/>
            <w:tcBorders>
              <w:top w:val="single" w:sz="4" w:space="0" w:color="FFFFFF"/>
              <w:left w:val="single" w:sz="4" w:space="0" w:color="000000"/>
              <w:bottom w:val="single" w:sz="4" w:space="0" w:color="000000"/>
              <w:right w:val="single" w:sz="4" w:space="0" w:color="000000"/>
            </w:tcBorders>
          </w:tcPr>
          <w:p>
            <w:pPr/>
          </w:p>
        </w:tc>
        <w:tc>
          <w:tcPr>
            <w:tcW w:w="1184" w:type="dxa"/>
            <w:tcBorders>
              <w:top w:val="single" w:sz="4" w:space="0" w:color="FFFFFF"/>
              <w:left w:val="single" w:sz="4" w:space="0" w:color="000000"/>
              <w:bottom w:val="single" w:sz="4" w:space="0" w:color="000000"/>
              <w:right w:val="single" w:sz="4" w:space="0" w:color="000000"/>
            </w:tcBorders>
          </w:tcPr>
          <w:p>
            <w:pPr/>
          </w:p>
        </w:tc>
        <w:tc>
          <w:tcPr>
            <w:tcW w:w="816" w:type="dxa"/>
            <w:tcBorders>
              <w:top w:val="single" w:sz="4" w:space="0" w:color="FFFFFF"/>
              <w:left w:val="single" w:sz="4" w:space="0" w:color="000000"/>
              <w:bottom w:val="single" w:sz="4" w:space="0" w:color="000000"/>
              <w:right w:val="single" w:sz="4" w:space="0" w:color="000000"/>
            </w:tcBorders>
          </w:tcPr>
          <w:p>
            <w:pPr/>
          </w:p>
        </w:tc>
        <w:tc>
          <w:tcPr>
            <w:tcW w:w="116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-57,600,000.00</w:t>
            </w:r>
          </w:p>
        </w:tc>
        <w:tc>
          <w:tcPr>
            <w:tcW w:w="709" w:type="dxa"/>
            <w:tcBorders>
              <w:top w:val="single" w:sz="4" w:space="0" w:color="FFFFFF"/>
              <w:left w:val="single" w:sz="4" w:space="0" w:color="000000"/>
              <w:bottom w:val="single" w:sz="4" w:space="0" w:color="000000"/>
              <w:right w:val="single" w:sz="4" w:space="0" w:color="000000"/>
            </w:tcBorders>
          </w:tcPr>
          <w:p>
            <w:pPr/>
          </w:p>
        </w:tc>
        <w:tc>
          <w:tcPr>
            <w:tcW w:w="1277" w:type="dxa"/>
            <w:tcBorders>
              <w:top w:val="single" w:sz="4" w:space="0" w:color="FFFFFF"/>
              <w:left w:val="single" w:sz="4" w:space="0" w:color="000000"/>
              <w:bottom w:val="single" w:sz="4" w:space="0" w:color="000000"/>
              <w:right w:val="single" w:sz="4" w:space="0" w:color="000000"/>
            </w:tcBorders>
          </w:tcPr>
          <w:p>
            <w:pPr/>
          </w:p>
        </w:tc>
        <w:tc>
          <w:tcPr>
            <w:tcW w:w="134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-57,600,000.00</w:t>
            </w:r>
          </w:p>
        </w:tc>
      </w:tr>
      <w:tr>
        <w:trPr>
          <w:trHeight w:val="401" w:hRule="exact"/>
        </w:trPr>
        <w:tc>
          <w:tcPr>
            <w:tcW w:w="3456"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01" w:type="dxa"/>
            <w:tcBorders>
              <w:top w:val="single" w:sz="4" w:space="0" w:color="000000"/>
              <w:left w:val="single" w:sz="4" w:space="0" w:color="000000"/>
              <w:bottom w:val="single" w:sz="4" w:space="0" w:color="FFFFFF"/>
              <w:right w:val="single" w:sz="4" w:space="0" w:color="000000"/>
            </w:tcBorders>
          </w:tcPr>
          <w:p>
            <w:pPr/>
          </w:p>
        </w:tc>
        <w:tc>
          <w:tcPr>
            <w:tcW w:w="1214" w:type="dxa"/>
            <w:tcBorders>
              <w:top w:val="single" w:sz="4" w:space="0" w:color="000000"/>
              <w:left w:val="single" w:sz="4" w:space="0" w:color="000000"/>
              <w:bottom w:val="single" w:sz="4" w:space="0" w:color="FFFFFF"/>
              <w:right w:val="single" w:sz="4" w:space="0" w:color="000000"/>
            </w:tcBorders>
          </w:tcPr>
          <w:p>
            <w:pPr/>
          </w:p>
        </w:tc>
        <w:tc>
          <w:tcPr>
            <w:tcW w:w="790" w:type="dxa"/>
            <w:tcBorders>
              <w:top w:val="single" w:sz="4" w:space="0" w:color="000000"/>
              <w:left w:val="single" w:sz="4" w:space="0" w:color="000000"/>
              <w:bottom w:val="single" w:sz="4" w:space="0" w:color="FFFFFF"/>
              <w:right w:val="single" w:sz="4" w:space="0" w:color="000000"/>
            </w:tcBorders>
          </w:tcPr>
          <w:p>
            <w:pPr/>
          </w:p>
        </w:tc>
        <w:tc>
          <w:tcPr>
            <w:tcW w:w="1003" w:type="dxa"/>
            <w:tcBorders>
              <w:top w:val="single" w:sz="4" w:space="0" w:color="000000"/>
              <w:left w:val="single" w:sz="4" w:space="0" w:color="000000"/>
              <w:bottom w:val="single" w:sz="4" w:space="0" w:color="FFFFFF"/>
              <w:right w:val="single" w:sz="4" w:space="0" w:color="000000"/>
            </w:tcBorders>
          </w:tcPr>
          <w:p>
            <w:pPr/>
          </w:p>
        </w:tc>
        <w:tc>
          <w:tcPr>
            <w:tcW w:w="1184" w:type="dxa"/>
            <w:tcBorders>
              <w:top w:val="single" w:sz="4" w:space="0" w:color="000000"/>
              <w:left w:val="single" w:sz="4" w:space="0" w:color="000000"/>
              <w:bottom w:val="single" w:sz="4" w:space="0" w:color="FFFFFF"/>
              <w:right w:val="single" w:sz="4" w:space="0" w:color="000000"/>
            </w:tcBorders>
          </w:tcPr>
          <w:p>
            <w:pPr/>
          </w:p>
        </w:tc>
        <w:tc>
          <w:tcPr>
            <w:tcW w:w="816" w:type="dxa"/>
            <w:tcBorders>
              <w:top w:val="single" w:sz="4" w:space="0" w:color="000000"/>
              <w:left w:val="single" w:sz="4" w:space="0" w:color="000000"/>
              <w:bottom w:val="single" w:sz="4" w:space="0" w:color="FFFFFF"/>
              <w:right w:val="single" w:sz="4" w:space="0" w:color="000000"/>
            </w:tcBorders>
          </w:tcPr>
          <w:p>
            <w:pPr/>
          </w:p>
        </w:tc>
        <w:tc>
          <w:tcPr>
            <w:tcW w:w="1169" w:type="dxa"/>
            <w:tcBorders>
              <w:top w:val="single" w:sz="4" w:space="0" w:color="000000"/>
              <w:left w:val="single" w:sz="4" w:space="0" w:color="000000"/>
              <w:bottom w:val="single" w:sz="4" w:space="0" w:color="FFFFFF"/>
              <w:right w:val="single" w:sz="4" w:space="0" w:color="000000"/>
            </w:tcBorders>
          </w:tcPr>
          <w:p>
            <w:pPr/>
          </w:p>
        </w:tc>
        <w:tc>
          <w:tcPr>
            <w:tcW w:w="709" w:type="dxa"/>
            <w:tcBorders>
              <w:top w:val="single" w:sz="4" w:space="0" w:color="000000"/>
              <w:left w:val="single" w:sz="4" w:space="0" w:color="000000"/>
              <w:bottom w:val="single" w:sz="4" w:space="0" w:color="FFFFFF"/>
              <w:right w:val="single" w:sz="4" w:space="0" w:color="000000"/>
            </w:tcBorders>
          </w:tcPr>
          <w:p>
            <w:pPr/>
          </w:p>
        </w:tc>
        <w:tc>
          <w:tcPr>
            <w:tcW w:w="1277" w:type="dxa"/>
            <w:tcBorders>
              <w:top w:val="single" w:sz="4" w:space="0" w:color="000000"/>
              <w:left w:val="single" w:sz="4" w:space="0" w:color="000000"/>
              <w:bottom w:val="single" w:sz="4" w:space="0" w:color="FFFFFF"/>
              <w:right w:val="single" w:sz="4" w:space="0" w:color="000000"/>
            </w:tcBorders>
          </w:tcPr>
          <w:p>
            <w:pPr/>
          </w:p>
        </w:tc>
        <w:tc>
          <w:tcPr>
            <w:tcW w:w="1349" w:type="dxa"/>
            <w:tcBorders>
              <w:top w:val="single" w:sz="4" w:space="0" w:color="000000"/>
              <w:left w:val="single" w:sz="4" w:space="0" w:color="000000"/>
              <w:bottom w:val="single" w:sz="4" w:space="0" w:color="FFFFFF"/>
              <w:right w:val="single" w:sz="4" w:space="0" w:color="000000"/>
            </w:tcBorders>
          </w:tcPr>
          <w:p>
            <w:pPr/>
          </w:p>
        </w:tc>
      </w:tr>
      <w:tr>
        <w:trPr>
          <w:trHeight w:val="523" w:hRule="exact"/>
        </w:trPr>
        <w:tc>
          <w:tcPr>
            <w:tcW w:w="3456"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00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53"/>
              <w:ind w:left="42" w:right="0"/>
              <w:jc w:val="center"/>
              <w:rPr>
                <w:rFonts w:ascii="Times New Roman" w:hAnsi="Times New Roman" w:cs="Times New Roman" w:eastAsia="Times New Roman" w:hint="default"/>
                <w:sz w:val="18"/>
                <w:szCs w:val="18"/>
              </w:rPr>
            </w:pPr>
            <w:r>
              <w:rPr>
                <w:rFonts w:ascii="Times New Roman"/>
                <w:sz w:val="18"/>
              </w:rPr>
              <w:t>108,000,000</w:t>
            </w:r>
          </w:p>
        </w:tc>
        <w:tc>
          <w:tcPr>
            <w:tcW w:w="121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-108,000,000</w:t>
            </w:r>
          </w:p>
        </w:tc>
        <w:tc>
          <w:tcPr>
            <w:tcW w:w="790" w:type="dxa"/>
            <w:tcBorders>
              <w:top w:val="single" w:sz="4" w:space="0" w:color="FFFFFF"/>
              <w:left w:val="single" w:sz="4" w:space="0" w:color="000000"/>
              <w:bottom w:val="single" w:sz="4" w:space="0" w:color="FFFFFF"/>
              <w:right w:val="single" w:sz="4" w:space="0" w:color="000000"/>
            </w:tcBorders>
          </w:tcPr>
          <w:p>
            <w:pPr/>
          </w:p>
        </w:tc>
        <w:tc>
          <w:tcPr>
            <w:tcW w:w="1003" w:type="dxa"/>
            <w:tcBorders>
              <w:top w:val="single" w:sz="4" w:space="0" w:color="FFFFFF"/>
              <w:left w:val="single" w:sz="4" w:space="0" w:color="000000"/>
              <w:bottom w:val="single" w:sz="4" w:space="0" w:color="FFFFFF"/>
              <w:right w:val="single" w:sz="4" w:space="0" w:color="000000"/>
            </w:tcBorders>
          </w:tcPr>
          <w:p>
            <w:pPr/>
          </w:p>
        </w:tc>
        <w:tc>
          <w:tcPr>
            <w:tcW w:w="1184" w:type="dxa"/>
            <w:tcBorders>
              <w:top w:val="single" w:sz="4" w:space="0" w:color="FFFFFF"/>
              <w:left w:val="single" w:sz="4" w:space="0" w:color="000000"/>
              <w:bottom w:val="single" w:sz="4" w:space="0" w:color="FFFFFF"/>
              <w:right w:val="single" w:sz="4" w:space="0" w:color="000000"/>
            </w:tcBorders>
          </w:tcPr>
          <w:p>
            <w:pPr/>
          </w:p>
        </w:tc>
        <w:tc>
          <w:tcPr>
            <w:tcW w:w="816" w:type="dxa"/>
            <w:tcBorders>
              <w:top w:val="single" w:sz="4" w:space="0" w:color="FFFFFF"/>
              <w:left w:val="single" w:sz="4" w:space="0" w:color="000000"/>
              <w:bottom w:val="single" w:sz="4" w:space="0" w:color="FFFFFF"/>
              <w:right w:val="single" w:sz="4" w:space="0" w:color="000000"/>
            </w:tcBorders>
          </w:tcPr>
          <w:p>
            <w:pPr/>
          </w:p>
        </w:tc>
        <w:tc>
          <w:tcPr>
            <w:tcW w:w="1169" w:type="dxa"/>
            <w:tcBorders>
              <w:top w:val="single" w:sz="4" w:space="0" w:color="FFFFFF"/>
              <w:left w:val="single" w:sz="4" w:space="0" w:color="000000"/>
              <w:bottom w:val="single" w:sz="4" w:space="0" w:color="FFFFFF"/>
              <w:right w:val="single" w:sz="4" w:space="0" w:color="000000"/>
            </w:tcBorders>
          </w:tcPr>
          <w:p>
            <w:pPr/>
          </w:p>
        </w:tc>
        <w:tc>
          <w:tcPr>
            <w:tcW w:w="709" w:type="dxa"/>
            <w:tcBorders>
              <w:top w:val="single" w:sz="4" w:space="0" w:color="FFFFFF"/>
              <w:left w:val="single" w:sz="4" w:space="0" w:color="000000"/>
              <w:bottom w:val="single" w:sz="4" w:space="0" w:color="FFFFFF"/>
              <w:right w:val="single" w:sz="4" w:space="0" w:color="000000"/>
            </w:tcBorders>
          </w:tcPr>
          <w:p>
            <w:pPr/>
          </w:p>
        </w:tc>
        <w:tc>
          <w:tcPr>
            <w:tcW w:w="1277" w:type="dxa"/>
            <w:tcBorders>
              <w:top w:val="single" w:sz="4" w:space="0" w:color="FFFFFF"/>
              <w:left w:val="single" w:sz="4" w:space="0" w:color="000000"/>
              <w:bottom w:val="single" w:sz="4" w:space="0" w:color="FFFFFF"/>
              <w:right w:val="single" w:sz="4" w:space="0" w:color="000000"/>
            </w:tcBorders>
          </w:tcPr>
          <w:p>
            <w:pPr/>
          </w:p>
        </w:tc>
        <w:tc>
          <w:tcPr>
            <w:tcW w:w="1349" w:type="dxa"/>
            <w:tcBorders>
              <w:top w:val="single" w:sz="4" w:space="0" w:color="FFFFFF"/>
              <w:left w:val="single" w:sz="4" w:space="0" w:color="000000"/>
              <w:bottom w:val="single" w:sz="4" w:space="0" w:color="FFFFFF"/>
              <w:right w:val="single" w:sz="4" w:space="0" w:color="000000"/>
            </w:tcBorders>
          </w:tcPr>
          <w:p>
            <w:pPr/>
          </w:p>
        </w:tc>
      </w:tr>
      <w:tr>
        <w:trPr>
          <w:trHeight w:val="536" w:hRule="exact"/>
        </w:trPr>
        <w:tc>
          <w:tcPr>
            <w:tcW w:w="3456"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11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00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59"/>
              <w:ind w:left="42" w:right="0"/>
              <w:jc w:val="center"/>
              <w:rPr>
                <w:rFonts w:ascii="Times New Roman" w:hAnsi="Times New Roman" w:cs="Times New Roman" w:eastAsia="Times New Roman" w:hint="default"/>
                <w:sz w:val="18"/>
                <w:szCs w:val="18"/>
              </w:rPr>
            </w:pPr>
            <w:r>
              <w:rPr>
                <w:rFonts w:ascii="Times New Roman"/>
                <w:sz w:val="18"/>
              </w:rPr>
              <w:t>108,000,000</w:t>
            </w:r>
          </w:p>
        </w:tc>
        <w:tc>
          <w:tcPr>
            <w:tcW w:w="121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59"/>
              <w:ind w:right="24"/>
              <w:jc w:val="right"/>
              <w:rPr>
                <w:rFonts w:ascii="Times New Roman" w:hAnsi="Times New Roman" w:cs="Times New Roman" w:eastAsia="Times New Roman" w:hint="default"/>
                <w:sz w:val="18"/>
                <w:szCs w:val="18"/>
              </w:rPr>
            </w:pPr>
            <w:r>
              <w:rPr>
                <w:rFonts w:ascii="Times New Roman"/>
                <w:spacing w:val="-1"/>
                <w:sz w:val="18"/>
              </w:rPr>
              <w:t>-108,000,000</w:t>
            </w:r>
          </w:p>
        </w:tc>
        <w:tc>
          <w:tcPr>
            <w:tcW w:w="790" w:type="dxa"/>
            <w:tcBorders>
              <w:top w:val="single" w:sz="4" w:space="0" w:color="FFFFFF"/>
              <w:left w:val="single" w:sz="4" w:space="0" w:color="000000"/>
              <w:bottom w:val="single" w:sz="4" w:space="0" w:color="FFFFFF"/>
              <w:right w:val="single" w:sz="4" w:space="0" w:color="000000"/>
            </w:tcBorders>
          </w:tcPr>
          <w:p>
            <w:pPr/>
          </w:p>
        </w:tc>
        <w:tc>
          <w:tcPr>
            <w:tcW w:w="1003" w:type="dxa"/>
            <w:tcBorders>
              <w:top w:val="single" w:sz="4" w:space="0" w:color="FFFFFF"/>
              <w:left w:val="single" w:sz="4" w:space="0" w:color="000000"/>
              <w:bottom w:val="single" w:sz="4" w:space="0" w:color="FFFFFF"/>
              <w:right w:val="single" w:sz="4" w:space="0" w:color="000000"/>
            </w:tcBorders>
          </w:tcPr>
          <w:p>
            <w:pPr/>
          </w:p>
        </w:tc>
        <w:tc>
          <w:tcPr>
            <w:tcW w:w="1184" w:type="dxa"/>
            <w:tcBorders>
              <w:top w:val="single" w:sz="4" w:space="0" w:color="FFFFFF"/>
              <w:left w:val="single" w:sz="4" w:space="0" w:color="000000"/>
              <w:bottom w:val="single" w:sz="4" w:space="0" w:color="FFFFFF"/>
              <w:right w:val="single" w:sz="4" w:space="0" w:color="000000"/>
            </w:tcBorders>
          </w:tcPr>
          <w:p>
            <w:pPr/>
          </w:p>
        </w:tc>
        <w:tc>
          <w:tcPr>
            <w:tcW w:w="816" w:type="dxa"/>
            <w:tcBorders>
              <w:top w:val="single" w:sz="4" w:space="0" w:color="FFFFFF"/>
              <w:left w:val="single" w:sz="4" w:space="0" w:color="000000"/>
              <w:bottom w:val="single" w:sz="4" w:space="0" w:color="FFFFFF"/>
              <w:right w:val="single" w:sz="4" w:space="0" w:color="000000"/>
            </w:tcBorders>
          </w:tcPr>
          <w:p>
            <w:pPr/>
          </w:p>
        </w:tc>
        <w:tc>
          <w:tcPr>
            <w:tcW w:w="1169" w:type="dxa"/>
            <w:tcBorders>
              <w:top w:val="single" w:sz="4" w:space="0" w:color="FFFFFF"/>
              <w:left w:val="single" w:sz="4" w:space="0" w:color="000000"/>
              <w:bottom w:val="single" w:sz="4" w:space="0" w:color="FFFFFF"/>
              <w:right w:val="single" w:sz="4" w:space="0" w:color="000000"/>
            </w:tcBorders>
          </w:tcPr>
          <w:p>
            <w:pPr/>
          </w:p>
        </w:tc>
        <w:tc>
          <w:tcPr>
            <w:tcW w:w="709" w:type="dxa"/>
            <w:tcBorders>
              <w:top w:val="single" w:sz="4" w:space="0" w:color="FFFFFF"/>
              <w:left w:val="single" w:sz="4" w:space="0" w:color="000000"/>
              <w:bottom w:val="single" w:sz="4" w:space="0" w:color="FFFFFF"/>
              <w:right w:val="single" w:sz="4" w:space="0" w:color="000000"/>
            </w:tcBorders>
          </w:tcPr>
          <w:p>
            <w:pPr/>
          </w:p>
        </w:tc>
        <w:tc>
          <w:tcPr>
            <w:tcW w:w="1277" w:type="dxa"/>
            <w:tcBorders>
              <w:top w:val="single" w:sz="4" w:space="0" w:color="FFFFFF"/>
              <w:left w:val="single" w:sz="4" w:space="0" w:color="000000"/>
              <w:bottom w:val="single" w:sz="4" w:space="0" w:color="FFFFFF"/>
              <w:right w:val="single" w:sz="4" w:space="0" w:color="000000"/>
            </w:tcBorders>
          </w:tcPr>
          <w:p>
            <w:pPr/>
          </w:p>
        </w:tc>
        <w:tc>
          <w:tcPr>
            <w:tcW w:w="1349" w:type="dxa"/>
            <w:tcBorders>
              <w:top w:val="single" w:sz="4" w:space="0" w:color="FFFFFF"/>
              <w:left w:val="single" w:sz="4" w:space="0" w:color="000000"/>
              <w:bottom w:val="single" w:sz="4" w:space="0" w:color="FFFFFF"/>
              <w:right w:val="single" w:sz="4" w:space="0" w:color="000000"/>
            </w:tcBorders>
          </w:tcPr>
          <w:p>
            <w:pPr/>
          </w:p>
        </w:tc>
      </w:tr>
      <w:tr>
        <w:trPr>
          <w:trHeight w:val="523" w:hRule="exact"/>
        </w:trPr>
        <w:tc>
          <w:tcPr>
            <w:tcW w:w="3456"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001" w:type="dxa"/>
            <w:tcBorders>
              <w:top w:val="single" w:sz="4" w:space="0" w:color="FFFFFF"/>
              <w:left w:val="single" w:sz="4" w:space="0" w:color="000000"/>
              <w:bottom w:val="single" w:sz="4" w:space="0" w:color="000000"/>
              <w:right w:val="single" w:sz="4" w:space="0" w:color="000000"/>
            </w:tcBorders>
          </w:tcPr>
          <w:p>
            <w:pPr/>
          </w:p>
        </w:tc>
        <w:tc>
          <w:tcPr>
            <w:tcW w:w="1214" w:type="dxa"/>
            <w:tcBorders>
              <w:top w:val="single" w:sz="4" w:space="0" w:color="FFFFFF"/>
              <w:left w:val="single" w:sz="4" w:space="0" w:color="000000"/>
              <w:bottom w:val="single" w:sz="4" w:space="0" w:color="000000"/>
              <w:right w:val="single" w:sz="4" w:space="0" w:color="000000"/>
            </w:tcBorders>
          </w:tcPr>
          <w:p>
            <w:pPr/>
          </w:p>
        </w:tc>
        <w:tc>
          <w:tcPr>
            <w:tcW w:w="790" w:type="dxa"/>
            <w:tcBorders>
              <w:top w:val="single" w:sz="4" w:space="0" w:color="FFFFFF"/>
              <w:left w:val="single" w:sz="4" w:space="0" w:color="000000"/>
              <w:bottom w:val="single" w:sz="4" w:space="0" w:color="000000"/>
              <w:right w:val="single" w:sz="4" w:space="0" w:color="000000"/>
            </w:tcBorders>
          </w:tcPr>
          <w:p>
            <w:pPr/>
          </w:p>
        </w:tc>
        <w:tc>
          <w:tcPr>
            <w:tcW w:w="1003" w:type="dxa"/>
            <w:tcBorders>
              <w:top w:val="single" w:sz="4" w:space="0" w:color="FFFFFF"/>
              <w:left w:val="single" w:sz="4" w:space="0" w:color="000000"/>
              <w:bottom w:val="single" w:sz="4" w:space="0" w:color="000000"/>
              <w:right w:val="single" w:sz="4" w:space="0" w:color="000000"/>
            </w:tcBorders>
          </w:tcPr>
          <w:p>
            <w:pPr/>
          </w:p>
        </w:tc>
        <w:tc>
          <w:tcPr>
            <w:tcW w:w="1184" w:type="dxa"/>
            <w:tcBorders>
              <w:top w:val="single" w:sz="4" w:space="0" w:color="FFFFFF"/>
              <w:left w:val="single" w:sz="4" w:space="0" w:color="000000"/>
              <w:bottom w:val="single" w:sz="4" w:space="0" w:color="000000"/>
              <w:right w:val="single" w:sz="4" w:space="0" w:color="000000"/>
            </w:tcBorders>
          </w:tcPr>
          <w:p>
            <w:pPr/>
          </w:p>
        </w:tc>
        <w:tc>
          <w:tcPr>
            <w:tcW w:w="816" w:type="dxa"/>
            <w:tcBorders>
              <w:top w:val="single" w:sz="4" w:space="0" w:color="FFFFFF"/>
              <w:left w:val="single" w:sz="4" w:space="0" w:color="000000"/>
              <w:bottom w:val="single" w:sz="4" w:space="0" w:color="000000"/>
              <w:right w:val="single" w:sz="4" w:space="0" w:color="000000"/>
            </w:tcBorders>
          </w:tcPr>
          <w:p>
            <w:pPr/>
          </w:p>
        </w:tc>
        <w:tc>
          <w:tcPr>
            <w:tcW w:w="1169" w:type="dxa"/>
            <w:tcBorders>
              <w:top w:val="single" w:sz="4" w:space="0" w:color="FFFFFF"/>
              <w:left w:val="single" w:sz="4" w:space="0" w:color="000000"/>
              <w:bottom w:val="single" w:sz="4" w:space="0" w:color="000000"/>
              <w:right w:val="single" w:sz="4" w:space="0" w:color="000000"/>
            </w:tcBorders>
          </w:tcPr>
          <w:p>
            <w:pPr/>
          </w:p>
        </w:tc>
        <w:tc>
          <w:tcPr>
            <w:tcW w:w="709" w:type="dxa"/>
            <w:tcBorders>
              <w:top w:val="single" w:sz="4" w:space="0" w:color="FFFFFF"/>
              <w:left w:val="single" w:sz="4" w:space="0" w:color="000000"/>
              <w:bottom w:val="single" w:sz="4" w:space="0" w:color="000000"/>
              <w:right w:val="single" w:sz="4" w:space="0" w:color="000000"/>
            </w:tcBorders>
          </w:tcPr>
          <w:p>
            <w:pPr/>
          </w:p>
        </w:tc>
        <w:tc>
          <w:tcPr>
            <w:tcW w:w="1277" w:type="dxa"/>
            <w:tcBorders>
              <w:top w:val="single" w:sz="4" w:space="0" w:color="FFFFFF"/>
              <w:left w:val="single" w:sz="4" w:space="0" w:color="000000"/>
              <w:bottom w:val="single" w:sz="4" w:space="0" w:color="000000"/>
              <w:right w:val="single" w:sz="4" w:space="0" w:color="000000"/>
            </w:tcBorders>
          </w:tcPr>
          <w:p>
            <w:pPr/>
          </w:p>
        </w:tc>
        <w:tc>
          <w:tcPr>
            <w:tcW w:w="1349" w:type="dxa"/>
            <w:tcBorders>
              <w:top w:val="single" w:sz="4" w:space="0" w:color="FFFFFF"/>
              <w:left w:val="single" w:sz="4" w:space="0" w:color="000000"/>
              <w:bottom w:val="single" w:sz="4" w:space="0" w:color="000000"/>
              <w:right w:val="single" w:sz="4" w:space="0" w:color="000000"/>
            </w:tcBorders>
          </w:tcPr>
          <w:p>
            <w:pPr/>
          </w:p>
        </w:tc>
      </w:tr>
      <w:tr>
        <w:trPr>
          <w:trHeight w:val="403" w:hRule="exact"/>
        </w:trPr>
        <w:tc>
          <w:tcPr>
            <w:tcW w:w="3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56"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001" w:type="dxa"/>
            <w:tcBorders>
              <w:top w:val="single" w:sz="4" w:space="0" w:color="000000"/>
              <w:left w:val="single" w:sz="4" w:space="0" w:color="000000"/>
              <w:bottom w:val="single" w:sz="4" w:space="0" w:color="FFFFFF"/>
              <w:right w:val="single" w:sz="4" w:space="0" w:color="000000"/>
            </w:tcBorders>
          </w:tcPr>
          <w:p>
            <w:pPr/>
          </w:p>
        </w:tc>
        <w:tc>
          <w:tcPr>
            <w:tcW w:w="1214" w:type="dxa"/>
            <w:tcBorders>
              <w:top w:val="single" w:sz="4" w:space="0" w:color="000000"/>
              <w:left w:val="single" w:sz="4" w:space="0" w:color="000000"/>
              <w:bottom w:val="single" w:sz="4" w:space="0" w:color="FFFFFF"/>
              <w:right w:val="single" w:sz="4" w:space="0" w:color="000000"/>
            </w:tcBorders>
          </w:tcPr>
          <w:p>
            <w:pPr/>
          </w:p>
        </w:tc>
        <w:tc>
          <w:tcPr>
            <w:tcW w:w="790" w:type="dxa"/>
            <w:tcBorders>
              <w:top w:val="single" w:sz="4" w:space="0" w:color="000000"/>
              <w:left w:val="single" w:sz="4" w:space="0" w:color="000000"/>
              <w:bottom w:val="single" w:sz="4" w:space="0" w:color="FFFFFF"/>
              <w:right w:val="single" w:sz="4" w:space="0" w:color="000000"/>
            </w:tcBorders>
          </w:tcPr>
          <w:p>
            <w:pPr/>
          </w:p>
        </w:tc>
        <w:tc>
          <w:tcPr>
            <w:tcW w:w="1003" w:type="dxa"/>
            <w:tcBorders>
              <w:top w:val="single" w:sz="4" w:space="0" w:color="000000"/>
              <w:left w:val="single" w:sz="4" w:space="0" w:color="000000"/>
              <w:bottom w:val="single" w:sz="4" w:space="0" w:color="FFFFFF"/>
              <w:right w:val="single" w:sz="4" w:space="0" w:color="000000"/>
            </w:tcBorders>
          </w:tcPr>
          <w:p>
            <w:pPr/>
          </w:p>
        </w:tc>
        <w:tc>
          <w:tcPr>
            <w:tcW w:w="1184" w:type="dxa"/>
            <w:tcBorders>
              <w:top w:val="single" w:sz="4" w:space="0" w:color="000000"/>
              <w:left w:val="single" w:sz="4" w:space="0" w:color="000000"/>
              <w:bottom w:val="single" w:sz="4" w:space="0" w:color="FFFFFF"/>
              <w:right w:val="single" w:sz="4" w:space="0" w:color="000000"/>
            </w:tcBorders>
          </w:tcPr>
          <w:p>
            <w:pPr/>
          </w:p>
        </w:tc>
        <w:tc>
          <w:tcPr>
            <w:tcW w:w="816" w:type="dxa"/>
            <w:tcBorders>
              <w:top w:val="single" w:sz="4" w:space="0" w:color="000000"/>
              <w:left w:val="single" w:sz="4" w:space="0" w:color="000000"/>
              <w:bottom w:val="single" w:sz="4" w:space="0" w:color="FFFFFF"/>
              <w:right w:val="single" w:sz="4" w:space="0" w:color="000000"/>
            </w:tcBorders>
          </w:tcPr>
          <w:p>
            <w:pPr/>
          </w:p>
        </w:tc>
        <w:tc>
          <w:tcPr>
            <w:tcW w:w="1169" w:type="dxa"/>
            <w:tcBorders>
              <w:top w:val="single" w:sz="4" w:space="0" w:color="000000"/>
              <w:left w:val="single" w:sz="4" w:space="0" w:color="000000"/>
              <w:bottom w:val="single" w:sz="4" w:space="0" w:color="FFFFFF"/>
              <w:right w:val="single" w:sz="4" w:space="0" w:color="000000"/>
            </w:tcBorders>
          </w:tcPr>
          <w:p>
            <w:pPr/>
          </w:p>
        </w:tc>
        <w:tc>
          <w:tcPr>
            <w:tcW w:w="709" w:type="dxa"/>
            <w:tcBorders>
              <w:top w:val="single" w:sz="4" w:space="0" w:color="000000"/>
              <w:left w:val="single" w:sz="4" w:space="0" w:color="000000"/>
              <w:bottom w:val="single" w:sz="4" w:space="0" w:color="FFFFFF"/>
              <w:right w:val="single" w:sz="4" w:space="0" w:color="000000"/>
            </w:tcBorders>
          </w:tcPr>
          <w:p>
            <w:pPr/>
          </w:p>
        </w:tc>
        <w:tc>
          <w:tcPr>
            <w:tcW w:w="1277" w:type="dxa"/>
            <w:tcBorders>
              <w:top w:val="single" w:sz="4" w:space="0" w:color="000000"/>
              <w:left w:val="single" w:sz="4" w:space="0" w:color="000000"/>
              <w:bottom w:val="single" w:sz="4" w:space="0" w:color="FFFFFF"/>
              <w:right w:val="single" w:sz="4" w:space="0" w:color="000000"/>
            </w:tcBorders>
          </w:tcPr>
          <w:p>
            <w:pPr/>
          </w:p>
        </w:tc>
        <w:tc>
          <w:tcPr>
            <w:tcW w:w="1349" w:type="dxa"/>
            <w:tcBorders>
              <w:top w:val="single" w:sz="4" w:space="0" w:color="000000"/>
              <w:left w:val="single" w:sz="4" w:space="0" w:color="000000"/>
              <w:bottom w:val="single" w:sz="4" w:space="0" w:color="FFFFFF"/>
              <w:right w:val="single" w:sz="4" w:space="0" w:color="000000"/>
            </w:tcBorders>
          </w:tcPr>
          <w:p>
            <w:pPr/>
          </w:p>
        </w:tc>
      </w:tr>
      <w:tr>
        <w:trPr>
          <w:trHeight w:val="535" w:hRule="exact"/>
        </w:trPr>
        <w:tc>
          <w:tcPr>
            <w:tcW w:w="3456"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0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58"/>
              <w:ind w:left="42" w:right="0"/>
              <w:jc w:val="center"/>
              <w:rPr>
                <w:rFonts w:ascii="Times New Roman" w:hAnsi="Times New Roman" w:cs="Times New Roman" w:eastAsia="Times New Roman" w:hint="default"/>
                <w:sz w:val="18"/>
                <w:szCs w:val="18"/>
              </w:rPr>
            </w:pPr>
            <w:r>
              <w:rPr>
                <w:rFonts w:ascii="Times New Roman"/>
                <w:sz w:val="18"/>
              </w:rPr>
              <w:t>180,000,000</w:t>
            </w:r>
          </w:p>
        </w:tc>
        <w:tc>
          <w:tcPr>
            <w:tcW w:w="121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58"/>
              <w:ind w:right="24"/>
              <w:jc w:val="right"/>
              <w:rPr>
                <w:rFonts w:ascii="Times New Roman" w:hAnsi="Times New Roman" w:cs="Times New Roman" w:eastAsia="Times New Roman" w:hint="default"/>
                <w:sz w:val="18"/>
                <w:szCs w:val="18"/>
              </w:rPr>
            </w:pPr>
            <w:r>
              <w:rPr>
                <w:rFonts w:ascii="Times New Roman"/>
                <w:spacing w:val="-1"/>
                <w:sz w:val="18"/>
              </w:rPr>
              <w:t>771,458,956.05</w:t>
            </w:r>
          </w:p>
        </w:tc>
        <w:tc>
          <w:tcPr>
            <w:tcW w:w="790" w:type="dxa"/>
            <w:tcBorders>
              <w:top w:val="single" w:sz="4" w:space="0" w:color="FFFFFF"/>
              <w:left w:val="single" w:sz="4" w:space="0" w:color="000000"/>
              <w:bottom w:val="single" w:sz="4" w:space="0" w:color="000000"/>
              <w:right w:val="single" w:sz="4" w:space="0" w:color="000000"/>
            </w:tcBorders>
          </w:tcPr>
          <w:p>
            <w:pPr/>
          </w:p>
        </w:tc>
        <w:tc>
          <w:tcPr>
            <w:tcW w:w="1003" w:type="dxa"/>
            <w:tcBorders>
              <w:top w:val="single" w:sz="4" w:space="0" w:color="FFFFFF"/>
              <w:left w:val="single" w:sz="4" w:space="0" w:color="000000"/>
              <w:bottom w:val="single" w:sz="4" w:space="0" w:color="000000"/>
              <w:right w:val="single" w:sz="4" w:space="0" w:color="000000"/>
            </w:tcBorders>
          </w:tcPr>
          <w:p>
            <w:pPr/>
          </w:p>
        </w:tc>
        <w:tc>
          <w:tcPr>
            <w:tcW w:w="118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17,401,499.69</w:t>
            </w:r>
          </w:p>
        </w:tc>
        <w:tc>
          <w:tcPr>
            <w:tcW w:w="816" w:type="dxa"/>
            <w:tcBorders>
              <w:top w:val="single" w:sz="4" w:space="0" w:color="FFFFFF"/>
              <w:left w:val="single" w:sz="4" w:space="0" w:color="000000"/>
              <w:bottom w:val="single" w:sz="4" w:space="0" w:color="000000"/>
              <w:right w:val="single" w:sz="4" w:space="0" w:color="000000"/>
            </w:tcBorders>
          </w:tcPr>
          <w:p>
            <w:pPr/>
          </w:p>
        </w:tc>
        <w:tc>
          <w:tcPr>
            <w:tcW w:w="116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81,095,953.82</w:t>
            </w:r>
          </w:p>
        </w:tc>
        <w:tc>
          <w:tcPr>
            <w:tcW w:w="709" w:type="dxa"/>
            <w:tcBorders>
              <w:top w:val="single" w:sz="4" w:space="0" w:color="FFFFFF"/>
              <w:left w:val="single" w:sz="4" w:space="0" w:color="000000"/>
              <w:bottom w:val="single" w:sz="4" w:space="0" w:color="000000"/>
              <w:right w:val="single" w:sz="4" w:space="0" w:color="000000"/>
            </w:tcBorders>
          </w:tcPr>
          <w:p>
            <w:pPr/>
          </w:p>
        </w:tc>
        <w:tc>
          <w:tcPr>
            <w:tcW w:w="127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58"/>
              <w:ind w:left="297" w:right="0"/>
              <w:jc w:val="left"/>
              <w:rPr>
                <w:rFonts w:ascii="Times New Roman" w:hAnsi="Times New Roman" w:cs="Times New Roman" w:eastAsia="Times New Roman" w:hint="default"/>
                <w:sz w:val="18"/>
                <w:szCs w:val="18"/>
              </w:rPr>
            </w:pPr>
            <w:r>
              <w:rPr>
                <w:rFonts w:ascii="Times New Roman"/>
                <w:sz w:val="18"/>
              </w:rPr>
              <w:t>3,095,552.16</w:t>
            </w:r>
          </w:p>
        </w:tc>
        <w:tc>
          <w:tcPr>
            <w:tcW w:w="134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1,053,051,961.72</w:t>
            </w:r>
          </w:p>
        </w:tc>
      </w:tr>
    </w:tbl>
    <w:p>
      <w:pPr>
        <w:spacing w:line="240" w:lineRule="auto" w:before="2"/>
        <w:rPr>
          <w:rFonts w:ascii="宋体" w:hAnsi="宋体" w:cs="宋体" w:eastAsia="宋体" w:hint="default"/>
          <w:sz w:val="20"/>
          <w:szCs w:val="20"/>
        </w:rPr>
      </w:pPr>
    </w:p>
    <w:p>
      <w:pPr>
        <w:pStyle w:val="BodyText"/>
        <w:tabs>
          <w:tab w:pos="3453" w:val="left" w:leader="none"/>
          <w:tab w:pos="7686" w:val="left" w:leader="none"/>
        </w:tabs>
        <w:spacing w:line="240" w:lineRule="auto" w:before="44"/>
        <w:ind w:left="120" w:right="0"/>
        <w:jc w:val="left"/>
      </w:pPr>
      <w:r>
        <w:rPr/>
        <w:t>法定代表人：张波</w:t>
        <w:tab/>
      </w:r>
      <w:r>
        <w:rPr>
          <w:spacing w:val="-1"/>
        </w:rPr>
        <w:t>主管会计工作负责人：黄光明</w:t>
        <w:tab/>
      </w:r>
      <w:r>
        <w:rPr/>
        <w:t>会计机构负责人：吴若顺</w:t>
      </w:r>
    </w:p>
    <w:p>
      <w:pPr>
        <w:spacing w:line="240" w:lineRule="auto" w:before="0"/>
        <w:rPr>
          <w:rFonts w:ascii="宋体" w:hAnsi="宋体" w:cs="宋体" w:eastAsia="宋体" w:hint="default"/>
          <w:sz w:val="18"/>
          <w:szCs w:val="18"/>
        </w:rPr>
      </w:pPr>
    </w:p>
    <w:p>
      <w:pPr>
        <w:pStyle w:val="Heading3"/>
        <w:spacing w:line="240" w:lineRule="auto" w:before="120"/>
        <w:ind w:left="120"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left="120" w:right="10458"/>
        <w:jc w:val="left"/>
      </w:pPr>
      <w:r>
        <w:rPr/>
        <w:t>编制单位：广东安居宝数码科技股份有限公司 本期金额</w:t>
      </w:r>
    </w:p>
    <w:p>
      <w:pPr>
        <w:spacing w:after="0" w:line="357" w:lineRule="auto"/>
        <w:jc w:val="left"/>
        <w:sectPr>
          <w:pgSz w:w="16840" w:h="11910" w:orient="landscape"/>
          <w:pgMar w:header="867" w:footer="1227" w:top="1060" w:bottom="1420" w:left="1320" w:right="132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17"/>
        <w:ind w:left="0" w:right="294"/>
        <w:jc w:val="right"/>
      </w:pPr>
      <w:r>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608"/>
        <w:gridCol w:w="1625"/>
        <w:gridCol w:w="1277"/>
        <w:gridCol w:w="1136"/>
        <w:gridCol w:w="991"/>
        <w:gridCol w:w="1277"/>
        <w:gridCol w:w="1417"/>
        <w:gridCol w:w="1277"/>
        <w:gridCol w:w="1411"/>
      </w:tblGrid>
      <w:tr>
        <w:trPr>
          <w:trHeight w:val="206" w:hRule="exact"/>
        </w:trPr>
        <w:tc>
          <w:tcPr>
            <w:tcW w:w="36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10" w:type="dxa"/>
            <w:gridSpan w:val="8"/>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92" w:hRule="exact"/>
        </w:trPr>
        <w:tc>
          <w:tcPr>
            <w:tcW w:w="36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410" w:type="dxa"/>
            <w:gridSpan w:val="8"/>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3608" w:type="dxa"/>
            <w:vMerge/>
            <w:tcBorders>
              <w:left w:val="single" w:sz="4" w:space="0" w:color="000000"/>
              <w:bottom w:val="nil" w:sz="6" w:space="0" w:color="auto"/>
              <w:right w:val="single" w:sz="4" w:space="0" w:color="000000"/>
            </w:tcBorders>
            <w:shd w:val="clear" w:color="auto" w:fill="D2D2D2"/>
          </w:tcPr>
          <w:p>
            <w:pPr/>
          </w:p>
        </w:tc>
        <w:tc>
          <w:tcPr>
            <w:tcW w:w="16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3" w:right="-38"/>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9"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6" w:hRule="exact"/>
        </w:trPr>
        <w:tc>
          <w:tcPr>
            <w:tcW w:w="36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5"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6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736,062,616.33</w:t>
            </w: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17,401,499.69</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83,611,580.71</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1,017,075,696.73</w:t>
            </w:r>
          </w:p>
        </w:tc>
      </w:tr>
      <w:tr>
        <w:trPr>
          <w:trHeight w:val="401" w:hRule="exact"/>
        </w:trPr>
        <w:tc>
          <w:tcPr>
            <w:tcW w:w="3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25"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25"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25"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6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736,062,616.33</w:t>
            </w: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17,401,499.69</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83,611,580.71</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1,017,075,696.73</w:t>
            </w:r>
          </w:p>
        </w:tc>
      </w:tr>
      <w:tr>
        <w:trPr>
          <w:trHeight w:val="401" w:hRule="exact"/>
        </w:trPr>
        <w:tc>
          <w:tcPr>
            <w:tcW w:w="3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25"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center"/>
              <w:rPr>
                <w:rFonts w:ascii="Times New Roman" w:hAnsi="Times New Roman" w:cs="Times New Roman" w:eastAsia="Times New Roman" w:hint="default"/>
                <w:sz w:val="18"/>
                <w:szCs w:val="18"/>
              </w:rPr>
            </w:pPr>
            <w:r>
              <w:rPr>
                <w:rFonts w:ascii="Times New Roman"/>
                <w:sz w:val="18"/>
              </w:rPr>
              <w:t>-23,143,305.26</w:t>
            </w: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7,657,541.68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18,517,875.15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3,032,111.57</w:t>
            </w:r>
          </w:p>
        </w:tc>
      </w:tr>
      <w:tr>
        <w:trPr>
          <w:trHeight w:val="403" w:hRule="exact"/>
        </w:trPr>
        <w:tc>
          <w:tcPr>
            <w:tcW w:w="3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625"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76,575,416.83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76,575,416.83</w:t>
            </w:r>
          </w:p>
        </w:tc>
      </w:tr>
      <w:tr>
        <w:trPr>
          <w:trHeight w:val="401" w:hRule="exact"/>
        </w:trPr>
        <w:tc>
          <w:tcPr>
            <w:tcW w:w="3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625"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625"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76,575,416.83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76,575,416.83</w:t>
            </w:r>
          </w:p>
        </w:tc>
      </w:tr>
      <w:tr>
        <w:trPr>
          <w:trHeight w:val="401" w:hRule="exact"/>
        </w:trPr>
        <w:tc>
          <w:tcPr>
            <w:tcW w:w="3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625"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center"/>
              <w:rPr>
                <w:rFonts w:ascii="Times New Roman" w:hAnsi="Times New Roman" w:cs="Times New Roman" w:eastAsia="Times New Roman" w:hint="default"/>
                <w:sz w:val="18"/>
                <w:szCs w:val="18"/>
              </w:rPr>
            </w:pPr>
            <w:r>
              <w:rPr>
                <w:rFonts w:ascii="Times New Roman"/>
                <w:sz w:val="18"/>
              </w:rPr>
              <w:t>-23,143,305.26</w:t>
            </w: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-23,143,305.26</w:t>
            </w:r>
          </w:p>
        </w:tc>
      </w:tr>
      <w:tr>
        <w:trPr>
          <w:trHeight w:val="403" w:hRule="exact"/>
        </w:trPr>
        <w:tc>
          <w:tcPr>
            <w:tcW w:w="3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625"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625"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625"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center"/>
              <w:rPr>
                <w:rFonts w:ascii="Times New Roman" w:hAnsi="Times New Roman" w:cs="Times New Roman" w:eastAsia="Times New Roman" w:hint="default"/>
                <w:sz w:val="18"/>
                <w:szCs w:val="18"/>
              </w:rPr>
            </w:pPr>
            <w:r>
              <w:rPr>
                <w:rFonts w:ascii="Times New Roman"/>
                <w:sz w:val="18"/>
              </w:rPr>
              <w:t>-23,143,305.26</w:t>
            </w: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-23,143,305.26</w:t>
            </w:r>
          </w:p>
        </w:tc>
      </w:tr>
      <w:tr>
        <w:trPr>
          <w:trHeight w:val="401" w:hRule="exact"/>
        </w:trPr>
        <w:tc>
          <w:tcPr>
            <w:tcW w:w="3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625"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7,657,541.68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-58,057,541.68</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-50,400,000.00</w:t>
            </w:r>
          </w:p>
        </w:tc>
      </w:tr>
      <w:tr>
        <w:trPr>
          <w:trHeight w:val="403" w:hRule="exact"/>
        </w:trPr>
        <w:tc>
          <w:tcPr>
            <w:tcW w:w="3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625"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7,657,541.68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-7,657,541.68</w:t>
            </w: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625"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625"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-50,400,000.00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-50,400,000.00</w:t>
            </w:r>
          </w:p>
        </w:tc>
      </w:tr>
      <w:tr>
        <w:trPr>
          <w:trHeight w:val="401" w:hRule="exact"/>
        </w:trPr>
        <w:tc>
          <w:tcPr>
            <w:tcW w:w="3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25"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625"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625"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1227" w:top="1060" w:bottom="1420" w:left="1300" w:right="1240"/>
        </w:sectPr>
      </w:pPr>
    </w:p>
    <w:p>
      <w:pPr>
        <w:spacing w:line="240" w:lineRule="auto" w:before="11"/>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630"/>
        <w:gridCol w:w="1615"/>
        <w:gridCol w:w="1277"/>
        <w:gridCol w:w="1136"/>
        <w:gridCol w:w="991"/>
        <w:gridCol w:w="1277"/>
        <w:gridCol w:w="1417"/>
        <w:gridCol w:w="1277"/>
        <w:gridCol w:w="1411"/>
      </w:tblGrid>
      <w:tr>
        <w:trPr>
          <w:trHeight w:val="418" w:hRule="exact"/>
        </w:trPr>
        <w:tc>
          <w:tcPr>
            <w:tcW w:w="363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615"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136"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411"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3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61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1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61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61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61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61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7" w:right="0"/>
              <w:jc w:val="left"/>
              <w:rPr>
                <w:rFonts w:ascii="Times New Roman" w:hAnsi="Times New Roman" w:cs="Times New Roman" w:eastAsia="Times New Roman" w:hint="default"/>
                <w:sz w:val="18"/>
                <w:szCs w:val="18"/>
              </w:rPr>
            </w:pPr>
            <w:r>
              <w:rPr>
                <w:rFonts w:ascii="Times New Roman"/>
                <w:sz w:val="18"/>
              </w:rPr>
              <w:t>180,000,000.00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712,919,311.07</w:t>
            </w: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25,059,041.37</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102,129,455.86</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1,020,107,808.30</w:t>
            </w:r>
          </w:p>
        </w:tc>
      </w:tr>
    </w:tbl>
    <w:p>
      <w:pPr>
        <w:pStyle w:val="BodyText"/>
        <w:spacing w:line="240" w:lineRule="auto" w:before="49"/>
        <w:ind w:left="120" w:right="0"/>
        <w:jc w:val="left"/>
      </w:pPr>
      <w:r>
        <w:rPr/>
        <w:t>上年金额</w:t>
      </w:r>
    </w:p>
    <w:p>
      <w:pPr>
        <w:pStyle w:val="BodyText"/>
        <w:spacing w:line="240" w:lineRule="auto" w:before="115"/>
        <w:ind w:left="0" w:right="294"/>
        <w:jc w:val="right"/>
      </w:pPr>
      <w:r>
        <w:rPr/>
        <w:t>单位：元</w:t>
      </w:r>
    </w:p>
    <w:p>
      <w:pPr>
        <w:spacing w:line="240" w:lineRule="auto" w:before="4"/>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3635"/>
        <w:gridCol w:w="1310"/>
        <w:gridCol w:w="1298"/>
        <w:gridCol w:w="1299"/>
        <w:gridCol w:w="1296"/>
        <w:gridCol w:w="1296"/>
        <w:gridCol w:w="1196"/>
        <w:gridCol w:w="1277"/>
        <w:gridCol w:w="1411"/>
      </w:tblGrid>
      <w:tr>
        <w:trPr>
          <w:trHeight w:val="401" w:hRule="exact"/>
        </w:trPr>
        <w:tc>
          <w:tcPr>
            <w:tcW w:w="3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1" w:hRule="exact"/>
        </w:trPr>
        <w:tc>
          <w:tcPr>
            <w:tcW w:w="3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6" w:right="20" w:hanging="443"/>
              <w:jc w:val="left"/>
              <w:rPr>
                <w:rFonts w:ascii="宋体" w:hAnsi="宋体" w:cs="宋体" w:eastAsia="宋体" w:hint="default"/>
                <w:sz w:val="18"/>
                <w:szCs w:val="18"/>
              </w:rPr>
            </w:pPr>
            <w:r>
              <w:rPr>
                <w:rFonts w:ascii="宋体" w:hAnsi="宋体" w:cs="宋体" w:eastAsia="宋体" w:hint="default"/>
                <w:spacing w:val="-3"/>
                <w:sz w:val="18"/>
                <w:szCs w:val="18"/>
              </w:rPr>
              <w:t>实收资本（或股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12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3635" w:type="dxa"/>
            <w:vMerge/>
            <w:tcBorders>
              <w:left w:val="single" w:sz="4" w:space="0" w:color="000000"/>
              <w:bottom w:val="nil" w:sz="6" w:space="0" w:color="auto"/>
              <w:right w:val="single" w:sz="4" w:space="0" w:color="000000"/>
            </w:tcBorders>
            <w:shd w:val="clear" w:color="auto" w:fill="D2D2D2"/>
          </w:tcPr>
          <w:p>
            <w:pPr/>
          </w:p>
        </w:tc>
        <w:tc>
          <w:tcPr>
            <w:tcW w:w="1310" w:type="dxa"/>
            <w:vMerge/>
            <w:tcBorders>
              <w:left w:val="single" w:sz="4" w:space="0" w:color="000000"/>
              <w:right w:val="single" w:sz="4" w:space="0" w:color="000000"/>
            </w:tcBorders>
            <w:shd w:val="clear" w:color="auto" w:fill="D2D2D2"/>
          </w:tcPr>
          <w:p>
            <w:pPr/>
          </w:p>
        </w:tc>
        <w:tc>
          <w:tcPr>
            <w:tcW w:w="12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9"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2" w:hRule="exact"/>
        </w:trPr>
        <w:tc>
          <w:tcPr>
            <w:tcW w:w="3635" w:type="dxa"/>
            <w:vMerge w:val="restart"/>
            <w:tcBorders>
              <w:top w:val="nil" w:sz="6" w:space="0" w:color="auto"/>
              <w:left w:val="single" w:sz="4" w:space="0" w:color="000000"/>
              <w:right w:val="single" w:sz="4" w:space="0" w:color="000000"/>
            </w:tcBorders>
            <w:shd w:val="clear" w:color="auto" w:fill="D2D2D2"/>
          </w:tcPr>
          <w:p>
            <w:pPr/>
          </w:p>
        </w:tc>
        <w:tc>
          <w:tcPr>
            <w:tcW w:w="1310" w:type="dxa"/>
            <w:vMerge/>
            <w:tcBorders>
              <w:left w:val="single" w:sz="4" w:space="0" w:color="000000"/>
              <w:right w:val="single" w:sz="4" w:space="0" w:color="000000"/>
            </w:tcBorders>
            <w:shd w:val="clear" w:color="auto" w:fill="D2D2D2"/>
          </w:tcPr>
          <w:p>
            <w:pPr/>
          </w:p>
        </w:tc>
        <w:tc>
          <w:tcPr>
            <w:tcW w:w="1298" w:type="dxa"/>
            <w:vMerge/>
            <w:tcBorders>
              <w:left w:val="single" w:sz="4" w:space="0" w:color="000000"/>
              <w:bottom w:val="nil" w:sz="6" w:space="0" w:color="auto"/>
              <w:right w:val="single" w:sz="4" w:space="0" w:color="000000"/>
            </w:tcBorders>
            <w:shd w:val="clear" w:color="auto" w:fill="D2D2D2"/>
          </w:tcPr>
          <w:p>
            <w:pPr/>
          </w:p>
        </w:tc>
        <w:tc>
          <w:tcPr>
            <w:tcW w:w="1299" w:type="dxa"/>
            <w:vMerge/>
            <w:tcBorders>
              <w:left w:val="single" w:sz="4" w:space="0" w:color="000000"/>
              <w:bottom w:val="nil" w:sz="6" w:space="0" w:color="auto"/>
              <w:right w:val="single" w:sz="4" w:space="0" w:color="000000"/>
            </w:tcBorders>
            <w:shd w:val="clear" w:color="auto" w:fill="D2D2D2"/>
          </w:tcPr>
          <w:p>
            <w:pPr/>
          </w:p>
        </w:tc>
        <w:tc>
          <w:tcPr>
            <w:tcW w:w="1296" w:type="dxa"/>
            <w:vMerge/>
            <w:tcBorders>
              <w:left w:val="single" w:sz="4" w:space="0" w:color="000000"/>
              <w:bottom w:val="nil" w:sz="6" w:space="0" w:color="auto"/>
              <w:right w:val="single" w:sz="4" w:space="0" w:color="000000"/>
            </w:tcBorders>
            <w:shd w:val="clear" w:color="auto" w:fill="D2D2D2"/>
          </w:tcPr>
          <w:p>
            <w:pPr/>
          </w:p>
        </w:tc>
        <w:tc>
          <w:tcPr>
            <w:tcW w:w="12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1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3635" w:type="dxa"/>
            <w:vMerge/>
            <w:tcBorders>
              <w:left w:val="single" w:sz="4" w:space="0" w:color="000000"/>
              <w:bottom w:val="single" w:sz="4" w:space="0" w:color="000000"/>
              <w:right w:val="single" w:sz="4" w:space="0" w:color="000000"/>
            </w:tcBorders>
            <w:shd w:val="clear" w:color="auto" w:fill="D2D2D2"/>
          </w:tcPr>
          <w:p>
            <w:pPr/>
          </w:p>
        </w:tc>
        <w:tc>
          <w:tcPr>
            <w:tcW w:w="1310" w:type="dxa"/>
            <w:vMerge/>
            <w:tcBorders>
              <w:left w:val="single" w:sz="4" w:space="0" w:color="000000"/>
              <w:bottom w:val="single" w:sz="4" w:space="0" w:color="000000"/>
              <w:right w:val="single" w:sz="4" w:space="0" w:color="000000"/>
            </w:tcBorders>
            <w:shd w:val="clear" w:color="auto" w:fill="D2D2D2"/>
          </w:tcPr>
          <w:p>
            <w:pPr/>
          </w:p>
        </w:tc>
        <w:tc>
          <w:tcPr>
            <w:tcW w:w="12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1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72,000,000.00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844,062,616.33</w:t>
            </w:r>
          </w:p>
        </w:tc>
        <w:tc>
          <w:tcPr>
            <w:tcW w:w="129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11,459,065.89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87,729,676.47</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1,015,251,358.69</w:t>
            </w:r>
          </w:p>
        </w:tc>
      </w:tr>
      <w:tr>
        <w:trPr>
          <w:trHeight w:val="403" w:hRule="exact"/>
        </w:trPr>
        <w:tc>
          <w:tcPr>
            <w:tcW w:w="3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10" w:type="dxa"/>
            <w:tcBorders>
              <w:top w:val="single" w:sz="4" w:space="0" w:color="000000"/>
              <w:left w:val="single" w:sz="9" w:space="0" w:color="D2D2D2"/>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10" w:type="dxa"/>
            <w:tcBorders>
              <w:top w:val="single" w:sz="4" w:space="0" w:color="000000"/>
              <w:left w:val="single" w:sz="9" w:space="0" w:color="D2D2D2"/>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0" w:type="dxa"/>
            <w:tcBorders>
              <w:top w:val="single" w:sz="4" w:space="0" w:color="000000"/>
              <w:left w:val="single" w:sz="9" w:space="0" w:color="D2D2D2"/>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1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72,000,000.00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844,062,616.33</w:t>
            </w:r>
          </w:p>
        </w:tc>
        <w:tc>
          <w:tcPr>
            <w:tcW w:w="129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11,459,065.89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87,729,676.47</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1,015,251,358.69</w:t>
            </w:r>
          </w:p>
        </w:tc>
      </w:tr>
      <w:tr>
        <w:trPr>
          <w:trHeight w:val="403" w:hRule="exact"/>
        </w:trPr>
        <w:tc>
          <w:tcPr>
            <w:tcW w:w="3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1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108,000,000.00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-108,000,000.00</w:t>
            </w:r>
          </w:p>
        </w:tc>
        <w:tc>
          <w:tcPr>
            <w:tcW w:w="129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5,942,433.80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-4,118,095.76</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1,824,338.04</w:t>
            </w:r>
          </w:p>
        </w:tc>
      </w:tr>
      <w:tr>
        <w:trPr>
          <w:trHeight w:val="401" w:hRule="exact"/>
        </w:trPr>
        <w:tc>
          <w:tcPr>
            <w:tcW w:w="3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10" w:type="dxa"/>
            <w:tcBorders>
              <w:top w:val="single" w:sz="4" w:space="0" w:color="000000"/>
              <w:left w:val="single" w:sz="9" w:space="0" w:color="D2D2D2"/>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59,424,338.04</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59,424,338.04</w:t>
            </w:r>
          </w:p>
        </w:tc>
      </w:tr>
      <w:tr>
        <w:trPr>
          <w:trHeight w:val="403" w:hRule="exact"/>
        </w:trPr>
        <w:tc>
          <w:tcPr>
            <w:tcW w:w="3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10" w:type="dxa"/>
            <w:tcBorders>
              <w:top w:val="single" w:sz="4" w:space="0" w:color="000000"/>
              <w:left w:val="single" w:sz="9" w:space="0" w:color="D2D2D2"/>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10" w:type="dxa"/>
            <w:tcBorders>
              <w:top w:val="single" w:sz="4" w:space="0" w:color="000000"/>
              <w:left w:val="single" w:sz="9" w:space="0" w:color="D2D2D2"/>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59,424,338.04</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59,424,338.04</w:t>
            </w:r>
          </w:p>
        </w:tc>
      </w:tr>
      <w:tr>
        <w:trPr>
          <w:trHeight w:val="403" w:hRule="exact"/>
        </w:trPr>
        <w:tc>
          <w:tcPr>
            <w:tcW w:w="3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10" w:type="dxa"/>
            <w:tcBorders>
              <w:top w:val="single" w:sz="4" w:space="0" w:color="000000"/>
              <w:left w:val="single" w:sz="9" w:space="0" w:color="D2D2D2"/>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1227" w:top="1060" w:bottom="1420" w:left="1320" w:right="1240"/>
        </w:sectPr>
      </w:pPr>
    </w:p>
    <w:p>
      <w:pPr>
        <w:spacing w:line="240" w:lineRule="auto" w:before="11"/>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658"/>
        <w:gridCol w:w="1299"/>
        <w:gridCol w:w="1298"/>
        <w:gridCol w:w="1299"/>
        <w:gridCol w:w="1296"/>
        <w:gridCol w:w="1296"/>
        <w:gridCol w:w="1196"/>
        <w:gridCol w:w="1277"/>
        <w:gridCol w:w="1411"/>
      </w:tblGrid>
      <w:tr>
        <w:trPr>
          <w:trHeight w:val="418" w:hRule="exact"/>
        </w:trPr>
        <w:tc>
          <w:tcPr>
            <w:tcW w:w="365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299" w:type="dxa"/>
            <w:tcBorders>
              <w:top w:val="single" w:sz="15" w:space="0" w:color="000000"/>
              <w:left w:val="single" w:sz="4" w:space="0" w:color="000000"/>
              <w:bottom w:val="single" w:sz="4" w:space="0" w:color="000000"/>
              <w:right w:val="single" w:sz="4" w:space="0" w:color="000000"/>
            </w:tcBorders>
          </w:tcPr>
          <w:p>
            <w:pPr/>
          </w:p>
        </w:tc>
        <w:tc>
          <w:tcPr>
            <w:tcW w:w="1298" w:type="dxa"/>
            <w:tcBorders>
              <w:top w:val="single" w:sz="15" w:space="0" w:color="000000"/>
              <w:left w:val="single" w:sz="4" w:space="0" w:color="000000"/>
              <w:bottom w:val="single" w:sz="4" w:space="0" w:color="000000"/>
              <w:right w:val="single" w:sz="4" w:space="0" w:color="000000"/>
            </w:tcBorders>
          </w:tcPr>
          <w:p>
            <w:pPr/>
          </w:p>
        </w:tc>
        <w:tc>
          <w:tcPr>
            <w:tcW w:w="1299" w:type="dxa"/>
            <w:tcBorders>
              <w:top w:val="single" w:sz="15" w:space="0" w:color="000000"/>
              <w:left w:val="single" w:sz="4" w:space="0" w:color="000000"/>
              <w:bottom w:val="single" w:sz="4" w:space="0" w:color="000000"/>
              <w:right w:val="single" w:sz="4" w:space="0" w:color="000000"/>
            </w:tcBorders>
          </w:tcPr>
          <w:p>
            <w:pPr/>
          </w:p>
        </w:tc>
        <w:tc>
          <w:tcPr>
            <w:tcW w:w="1296" w:type="dxa"/>
            <w:tcBorders>
              <w:top w:val="single" w:sz="15" w:space="0" w:color="000000"/>
              <w:left w:val="single" w:sz="4" w:space="0" w:color="000000"/>
              <w:bottom w:val="single" w:sz="4" w:space="0" w:color="000000"/>
              <w:right w:val="single" w:sz="4" w:space="0" w:color="000000"/>
            </w:tcBorders>
          </w:tcPr>
          <w:p>
            <w:pPr/>
          </w:p>
        </w:tc>
        <w:tc>
          <w:tcPr>
            <w:tcW w:w="1296" w:type="dxa"/>
            <w:tcBorders>
              <w:top w:val="single" w:sz="15" w:space="0" w:color="000000"/>
              <w:left w:val="single" w:sz="4" w:space="0" w:color="000000"/>
              <w:bottom w:val="single" w:sz="4" w:space="0" w:color="000000"/>
              <w:right w:val="single" w:sz="4" w:space="0" w:color="000000"/>
            </w:tcBorders>
          </w:tcPr>
          <w:p>
            <w:pPr/>
          </w:p>
        </w:tc>
        <w:tc>
          <w:tcPr>
            <w:tcW w:w="1196"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411" w:type="dxa"/>
            <w:tcBorders>
              <w:top w:val="single" w:sz="15" w:space="0" w:color="000000"/>
              <w:left w:val="single" w:sz="4" w:space="0" w:color="000000"/>
              <w:bottom w:val="single" w:sz="4" w:space="0" w:color="000000"/>
              <w:right w:val="single" w:sz="4" w:space="0" w:color="000000"/>
            </w:tcBorders>
          </w:tcPr>
          <w:p>
            <w:pPr/>
          </w:p>
        </w:tc>
      </w:tr>
      <w:tr>
        <w:trPr>
          <w:trHeight w:val="425" w:hRule="exact"/>
        </w:trPr>
        <w:tc>
          <w:tcPr>
            <w:tcW w:w="3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299"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99"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3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99"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5,942,433.80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-63,542,433.80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-57,600,000.00</w:t>
            </w:r>
          </w:p>
        </w:tc>
      </w:tr>
      <w:tr>
        <w:trPr>
          <w:trHeight w:val="427" w:hRule="exact"/>
        </w:trPr>
        <w:tc>
          <w:tcPr>
            <w:tcW w:w="3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99"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5,942,433.80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-5,942,433.80</w:t>
            </w: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5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99" w:type="dxa"/>
            <w:tcBorders>
              <w:top w:val="single" w:sz="4" w:space="0" w:color="000000"/>
              <w:left w:val="single" w:sz="4" w:space="0" w:color="000000"/>
              <w:bottom w:val="single" w:sz="4" w:space="0" w:color="FFFFFF"/>
              <w:right w:val="single" w:sz="4" w:space="0" w:color="000000"/>
            </w:tcBorders>
          </w:tcPr>
          <w:p>
            <w:pPr/>
          </w:p>
        </w:tc>
        <w:tc>
          <w:tcPr>
            <w:tcW w:w="1298" w:type="dxa"/>
            <w:tcBorders>
              <w:top w:val="single" w:sz="4" w:space="0" w:color="000000"/>
              <w:left w:val="single" w:sz="4" w:space="0" w:color="000000"/>
              <w:bottom w:val="single" w:sz="4" w:space="0" w:color="FFFFFF"/>
              <w:right w:val="single" w:sz="4" w:space="0" w:color="000000"/>
            </w:tcBorders>
          </w:tcPr>
          <w:p>
            <w:pPr/>
          </w:p>
        </w:tc>
        <w:tc>
          <w:tcPr>
            <w:tcW w:w="1299" w:type="dxa"/>
            <w:tcBorders>
              <w:top w:val="single" w:sz="4" w:space="0" w:color="000000"/>
              <w:left w:val="single" w:sz="4" w:space="0" w:color="000000"/>
              <w:bottom w:val="single" w:sz="4" w:space="0" w:color="FFFFFF"/>
              <w:right w:val="single" w:sz="4" w:space="0" w:color="000000"/>
            </w:tcBorders>
          </w:tcPr>
          <w:p>
            <w:pPr/>
          </w:p>
        </w:tc>
        <w:tc>
          <w:tcPr>
            <w:tcW w:w="1296" w:type="dxa"/>
            <w:tcBorders>
              <w:top w:val="single" w:sz="4" w:space="0" w:color="000000"/>
              <w:left w:val="single" w:sz="4" w:space="0" w:color="000000"/>
              <w:bottom w:val="single" w:sz="4" w:space="0" w:color="FFFFFF"/>
              <w:right w:val="single" w:sz="4" w:space="0" w:color="000000"/>
            </w:tcBorders>
          </w:tcPr>
          <w:p>
            <w:pPr/>
          </w:p>
        </w:tc>
        <w:tc>
          <w:tcPr>
            <w:tcW w:w="1296" w:type="dxa"/>
            <w:tcBorders>
              <w:top w:val="single" w:sz="4" w:space="0" w:color="000000"/>
              <w:left w:val="single" w:sz="4" w:space="0" w:color="000000"/>
              <w:bottom w:val="single" w:sz="4" w:space="0" w:color="FFFFFF"/>
              <w:right w:val="single" w:sz="4" w:space="0" w:color="000000"/>
            </w:tcBorders>
          </w:tcPr>
          <w:p>
            <w:pPr/>
          </w:p>
        </w:tc>
        <w:tc>
          <w:tcPr>
            <w:tcW w:w="1196" w:type="dxa"/>
            <w:tcBorders>
              <w:top w:val="single" w:sz="4" w:space="0" w:color="000000"/>
              <w:left w:val="single" w:sz="4" w:space="0" w:color="000000"/>
              <w:bottom w:val="single" w:sz="4" w:space="0" w:color="FFFFFF"/>
              <w:right w:val="single" w:sz="4" w:space="0" w:color="000000"/>
            </w:tcBorders>
          </w:tcPr>
          <w:p>
            <w:pPr/>
          </w:p>
        </w:tc>
        <w:tc>
          <w:tcPr>
            <w:tcW w:w="1277" w:type="dxa"/>
            <w:tcBorders>
              <w:top w:val="single" w:sz="4" w:space="0" w:color="000000"/>
              <w:left w:val="single" w:sz="4" w:space="0" w:color="000000"/>
              <w:bottom w:val="single" w:sz="4" w:space="0" w:color="FFFFFF"/>
              <w:right w:val="single" w:sz="4" w:space="0" w:color="000000"/>
            </w:tcBorders>
          </w:tcPr>
          <w:p>
            <w:pPr/>
          </w:p>
        </w:tc>
        <w:tc>
          <w:tcPr>
            <w:tcW w:w="1411" w:type="dxa"/>
            <w:tcBorders>
              <w:top w:val="single" w:sz="4" w:space="0" w:color="000000"/>
              <w:left w:val="single" w:sz="4" w:space="0" w:color="000000"/>
              <w:bottom w:val="single" w:sz="4" w:space="0" w:color="FFFFFF"/>
              <w:right w:val="single" w:sz="4" w:space="0" w:color="000000"/>
            </w:tcBorders>
          </w:tcPr>
          <w:p>
            <w:pPr/>
          </w:p>
        </w:tc>
      </w:tr>
      <w:tr>
        <w:trPr>
          <w:trHeight w:val="560" w:hRule="exact"/>
        </w:trPr>
        <w:tc>
          <w:tcPr>
            <w:tcW w:w="365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299" w:type="dxa"/>
            <w:tcBorders>
              <w:top w:val="single" w:sz="4" w:space="0" w:color="FFFFFF"/>
              <w:left w:val="single" w:sz="4" w:space="0" w:color="000000"/>
              <w:bottom w:val="single" w:sz="4" w:space="0" w:color="000000"/>
              <w:right w:val="single" w:sz="4" w:space="0" w:color="000000"/>
            </w:tcBorders>
          </w:tcPr>
          <w:p>
            <w:pPr/>
          </w:p>
        </w:tc>
        <w:tc>
          <w:tcPr>
            <w:tcW w:w="1298" w:type="dxa"/>
            <w:tcBorders>
              <w:top w:val="single" w:sz="4" w:space="0" w:color="FFFFFF"/>
              <w:left w:val="single" w:sz="4" w:space="0" w:color="000000"/>
              <w:bottom w:val="single" w:sz="4" w:space="0" w:color="000000"/>
              <w:right w:val="single" w:sz="4" w:space="0" w:color="000000"/>
            </w:tcBorders>
          </w:tcPr>
          <w:p>
            <w:pPr/>
          </w:p>
        </w:tc>
        <w:tc>
          <w:tcPr>
            <w:tcW w:w="1299" w:type="dxa"/>
            <w:tcBorders>
              <w:top w:val="single" w:sz="4" w:space="0" w:color="FFFFFF"/>
              <w:left w:val="single" w:sz="4" w:space="0" w:color="000000"/>
              <w:bottom w:val="single" w:sz="4" w:space="0" w:color="000000"/>
              <w:right w:val="single" w:sz="4" w:space="0" w:color="000000"/>
            </w:tcBorders>
          </w:tcPr>
          <w:p>
            <w:pPr/>
          </w:p>
        </w:tc>
        <w:tc>
          <w:tcPr>
            <w:tcW w:w="1296" w:type="dxa"/>
            <w:tcBorders>
              <w:top w:val="single" w:sz="4" w:space="0" w:color="FFFFFF"/>
              <w:left w:val="single" w:sz="4" w:space="0" w:color="000000"/>
              <w:bottom w:val="single" w:sz="4" w:space="0" w:color="000000"/>
              <w:right w:val="single" w:sz="4" w:space="0" w:color="000000"/>
            </w:tcBorders>
          </w:tcPr>
          <w:p>
            <w:pPr/>
          </w:p>
        </w:tc>
        <w:tc>
          <w:tcPr>
            <w:tcW w:w="1296" w:type="dxa"/>
            <w:tcBorders>
              <w:top w:val="single" w:sz="4" w:space="0" w:color="FFFFFF"/>
              <w:left w:val="single" w:sz="4" w:space="0" w:color="000000"/>
              <w:bottom w:val="single" w:sz="4" w:space="0" w:color="000000"/>
              <w:right w:val="single" w:sz="4" w:space="0" w:color="000000"/>
            </w:tcBorders>
          </w:tcPr>
          <w:p>
            <w:pPr/>
          </w:p>
        </w:tc>
        <w:tc>
          <w:tcPr>
            <w:tcW w:w="1196" w:type="dxa"/>
            <w:tcBorders>
              <w:top w:val="single" w:sz="4" w:space="0" w:color="FFFFFF"/>
              <w:left w:val="single" w:sz="4" w:space="0" w:color="000000"/>
              <w:bottom w:val="single" w:sz="4" w:space="0" w:color="000000"/>
              <w:right w:val="single" w:sz="4" w:space="0" w:color="000000"/>
            </w:tcBorders>
          </w:tcPr>
          <w:p>
            <w:pPr/>
          </w:p>
        </w:tc>
        <w:tc>
          <w:tcPr>
            <w:tcW w:w="127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-57,600,000.00</w:t>
            </w:r>
          </w:p>
        </w:tc>
        <w:tc>
          <w:tcPr>
            <w:tcW w:w="141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-57,600,000.00</w:t>
            </w:r>
          </w:p>
        </w:tc>
      </w:tr>
      <w:tr>
        <w:trPr>
          <w:trHeight w:val="406" w:hRule="exact"/>
        </w:trPr>
        <w:tc>
          <w:tcPr>
            <w:tcW w:w="3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99"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68" w:hRule="exact"/>
        </w:trPr>
        <w:tc>
          <w:tcPr>
            <w:tcW w:w="3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108,000,000.00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-108,000,000.00</w:t>
            </w:r>
          </w:p>
        </w:tc>
        <w:tc>
          <w:tcPr>
            <w:tcW w:w="129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32" w:hRule="exact"/>
        </w:trPr>
        <w:tc>
          <w:tcPr>
            <w:tcW w:w="3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108,000,000.00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-108,000,000.00</w:t>
            </w:r>
          </w:p>
        </w:tc>
        <w:tc>
          <w:tcPr>
            <w:tcW w:w="129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99"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99"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99"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99"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99"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99"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299"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3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180,000,000.00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736,062,616.33</w:t>
            </w:r>
          </w:p>
        </w:tc>
        <w:tc>
          <w:tcPr>
            <w:tcW w:w="129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17,401,499.69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83,611,580.71</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1,017,075,696.73</w:t>
            </w:r>
          </w:p>
        </w:tc>
      </w:tr>
    </w:tbl>
    <w:p>
      <w:pPr>
        <w:spacing w:line="240" w:lineRule="auto" w:before="3"/>
        <w:rPr>
          <w:rFonts w:ascii="宋体" w:hAnsi="宋体" w:cs="宋体" w:eastAsia="宋体" w:hint="default"/>
          <w:sz w:val="20"/>
          <w:szCs w:val="20"/>
        </w:rPr>
      </w:pPr>
    </w:p>
    <w:p>
      <w:pPr>
        <w:pStyle w:val="BodyText"/>
        <w:tabs>
          <w:tab w:pos="5043" w:val="left" w:leader="none"/>
          <w:tab w:pos="12037" w:val="left" w:leader="none"/>
        </w:tabs>
        <w:spacing w:line="240" w:lineRule="auto" w:before="44"/>
        <w:ind w:left="120" w:right="0"/>
        <w:jc w:val="left"/>
      </w:pPr>
      <w:r>
        <w:rPr>
          <w:spacing w:val="-4"/>
        </w:rPr>
        <w:t>法定代表人：张波</w:t>
        <w:tab/>
      </w:r>
      <w:r>
        <w:rPr>
          <w:spacing w:val="-3"/>
        </w:rPr>
        <w:t>主管会计工作负责人：黄光明</w:t>
        <w:tab/>
      </w:r>
      <w:r>
        <w:rPr>
          <w:spacing w:val="-4"/>
        </w:rPr>
        <w:t>会计机构负责人：吴若顺</w:t>
      </w:r>
    </w:p>
    <w:p>
      <w:pPr>
        <w:spacing w:after="0" w:line="240" w:lineRule="auto"/>
        <w:jc w:val="left"/>
        <w:sectPr>
          <w:pgSz w:w="16840" w:h="11910" w:orient="landscape"/>
          <w:pgMar w:header="867" w:footer="1227" w:top="1060" w:bottom="1420" w:left="1320" w:right="12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3"/>
        <w:spacing w:line="240" w:lineRule="auto" w:before="36"/>
        <w:ind w:right="88"/>
        <w:jc w:val="left"/>
        <w:rPr>
          <w:b w:val="0"/>
          <w:bCs w:val="0"/>
        </w:rPr>
      </w:pPr>
      <w:r>
        <w:rPr/>
        <w:t>三、公司基本情况</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88" w:firstLine="360"/>
        <w:jc w:val="left"/>
      </w:pPr>
      <w:r>
        <w:rPr>
          <w:spacing w:val="-2"/>
        </w:rPr>
        <w:t>广东安居宝数码科技股份有限公司（以下简称“本公司”或“公司”），前身是</w:t>
      </w:r>
      <w:r>
        <w:rPr>
          <w:rFonts w:ascii="宋体" w:hAnsi="宋体" w:cs="宋体" w:eastAsia="宋体" w:hint="default"/>
          <w:spacing w:val="-2"/>
        </w:rPr>
        <w:t>2004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29</w:t>
      </w:r>
      <w:r>
        <w:rPr>
          <w:spacing w:val="-2"/>
        </w:rPr>
        <w:t>日经广州市工商行政管理</w:t>
      </w:r>
      <w:r>
        <w:rPr/>
        <w:t> </w:t>
      </w:r>
      <w:r>
        <w:rPr>
          <w:spacing w:val="-2"/>
        </w:rPr>
        <w:t>局核准成立的广州市安居宝数码科技有限公司。</w:t>
      </w:r>
      <w:r>
        <w:rPr>
          <w:rFonts w:ascii="宋体" w:hAnsi="宋体" w:cs="宋体" w:eastAsia="宋体" w:hint="default"/>
          <w:spacing w:val="-2"/>
        </w:rPr>
        <w:t>2009</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5</w:t>
      </w:r>
      <w:r>
        <w:rPr>
          <w:spacing w:val="-2"/>
        </w:rPr>
        <w:t>日，根据广州市安居宝数码科技有限公司</w:t>
      </w:r>
      <w:r>
        <w:rPr>
          <w:rFonts w:ascii="宋体" w:hAnsi="宋体" w:cs="宋体" w:eastAsia="宋体" w:hint="default"/>
          <w:spacing w:val="-2"/>
        </w:rPr>
        <w:t>2009</w:t>
      </w:r>
      <w:r>
        <w:rPr>
          <w:spacing w:val="-2"/>
        </w:rPr>
        <w:t>年第一次临时股东</w:t>
      </w:r>
      <w:r>
        <w:rPr>
          <w:spacing w:val="-57"/>
        </w:rPr>
        <w:t> </w:t>
      </w:r>
      <w:r>
        <w:rPr>
          <w:spacing w:val="-57"/>
        </w:rPr>
      </w:r>
      <w:r>
        <w:rPr>
          <w:spacing w:val="-4"/>
        </w:rPr>
        <w:t>会决议、发起人协议、公司章程的规定，广州市安居宝数码科技有限公司依法整体变更为广东安居宝数码科技股份有限公司。</w:t>
      </w:r>
      <w:r>
        <w:rPr>
          <w:spacing w:val="-44"/>
        </w:rPr>
        <w:t> </w:t>
      </w:r>
      <w:r>
        <w:rPr>
          <w:spacing w:val="-44"/>
        </w:rPr>
      </w:r>
      <w:r>
        <w:rPr/>
        <w:t>公司的企业法人营业执照注册号：</w:t>
      </w:r>
      <w:r>
        <w:rPr>
          <w:rFonts w:ascii="宋体" w:hAnsi="宋体" w:cs="宋体" w:eastAsia="宋体" w:hint="default"/>
        </w:rPr>
        <w:t>440101000041759</w:t>
      </w:r>
      <w:r>
        <w:rPr/>
        <w:t>。</w:t>
      </w:r>
      <w:r>
        <w:rPr>
          <w:rFonts w:ascii="宋体" w:hAnsi="宋体" w:cs="宋体" w:eastAsia="宋体" w:hint="default"/>
        </w:rPr>
        <w:t>2010</w:t>
      </w:r>
      <w:r>
        <w:rPr/>
        <w:t>年</w:t>
      </w:r>
      <w:r>
        <w:rPr>
          <w:rFonts w:ascii="宋体" w:hAnsi="宋体" w:cs="宋体" w:eastAsia="宋体" w:hint="default"/>
        </w:rPr>
        <w:t>12</w:t>
      </w:r>
      <w:r>
        <w:rPr/>
        <w:t>月在深圳证券交易所创业板上市，证券代码为</w:t>
      </w:r>
      <w:r>
        <w:rPr>
          <w:rFonts w:ascii="宋体" w:hAnsi="宋体" w:cs="宋体" w:eastAsia="宋体" w:hint="default"/>
        </w:rPr>
        <w:t>300155</w:t>
      </w:r>
      <w:r>
        <w:rPr/>
        <w:t>。所属 行业为其他电子设备制造业类。</w:t>
      </w:r>
    </w:p>
    <w:p>
      <w:pPr>
        <w:pStyle w:val="BodyText"/>
        <w:spacing w:line="316" w:lineRule="auto" w:before="19"/>
        <w:ind w:right="188" w:firstLine="360"/>
        <w:jc w:val="both"/>
      </w:pPr>
      <w:r>
        <w:rPr>
          <w:spacing w:val="-2"/>
        </w:rPr>
        <w:t>根据本公司</w:t>
      </w:r>
      <w:r>
        <w:rPr>
          <w:rFonts w:ascii="宋体" w:hAnsi="宋体" w:cs="宋体" w:eastAsia="宋体" w:hint="default"/>
          <w:spacing w:val="-2"/>
        </w:rPr>
        <w:t>2010</w:t>
      </w:r>
      <w:r>
        <w:rPr>
          <w:spacing w:val="-2"/>
        </w:rPr>
        <w:t>年度第一次临时股东大会决议，经中国证券监督管理委员会批准</w:t>
      </w:r>
      <w:r>
        <w:rPr>
          <w:rFonts w:ascii="宋体" w:hAnsi="宋体" w:cs="宋体" w:eastAsia="宋体" w:hint="default"/>
          <w:spacing w:val="-2"/>
        </w:rPr>
        <w:t>(</w:t>
      </w:r>
      <w:r>
        <w:rPr>
          <w:spacing w:val="-2"/>
        </w:rPr>
        <w:t>证监许可</w:t>
      </w:r>
      <w:r>
        <w:rPr>
          <w:rFonts w:ascii="宋体" w:hAnsi="宋体" w:cs="宋体" w:eastAsia="宋体" w:hint="default"/>
          <w:spacing w:val="-2"/>
        </w:rPr>
        <w:t>[2010]1828</w:t>
      </w:r>
      <w:r>
        <w:rPr>
          <w:spacing w:val="-2"/>
        </w:rPr>
        <w:t>号</w:t>
      </w:r>
      <w:r>
        <w:rPr>
          <w:rFonts w:ascii="宋体" w:hAnsi="宋体" w:cs="宋体" w:eastAsia="宋体" w:hint="default"/>
          <w:spacing w:val="-2"/>
        </w:rPr>
        <w:t>)</w:t>
      </w:r>
      <w:r>
        <w:rPr>
          <w:spacing w:val="-2"/>
        </w:rPr>
        <w:t>，公司通过向</w:t>
      </w:r>
      <w:r>
        <w:rPr/>
        <w:t> </w:t>
      </w:r>
      <w:r>
        <w:rPr>
          <w:spacing w:val="-3"/>
        </w:rPr>
        <w:t>社会公开发行人民币普通股（</w:t>
      </w:r>
      <w:r>
        <w:rPr>
          <w:rFonts w:ascii="宋体" w:hAnsi="宋体" w:cs="宋体" w:eastAsia="宋体" w:hint="default"/>
          <w:spacing w:val="-3"/>
        </w:rPr>
        <w:t>A</w:t>
      </w:r>
      <w:r>
        <w:rPr>
          <w:spacing w:val="-3"/>
        </w:rPr>
        <w:t>股）</w:t>
      </w:r>
      <w:r>
        <w:rPr>
          <w:rFonts w:ascii="宋体" w:hAnsi="宋体" w:cs="宋体" w:eastAsia="宋体" w:hint="default"/>
          <w:spacing w:val="-3"/>
        </w:rPr>
        <w:t>18,000,000</w:t>
      </w:r>
      <w:r>
        <w:rPr>
          <w:spacing w:val="-3"/>
        </w:rPr>
        <w:t>股。根据本公司</w:t>
      </w:r>
      <w:r>
        <w:rPr>
          <w:rFonts w:ascii="宋体" w:hAnsi="宋体" w:cs="宋体" w:eastAsia="宋体" w:hint="default"/>
          <w:spacing w:val="-3"/>
        </w:rPr>
        <w:t>2010</w:t>
      </w:r>
      <w:r>
        <w:rPr>
          <w:spacing w:val="-3"/>
        </w:rPr>
        <w:t>年年度股东大会决议，本公司以</w:t>
      </w:r>
      <w:r>
        <w:rPr>
          <w:rFonts w:ascii="宋体" w:hAnsi="宋体" w:cs="宋体" w:eastAsia="宋体" w:hint="default"/>
          <w:spacing w:val="-3"/>
        </w:rPr>
        <w:t>2010</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日股本</w:t>
      </w:r>
      <w:r>
        <w:rPr>
          <w:rFonts w:ascii="宋体" w:hAnsi="宋体" w:cs="宋体" w:eastAsia="宋体" w:hint="default"/>
          <w:spacing w:val="-3"/>
        </w:rPr>
        <w:t>7200</w:t>
      </w:r>
      <w:r>
        <w:rPr>
          <w:rFonts w:ascii="宋体" w:hAnsi="宋体" w:cs="宋体" w:eastAsia="宋体" w:hint="default"/>
          <w:spacing w:val="-69"/>
        </w:rPr>
        <w:t> </w:t>
      </w:r>
      <w:r>
        <w:rPr>
          <w:rFonts w:ascii="宋体" w:hAnsi="宋体" w:cs="宋体" w:eastAsia="宋体" w:hint="default"/>
          <w:spacing w:val="-69"/>
        </w:rPr>
      </w:r>
      <w:r>
        <w:rPr>
          <w:spacing w:val="-2"/>
        </w:rPr>
        <w:t>万股为基数，按每</w:t>
      </w:r>
      <w:r>
        <w:rPr>
          <w:rFonts w:ascii="宋体" w:hAnsi="宋体" w:cs="宋体" w:eastAsia="宋体" w:hint="default"/>
          <w:spacing w:val="-2"/>
        </w:rPr>
        <w:t>10</w:t>
      </w:r>
      <w:r>
        <w:rPr>
          <w:spacing w:val="-2"/>
        </w:rPr>
        <w:t>股由资本公积金转增</w:t>
      </w:r>
      <w:r>
        <w:rPr>
          <w:rFonts w:ascii="宋体" w:hAnsi="宋体" w:cs="宋体" w:eastAsia="宋体" w:hint="default"/>
          <w:spacing w:val="-2"/>
        </w:rPr>
        <w:t>15</w:t>
      </w:r>
      <w:r>
        <w:rPr>
          <w:spacing w:val="-2"/>
        </w:rPr>
        <w:t>股，共计转增</w:t>
      </w:r>
      <w:r>
        <w:rPr>
          <w:rFonts w:ascii="宋体" w:hAnsi="宋体" w:cs="宋体" w:eastAsia="宋体" w:hint="default"/>
          <w:spacing w:val="-2"/>
        </w:rPr>
        <w:t>108,000,000</w:t>
      </w:r>
      <w:r>
        <w:rPr>
          <w:spacing w:val="-2"/>
        </w:rPr>
        <w:t>股，并于</w:t>
      </w:r>
      <w:r>
        <w:rPr>
          <w:rFonts w:ascii="宋体" w:hAnsi="宋体" w:cs="宋体" w:eastAsia="宋体" w:hint="default"/>
          <w:spacing w:val="-2"/>
        </w:rPr>
        <w:t>2011</w:t>
      </w:r>
      <w:r>
        <w:rPr>
          <w:spacing w:val="-2"/>
        </w:rPr>
        <w:t>年</w:t>
      </w:r>
      <w:r>
        <w:rPr>
          <w:rFonts w:ascii="宋体" w:hAnsi="宋体" w:cs="宋体" w:eastAsia="宋体" w:hint="default"/>
          <w:spacing w:val="-2"/>
        </w:rPr>
        <w:t>5</w:t>
      </w:r>
      <w:r>
        <w:rPr>
          <w:spacing w:val="-2"/>
        </w:rPr>
        <w:t>月实施。转增后，注册资本增至人民</w:t>
      </w:r>
      <w:r>
        <w:rPr>
          <w:spacing w:val="-53"/>
        </w:rPr>
        <w:t> </w:t>
      </w:r>
      <w:r>
        <w:rPr>
          <w:spacing w:val="-53"/>
        </w:rPr>
      </w:r>
      <w:r>
        <w:rPr/>
        <w:t>币</w:t>
      </w:r>
      <w:r>
        <w:rPr>
          <w:spacing w:val="-3"/>
        </w:rPr>
        <w:t> </w:t>
      </w:r>
      <w:r>
        <w:rPr>
          <w:rFonts w:ascii="宋体" w:hAnsi="宋体" w:cs="宋体" w:eastAsia="宋体" w:hint="default"/>
        </w:rPr>
        <w:t>180,000,000</w:t>
      </w:r>
      <w:r>
        <w:rPr/>
        <w:t>元。</w:t>
      </w:r>
    </w:p>
    <w:p>
      <w:pPr>
        <w:pStyle w:val="BodyText"/>
        <w:spacing w:line="319" w:lineRule="auto" w:before="19"/>
        <w:ind w:right="88" w:firstLine="360"/>
        <w:jc w:val="left"/>
      </w:pPr>
      <w:r>
        <w:rPr>
          <w:spacing w:val="-3"/>
        </w:rPr>
        <w:t>截至</w:t>
      </w:r>
      <w:r>
        <w:rPr>
          <w:rFonts w:ascii="宋体" w:hAnsi="宋体" w:cs="宋体" w:eastAsia="宋体" w:hint="default"/>
          <w:spacing w:val="-3"/>
        </w:rPr>
        <w:t>2012</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日，本公司累计发行股本总数</w:t>
      </w:r>
      <w:r>
        <w:rPr>
          <w:rFonts w:ascii="宋体" w:hAnsi="宋体" w:cs="宋体" w:eastAsia="宋体" w:hint="default"/>
          <w:spacing w:val="-3"/>
        </w:rPr>
        <w:t>18,000</w:t>
      </w:r>
      <w:r>
        <w:rPr>
          <w:spacing w:val="-3"/>
        </w:rPr>
        <w:t>万股，公司注册资本为</w:t>
      </w:r>
      <w:r>
        <w:rPr>
          <w:rFonts w:ascii="宋体" w:hAnsi="宋体" w:cs="宋体" w:eastAsia="宋体" w:hint="default"/>
          <w:spacing w:val="-3"/>
        </w:rPr>
        <w:t>18,000</w:t>
      </w:r>
      <w:r>
        <w:rPr>
          <w:spacing w:val="-3"/>
        </w:rPr>
        <w:t>万元，经营范围为：自动控制设备、</w:t>
      </w:r>
      <w:r>
        <w:rPr/>
        <w:t> </w:t>
      </w:r>
      <w:r>
        <w:rPr>
          <w:spacing w:val="-2"/>
        </w:rPr>
        <w:t>通讯设备的开发、设计、研发、制造、销售及技术咨询；电子产品、计算机软件的开发、研制；安全技术防范系统设计、施</w:t>
      </w:r>
      <w:r>
        <w:rPr>
          <w:spacing w:val="-70"/>
        </w:rPr>
        <w:t> </w:t>
      </w:r>
      <w:r>
        <w:rPr>
          <w:spacing w:val="-70"/>
        </w:rPr>
      </w:r>
      <w:r>
        <w:rPr/>
        <w:t>工、维修。主要产品为楼宇对讲系统，智能家居，停车场系统。公司注册地</w:t>
      </w:r>
      <w:r>
        <w:rPr>
          <w:rFonts w:ascii="宋体" w:hAnsi="宋体" w:cs="宋体" w:eastAsia="宋体" w:hint="default"/>
        </w:rPr>
        <w:t>: </w:t>
      </w:r>
      <w:r>
        <w:rPr/>
        <w:t>广州高新技术产业开发区科学城起云路</w:t>
      </w:r>
      <w:r>
        <w:rPr>
          <w:rFonts w:ascii="宋体" w:hAnsi="宋体" w:cs="宋体" w:eastAsia="宋体" w:hint="default"/>
        </w:rPr>
        <w:t>6</w:t>
      </w:r>
      <w:r>
        <w:rPr/>
        <w:t>号，</w:t>
      </w:r>
      <w:r>
        <w:rPr>
          <w:spacing w:val="-84"/>
        </w:rPr>
        <w:t> </w:t>
      </w:r>
      <w:r>
        <w:rPr/>
        <w:t>总部办公地：广州高新技术产业开发区科学城起云路</w:t>
      </w:r>
      <w:r>
        <w:rPr>
          <w:rFonts w:ascii="宋体" w:hAnsi="宋体" w:cs="宋体" w:eastAsia="宋体" w:hint="default"/>
        </w:rPr>
        <w:t>6</w:t>
      </w:r>
      <w:r>
        <w:rPr/>
        <w:t>号。</w:t>
      </w:r>
    </w:p>
    <w:p>
      <w:pPr>
        <w:spacing w:line="240" w:lineRule="auto" w:before="9"/>
        <w:rPr>
          <w:rFonts w:ascii="宋体" w:hAnsi="宋体" w:cs="宋体" w:eastAsia="宋体" w:hint="default"/>
          <w:sz w:val="22"/>
          <w:szCs w:val="22"/>
        </w:rPr>
      </w:pPr>
    </w:p>
    <w:p>
      <w:pPr>
        <w:pStyle w:val="Heading3"/>
        <w:spacing w:line="535" w:lineRule="auto"/>
        <w:ind w:right="4594"/>
        <w:jc w:val="left"/>
        <w:rPr>
          <w:b w:val="0"/>
          <w:bCs w:val="0"/>
        </w:rPr>
      </w:pPr>
      <w:r>
        <w:rPr>
          <w:spacing w:val="-1"/>
        </w:rPr>
        <w:t>四、公司主要会计政策、会计估计和前期差错</w:t>
      </w:r>
      <w:r>
        <w:rPr>
          <w:spacing w:val="-85"/>
        </w:rPr>
        <w:t> </w:t>
      </w:r>
      <w:r>
        <w:rPr>
          <w:spacing w:val="-85"/>
        </w:rPr>
      </w:r>
      <w:r>
        <w:rPr>
          <w:rFonts w:ascii="宋体" w:hAnsi="宋体" w:cs="宋体" w:eastAsia="宋体" w:hint="default"/>
        </w:rPr>
        <w:t>1</w:t>
      </w:r>
      <w:r>
        <w:rPr/>
        <w:t>、财务报表的编制基础</w:t>
      </w:r>
      <w:r>
        <w:rPr>
          <w:b w:val="0"/>
          <w:bCs w:val="0"/>
        </w:rPr>
      </w:r>
    </w:p>
    <w:p>
      <w:pPr>
        <w:pStyle w:val="BodyText"/>
        <w:spacing w:line="319" w:lineRule="auto" w:before="102"/>
        <w:ind w:right="193" w:firstLine="360"/>
        <w:jc w:val="both"/>
      </w:pPr>
      <w:r>
        <w:rPr/>
        <w:t>公司以持续经营为基础，根据实际发生的交易和事项，按照财政部于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日颁布的《企业会计准则——基本准 则》和</w:t>
      </w:r>
      <w:r>
        <w:rPr>
          <w:rFonts w:ascii="宋体" w:hAnsi="宋体" w:cs="宋体" w:eastAsia="宋体" w:hint="default"/>
        </w:rPr>
        <w:t>38</w:t>
      </w:r>
      <w:r>
        <w:rPr/>
        <w:t>项具体会计准则、其后颁布的企业会计准则应用指南、企业会计准则解释及其他相关规定</w:t>
      </w:r>
      <w:r>
        <w:rPr>
          <w:rFonts w:ascii="宋体" w:hAnsi="宋体" w:cs="宋体" w:eastAsia="宋体" w:hint="default"/>
        </w:rPr>
        <w:t>(</w:t>
      </w:r>
      <w:r>
        <w:rPr/>
        <w:t>以下合称“企业会计准 则”)、以及中国证券监督管理委员会《公开发行证券的公司信息披露编报规则第</w:t>
      </w:r>
      <w:r>
        <w:rPr>
          <w:rFonts w:ascii="宋体" w:hAnsi="宋体" w:cs="宋体" w:eastAsia="宋体" w:hint="default"/>
        </w:rPr>
        <w:t>15</w:t>
      </w:r>
      <w:r>
        <w:rPr>
          <w:rFonts w:ascii="宋体" w:hAnsi="宋体" w:cs="宋体" w:eastAsia="宋体" w:hint="default"/>
          <w:spacing w:val="2"/>
        </w:rPr>
        <w:t> </w:t>
      </w:r>
      <w:r>
        <w:rPr/>
        <w:t>号——财务报告的一般规定》</w:t>
      </w:r>
      <w:r>
        <w:rPr>
          <w:rFonts w:ascii="宋体" w:hAnsi="宋体" w:cs="宋体" w:eastAsia="宋体" w:hint="default"/>
        </w:rPr>
        <w:t>(2010</w:t>
      </w:r>
      <w:r>
        <w:rPr/>
        <w:t>年 修订</w:t>
      </w:r>
      <w:r>
        <w:rPr>
          <w:rFonts w:ascii="宋体" w:hAnsi="宋体" w:cs="宋体" w:eastAsia="宋体" w:hint="default"/>
        </w:rPr>
        <w:t>)</w:t>
      </w:r>
      <w:r>
        <w:rPr/>
        <w:t>的披露规定编制财务报表。</w:t>
      </w:r>
    </w:p>
    <w:p>
      <w:pPr>
        <w:spacing w:line="240" w:lineRule="auto" w:before="9"/>
        <w:rPr>
          <w:rFonts w:ascii="宋体" w:hAnsi="宋体" w:cs="宋体" w:eastAsia="宋体" w:hint="default"/>
          <w:sz w:val="22"/>
          <w:szCs w:val="22"/>
        </w:rPr>
      </w:pPr>
    </w:p>
    <w:p>
      <w:pPr>
        <w:pStyle w:val="Heading3"/>
        <w:spacing w:line="240" w:lineRule="auto"/>
        <w:ind w:right="88"/>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88" w:firstLine="360"/>
        <w:jc w:val="left"/>
      </w:pPr>
      <w:r>
        <w:rPr>
          <w:spacing w:val="-2"/>
        </w:rPr>
        <w:t>公司所编制的财务报表符合企业会计准则的要求，真实、完整地反映了报告期公司的财务状况、经营成果、现金流量等</w:t>
      </w:r>
      <w:r>
        <w:rPr/>
        <w:t> 有关信息。</w:t>
      </w:r>
    </w:p>
    <w:p>
      <w:pPr>
        <w:spacing w:line="240" w:lineRule="auto" w:before="10"/>
        <w:rPr>
          <w:rFonts w:ascii="宋体" w:hAnsi="宋体" w:cs="宋体" w:eastAsia="宋体" w:hint="default"/>
          <w:sz w:val="22"/>
          <w:szCs w:val="22"/>
        </w:rPr>
      </w:pPr>
    </w:p>
    <w:p>
      <w:pPr>
        <w:pStyle w:val="Heading3"/>
        <w:spacing w:line="240" w:lineRule="auto"/>
        <w:ind w:right="88"/>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88"/>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0"/>
        <w:rPr>
          <w:rFonts w:ascii="宋体" w:hAnsi="宋体" w:cs="宋体" w:eastAsia="宋体" w:hint="default"/>
          <w:sz w:val="18"/>
          <w:szCs w:val="18"/>
        </w:rPr>
      </w:pPr>
    </w:p>
    <w:p>
      <w:pPr>
        <w:pStyle w:val="Heading3"/>
        <w:spacing w:line="240" w:lineRule="auto" w:before="120"/>
        <w:ind w:right="88"/>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88"/>
        <w:jc w:val="left"/>
      </w:pPr>
      <w:r>
        <w:rPr/>
        <w:t>采用人民币为记账本位币。</w:t>
      </w:r>
    </w:p>
    <w:p>
      <w:pPr>
        <w:spacing w:line="240" w:lineRule="auto" w:before="0"/>
        <w:rPr>
          <w:rFonts w:ascii="宋体" w:hAnsi="宋体" w:cs="宋体" w:eastAsia="宋体" w:hint="default"/>
          <w:sz w:val="18"/>
          <w:szCs w:val="18"/>
        </w:rPr>
      </w:pPr>
    </w:p>
    <w:p>
      <w:pPr>
        <w:pStyle w:val="Heading3"/>
        <w:spacing w:line="240" w:lineRule="auto" w:before="120"/>
        <w:ind w:right="88"/>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88"/>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88" w:firstLine="360"/>
        <w:jc w:val="left"/>
      </w:pPr>
      <w:r>
        <w:rPr>
          <w:spacing w:val="-2"/>
        </w:rPr>
        <w:t>本公司在企业合并中取得的资产和负债，按照合并日在被合并方的账面价值计量。被合并各方采用的会计政策与本公司</w:t>
      </w:r>
      <w:r>
        <w:rPr/>
        <w:t> 不一致的，本公司在合并日按照本公司会计政策进行调整，在此基础上按照调整后的账面价值确认。</w:t>
      </w:r>
    </w:p>
    <w:p>
      <w:pPr>
        <w:spacing w:after="0" w:line="316" w:lineRule="auto"/>
        <w:jc w:val="left"/>
        <w:sectPr>
          <w:headerReference w:type="default" r:id="rId33"/>
          <w:footerReference w:type="default" r:id="rId34"/>
          <w:pgSz w:w="11910" w:h="16840"/>
          <w:pgMar w:header="877" w:footer="1227" w:top="1060" w:bottom="1420" w:left="980" w:right="940"/>
          <w:pgNumType w:start="78"/>
        </w:sectPr>
      </w:pPr>
    </w:p>
    <w:p>
      <w:pPr>
        <w:spacing w:line="240" w:lineRule="auto" w:before="11"/>
        <w:rPr>
          <w:rFonts w:ascii="宋体" w:hAnsi="宋体" w:cs="宋体" w:eastAsia="宋体" w:hint="default"/>
          <w:sz w:val="21"/>
          <w:szCs w:val="21"/>
        </w:rPr>
      </w:pPr>
    </w:p>
    <w:p>
      <w:pPr>
        <w:pStyle w:val="BodyText"/>
        <w:spacing w:line="319" w:lineRule="auto" w:before="44"/>
        <w:ind w:right="88" w:firstLine="360"/>
        <w:jc w:val="left"/>
      </w:pPr>
      <w:r>
        <w:rPr>
          <w:spacing w:val="-2"/>
        </w:rPr>
        <w:t>在合并中取得的净资产账面价值与支付的合并对价账面价值（或发行股份面值总额）的差额，调整资本公积中的股本溢</w:t>
      </w:r>
      <w:r>
        <w:rPr/>
        <w:t> 价，资本公积中的股本溢价不足冲减的，调整留存收益。</w:t>
      </w:r>
    </w:p>
    <w:p>
      <w:pPr>
        <w:pStyle w:val="BodyText"/>
        <w:spacing w:line="316" w:lineRule="auto" w:before="17"/>
        <w:ind w:right="88" w:firstLine="360"/>
        <w:jc w:val="left"/>
      </w:pPr>
      <w:r>
        <w:rPr>
          <w:spacing w:val="-4"/>
        </w:rPr>
        <w:t>本公司为进行企业合并而发生的各项直接相关费用，包括为进行企业合并而支付的审计费用、评估费用、法律服务费等，</w:t>
      </w:r>
      <w:r>
        <w:rPr/>
        <w:t> 于发生时计入当期损益。</w:t>
      </w:r>
    </w:p>
    <w:p>
      <w:pPr>
        <w:pStyle w:val="BodyText"/>
        <w:spacing w:line="240" w:lineRule="auto" w:before="19"/>
        <w:ind w:left="513" w:right="0"/>
        <w:jc w:val="left"/>
      </w:pPr>
      <w:r>
        <w:rPr/>
        <w:t>企业合并中发行权益性证券发生的手续费、佣金等，抵减权益性证券溢价收入，溢价收入不足冲减的，冲减留存收益。</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88" w:firstLine="360"/>
        <w:jc w:val="left"/>
      </w:pPr>
      <w:r>
        <w:rPr>
          <w:spacing w:val="-4"/>
        </w:rPr>
        <w:t>本公司在购买日对作为企业合并对价付出的资产、发生或承担的负债按照公允价值计量。公允价值与其账面价值的差额，</w:t>
      </w:r>
      <w:r>
        <w:rPr/>
        <w:t> 计入当期损益。</w:t>
      </w:r>
    </w:p>
    <w:p>
      <w:pPr>
        <w:pStyle w:val="BodyText"/>
        <w:spacing w:line="316" w:lineRule="auto" w:before="19"/>
        <w:ind w:left="513" w:right="88"/>
        <w:jc w:val="left"/>
      </w:pPr>
      <w:r>
        <w:rPr/>
        <w:t>本公司在购买日对合并成本进行分配，确认所取得的被购买方各项可辨认资产、负债及或有负债的公允价值。 </w:t>
      </w:r>
      <w:r>
        <w:rPr>
          <w:spacing w:val="-2"/>
        </w:rPr>
        <w:t>本公司对合并成本大于合并中取得的被购买方可辨认净资产公允价值份额的差额，确认为商誉；合并成本小于合并中取</w:t>
      </w:r>
    </w:p>
    <w:p>
      <w:pPr>
        <w:pStyle w:val="BodyText"/>
        <w:spacing w:line="316" w:lineRule="auto" w:before="19"/>
        <w:ind w:left="513" w:right="88" w:hanging="361"/>
        <w:jc w:val="left"/>
      </w:pPr>
      <w:r>
        <w:rPr/>
        <w:t>得的被购买方可辨认净资产公允价值份额的差额，经复核后，计入当期损益。 </w:t>
      </w:r>
      <w:r>
        <w:rPr>
          <w:spacing w:val="-2"/>
        </w:rPr>
        <w:t>企业合并中取得的被购买方除无形资产外的其他各项资产（不仅限于被购买方原已确认的资产），其所带来的经济利益</w:t>
      </w:r>
    </w:p>
    <w:p>
      <w:pPr>
        <w:pStyle w:val="BodyText"/>
        <w:spacing w:line="316" w:lineRule="auto" w:before="19"/>
        <w:ind w:right="190"/>
        <w:jc w:val="both"/>
      </w:pPr>
      <w:r>
        <w:rPr>
          <w:spacing w:val="-2"/>
        </w:rPr>
        <w:t>很可能流入本公司且公允价值能够可靠计量的，单独确认并按公允价值计量；公允价值能够可靠计量的无形资产，单独确认</w:t>
      </w:r>
      <w:r>
        <w:rPr>
          <w:spacing w:val="-63"/>
        </w:rPr>
        <w:t> </w:t>
      </w:r>
      <w:r>
        <w:rPr>
          <w:spacing w:val="-63"/>
        </w:rPr>
      </w:r>
      <w:r>
        <w:rPr>
          <w:spacing w:val="-2"/>
        </w:rPr>
        <w:t>为无形资产并按公允价值计量；取得的被购买方除或有负债以外的其他各项负债，履行有关义务很可能导致经济利益流出本</w:t>
      </w:r>
      <w:r>
        <w:rPr>
          <w:spacing w:val="-64"/>
        </w:rPr>
        <w:t> </w:t>
      </w:r>
      <w:r>
        <w:rPr>
          <w:spacing w:val="-64"/>
        </w:rPr>
      </w:r>
      <w:r>
        <w:rPr>
          <w:spacing w:val="-2"/>
        </w:rPr>
        <w:t>公司且公允价值能够可靠计量的，单独确认并按照公允价值计量；取得的被购买方或有负债，其公允价值能可靠计量的，单</w:t>
      </w:r>
      <w:r>
        <w:rPr>
          <w:spacing w:val="-64"/>
        </w:rPr>
        <w:t> </w:t>
      </w:r>
      <w:r>
        <w:rPr>
          <w:spacing w:val="-64"/>
        </w:rPr>
      </w:r>
      <w:r>
        <w:rPr/>
        <w:t>独确认为负债并按照公允价值计量。</w:t>
      </w:r>
    </w:p>
    <w:p>
      <w:pPr>
        <w:pStyle w:val="BodyText"/>
        <w:spacing w:line="316" w:lineRule="auto" w:before="19"/>
        <w:ind w:right="94" w:firstLine="360"/>
        <w:jc w:val="left"/>
      </w:pPr>
      <w:r>
        <w:rPr/>
        <w:t>本公司在企业合并中取得的被购买方的可抵扣暂时性差异，在购买日不符合递延所得税资产确认条件的，不予以确认。 </w:t>
      </w:r>
      <w:r>
        <w:rPr>
          <w:spacing w:val="-2"/>
        </w:rPr>
        <w:t>购买日后</w:t>
      </w:r>
      <w:r>
        <w:rPr>
          <w:rFonts w:ascii="宋体" w:hAnsi="宋体" w:cs="宋体" w:eastAsia="宋体" w:hint="default"/>
          <w:spacing w:val="-2"/>
        </w:rPr>
        <w:t>12</w:t>
      </w:r>
      <w:r>
        <w:rPr>
          <w:spacing w:val="-2"/>
        </w:rPr>
        <w:t>个月内，如取得新的或进一步的信息表明购买日的相关情况已经存在，预期被购买方在购买日可抵扣暂时性差异</w:t>
      </w:r>
      <w:r>
        <w:rPr>
          <w:spacing w:val="-63"/>
        </w:rPr>
        <w:t> </w:t>
      </w:r>
      <w:r>
        <w:rPr>
          <w:spacing w:val="-63"/>
        </w:rPr>
      </w:r>
      <w:r>
        <w:rPr>
          <w:spacing w:val="-2"/>
        </w:rPr>
        <w:t>带来的经济利益能够实现的，确认相关的递延所得税资产，同时减少商誉，商誉不足冲减的，差额部分确认为当期损益；除</w:t>
      </w:r>
      <w:r>
        <w:rPr>
          <w:spacing w:val="-67"/>
        </w:rPr>
        <w:t> </w:t>
      </w:r>
      <w:r>
        <w:rPr>
          <w:spacing w:val="-67"/>
        </w:rPr>
      </w:r>
      <w:r>
        <w:rPr/>
        <w:t>上述情况以外，确认与企业合并相关的递延所得税资产，计入当期损益。</w:t>
      </w:r>
    </w:p>
    <w:p>
      <w:pPr>
        <w:pStyle w:val="BodyText"/>
        <w:spacing w:line="319" w:lineRule="auto" w:before="19"/>
        <w:ind w:right="193" w:firstLine="360"/>
        <w:jc w:val="both"/>
      </w:pPr>
      <w:r>
        <w:rPr>
          <w:spacing w:val="-2"/>
        </w:rPr>
        <w:t>非同一控制下企业合并，购买方为企业合并发生的审计、法律服务、评估咨询等中介费用以及其他相关管理费用，应当</w:t>
      </w:r>
      <w:r>
        <w:rPr/>
        <w:t> </w:t>
      </w:r>
      <w:r>
        <w:rPr>
          <w:spacing w:val="-2"/>
        </w:rPr>
        <w:t>于发生时计入当期损益；购买方作为合并对价发行的权益性证券或债务性证券的交易费用，应当计入权益性证券或债务性证</w:t>
      </w:r>
      <w:r>
        <w:rPr>
          <w:spacing w:val="-64"/>
        </w:rPr>
        <w:t> </w:t>
      </w:r>
      <w:r>
        <w:rPr>
          <w:spacing w:val="-64"/>
        </w:rPr>
      </w:r>
      <w:r>
        <w:rPr/>
        <w:t>券的初始确认金额。</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88"/>
        <w:jc w:val="left"/>
      </w:pPr>
      <w:r>
        <w:rPr/>
        <w:t>本公司合并财务报表的合并范围以控制为基础确定，所有子公司均纳入合并财务报表。 </w:t>
      </w:r>
      <w:r>
        <w:rPr>
          <w:spacing w:val="-2"/>
        </w:rPr>
        <w:t>所有纳入合并财务报表合并范围的子公司所采用的会计政策、会计期间与本公司一致，如子公司采用的会计政策、会计</w:t>
      </w:r>
    </w:p>
    <w:p>
      <w:pPr>
        <w:pStyle w:val="BodyText"/>
        <w:spacing w:line="316" w:lineRule="auto" w:before="19"/>
        <w:ind w:right="191"/>
        <w:jc w:val="both"/>
      </w:pPr>
      <w:r>
        <w:rPr>
          <w:spacing w:val="-2"/>
        </w:rPr>
        <w:t>期间与本公司不一致的，在编制合并财务报表时，按本公司的会计政策、会计期间进行必要的调整。对于非同一控制下企业</w:t>
      </w:r>
      <w:r>
        <w:rPr>
          <w:spacing w:val="-65"/>
        </w:rPr>
        <w:t> </w:t>
      </w:r>
      <w:r>
        <w:rPr>
          <w:spacing w:val="-65"/>
        </w:rPr>
      </w:r>
      <w:r>
        <w:rPr>
          <w:spacing w:val="-2"/>
        </w:rPr>
        <w:t>合并取得的子公司，以购买日可辨认净资产公允价值为基础对其财务报表进行调整。合并财务报表以本公司及子公司的财务</w:t>
      </w:r>
      <w:r>
        <w:rPr>
          <w:spacing w:val="-63"/>
        </w:rPr>
        <w:t> </w:t>
      </w:r>
      <w:r>
        <w:rPr>
          <w:spacing w:val="-63"/>
        </w:rPr>
      </w:r>
      <w:r>
        <w:rPr/>
        <w:t>报表为基础，根据其他有关资料，按照权益法调整对子公司的长期股权投资后，由本公司编制。</w:t>
      </w:r>
    </w:p>
    <w:p>
      <w:pPr>
        <w:pStyle w:val="BodyText"/>
        <w:spacing w:line="316" w:lineRule="auto" w:before="19"/>
        <w:ind w:right="88" w:firstLine="360"/>
        <w:jc w:val="left"/>
      </w:pPr>
      <w:r>
        <w:rPr>
          <w:spacing w:val="-2"/>
        </w:rPr>
        <w:t>合并财务报表时抵销本公司与各子公司、各子公司相互之间发生的内部交易对合并资产负债表、合并利润表、合并现金</w:t>
      </w:r>
      <w:r>
        <w:rPr/>
        <w:t> 流量表、合并所有者权益变动表的影响。</w:t>
      </w:r>
    </w:p>
    <w:p>
      <w:pPr>
        <w:pStyle w:val="BodyText"/>
        <w:spacing w:line="316" w:lineRule="auto" w:before="19"/>
        <w:ind w:right="94" w:firstLine="360"/>
        <w:jc w:val="left"/>
      </w:pPr>
      <w:r>
        <w:rPr/>
        <w:t>子公司少数股东应占的权益和损益分别在合并资产负债表中所有者权益项目下和合并利润表中净利润项目下单独列示。 子公司少数股东分担的当期亏损超过了少数股东在该子公司期初所有者权益中所享有份额而形成的余额，冲减少数股东权</w:t>
      </w:r>
      <w:r>
        <w:rPr>
          <w:spacing w:val="-11"/>
        </w:rPr>
        <w:t> </w:t>
      </w:r>
      <w:r>
        <w:rPr>
          <w:spacing w:val="-11"/>
        </w:rPr>
      </w:r>
      <w:r>
        <w:rPr/>
        <w:t>益。</w:t>
      </w:r>
    </w:p>
    <w:p>
      <w:pPr>
        <w:pStyle w:val="BodyText"/>
        <w:spacing w:line="316" w:lineRule="auto" w:before="19"/>
        <w:ind w:right="190" w:firstLine="360"/>
        <w:jc w:val="both"/>
      </w:pPr>
      <w:r>
        <w:rPr>
          <w:spacing w:val="-2"/>
        </w:rPr>
        <w:t>在报告期内，若因同一控制下企业合并增加子公司的，则调整合并资产负债表的期初数；将子公司合并当期期初至报告</w:t>
      </w:r>
      <w:r>
        <w:rPr/>
        <w:t> </w:t>
      </w:r>
      <w:r>
        <w:rPr>
          <w:spacing w:val="-2"/>
        </w:rPr>
        <w:t>期末的收入、费用、利润纳入合并利润表；将子公司合并当期期初至报告期末的现金流量纳入合并现金流量表，同时对比较</w:t>
      </w:r>
      <w:r>
        <w:rPr>
          <w:spacing w:val="-64"/>
        </w:rPr>
        <w:t> </w:t>
      </w:r>
      <w:r>
        <w:rPr>
          <w:spacing w:val="-64"/>
        </w:rPr>
      </w:r>
      <w:r>
        <w:rPr/>
        <w:t>报表的相关项目进行调整，视同合并后的报告主体在以前期间一直存在。</w:t>
      </w:r>
    </w:p>
    <w:p>
      <w:pPr>
        <w:pStyle w:val="BodyText"/>
        <w:spacing w:line="240" w:lineRule="auto" w:before="18"/>
        <w:ind w:left="513" w:right="0"/>
        <w:jc w:val="left"/>
      </w:pPr>
      <w:r>
        <w:rPr/>
        <w:t>在报告期内，若因非同一控制下企业合并增加子公司的，则不调整合并资产负债表期初数；将子公司自购买日至报告期</w:t>
      </w:r>
    </w:p>
    <w:p>
      <w:pPr>
        <w:spacing w:after="0" w:line="240" w:lineRule="auto"/>
        <w:jc w:val="left"/>
        <w:sectPr>
          <w:pgSz w:w="11910" w:h="16840"/>
          <w:pgMar w:header="877" w:footer="1227" w:top="1100" w:bottom="1420" w:left="980" w:right="940"/>
        </w:sectPr>
      </w:pPr>
    </w:p>
    <w:p>
      <w:pPr>
        <w:spacing w:line="240" w:lineRule="auto" w:before="11"/>
        <w:rPr>
          <w:rFonts w:ascii="宋体" w:hAnsi="宋体" w:cs="宋体" w:eastAsia="宋体" w:hint="default"/>
          <w:sz w:val="21"/>
          <w:szCs w:val="21"/>
        </w:rPr>
      </w:pPr>
    </w:p>
    <w:p>
      <w:pPr>
        <w:pStyle w:val="BodyText"/>
        <w:spacing w:line="319" w:lineRule="auto" w:before="44"/>
        <w:ind w:right="190"/>
        <w:jc w:val="both"/>
      </w:pPr>
      <w:r>
        <w:rPr>
          <w:spacing w:val="-2"/>
        </w:rPr>
        <w:t>末的收入、费用、利润纳入合并利润表；该子公司自购买日至报告期末的现金流量纳入合并现金流量表。通过多次交易分步</w:t>
      </w:r>
      <w:r>
        <w:rPr>
          <w:spacing w:val="-64"/>
        </w:rPr>
        <w:t> </w:t>
      </w:r>
      <w:r>
        <w:rPr>
          <w:spacing w:val="-64"/>
        </w:rPr>
      </w:r>
      <w:r>
        <w:rPr>
          <w:spacing w:val="-2"/>
        </w:rPr>
        <w:t>实现非同一控制下企业合并时，对于购买日之前持有的被购买方的股权，本公司按照该股权在购买日的公允价值进行重新计</w:t>
      </w:r>
      <w:r>
        <w:rPr>
          <w:spacing w:val="-64"/>
        </w:rPr>
        <w:t> </w:t>
      </w:r>
      <w:r>
        <w:rPr>
          <w:spacing w:val="-64"/>
        </w:rPr>
      </w:r>
      <w:r>
        <w:rPr>
          <w:spacing w:val="-2"/>
        </w:rPr>
        <w:t>量，公允价值与其账面价值的差额计入当期投资收益。购买日之前持有的被购买方的股权涉及其他综合收益的，与其相关的</w:t>
      </w:r>
      <w:r>
        <w:rPr>
          <w:spacing w:val="-63"/>
        </w:rPr>
        <w:t> </w:t>
      </w:r>
      <w:r>
        <w:rPr>
          <w:spacing w:val="-63"/>
        </w:rPr>
      </w:r>
      <w:r>
        <w:rPr/>
        <w:t>其他综合收益转为购买日所属当期投资收益。</w:t>
      </w:r>
    </w:p>
    <w:p>
      <w:pPr>
        <w:pStyle w:val="BodyText"/>
        <w:spacing w:line="316" w:lineRule="auto" w:before="17"/>
        <w:ind w:right="189" w:firstLine="360"/>
        <w:jc w:val="both"/>
      </w:pPr>
      <w:r>
        <w:rPr>
          <w:spacing w:val="-2"/>
        </w:rPr>
        <w:t>在报告期内，本公司处置子公司，则该子公司期初至处置日的收入、费用、利润纳入合并利润表；该子公司期初至处置</w:t>
      </w:r>
      <w:r>
        <w:rPr/>
        <w:t> </w:t>
      </w:r>
      <w:r>
        <w:rPr>
          <w:spacing w:val="-2"/>
        </w:rPr>
        <w:t>日的现金流量纳入合并现金流量表。因处置部分股权投资或其他原因丧失了对原有子公司控制权时，对于处置后的剩余股权</w:t>
      </w:r>
      <w:r>
        <w:rPr>
          <w:spacing w:val="-64"/>
        </w:rPr>
        <w:t> </w:t>
      </w:r>
      <w:r>
        <w:rPr>
          <w:spacing w:val="-64"/>
        </w:rPr>
      </w:r>
      <w:r>
        <w:rPr>
          <w:spacing w:val="-2"/>
        </w:rPr>
        <w:t>投资，本公司按照其在丧失控制权日的公允价值进行重新计量。处置股权取得的对价与剩余股权公允价值之和，减去按原持</w:t>
      </w:r>
      <w:r>
        <w:rPr>
          <w:spacing w:val="-62"/>
        </w:rPr>
        <w:t> </w:t>
      </w:r>
      <w:r>
        <w:rPr>
          <w:spacing w:val="-62"/>
        </w:rPr>
      </w:r>
      <w:r>
        <w:rPr>
          <w:spacing w:val="-2"/>
        </w:rPr>
        <w:t>股比例计算应享有原有子公司自购买日开始持续计算的净资产的份额之间的差额，计入丧失控制权当期的投资收益。与原有</w:t>
      </w:r>
      <w:r>
        <w:rPr>
          <w:spacing w:val="-64"/>
        </w:rPr>
        <w:t> </w:t>
      </w:r>
      <w:r>
        <w:rPr>
          <w:spacing w:val="-64"/>
        </w:rPr>
      </w:r>
      <w:r>
        <w:rPr/>
        <w:t>子公司股权投资相关的其他综合收益，在丧失控制权时转为当期投资收益。</w:t>
      </w:r>
    </w:p>
    <w:p>
      <w:pPr>
        <w:pStyle w:val="BodyText"/>
        <w:spacing w:line="316" w:lineRule="auto" w:before="19"/>
        <w:ind w:right="94" w:firstLine="360"/>
        <w:jc w:val="left"/>
      </w:pPr>
      <w:r>
        <w:rPr/>
        <w:t>本公司因购买少数股权新取得的长期股权投资与按照新增持股比例计算应享有子公司的可辨认净资产份额之间的差额， 以及在不丧失控制权的情况下因部分处置对子公司的股权投资而取得的处置价款与处置长期股权投资相对应享有子公司净</w:t>
      </w:r>
      <w:r>
        <w:rPr>
          <w:spacing w:val="-11"/>
        </w:rPr>
        <w:t> </w:t>
      </w:r>
      <w:r>
        <w:rPr>
          <w:spacing w:val="-11"/>
        </w:rPr>
      </w:r>
      <w:r>
        <w:rPr/>
        <w:t>资产份额的差额，均调整合并资产负债表中的资本公积中的股本溢价，资本公积中的股本溢价不足冲减的，调整留存收益。</w:t>
      </w:r>
    </w:p>
    <w:p>
      <w:pPr>
        <w:spacing w:line="240" w:lineRule="auto" w:before="11"/>
        <w:rPr>
          <w:rFonts w:ascii="宋体" w:hAnsi="宋体" w:cs="宋体" w:eastAsia="宋体" w:hint="default"/>
          <w:sz w:val="22"/>
          <w:szCs w:val="22"/>
        </w:rPr>
      </w:pPr>
    </w:p>
    <w:p>
      <w:pPr>
        <w:pStyle w:val="Heading3"/>
        <w:spacing w:line="240" w:lineRule="auto"/>
        <w:ind w:right="88"/>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firstLine="360"/>
        <w:jc w:val="both"/>
      </w:pPr>
      <w:r>
        <w:rPr>
          <w:spacing w:val="-2"/>
        </w:rPr>
        <w:t>在编制现金流量表时，将本公司库存现金以及可以随时用于支付的存款确认为现金。将同时具备期限短（从购买日起三</w:t>
      </w:r>
      <w:r>
        <w:rPr/>
        <w:t> 个月内到期）、流动性强、易于转换为已知现金、价值变动风险很小四个条件的投资，确定为现金等价物。</w:t>
      </w:r>
    </w:p>
    <w:p>
      <w:pPr>
        <w:spacing w:line="240" w:lineRule="auto" w:before="10"/>
        <w:rPr>
          <w:rFonts w:ascii="宋体" w:hAnsi="宋体" w:cs="宋体" w:eastAsia="宋体" w:hint="default"/>
          <w:sz w:val="22"/>
          <w:szCs w:val="22"/>
        </w:rPr>
      </w:pPr>
    </w:p>
    <w:p>
      <w:pPr>
        <w:pStyle w:val="Heading3"/>
        <w:spacing w:line="240" w:lineRule="auto"/>
        <w:ind w:right="88"/>
        <w:jc w:val="left"/>
        <w:rPr>
          <w:b w:val="0"/>
          <w:bCs w:val="0"/>
        </w:rPr>
      </w:pPr>
      <w:r>
        <w:rPr>
          <w:rFonts w:ascii="Times New Roman" w:hAnsi="Times New Roman" w:cs="Times New Roman" w:eastAsia="Times New Roman" w:hint="default"/>
        </w:rPr>
        <w:t>8</w:t>
      </w:r>
      <w:r>
        <w:rPr/>
        <w:t>、金融工具</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88"/>
        <w:jc w:val="left"/>
      </w:pPr>
      <w:r>
        <w:rPr/>
        <w:t>金融工具包括金融资产、金融负债和权益工具。</w:t>
      </w:r>
    </w:p>
    <w:p>
      <w:pPr>
        <w:spacing w:line="240" w:lineRule="auto" w:before="0"/>
        <w:rPr>
          <w:rFonts w:ascii="宋体" w:hAnsi="宋体" w:cs="宋体" w:eastAsia="宋体" w:hint="default"/>
          <w:sz w:val="18"/>
          <w:szCs w:val="18"/>
        </w:rPr>
      </w:pPr>
    </w:p>
    <w:p>
      <w:pPr>
        <w:pStyle w:val="Heading3"/>
        <w:spacing w:line="240" w:lineRule="auto" w:before="120"/>
        <w:ind w:right="88"/>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92" w:firstLine="360"/>
        <w:jc w:val="both"/>
      </w:pPr>
      <w:r>
        <w:rPr>
          <w:spacing w:val="-2"/>
        </w:rPr>
        <w:t>管理层按照取得持有金融资产和承担金融负债的目的，将其划分为：以公允价值计量且其变动计入当期损益的金融资产</w:t>
      </w:r>
      <w:r>
        <w:rPr/>
        <w:t> 或金融负债，包括交易性金融资产或金融负债；持有至到期投资；应收款项；可供出售金融资产；其他金融负债等。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88"/>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75" w:right="88" w:hanging="423"/>
        <w:jc w:val="left"/>
      </w:pPr>
      <w:r>
        <w:rPr/>
        <w:t>（</w:t>
      </w:r>
      <w:r>
        <w:rPr>
          <w:rFonts w:ascii="宋体" w:hAnsi="宋体" w:cs="宋体" w:eastAsia="宋体" w:hint="default"/>
        </w:rPr>
        <w:t>1</w:t>
      </w:r>
      <w:r>
        <w:rPr/>
        <w:t>）以公允价值计量且其变动计入当期损益的金融资产（金融负债） 取得时以公允价值（扣除已宣告但尚未发放的现金股利或已到付息期但尚未领取的债券利息）作为初始确认金额，相</w:t>
      </w:r>
    </w:p>
    <w:p>
      <w:pPr>
        <w:pStyle w:val="BodyText"/>
        <w:spacing w:line="240" w:lineRule="auto" w:before="19"/>
        <w:ind w:left="215" w:right="88"/>
        <w:jc w:val="left"/>
      </w:pPr>
      <w:r>
        <w:rPr/>
        <w:t>关的交易费用计入当期损益。</w:t>
      </w:r>
    </w:p>
    <w:p>
      <w:pPr>
        <w:pStyle w:val="BodyText"/>
        <w:spacing w:line="316" w:lineRule="auto" w:before="76"/>
        <w:ind w:left="215" w:right="189" w:firstLine="360"/>
        <w:jc w:val="both"/>
      </w:pPr>
      <w:r>
        <w:rPr/>
        <w:t>持有期间将取得的利息或现金股利确认为投资收益，期末将公允价值变动计入当期损益。</w:t>
      </w:r>
      <w:r>
        <w:rPr>
          <w:spacing w:val="-49"/>
        </w:rPr>
        <w:t> </w:t>
      </w:r>
      <w:r>
        <w:rPr/>
        <w:t>处置时，其公允价值与初始</w:t>
      </w:r>
      <w:r>
        <w:rPr/>
        <w:t> 入账金额之间的差额确认为投资收益，同时调整公允价值变动损益。</w:t>
      </w:r>
    </w:p>
    <w:p>
      <w:pPr>
        <w:spacing w:line="240" w:lineRule="auto" w:before="4"/>
        <w:rPr>
          <w:rFonts w:ascii="宋体" w:hAnsi="宋体" w:cs="宋体" w:eastAsia="宋体" w:hint="default"/>
          <w:sz w:val="25"/>
          <w:szCs w:val="25"/>
        </w:rPr>
      </w:pPr>
    </w:p>
    <w:p>
      <w:pPr>
        <w:pStyle w:val="BodyText"/>
        <w:spacing w:line="316" w:lineRule="auto"/>
        <w:ind w:left="575" w:right="88" w:hanging="363"/>
        <w:jc w:val="left"/>
      </w:pPr>
      <w:r>
        <w:rPr/>
        <w:t>（</w:t>
      </w:r>
      <w:r>
        <w:rPr>
          <w:rFonts w:ascii="宋体" w:hAnsi="宋体" w:cs="宋体" w:eastAsia="宋体" w:hint="default"/>
        </w:rPr>
        <w:t>2</w:t>
      </w:r>
      <w:r>
        <w:rPr/>
        <w:t>）持有至到期投资 取得时按公允价值（扣除已到付息期但尚未领取的债券利息）和相关交易费用之和作为初始确认金额。持有期间按照</w:t>
      </w:r>
    </w:p>
    <w:p>
      <w:pPr>
        <w:pStyle w:val="BodyText"/>
        <w:spacing w:line="316" w:lineRule="auto" w:before="19"/>
        <w:ind w:left="215" w:right="88"/>
        <w:jc w:val="left"/>
      </w:pPr>
      <w:r>
        <w:rPr/>
        <w:t>摊余成本和实际利率计算确认利息收入，计入投资收益。实际利率在取得时确定，在该预期存续期间或适用的更短期间内</w:t>
      </w:r>
      <w:r>
        <w:rPr>
          <w:spacing w:val="-59"/>
        </w:rPr>
        <w:t> </w:t>
      </w:r>
      <w:r>
        <w:rPr>
          <w:spacing w:val="-59"/>
        </w:rPr>
      </w:r>
      <w:r>
        <w:rPr/>
        <w:t>保持不变。处置时，将所取得价款与该投资账面价值之间的差额计入投资收益。</w:t>
      </w:r>
    </w:p>
    <w:p>
      <w:pPr>
        <w:spacing w:line="240" w:lineRule="auto" w:before="4"/>
        <w:rPr>
          <w:rFonts w:ascii="宋体" w:hAnsi="宋体" w:cs="宋体" w:eastAsia="宋体" w:hint="default"/>
          <w:sz w:val="25"/>
          <w:szCs w:val="25"/>
        </w:rPr>
      </w:pPr>
    </w:p>
    <w:p>
      <w:pPr>
        <w:pStyle w:val="BodyText"/>
        <w:spacing w:line="240" w:lineRule="auto"/>
        <w:ind w:left="212" w:right="88"/>
        <w:jc w:val="left"/>
      </w:pPr>
      <w:r>
        <w:rPr/>
        <w:t>（</w:t>
      </w:r>
      <w:r>
        <w:rPr>
          <w:rFonts w:ascii="宋体" w:hAnsi="宋体" w:cs="宋体" w:eastAsia="宋体" w:hint="default"/>
        </w:rPr>
        <w:t>3</w:t>
      </w:r>
      <w:r>
        <w:rPr/>
        <w:t>）应收款项</w:t>
      </w:r>
    </w:p>
    <w:p>
      <w:pPr>
        <w:pStyle w:val="BodyText"/>
        <w:spacing w:line="316" w:lineRule="auto" w:before="76"/>
        <w:ind w:left="215" w:right="191" w:firstLine="360"/>
        <w:jc w:val="both"/>
      </w:pPr>
      <w:r>
        <w:rPr/>
        <w:t>公司对外销售商品或提供劳务形成的应收债权，以及公司持有的其他企业的不包括在活跃市场上有报价的债务工具的 债权，包括应收账款、其他应收款、应收票据、预付账款、长期应收款等，以向购货方应收的合同或协议价款作为初始确</w:t>
      </w:r>
      <w:r>
        <w:rPr>
          <w:spacing w:val="-57"/>
        </w:rPr>
        <w:t> </w:t>
      </w:r>
      <w:r>
        <w:rPr>
          <w:spacing w:val="-57"/>
        </w:rPr>
      </w:r>
      <w:r>
        <w:rPr/>
        <w:t>认金额；具有融资性质的，按其现值进行初始确认。收回或处置时，将取得的价款与该应收款项账面价值之间的差额计入</w:t>
      </w:r>
    </w:p>
    <w:p>
      <w:pPr>
        <w:spacing w:after="0" w:line="316" w:lineRule="auto"/>
        <w:jc w:val="both"/>
        <w:sectPr>
          <w:pgSz w:w="11910" w:h="16840"/>
          <w:pgMar w:header="877" w:footer="1227" w:top="1100" w:bottom="1420" w:left="980" w:right="940"/>
        </w:sectPr>
      </w:pPr>
    </w:p>
    <w:p>
      <w:pPr>
        <w:spacing w:line="240" w:lineRule="auto" w:before="11"/>
        <w:rPr>
          <w:rFonts w:ascii="宋体" w:hAnsi="宋体" w:cs="宋体" w:eastAsia="宋体" w:hint="default"/>
          <w:sz w:val="21"/>
          <w:szCs w:val="21"/>
        </w:rPr>
      </w:pPr>
    </w:p>
    <w:p>
      <w:pPr>
        <w:pStyle w:val="BodyText"/>
        <w:spacing w:line="240" w:lineRule="auto" w:before="44"/>
        <w:ind w:left="215" w:right="88"/>
        <w:jc w:val="left"/>
      </w:pPr>
      <w:r>
        <w:rPr/>
        <w:t>当期损益。</w:t>
      </w:r>
    </w:p>
    <w:p>
      <w:pPr>
        <w:spacing w:line="240" w:lineRule="auto" w:before="0"/>
        <w:rPr>
          <w:rFonts w:ascii="宋体" w:hAnsi="宋体" w:cs="宋体" w:eastAsia="宋体" w:hint="default"/>
          <w:sz w:val="18"/>
          <w:szCs w:val="18"/>
        </w:rPr>
      </w:pPr>
    </w:p>
    <w:p>
      <w:pPr>
        <w:pStyle w:val="BodyText"/>
        <w:spacing w:line="316" w:lineRule="auto" w:before="153"/>
        <w:ind w:left="575" w:right="88" w:hanging="363"/>
        <w:jc w:val="left"/>
      </w:pPr>
      <w:r>
        <w:rPr/>
        <w:t>（</w:t>
      </w:r>
      <w:r>
        <w:rPr>
          <w:rFonts w:ascii="宋体" w:hAnsi="宋体" w:cs="宋体" w:eastAsia="宋体" w:hint="default"/>
        </w:rPr>
        <w:t>4</w:t>
      </w:r>
      <w:r>
        <w:rPr/>
        <w:t>）可供出售金融资产 取得时按公允价值（扣除已宣告但尚未发放的现金股利或已到付息期但尚未领取的债券利息）和相关交易费用之和作</w:t>
      </w:r>
    </w:p>
    <w:p>
      <w:pPr>
        <w:pStyle w:val="BodyText"/>
        <w:spacing w:line="316" w:lineRule="auto" w:before="19"/>
        <w:ind w:left="215" w:right="194"/>
        <w:jc w:val="both"/>
      </w:pPr>
      <w:r>
        <w:rPr/>
        <w:t>为初始确认金额。持有期间将取得的利息或现金股利确认为投资收益。期末以公允价值计量且将公允价值变动计入资本公</w:t>
      </w:r>
      <w:r>
        <w:rPr>
          <w:spacing w:val="-59"/>
        </w:rPr>
        <w:t> </w:t>
      </w:r>
      <w:r>
        <w:rPr>
          <w:spacing w:val="-59"/>
        </w:rPr>
      </w:r>
      <w:r>
        <w:rPr/>
        <w:t>积（其他资本公积）。处置时，将取得的价款与该金融资产账面价值之间的差额，计入投资损益；同时，将原直接计入所</w:t>
      </w:r>
      <w:r>
        <w:rPr>
          <w:spacing w:val="-59"/>
        </w:rPr>
        <w:t> </w:t>
      </w:r>
      <w:r>
        <w:rPr>
          <w:spacing w:val="-59"/>
        </w:rPr>
      </w:r>
      <w:r>
        <w:rPr/>
        <w:t>有者权益的公允价值变动累计额对应处置部分的金额转出，计入投资损益。</w:t>
      </w:r>
    </w:p>
    <w:p>
      <w:pPr>
        <w:spacing w:line="240" w:lineRule="auto" w:before="4"/>
        <w:rPr>
          <w:rFonts w:ascii="宋体" w:hAnsi="宋体" w:cs="宋体" w:eastAsia="宋体" w:hint="default"/>
          <w:sz w:val="25"/>
          <w:szCs w:val="25"/>
        </w:rPr>
      </w:pPr>
    </w:p>
    <w:p>
      <w:pPr>
        <w:pStyle w:val="BodyText"/>
        <w:spacing w:line="316" w:lineRule="auto"/>
        <w:ind w:left="575" w:right="2731" w:hanging="363"/>
        <w:jc w:val="left"/>
      </w:pPr>
      <w:r>
        <w:rPr/>
        <w:t>（</w:t>
      </w:r>
      <w:r>
        <w:rPr>
          <w:rFonts w:ascii="宋体" w:hAnsi="宋体" w:cs="宋体" w:eastAsia="宋体" w:hint="default"/>
        </w:rPr>
        <w:t>5</w:t>
      </w:r>
      <w:r>
        <w:rPr/>
        <w:t>）其他金融负债 按其公允价值和相关交易费用之和作为初始确认金额。采用摊余成本进行后续计量。</w:t>
      </w:r>
    </w:p>
    <w:p>
      <w:pPr>
        <w:spacing w:line="240" w:lineRule="auto" w:before="10"/>
        <w:rPr>
          <w:rFonts w:ascii="宋体" w:hAnsi="宋体" w:cs="宋体" w:eastAsia="宋体" w:hint="default"/>
          <w:sz w:val="22"/>
          <w:szCs w:val="22"/>
        </w:rPr>
      </w:pPr>
    </w:p>
    <w:p>
      <w:pPr>
        <w:pStyle w:val="Heading3"/>
        <w:spacing w:line="240" w:lineRule="auto"/>
        <w:ind w:right="88"/>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215" w:right="198" w:firstLine="360"/>
        <w:jc w:val="both"/>
      </w:pPr>
      <w:r>
        <w:rPr/>
        <w:t>公司发生金融资产转移时，如已将金融资产所有权上几乎所有的风险和报酬转移给转入方，则终止确认该金融资产； 如保留了金融资产所有权上几乎所有的风险和报酬的，则不终止确认该金融资产。</w:t>
      </w:r>
    </w:p>
    <w:p>
      <w:pPr>
        <w:pStyle w:val="BodyText"/>
        <w:spacing w:line="316" w:lineRule="auto" w:before="19"/>
        <w:ind w:left="215" w:right="198" w:firstLine="360"/>
        <w:jc w:val="both"/>
      </w:pPr>
      <w:r>
        <w:rPr/>
        <w:t>在判断金融资产转移是否满足上述金融资产终止确认条件时，采用实质重于形式的原则。公司将金融资产转移区分为 金融资产整体转移和部分转移。金融资产整体转移满足终止确认条件的，将下列两项金额的差额计入当期损益：</w:t>
      </w:r>
    </w:p>
    <w:p>
      <w:pPr>
        <w:pStyle w:val="BodyText"/>
        <w:spacing w:line="240" w:lineRule="auto" w:before="19"/>
        <w:ind w:left="575" w:right="88"/>
        <w:jc w:val="left"/>
      </w:pPr>
      <w:r>
        <w:rPr/>
        <w:t>（</w:t>
      </w:r>
      <w:r>
        <w:rPr>
          <w:rFonts w:ascii="宋体" w:hAnsi="宋体" w:cs="宋体" w:eastAsia="宋体" w:hint="default"/>
        </w:rPr>
        <w:t>1</w:t>
      </w:r>
      <w:r>
        <w:rPr/>
        <w:t>）所转移金融资产的账面价值；</w:t>
      </w:r>
    </w:p>
    <w:p>
      <w:pPr>
        <w:pStyle w:val="BodyText"/>
        <w:spacing w:line="316" w:lineRule="auto" w:before="76"/>
        <w:ind w:left="215" w:right="190" w:firstLine="360"/>
        <w:jc w:val="both"/>
      </w:pPr>
      <w:r>
        <w:rPr>
          <w:spacing w:val="-2"/>
        </w:rPr>
        <w:t>（</w:t>
      </w:r>
      <w:r>
        <w:rPr>
          <w:rFonts w:ascii="宋体" w:hAnsi="宋体" w:cs="宋体" w:eastAsia="宋体" w:hint="default"/>
          <w:spacing w:val="-2"/>
        </w:rPr>
        <w:t>2</w:t>
      </w:r>
      <w:r>
        <w:rPr>
          <w:spacing w:val="-2"/>
        </w:rPr>
        <w:t>）因转移而收到的对价，与原直接计入所有者权益的公允价值变动累计额（涉及转移的金融资产为可供出售金融资</w:t>
      </w:r>
      <w:r>
        <w:rPr/>
        <w:t> 产的情形）之和。</w:t>
      </w:r>
    </w:p>
    <w:p>
      <w:pPr>
        <w:pStyle w:val="BodyText"/>
        <w:spacing w:line="316" w:lineRule="auto" w:before="19"/>
        <w:ind w:left="215" w:right="101" w:firstLine="360"/>
        <w:jc w:val="both"/>
      </w:pPr>
      <w:r>
        <w:rPr>
          <w:spacing w:val="-2"/>
        </w:rPr>
        <w:t>金融资产部分转移满足终止确认条件的，将所转移金融资产整体的账面价值，在终止确认部分和未终止确认部分之间，</w:t>
      </w:r>
      <w:r>
        <w:rPr/>
        <w:t> 按照各自的相对公允价值进行分摊，并将下列两项金额的差额计入当期损益：</w:t>
      </w:r>
    </w:p>
    <w:p>
      <w:pPr>
        <w:pStyle w:val="BodyText"/>
        <w:spacing w:line="240" w:lineRule="auto" w:before="19"/>
        <w:ind w:left="575" w:right="88"/>
        <w:jc w:val="left"/>
      </w:pPr>
      <w:r>
        <w:rPr/>
        <w:t>（</w:t>
      </w:r>
      <w:r>
        <w:rPr>
          <w:rFonts w:ascii="宋体" w:hAnsi="宋体" w:cs="宋体" w:eastAsia="宋体" w:hint="default"/>
        </w:rPr>
        <w:t>1</w:t>
      </w:r>
      <w:r>
        <w:rPr/>
        <w:t>）终止确认部分的账面价值；</w:t>
      </w:r>
    </w:p>
    <w:p>
      <w:pPr>
        <w:pStyle w:val="BodyText"/>
        <w:spacing w:line="319" w:lineRule="auto" w:before="76"/>
        <w:ind w:left="215" w:right="190" w:firstLine="360"/>
        <w:jc w:val="both"/>
      </w:pPr>
      <w:r>
        <w:rPr>
          <w:spacing w:val="-2"/>
        </w:rPr>
        <w:t>（</w:t>
      </w:r>
      <w:r>
        <w:rPr>
          <w:rFonts w:ascii="宋体" w:hAnsi="宋体" w:cs="宋体" w:eastAsia="宋体" w:hint="default"/>
          <w:spacing w:val="-2"/>
        </w:rPr>
        <w:t>2</w:t>
      </w:r>
      <w:r>
        <w:rPr>
          <w:spacing w:val="-2"/>
        </w:rPr>
        <w:t>）终止确认部分的对价，与原直接计入所有者权益的公允价值变动累计额中对应终止确认部分的金额（涉及转移的</w:t>
      </w:r>
      <w:r>
        <w:rPr/>
        <w:t> 金融资产为可供出售金融资产的情形）之和。</w:t>
      </w:r>
    </w:p>
    <w:p>
      <w:pPr>
        <w:pStyle w:val="BodyText"/>
        <w:spacing w:line="240" w:lineRule="auto" w:before="17"/>
        <w:ind w:left="575" w:right="88"/>
        <w:jc w:val="left"/>
      </w:pPr>
      <w:r>
        <w:rPr/>
        <w:t>金融资产转移不满足终止确认条件的，继续确认该金融资产，所收到的对价确认为一项金融负债。</w:t>
      </w:r>
    </w:p>
    <w:p>
      <w:pPr>
        <w:spacing w:line="240" w:lineRule="auto" w:before="0"/>
        <w:rPr>
          <w:rFonts w:ascii="宋体" w:hAnsi="宋体" w:cs="宋体" w:eastAsia="宋体" w:hint="default"/>
          <w:sz w:val="18"/>
          <w:szCs w:val="18"/>
        </w:rPr>
      </w:pPr>
    </w:p>
    <w:p>
      <w:pPr>
        <w:pStyle w:val="Heading3"/>
        <w:spacing w:line="240" w:lineRule="auto" w:before="120"/>
        <w:ind w:right="88"/>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0" w:firstLine="360"/>
        <w:jc w:val="both"/>
      </w:pPr>
      <w:r>
        <w:rPr>
          <w:spacing w:val="-2"/>
        </w:rPr>
        <w:t>金融负债的现时义务全部或部分已经解除的，则终止确认该金融负债或其一部分；本公司若与债权人签定协议，以承担</w:t>
      </w:r>
      <w:r>
        <w:rPr/>
        <w:t> </w:t>
      </w:r>
      <w:r>
        <w:rPr>
          <w:spacing w:val="-2"/>
        </w:rPr>
        <w:t>新金融负债方式替换现存金融负债，且新金融负债与现存金融负债的合同条款实质上不同的，则终止确认现存金融负债，并</w:t>
      </w:r>
      <w:r>
        <w:rPr>
          <w:spacing w:val="-63"/>
        </w:rPr>
        <w:t> </w:t>
      </w:r>
      <w:r>
        <w:rPr>
          <w:spacing w:val="-63"/>
        </w:rPr>
      </w:r>
      <w:r>
        <w:rPr/>
        <w:t>同时确认新金融负债。</w:t>
      </w:r>
    </w:p>
    <w:p>
      <w:pPr>
        <w:pStyle w:val="BodyText"/>
        <w:spacing w:line="316" w:lineRule="auto" w:before="19"/>
        <w:ind w:right="192" w:firstLine="360"/>
        <w:jc w:val="both"/>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9" w:lineRule="auto" w:before="19"/>
        <w:ind w:left="215" w:right="195" w:firstLine="360"/>
        <w:jc w:val="both"/>
      </w:pPr>
      <w:r>
        <w:rPr/>
        <w:t>金融负债全部或部分终止确认时，终止确认的金融负债账面价值与支付对价（包括转出的非现金资产或承担的新金融 负债）之间的差额，计入当期损益。</w:t>
      </w:r>
    </w:p>
    <w:p>
      <w:pPr>
        <w:pStyle w:val="BodyText"/>
        <w:spacing w:line="316" w:lineRule="auto" w:before="17"/>
        <w:ind w:left="215" w:right="194" w:firstLine="360"/>
        <w:jc w:val="both"/>
      </w:pPr>
      <w:r>
        <w:rPr/>
        <w:t>本公司若回购部分金融负债的，在回购日按照继续确认部分与终止确认部分的相对公允价值，将该金融负债整体的账 面价值进行分配。分配给终止确认部分的账面价值与支付的对价（包括转出的非现金资产或承担的新金融负债）之间的差</w:t>
      </w:r>
      <w:r>
        <w:rPr>
          <w:spacing w:val="-59"/>
        </w:rPr>
        <w:t> </w:t>
      </w:r>
      <w:r>
        <w:rPr>
          <w:spacing w:val="-59"/>
        </w:rPr>
      </w:r>
      <w:r>
        <w:rPr/>
        <w:t>额，计入当期损益。</w:t>
      </w:r>
    </w:p>
    <w:p>
      <w:pPr>
        <w:spacing w:line="240" w:lineRule="auto" w:before="10"/>
        <w:rPr>
          <w:rFonts w:ascii="宋体" w:hAnsi="宋体" w:cs="宋体" w:eastAsia="宋体" w:hint="default"/>
          <w:sz w:val="22"/>
          <w:szCs w:val="22"/>
        </w:rPr>
      </w:pPr>
    </w:p>
    <w:p>
      <w:pPr>
        <w:pStyle w:val="Heading3"/>
        <w:spacing w:line="240" w:lineRule="auto"/>
        <w:ind w:right="88"/>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88"/>
        <w:jc w:val="left"/>
      </w:pPr>
      <w:r>
        <w:rPr/>
        <w:t>本公司采用公允价值计量的金融资产和金融负债全部直接参考活跃市场中的报价</w:t>
      </w:r>
      <w:r>
        <w:rPr>
          <w:spacing w:val="2"/>
        </w:rPr>
        <w:t> </w:t>
      </w:r>
      <w:r>
        <w:rPr/>
        <w:t>。</w:t>
      </w:r>
    </w:p>
    <w:p>
      <w:pPr>
        <w:spacing w:after="0" w:line="240" w:lineRule="auto"/>
        <w:jc w:val="left"/>
        <w:sectPr>
          <w:pgSz w:w="11910" w:h="16840"/>
          <w:pgMar w:header="877" w:footer="1227" w:top="1100" w:bottom="1420" w:left="980" w:right="94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firstLine="360"/>
        <w:jc w:val="left"/>
      </w:pPr>
      <w:r>
        <w:rPr>
          <w:spacing w:val="-2"/>
        </w:rPr>
        <w:t>除以公允价值计量且其变动计入当期损益的金融资产外，本公司于资产负债表日对金融资产的账面价值进行检查，如果</w:t>
      </w:r>
      <w:r>
        <w:rPr/>
        <w:t> 有客观证据表明某项金融资产发生减值的，计提减值准备。</w:t>
      </w:r>
    </w:p>
    <w:p>
      <w:pPr>
        <w:pStyle w:val="BodyText"/>
        <w:spacing w:line="316" w:lineRule="auto" w:before="19"/>
        <w:ind w:left="513" w:right="0" w:hanging="361"/>
        <w:jc w:val="left"/>
      </w:pPr>
      <w:r>
        <w:rPr/>
        <w:t>（</w:t>
      </w:r>
      <w:r>
        <w:rPr>
          <w:rFonts w:ascii="宋体" w:hAnsi="宋体" w:cs="宋体" w:eastAsia="宋体" w:hint="default"/>
        </w:rPr>
        <w:t>1</w:t>
      </w:r>
      <w:r>
        <w:rPr/>
        <w:t>）可供出售金融资产的减值准备： </w:t>
      </w:r>
      <w:r>
        <w:rPr>
          <w:spacing w:val="-2"/>
        </w:rPr>
        <w:t>期末如果可供出售金融资产的公允价值发生严重下降，或在综合考虑各种相关因素后，预期这种下降趋势属于非暂时性</w:t>
      </w:r>
    </w:p>
    <w:p>
      <w:pPr>
        <w:pStyle w:val="BodyText"/>
        <w:spacing w:line="316" w:lineRule="auto" w:before="19"/>
        <w:ind w:right="0"/>
        <w:jc w:val="left"/>
      </w:pPr>
      <w:r>
        <w:rPr/>
        <w:t>的，就认定其已发生减值，将原直接计入所有者权益的公允价值下降形成的累计损失一并转出，确认减值损失。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对于已确认减值损失的可供出售债务工具，在随后的会计期间公允价值已上升且客观上与确认原减值损失确认后发生的事项</w:t>
      </w:r>
      <w:r>
        <w:rPr>
          <w:spacing w:val="-64"/>
        </w:rPr>
        <w:t> </w:t>
      </w:r>
      <w:r>
        <w:rPr>
          <w:spacing w:val="-64"/>
        </w:rPr>
      </w:r>
      <w:r>
        <w:rPr/>
        <w:t>有关的，原确认的减值损失予以转回，计入当期损益。</w:t>
      </w:r>
    </w:p>
    <w:p>
      <w:pPr>
        <w:pStyle w:val="BodyText"/>
        <w:spacing w:line="316" w:lineRule="auto" w:before="19"/>
        <w:ind w:left="513" w:right="0"/>
        <w:jc w:val="left"/>
      </w:pPr>
      <w:r>
        <w:rPr/>
        <w:t>可供出售权益工具投资发生的减值损失，不得通过损益转回。 </w:t>
      </w:r>
      <w:r>
        <w:rPr>
          <w:spacing w:val="-2"/>
        </w:rPr>
        <w:t>本公司对可供出售权益工具投资的公允价值下跌“严重”的标准为：可供出售权益工具投资的公允价值累计下跌超过初</w:t>
      </w:r>
    </w:p>
    <w:p>
      <w:pPr>
        <w:pStyle w:val="BodyText"/>
        <w:spacing w:line="319" w:lineRule="auto" w:before="19"/>
        <w:ind w:left="513" w:right="0" w:hanging="361"/>
        <w:jc w:val="left"/>
      </w:pPr>
      <w:r>
        <w:rPr/>
        <w:t>始成本</w:t>
      </w:r>
      <w:r>
        <w:rPr>
          <w:rFonts w:ascii="宋体" w:hAnsi="宋体" w:cs="宋体" w:eastAsia="宋体" w:hint="default"/>
        </w:rPr>
        <w:t>30%</w:t>
      </w:r>
      <w:r>
        <w:rPr/>
        <w:t>的情况下被认为严重下跌。 </w:t>
      </w:r>
      <w:r>
        <w:rPr>
          <w:spacing w:val="-2"/>
        </w:rPr>
        <w:t>本公司对可供出售权益工具投资的公允价值下跌“非暂时性”的标准为：：可供出售权益工具投资的公允价值连续下跌</w:t>
      </w:r>
    </w:p>
    <w:p>
      <w:pPr>
        <w:pStyle w:val="BodyText"/>
        <w:spacing w:line="240" w:lineRule="auto" w:before="17"/>
        <w:ind w:right="0"/>
        <w:jc w:val="left"/>
      </w:pPr>
      <w:r>
        <w:rPr/>
        <w:t>时间超过</w:t>
      </w:r>
      <w:r>
        <w:rPr>
          <w:rFonts w:ascii="宋体" w:hAnsi="宋体" w:cs="宋体" w:eastAsia="宋体" w:hint="default"/>
        </w:rPr>
        <w:t>12</w:t>
      </w:r>
      <w:r>
        <w:rPr/>
        <w:t>个月的情况下被认为下跌是“非暂时性”的。</w:t>
      </w:r>
    </w:p>
    <w:p>
      <w:pPr>
        <w:pStyle w:val="BodyText"/>
        <w:spacing w:line="316" w:lineRule="auto" w:before="76"/>
        <w:ind w:left="513" w:right="3833" w:hanging="361"/>
        <w:jc w:val="left"/>
      </w:pPr>
      <w:r>
        <w:rPr/>
        <w:t>（</w:t>
      </w:r>
      <w:r>
        <w:rPr>
          <w:rFonts w:ascii="宋体" w:hAnsi="宋体" w:cs="宋体" w:eastAsia="宋体" w:hint="default"/>
        </w:rPr>
        <w:t>2</w:t>
      </w:r>
      <w:r>
        <w:rPr/>
        <w:t>）持有至到期投资的减值准备： 持有至到期投资减值损失的计量比照应收款项减值损失计量方法处理。</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9</w:t>
      </w:r>
      <w:r>
        <w:rPr/>
        <w:t>、应收款项坏账准备的确认标准和计提方法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4"/>
        <w:gridCol w:w="4515"/>
      </w:tblGrid>
      <w:tr>
        <w:trPr>
          <w:trHeight w:val="713"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110"/>
              <w:jc w:val="left"/>
              <w:rPr>
                <w:rFonts w:ascii="宋体" w:hAnsi="宋体" w:cs="宋体" w:eastAsia="宋体" w:hint="default"/>
                <w:sz w:val="18"/>
                <w:szCs w:val="18"/>
              </w:rPr>
            </w:pPr>
            <w:r>
              <w:rPr>
                <w:rFonts w:ascii="宋体" w:hAnsi="宋体" w:cs="宋体" w:eastAsia="宋体" w:hint="default"/>
                <w:sz w:val="18"/>
                <w:szCs w:val="18"/>
              </w:rPr>
              <w:t>应收款项余额前五名或占应收账款余额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 之和。</w:t>
            </w:r>
          </w:p>
        </w:tc>
      </w:tr>
      <w:tr>
        <w:trPr>
          <w:trHeight w:val="1340"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单独进行减值测试，如有客观证据表明其已发生减值，按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预计未来现金流量现值低于其账面价值的差额计提坏账 准备，计入当期损益。单独测试未发生减值的应收款项， 将其归入相应组合计提坏账准备。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00"/>
        <w:gridCol w:w="2187"/>
        <w:gridCol w:w="4784"/>
      </w:tblGrid>
      <w:tr>
        <w:trPr>
          <w:trHeight w:val="715"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2187" w:type="dxa"/>
            <w:tcBorders>
              <w:top w:val="single" w:sz="4" w:space="0" w:color="000000"/>
              <w:left w:val="single" w:sz="4" w:space="0" w:color="000000"/>
              <w:bottom w:val="single" w:sz="4" w:space="0" w:color="000000"/>
              <w:right w:val="single" w:sz="4" w:space="0" w:color="000000"/>
            </w:tcBorders>
          </w:tcPr>
          <w:p>
            <w:pPr/>
          </w:p>
        </w:tc>
        <w:tc>
          <w:tcPr>
            <w:tcW w:w="478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5"/>
              <w:jc w:val="left"/>
              <w:rPr>
                <w:rFonts w:ascii="宋体" w:hAnsi="宋体" w:cs="宋体" w:eastAsia="宋体" w:hint="default"/>
                <w:sz w:val="18"/>
                <w:szCs w:val="18"/>
              </w:rPr>
            </w:pPr>
            <w:r>
              <w:rPr>
                <w:rFonts w:ascii="宋体" w:hAnsi="宋体" w:cs="宋体" w:eastAsia="宋体" w:hint="default"/>
                <w:sz w:val="18"/>
                <w:szCs w:val="18"/>
              </w:rPr>
              <w:t>采用账龄分析法计提坏账准备的 组合</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以账龄为信用风险组合的划分依据</w:t>
            </w:r>
          </w:p>
        </w:tc>
      </w:tr>
      <w:tr>
        <w:trPr>
          <w:trHeight w:val="40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c>
          <w:tcPr>
            <w:tcW w:w="2187" w:type="dxa"/>
            <w:tcBorders>
              <w:top w:val="single" w:sz="4" w:space="0" w:color="000000"/>
              <w:left w:val="single" w:sz="4" w:space="0" w:color="000000"/>
              <w:bottom w:val="single" w:sz="4" w:space="0" w:color="000000"/>
              <w:right w:val="single" w:sz="4" w:space="0" w:color="000000"/>
            </w:tcBorders>
          </w:tcPr>
          <w:p>
            <w:pPr/>
          </w:p>
        </w:tc>
        <w:tc>
          <w:tcPr>
            <w:tcW w:w="47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5"/>
              <w:jc w:val="left"/>
              <w:rPr>
                <w:rFonts w:ascii="宋体" w:hAnsi="宋体" w:cs="宋体" w:eastAsia="宋体" w:hint="default"/>
                <w:sz w:val="18"/>
                <w:szCs w:val="18"/>
              </w:rPr>
            </w:pPr>
            <w:r>
              <w:rPr>
                <w:rFonts w:ascii="宋体" w:hAnsi="宋体" w:cs="宋体" w:eastAsia="宋体" w:hint="default"/>
                <w:sz w:val="18"/>
                <w:szCs w:val="18"/>
              </w:rPr>
              <w:t>采用账龄分析法计提坏账准备的 组合</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依据账龄分析法计提坏账准备</w:t>
            </w:r>
          </w:p>
        </w:tc>
      </w:tr>
    </w:tbl>
    <w:p>
      <w:pPr>
        <w:pStyle w:val="BodyText"/>
        <w:spacing w:line="240" w:lineRule="auto" w:before="49"/>
        <w:ind w:right="0"/>
        <w:jc w:val="left"/>
      </w:pPr>
      <w:r>
        <w:rPr/>
        <w:t>组合中，采用账龄分析法计提坏账准备的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98"/>
        <w:gridCol w:w="2977"/>
        <w:gridCol w:w="3982"/>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598"/>
        <w:gridCol w:w="2977"/>
        <w:gridCol w:w="3994"/>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49"/>
        <w:ind w:right="88"/>
        <w:jc w:val="left"/>
      </w:pPr>
      <w:r>
        <w:rPr/>
        <w:t>组合中，采用余额百分比法计提坏账准备的</w:t>
      </w:r>
    </w:p>
    <w:p>
      <w:pPr>
        <w:pStyle w:val="BodyText"/>
        <w:spacing w:line="340" w:lineRule="auto" w:before="115"/>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8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88"/>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1"/>
          <w:szCs w:val="21"/>
        </w:rPr>
      </w:pPr>
    </w:p>
    <w:p>
      <w:pPr>
        <w:pStyle w:val="BodyText"/>
        <w:spacing w:line="240" w:lineRule="auto" w:before="44"/>
        <w:ind w:left="0" w:right="199"/>
        <w:jc w:val="right"/>
      </w:pPr>
      <w:r>
        <w:rPr/>
        <w:pict>
          <v:shape style="position:absolute;margin-left:56.459999pt;margin-top:-36.488281pt;width:479.2pt;height:103.2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55"/>
                    <w:gridCol w:w="6215"/>
                  </w:tblGrid>
                  <w:tr>
                    <w:trPr>
                      <w:trHeight w:val="715"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94"/>
                          <w:jc w:val="left"/>
                          <w:rPr>
                            <w:rFonts w:ascii="宋体" w:hAnsi="宋体" w:cs="宋体" w:eastAsia="宋体" w:hint="default"/>
                            <w:sz w:val="18"/>
                            <w:szCs w:val="18"/>
                          </w:rPr>
                        </w:pPr>
                        <w:r>
                          <w:rPr>
                            <w:rFonts w:ascii="宋体" w:hAnsi="宋体" w:cs="宋体" w:eastAsia="宋体" w:hint="default"/>
                            <w:sz w:val="18"/>
                            <w:szCs w:val="18"/>
                          </w:rPr>
                          <w:t>对于存在明显减值迹象的应收款项单独计提坏账准备</w:t>
                        </w:r>
                        <w:r>
                          <w:rPr>
                            <w:rFonts w:ascii="Times New Roman" w:hAnsi="Times New Roman" w:cs="Times New Roman" w:eastAsia="Times New Roman" w:hint="default"/>
                            <w:sz w:val="18"/>
                            <w:szCs w:val="18"/>
                          </w:rPr>
                          <w:t>,</w:t>
                        </w:r>
                        <w:r>
                          <w:rPr>
                            <w:rFonts w:ascii="宋体" w:hAnsi="宋体" w:cs="宋体" w:eastAsia="宋体" w:hint="default"/>
                            <w:sz w:val="18"/>
                            <w:szCs w:val="18"/>
                          </w:rPr>
                          <w:t>计提依据是根据其未来 现金流量现值低于其账面价值的差额，确认减值损失，计提坏账准备。</w:t>
                        </w:r>
                      </w:p>
                    </w:tc>
                  </w:tr>
                  <w:tr>
                    <w:trPr>
                      <w:trHeight w:val="1339"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both"/>
                          <w:rPr>
                            <w:rFonts w:ascii="宋体" w:hAnsi="宋体" w:cs="宋体" w:eastAsia="宋体" w:hint="default"/>
                            <w:sz w:val="18"/>
                            <w:szCs w:val="18"/>
                          </w:rPr>
                        </w:pPr>
                        <w:r>
                          <w:rPr>
                            <w:rFonts w:ascii="宋体" w:hAnsi="宋体" w:cs="宋体" w:eastAsia="宋体" w:hint="default"/>
                            <w:spacing w:val="-2"/>
                            <w:sz w:val="18"/>
                            <w:szCs w:val="18"/>
                          </w:rPr>
                          <w:t>年末对于不适用按账龄段划分的类似信用风险特征组合的应收票据、预付款项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应收股利、长期应收款等均进行单项减值测试。如有客观证据表明其发生了减 值的，根据其未来现金流量现值低于其账面价值的差额计提坏账准备，计入当 期损益。如经减值测试未发现减值的，则不计提坏账准备。</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3"/>
        <w:spacing w:line="240" w:lineRule="auto" w:before="36"/>
        <w:ind w:right="88"/>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88"/>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88"/>
        <w:jc w:val="left"/>
      </w:pPr>
      <w:r>
        <w:rPr/>
        <w:t>存货分类为：在途物资、原材料、周转材料、库存商品、在产品、发出商品、委托加工物资。</w:t>
      </w:r>
    </w:p>
    <w:p>
      <w:pPr>
        <w:spacing w:line="240" w:lineRule="auto" w:before="0"/>
        <w:rPr>
          <w:rFonts w:ascii="宋体" w:hAnsi="宋体" w:cs="宋体" w:eastAsia="宋体" w:hint="default"/>
          <w:sz w:val="18"/>
          <w:szCs w:val="18"/>
        </w:rPr>
      </w:pPr>
    </w:p>
    <w:p>
      <w:pPr>
        <w:pStyle w:val="Heading3"/>
        <w:spacing w:line="240" w:lineRule="auto" w:before="118"/>
        <w:ind w:right="88"/>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88"/>
        <w:jc w:val="left"/>
      </w:pPr>
      <w:r>
        <w:rPr/>
        <w:t>计价方法：加权平均法</w:t>
      </w:r>
    </w:p>
    <w:p>
      <w:pPr>
        <w:spacing w:line="240" w:lineRule="auto" w:before="0"/>
        <w:rPr>
          <w:rFonts w:ascii="宋体" w:hAnsi="宋体" w:cs="宋体" w:eastAsia="宋体" w:hint="default"/>
          <w:sz w:val="18"/>
          <w:szCs w:val="18"/>
        </w:rPr>
      </w:pPr>
    </w:p>
    <w:p>
      <w:pPr>
        <w:pStyle w:val="Heading3"/>
        <w:spacing w:line="240" w:lineRule="auto" w:before="120"/>
        <w:ind w:right="88"/>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88" w:firstLine="360"/>
        <w:jc w:val="left"/>
      </w:pPr>
      <w:r>
        <w:rPr>
          <w:spacing w:val="-2"/>
        </w:rPr>
        <w:t>期末对存货进行全面清查后，按存货的成本与可变现净值孰低提取或调整存货跌价准备。产成品、库存商品和用于出售</w:t>
      </w:r>
      <w:r>
        <w:rPr/>
        <w:t> </w:t>
      </w:r>
      <w:r>
        <w:rPr>
          <w:spacing w:val="-4"/>
        </w:rPr>
        <w:t>的材料等直接用于出售的商品存货，在正常生产经营过程中，以该存货的估计售价减去估计的销售费用和相关税费后的金额，</w:t>
      </w:r>
      <w:r>
        <w:rPr>
          <w:spacing w:val="-44"/>
        </w:rPr>
        <w:t> </w:t>
      </w:r>
      <w:r>
        <w:rPr>
          <w:spacing w:val="-44"/>
        </w:rPr>
      </w:r>
      <w:r>
        <w:rPr>
          <w:spacing w:val="-2"/>
        </w:rPr>
        <w:t>确定其可变现净值；需要经过加工的材料存货，在正常生产经营过程中，以所生产的产成品的估计售价减去至完工时估计将</w:t>
      </w:r>
      <w:r>
        <w:rPr>
          <w:spacing w:val="-61"/>
        </w:rPr>
        <w:t> </w:t>
      </w:r>
      <w:r>
        <w:rPr>
          <w:spacing w:val="-61"/>
        </w:rPr>
      </w:r>
      <w:r>
        <w:rPr>
          <w:spacing w:val="-2"/>
        </w:rPr>
        <w:t>要发生的成本、估计的销售费用和相关税费后的金额，确定其可变现净值；为执行销售合同或者劳务合同而持有的存货，其</w:t>
      </w:r>
      <w:r>
        <w:rPr>
          <w:spacing w:val="-64"/>
        </w:rPr>
        <w:t> </w:t>
      </w:r>
      <w:r>
        <w:rPr>
          <w:spacing w:val="-64"/>
        </w:rPr>
      </w:r>
      <w:r>
        <w:rPr>
          <w:spacing w:val="-2"/>
        </w:rPr>
        <w:t>可变现净值以合同价格为基础计算，若持有存货的数量多于销售合同订购数量的，超出部分的存货的可变现净值以一般销售</w:t>
      </w:r>
      <w:r>
        <w:rPr>
          <w:spacing w:val="-64"/>
        </w:rPr>
        <w:t> </w:t>
      </w:r>
      <w:r>
        <w:rPr>
          <w:spacing w:val="-64"/>
        </w:rPr>
      </w:r>
      <w:r>
        <w:rPr/>
        <w:t>价格为基础计算。</w:t>
      </w:r>
    </w:p>
    <w:p>
      <w:pPr>
        <w:pStyle w:val="BodyText"/>
        <w:spacing w:line="316" w:lineRule="auto" w:before="17"/>
        <w:ind w:right="190"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3"/>
        </w:rPr>
        <w:t> </w:t>
      </w:r>
      <w:r>
        <w:rPr>
          <w:spacing w:val="-63"/>
        </w:rPr>
      </w:r>
      <w:r>
        <w:rPr/>
        <w:t>货跌价准备。</w:t>
      </w:r>
    </w:p>
    <w:p>
      <w:pPr>
        <w:pStyle w:val="BodyText"/>
        <w:spacing w:line="316" w:lineRule="auto" w:before="19"/>
        <w:ind w:right="189" w:firstLine="360"/>
        <w:jc w:val="both"/>
      </w:pPr>
      <w:r>
        <w:rPr>
          <w:spacing w:val="-2"/>
        </w:rPr>
        <w:t>以前减记存货价值的影响因素已经消失的，减记的金额予以恢复，并在原已计提的存货跌价准备金额内转回，转回的金</w:t>
      </w:r>
      <w:r>
        <w:rPr/>
        <w:t> </w:t>
      </w:r>
      <w:r>
        <w:rPr>
          <w:spacing w:val="-2"/>
        </w:rPr>
        <w:t>额计入当期损益。除有明确证据表明资产负债表日市场价格异常外，存货项目的可变现净值以资产负债表日市场价格为基础</w:t>
      </w:r>
      <w:r>
        <w:rPr>
          <w:spacing w:val="-64"/>
        </w:rPr>
        <w:t> </w:t>
      </w:r>
      <w:r>
        <w:rPr>
          <w:spacing w:val="-64"/>
        </w:rPr>
      </w:r>
      <w:r>
        <w:rPr/>
        <w:t>确定。</w:t>
      </w:r>
    </w:p>
    <w:p>
      <w:pPr>
        <w:spacing w:after="0" w:line="316" w:lineRule="auto"/>
        <w:jc w:val="both"/>
        <w:sectPr>
          <w:pgSz w:w="11910" w:h="16840"/>
          <w:pgMar w:header="877" w:footer="1227" w:top="1100" w:bottom="1420" w:left="980" w:right="94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盘存制度：永续盘存制</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974"/>
        <w:jc w:val="left"/>
      </w:pPr>
      <w:r>
        <w:rPr/>
        <w:t>低值易耗品 摊销方法：一次摊销法 包装物 摊销方法：一次摊销法</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11</w:t>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513" w:right="0" w:hanging="361"/>
        <w:jc w:val="left"/>
      </w:pPr>
      <w:r>
        <w:rPr/>
        <w:t>（</w:t>
      </w:r>
      <w:r>
        <w:rPr>
          <w:rFonts w:ascii="Times New Roman" w:hAnsi="Times New Roman" w:cs="Times New Roman" w:eastAsia="Times New Roman" w:hint="default"/>
        </w:rPr>
        <w:t>1</w:t>
      </w:r>
      <w:r>
        <w:rPr/>
        <w:t>）企业合并形成的长期股权投资 </w:t>
      </w:r>
      <w:r>
        <w:rPr>
          <w:spacing w:val="-2"/>
        </w:rPr>
        <w:t>同一控制下的企业合并：公司以支付现金、转让非现金资产或承担债务方式以及以发行权益性证券作为合并对价的，在</w:t>
      </w:r>
    </w:p>
    <w:p>
      <w:pPr>
        <w:pStyle w:val="BodyText"/>
        <w:spacing w:line="316" w:lineRule="auto" w:before="1"/>
        <w:ind w:right="151"/>
        <w:jc w:val="both"/>
      </w:pPr>
      <w:r>
        <w:rPr>
          <w:spacing w:val="-2"/>
        </w:rPr>
        <w:t>合并日按照取得被合并方所有者权益账面价值的份额作为长期股权投资的初始投资成本。长期股权投资初始投资成本与支付</w:t>
      </w:r>
      <w:r>
        <w:rPr>
          <w:spacing w:val="-64"/>
        </w:rPr>
        <w:t> </w:t>
      </w:r>
      <w:r>
        <w:rPr>
          <w:spacing w:val="-64"/>
        </w:rPr>
      </w:r>
      <w:r>
        <w:rPr>
          <w:spacing w:val="-2"/>
        </w:rPr>
        <w:t>合并对价之间的差额，调整资本公积中的股本溢价；资本公积中的股本溢价不足冲减的，调整留存收益。合并发生的各项直</w:t>
      </w:r>
      <w:r>
        <w:rPr>
          <w:spacing w:val="-65"/>
        </w:rPr>
        <w:t> </w:t>
      </w:r>
      <w:r>
        <w:rPr>
          <w:spacing w:val="-65"/>
        </w:rPr>
      </w:r>
      <w:r>
        <w:rPr/>
        <w:t>接相关费用，包括为进行合并而支付的审计费用、评估费用、法律服务费用等，于发生时计入当期损益。</w:t>
      </w:r>
    </w:p>
    <w:p>
      <w:pPr>
        <w:pStyle w:val="BodyText"/>
        <w:spacing w:line="316" w:lineRule="auto" w:before="57"/>
        <w:ind w:right="150" w:firstLine="360"/>
        <w:jc w:val="both"/>
      </w:pPr>
      <w:r>
        <w:rPr>
          <w:spacing w:val="-2"/>
        </w:rPr>
        <w:t>非同一控制下的企业合并：公司按照购买日确定的合并成本作为长期股权投资的初始投资成本。合并成本为购买日购买</w:t>
      </w:r>
      <w:r>
        <w:rPr/>
        <w:t> </w:t>
      </w:r>
      <w:r>
        <w:rPr>
          <w:spacing w:val="-2"/>
        </w:rPr>
        <w:t>方为取得对被购买方的控制权而付出的资产、发生或承担的负债以及发行的权益性证券的公允价值。购买方为企业合并而发</w:t>
      </w:r>
      <w:r>
        <w:rPr>
          <w:spacing w:val="-62"/>
        </w:rPr>
        <w:t> </w:t>
      </w:r>
      <w:r>
        <w:rPr>
          <w:spacing w:val="-62"/>
        </w:rPr>
      </w:r>
      <w:r>
        <w:rPr>
          <w:spacing w:val="-2"/>
        </w:rPr>
        <w:t>生的审计、法律服务、评估咨询等中介费用以及其他相关管理费用于发生时计入当期损益；购买方作为合并对价发行的权益</w:t>
      </w:r>
      <w:r>
        <w:rPr>
          <w:spacing w:val="-66"/>
        </w:rPr>
        <w:t> </w:t>
      </w:r>
      <w:r>
        <w:rPr>
          <w:spacing w:val="-66"/>
        </w:rPr>
      </w:r>
      <w:r>
        <w:rPr>
          <w:spacing w:val="-2"/>
        </w:rPr>
        <w:t>性证券或债务性证券的交易费用，计入权益性证券或债务性证券的初始确认金额。通过多次交易分步实现的非同一控制下企</w:t>
      </w:r>
      <w:r>
        <w:rPr>
          <w:spacing w:val="-64"/>
        </w:rPr>
        <w:t> </w:t>
      </w:r>
      <w:r>
        <w:rPr>
          <w:spacing w:val="-64"/>
        </w:rPr>
      </w:r>
      <w:r>
        <w:rPr>
          <w:spacing w:val="-2"/>
        </w:rPr>
        <w:t>业合并，以购买日之前所持被购买方的股权投资的账面价值与购买日新增投资成本之和，作为该项投资的初始投资成本。本</w:t>
      </w:r>
      <w:r>
        <w:rPr>
          <w:spacing w:val="-63"/>
        </w:rPr>
        <w:t> </w:t>
      </w:r>
      <w:r>
        <w:rPr>
          <w:spacing w:val="-63"/>
        </w:rPr>
      </w:r>
      <w:r>
        <w:rPr/>
        <w:t>公司将合并协议约定的或有对价作为企业合并转移对价的一部分，按照其在购买日的公允价值计入企业合并成本。</w:t>
      </w:r>
    </w:p>
    <w:p>
      <w:pPr>
        <w:pStyle w:val="BodyText"/>
        <w:spacing w:line="240" w:lineRule="auto" w:before="59"/>
        <w:ind w:right="0"/>
        <w:jc w:val="left"/>
      </w:pPr>
      <w:r>
        <w:rPr/>
        <w:t>（</w:t>
      </w:r>
      <w:r>
        <w:rPr>
          <w:rFonts w:ascii="Times New Roman" w:hAnsi="Times New Roman" w:cs="Times New Roman" w:eastAsia="Times New Roman" w:hint="default"/>
        </w:rPr>
        <w:t>2</w:t>
      </w:r>
      <w:r>
        <w:rPr/>
        <w:t>）其他方式取得的长期股权投资</w:t>
      </w:r>
    </w:p>
    <w:p>
      <w:pPr>
        <w:pStyle w:val="BodyText"/>
        <w:spacing w:line="316" w:lineRule="auto" w:before="103"/>
        <w:ind w:right="152" w:firstLine="360"/>
        <w:jc w:val="both"/>
      </w:pPr>
      <w:r>
        <w:rPr/>
        <w:t>以支付现金方式取得的长期股权投资，按照实际支付的购买价款作为初始投资成本。</w:t>
      </w:r>
      <w:r>
        <w:rPr>
          <w:spacing w:val="9"/>
        </w:rPr>
        <w:t> </w:t>
      </w:r>
      <w:r>
        <w:rPr/>
        <w:t>以发行权益性证券取得的长期股</w:t>
      </w:r>
      <w:r>
        <w:rPr/>
        <w:t> 权投资，按照发行权益性证券的公允价值作为初始投资成本。</w:t>
      </w:r>
    </w:p>
    <w:p>
      <w:pPr>
        <w:pStyle w:val="BodyText"/>
        <w:spacing w:line="316" w:lineRule="auto" w:before="57"/>
        <w:ind w:right="150" w:firstLine="360"/>
        <w:jc w:val="both"/>
      </w:pPr>
      <w:r>
        <w:rPr>
          <w:spacing w:val="-2"/>
        </w:rPr>
        <w:t>投资者投入的长期股权投资，按照投资合同或协议约定的价值（扣除已宣告但尚未发放的现金股利或利润）作为初始投</w:t>
      </w:r>
      <w:r>
        <w:rPr/>
        <w:t> 资成本，但合同或协议约定价值不公允的除外。</w:t>
      </w:r>
    </w:p>
    <w:p>
      <w:pPr>
        <w:pStyle w:val="BodyText"/>
        <w:spacing w:line="319" w:lineRule="auto" w:before="59"/>
        <w:ind w:right="152" w:firstLine="360"/>
        <w:jc w:val="both"/>
      </w:pPr>
      <w:r>
        <w:rPr>
          <w:spacing w:val="-2"/>
        </w:rPr>
        <w:t>在非货币性资产交换具备商业实质和换入资产或换出资产的公允价值能够可靠计量的前提下，非货币性资产交换换入的</w:t>
      </w:r>
      <w:r>
        <w:rPr/>
        <w:t> </w:t>
      </w:r>
      <w:r>
        <w:rPr>
          <w:spacing w:val="-2"/>
        </w:rPr>
        <w:t>长期股权投资以换出资产的公允价值为基础确定其初始投资成本，除非有确凿证据表明换入资产的公允价值更加可靠；不满</w:t>
      </w:r>
      <w:r>
        <w:rPr>
          <w:spacing w:val="-64"/>
        </w:rPr>
        <w:t> </w:t>
      </w:r>
      <w:r>
        <w:rPr>
          <w:spacing w:val="-64"/>
        </w:rPr>
      </w:r>
      <w:r>
        <w:rPr/>
        <w:t>足上述前提的非货币性资产交换，以换出资产的账面价值和应支付的相关税费作为换入长期股权投资的初始投资成本。</w:t>
      </w:r>
      <w:r>
        <w:rPr>
          <w:spacing w:val="8"/>
        </w:rPr>
        <w:t> </w:t>
      </w:r>
      <w:r>
        <w:rPr/>
        <w:t>通</w:t>
      </w:r>
      <w:r>
        <w:rPr/>
        <w:t> 过债务重组取得的长期股权投资，其初始投资成本按照公允价值为基础确定。</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w:t>
      </w:r>
      <w:r>
        <w:rPr>
          <w:rFonts w:ascii="Times New Roman" w:hAnsi="Times New Roman" w:cs="Times New Roman" w:eastAsia="Times New Roman" w:hint="default"/>
        </w:rPr>
        <w:t>1</w:t>
      </w:r>
      <w:r>
        <w:rPr/>
        <w:t>）后续计量</w:t>
      </w:r>
    </w:p>
    <w:p>
      <w:pPr>
        <w:pStyle w:val="BodyText"/>
        <w:spacing w:line="316" w:lineRule="auto" w:before="101"/>
        <w:ind w:right="153" w:firstLine="360"/>
        <w:jc w:val="both"/>
      </w:pPr>
      <w:r>
        <w:rPr/>
        <w:t>公司对子公司的长期股权投资，采用成本法核算，编制合并财务报表时按照权益法进行调整。</w:t>
      </w:r>
      <w:r>
        <w:rPr>
          <w:spacing w:val="8"/>
        </w:rPr>
        <w:t> </w:t>
      </w:r>
      <w:r>
        <w:rPr/>
        <w:t>对被投资单位不具有共</w:t>
      </w:r>
      <w:r>
        <w:rPr/>
        <w:t> 同控制或重大影响，并且在活跃市场中没有报价、公允价值不能可靠计量的长期股权投资，采用成本法核算。</w:t>
      </w:r>
    </w:p>
    <w:p>
      <w:pPr>
        <w:pStyle w:val="BodyText"/>
        <w:spacing w:line="316" w:lineRule="auto" w:before="59"/>
        <w:ind w:right="152" w:firstLine="360"/>
        <w:jc w:val="both"/>
      </w:pPr>
      <w:r>
        <w:rPr>
          <w:spacing w:val="-2"/>
        </w:rPr>
        <w:t>对被投资单位具有共同控制或重大影响的长期股权投资，采用权益法核算。初始投资成本大于投资时应享有被投资单位</w:t>
      </w:r>
      <w:r>
        <w:rPr/>
        <w:t> </w:t>
      </w:r>
      <w:r>
        <w:rPr>
          <w:spacing w:val="-2"/>
        </w:rPr>
        <w:t>可辨认净资产公允价值份额的差额，不调整长期股权投资的初始投资成本；初始投资成本小于投资时应享有被投资单位可辨</w:t>
      </w:r>
    </w:p>
    <w:p>
      <w:pPr>
        <w:spacing w:after="0" w:line="316" w:lineRule="auto"/>
        <w:jc w:val="both"/>
        <w:sectPr>
          <w:footerReference w:type="default" r:id="rId35"/>
          <w:pgSz w:w="11910" w:h="16840"/>
          <w:pgMar w:footer="1227" w:header="877" w:top="1100" w:bottom="1420" w:left="980" w:right="980"/>
          <w:pgNumType w:start="84"/>
        </w:sectPr>
      </w:pPr>
    </w:p>
    <w:p>
      <w:pPr>
        <w:spacing w:line="240" w:lineRule="auto" w:before="11"/>
        <w:rPr>
          <w:rFonts w:ascii="宋体" w:hAnsi="宋体" w:cs="宋体" w:eastAsia="宋体" w:hint="default"/>
          <w:sz w:val="21"/>
          <w:szCs w:val="21"/>
        </w:rPr>
      </w:pPr>
    </w:p>
    <w:p>
      <w:pPr>
        <w:pStyle w:val="BodyText"/>
        <w:spacing w:line="319" w:lineRule="auto" w:before="44"/>
        <w:ind w:right="190"/>
        <w:jc w:val="both"/>
      </w:pPr>
      <w:r>
        <w:rPr/>
        <w:t>认净资产公允价值份额的差额，计入当期损益。</w:t>
      </w:r>
      <w:r>
        <w:rPr>
          <w:spacing w:val="9"/>
        </w:rPr>
        <w:t> </w:t>
      </w:r>
      <w:r>
        <w:rPr/>
        <w:t>被投资单位除净损益以外所有者权益其他变动的处理：对于被投资单位除</w:t>
      </w:r>
      <w:r>
        <w:rPr/>
        <w:t> </w:t>
      </w:r>
      <w:r>
        <w:rPr>
          <w:spacing w:val="-2"/>
        </w:rPr>
        <w:t>净损益以外所有者权益的其他变动，在持股比例不变的情况下，公司按照持股比例计算应享有或承担的部分，调整长期股权</w:t>
      </w:r>
      <w:r>
        <w:rPr>
          <w:spacing w:val="-63"/>
        </w:rPr>
        <w:t> </w:t>
      </w:r>
      <w:r>
        <w:rPr>
          <w:spacing w:val="-63"/>
        </w:rPr>
      </w:r>
      <w:r>
        <w:rPr>
          <w:spacing w:val="-4"/>
        </w:rPr>
        <w:t>投资的账面价值，同时增加或减少资本公积（其他资本公积）。</w:t>
      </w:r>
    </w:p>
    <w:p>
      <w:pPr>
        <w:pStyle w:val="BodyText"/>
        <w:spacing w:line="338" w:lineRule="auto" w:before="58"/>
        <w:ind w:left="513" w:right="88"/>
        <w:jc w:val="left"/>
      </w:pPr>
      <w:r>
        <w:rPr/>
        <w:t>（</w:t>
      </w:r>
      <w:r>
        <w:rPr>
          <w:rFonts w:ascii="Times New Roman" w:hAnsi="Times New Roman" w:cs="Times New Roman" w:eastAsia="Times New Roman" w:hint="default"/>
        </w:rPr>
        <w:t>2</w:t>
      </w:r>
      <w:r>
        <w:rPr/>
        <w:t>）损益确认 </w:t>
      </w:r>
      <w:r>
        <w:rPr>
          <w:spacing w:val="-2"/>
        </w:rPr>
        <w:t>成本法下，除取得投资时实际支付的价款或对价中包含的已宣告但尚未发放的现金股利或利润外，公司按照享有被投资</w:t>
      </w:r>
    </w:p>
    <w:p>
      <w:pPr>
        <w:pStyle w:val="BodyText"/>
        <w:spacing w:line="360" w:lineRule="auto" w:before="2"/>
        <w:ind w:left="513" w:right="88" w:hanging="361"/>
        <w:jc w:val="left"/>
      </w:pPr>
      <w:r>
        <w:rPr/>
        <w:t>单位宣告发放的现金股利或利润确认投资收益。 </w:t>
      </w:r>
      <w:r>
        <w:rPr>
          <w:spacing w:val="-2"/>
        </w:rPr>
        <w:t>权益法下，在被投资单位账面净利润的基础上考虑：被投资单位与本公司采用的会计政策及会计期间不一致，按本公司</w:t>
      </w:r>
    </w:p>
    <w:p>
      <w:pPr>
        <w:pStyle w:val="BodyText"/>
        <w:spacing w:line="222" w:lineRule="exact"/>
        <w:ind w:right="0"/>
        <w:jc w:val="both"/>
      </w:pPr>
      <w:r>
        <w:rPr/>
        <w:t>的会计政策及会计期间对被投资单位财务报表进行调整；以取得投资时被投资单位固定资产、无形资产的公允价值为基础计</w:t>
      </w:r>
    </w:p>
    <w:p>
      <w:pPr>
        <w:pStyle w:val="BodyText"/>
        <w:spacing w:line="316" w:lineRule="auto" w:before="76"/>
        <w:ind w:right="193"/>
        <w:jc w:val="both"/>
      </w:pPr>
      <w:r>
        <w:rPr>
          <w:spacing w:val="-2"/>
        </w:rPr>
        <w:t>提的折旧额或摊销额以及有关资产减值准备金额等对被投资单位净利润的影响；对本公司与联营企业及合营企业之间发生的</w:t>
      </w:r>
      <w:r>
        <w:rPr>
          <w:spacing w:val="-64"/>
        </w:rPr>
        <w:t> </w:t>
      </w:r>
      <w:r>
        <w:rPr>
          <w:spacing w:val="-64"/>
        </w:rPr>
      </w:r>
      <w:r>
        <w:rPr/>
        <w:t>未实现内部交易予以抵销等事项的适当调整后，确认应享有或应负担被投资单位的净利润或净亏损。</w:t>
      </w:r>
    </w:p>
    <w:p>
      <w:pPr>
        <w:pStyle w:val="BodyText"/>
        <w:spacing w:line="319" w:lineRule="auto" w:before="59"/>
        <w:ind w:right="94" w:firstLine="360"/>
        <w:jc w:val="left"/>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spacing w:val="-2"/>
        </w:rPr>
        <w:t>务确认预计负债，计入当期投资损失。被投资单位以后期间实现盈利的，公司在扣除未确认的亏损分担额后，按与上述相反</w:t>
      </w:r>
      <w:r>
        <w:rPr>
          <w:spacing w:val="-65"/>
        </w:rPr>
        <w:t> </w:t>
      </w:r>
      <w:r>
        <w:rPr>
          <w:spacing w:val="-65"/>
        </w:rPr>
      </w:r>
      <w:r>
        <w:rPr>
          <w:spacing w:val="-2"/>
        </w:rPr>
        <w:t>的顺序处理，减记已确认预计负债的账面余额、恢复其他实质上构成对被投资单位净投资的长期权益及长期股权投资的账面</w:t>
      </w:r>
      <w:r>
        <w:rPr>
          <w:spacing w:val="-64"/>
        </w:rPr>
        <w:t> </w:t>
      </w:r>
      <w:r>
        <w:rPr>
          <w:spacing w:val="-64"/>
        </w:rPr>
      </w:r>
      <w:r>
        <w:rPr/>
        <w:t>价值，同时确认投资收益。</w:t>
      </w:r>
    </w:p>
    <w:p>
      <w:pPr>
        <w:pStyle w:val="BodyText"/>
        <w:spacing w:line="240" w:lineRule="auto" w:before="55"/>
        <w:ind w:left="513" w:right="0"/>
        <w:jc w:val="left"/>
      </w:pPr>
      <w:r>
        <w:rPr/>
        <w:t>在持有投资期间，被投资单位能够提供合并财务报表的，应当以合并财务报表中的净利润和其他权益变动为基础进行核</w:t>
      </w:r>
    </w:p>
    <w:p>
      <w:pPr>
        <w:pStyle w:val="BodyText"/>
        <w:spacing w:line="240" w:lineRule="auto" w:before="76"/>
        <w:ind w:right="88"/>
        <w:jc w:val="left"/>
      </w:pPr>
      <w:r>
        <w:rPr/>
        <w:t>算。</w:t>
      </w:r>
    </w:p>
    <w:p>
      <w:pPr>
        <w:spacing w:line="240" w:lineRule="auto" w:before="0"/>
        <w:rPr>
          <w:rFonts w:ascii="宋体" w:hAnsi="宋体" w:cs="宋体" w:eastAsia="宋体" w:hint="default"/>
          <w:sz w:val="18"/>
          <w:szCs w:val="18"/>
        </w:rPr>
      </w:pPr>
    </w:p>
    <w:p>
      <w:pPr>
        <w:pStyle w:val="Heading3"/>
        <w:spacing w:line="240" w:lineRule="auto" w:before="120"/>
        <w:ind w:right="88"/>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88" w:firstLine="360"/>
        <w:jc w:val="left"/>
      </w:pPr>
      <w:r>
        <w:rPr>
          <w:spacing w:val="-2"/>
        </w:rPr>
        <w:t>共同控制，是指按照合同约定对某项经济活动所共有的控制，仅在与该项经济活动相关的重要财务和经营决策需要分享</w:t>
      </w:r>
      <w:r>
        <w:rPr/>
        <w:t> 控制权的投资方一致同意时存在。投资企业与其他方对被投资单位实施共同控制的，被投资单位为其合营企业。</w:t>
      </w:r>
    </w:p>
    <w:p>
      <w:pPr>
        <w:pStyle w:val="BodyText"/>
        <w:spacing w:line="316" w:lineRule="auto" w:before="60"/>
        <w:ind w:right="88" w:firstLine="360"/>
        <w:jc w:val="left"/>
      </w:pPr>
      <w:r>
        <w:rPr>
          <w:spacing w:val="-2"/>
        </w:rPr>
        <w:t>重大影响，是指对一个企业的财务和经营决策有参与决策的权力，但并不能够控制或者与其他方一起共同控制这些政策</w:t>
      </w:r>
      <w:r>
        <w:rPr/>
        <w:t> 的制定。投资企业能够对被投资单位施加重大影响的，被投资单位为其联营企业。</w:t>
      </w:r>
    </w:p>
    <w:p>
      <w:pPr>
        <w:spacing w:line="240" w:lineRule="auto" w:before="8"/>
        <w:rPr>
          <w:rFonts w:ascii="宋体" w:hAnsi="宋体" w:cs="宋体" w:eastAsia="宋体" w:hint="default"/>
          <w:sz w:val="22"/>
          <w:szCs w:val="22"/>
        </w:rPr>
      </w:pPr>
    </w:p>
    <w:p>
      <w:pPr>
        <w:pStyle w:val="Heading3"/>
        <w:spacing w:line="240" w:lineRule="auto"/>
        <w:ind w:right="88"/>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88" w:firstLine="360"/>
        <w:jc w:val="left"/>
      </w:pPr>
      <w:r>
        <w:rPr>
          <w:spacing w:val="-2"/>
        </w:rPr>
        <w:t>重大影响以下的、在活跃市场中没有报价、公允价值不能可靠计量的长期股权投资，其减值损失是根据其账面价值与按</w:t>
      </w:r>
      <w:r>
        <w:rPr/>
        <w:t> 类似金融资产当时市场收益率对未来现金流量折现确定的现值之间的差额进行确定。</w:t>
      </w:r>
    </w:p>
    <w:p>
      <w:pPr>
        <w:pStyle w:val="BodyText"/>
        <w:spacing w:line="316" w:lineRule="auto" w:before="59"/>
        <w:ind w:right="88" w:firstLine="360"/>
        <w:jc w:val="left"/>
      </w:pPr>
      <w:r>
        <w:rPr>
          <w:spacing w:val="-2"/>
        </w:rPr>
        <w:t>除因企业合并形成的商誉以外的存在减值迹象的其他长期股权投资，如果可收回金额的计量结果表明，该长期股权投资</w:t>
      </w:r>
      <w:r>
        <w:rPr/>
        <w:t> 的可收回金额低于其账面价值的，将差额确认为减值损失。</w:t>
      </w:r>
    </w:p>
    <w:p>
      <w:pPr>
        <w:pStyle w:val="BodyText"/>
        <w:spacing w:line="240" w:lineRule="auto" w:before="57"/>
        <w:ind w:left="513" w:right="88"/>
        <w:jc w:val="left"/>
      </w:pPr>
      <w:r>
        <w:rPr/>
        <w:t>长期股权投资减值损失一经确认，不再转回。</w:t>
      </w:r>
    </w:p>
    <w:p>
      <w:pPr>
        <w:spacing w:line="240" w:lineRule="auto" w:before="0"/>
        <w:rPr>
          <w:rFonts w:ascii="宋体" w:hAnsi="宋体" w:cs="宋体" w:eastAsia="宋体" w:hint="default"/>
          <w:sz w:val="18"/>
          <w:szCs w:val="18"/>
        </w:rPr>
      </w:pPr>
    </w:p>
    <w:p>
      <w:pPr>
        <w:pStyle w:val="Heading3"/>
        <w:spacing w:line="240" w:lineRule="auto" w:before="121"/>
        <w:ind w:right="88"/>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8"/>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88" w:firstLine="360"/>
        <w:jc w:val="left"/>
      </w:pPr>
      <w:r>
        <w:rPr>
          <w:spacing w:val="-2"/>
        </w:rPr>
        <w:t>固定资产指为生产商品、提供劳务、出租或经营管理而持有，并且使用寿命超过一个会计年度的有形资产。固定资产在</w:t>
      </w:r>
      <w:r>
        <w:rPr/>
        <w:t> 同时满足下列条件时予以确认：</w:t>
      </w:r>
    </w:p>
    <w:p>
      <w:pPr>
        <w:pStyle w:val="BodyText"/>
        <w:spacing w:line="240" w:lineRule="auto" w:before="59"/>
        <w:ind w:left="513" w:right="88"/>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03"/>
        <w:ind w:left="513" w:right="88"/>
        <w:jc w:val="left"/>
      </w:pPr>
      <w:r>
        <w:rPr/>
        <w:t>（</w:t>
      </w:r>
      <w:r>
        <w:rPr>
          <w:rFonts w:ascii="Times New Roman" w:hAnsi="Times New Roman" w:cs="Times New Roman" w:eastAsia="Times New Roman" w:hint="default"/>
        </w:rPr>
        <w:t>2</w:t>
      </w:r>
      <w:r>
        <w:rPr/>
        <w:t>）该固定资产的成本能够可靠地计量。</w:t>
      </w:r>
    </w:p>
    <w:p>
      <w:pPr>
        <w:spacing w:after="0" w:line="240" w:lineRule="auto"/>
        <w:jc w:val="left"/>
        <w:sectPr>
          <w:pgSz w:w="11910" w:h="16840"/>
          <w:pgMar w:header="877" w:footer="1227" w:top="1100" w:bottom="1420" w:left="980" w:right="94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0"/>
        <w:jc w:val="left"/>
      </w:pPr>
      <w:r>
        <w:rPr/>
        <w:t>公司与租赁方所签订的租赁协议条款中规定了下列条件之一的，确认为融资租入资产：</w:t>
      </w:r>
    </w:p>
    <w:p>
      <w:pPr>
        <w:pStyle w:val="BodyText"/>
        <w:spacing w:line="240" w:lineRule="auto" w:before="115"/>
        <w:ind w:left="513" w:right="0"/>
        <w:jc w:val="left"/>
      </w:pPr>
      <w:r>
        <w:rPr/>
        <w:t>（</w:t>
      </w:r>
      <w:r>
        <w:rPr>
          <w:rFonts w:ascii="Times New Roman" w:hAnsi="Times New Roman" w:cs="Times New Roman" w:eastAsia="Times New Roman" w:hint="default"/>
        </w:rPr>
        <w:t>1</w:t>
      </w:r>
      <w:r>
        <w:rPr/>
        <w:t>）租赁期满后租赁资产的所有权归属于本公司；</w:t>
      </w:r>
    </w:p>
    <w:p>
      <w:pPr>
        <w:pStyle w:val="BodyText"/>
        <w:spacing w:line="240" w:lineRule="auto" w:before="103"/>
        <w:ind w:left="513" w:right="0"/>
        <w:jc w:val="left"/>
      </w:pPr>
      <w:r>
        <w:rPr/>
        <w:t>（</w:t>
      </w:r>
      <w:r>
        <w:rPr>
          <w:rFonts w:ascii="Times New Roman" w:hAnsi="Times New Roman" w:cs="Times New Roman" w:eastAsia="Times New Roman" w:hint="default"/>
        </w:rPr>
        <w:t>2</w:t>
      </w:r>
      <w:r>
        <w:rPr/>
        <w:t>）公司具有购买资产的选择权，购买价款远低于行使选择权时该资产的公允价值；</w:t>
      </w:r>
    </w:p>
    <w:p>
      <w:pPr>
        <w:pStyle w:val="BodyText"/>
        <w:spacing w:line="240" w:lineRule="auto" w:before="103"/>
        <w:ind w:left="513" w:right="0"/>
        <w:jc w:val="left"/>
      </w:pPr>
      <w:r>
        <w:rPr/>
        <w:t>（</w:t>
      </w:r>
      <w:r>
        <w:rPr>
          <w:rFonts w:ascii="Times New Roman" w:hAnsi="Times New Roman" w:cs="Times New Roman" w:eastAsia="Times New Roman" w:hint="default"/>
        </w:rPr>
        <w:t>3</w:t>
      </w:r>
      <w:r>
        <w:rPr/>
        <w:t>）租赁期占所租赁资产使用寿命的大部分；</w:t>
      </w:r>
    </w:p>
    <w:p>
      <w:pPr>
        <w:pStyle w:val="BodyText"/>
        <w:spacing w:line="309" w:lineRule="auto" w:before="101"/>
        <w:ind w:right="153" w:firstLine="360"/>
        <w:jc w:val="both"/>
      </w:pPr>
      <w:r>
        <w:rPr/>
        <w:t>（</w:t>
      </w:r>
      <w:r>
        <w:rPr>
          <w:rFonts w:ascii="Times New Roman" w:hAnsi="Times New Roman" w:cs="Times New Roman" w:eastAsia="Times New Roman" w:hint="default"/>
        </w:rPr>
        <w:t>4</w:t>
      </w:r>
      <w:r>
        <w:rPr/>
        <w:t>）租赁开始日的最低租赁付款额现值，与该资产的公允价值不存在较大的差异。</w:t>
      </w:r>
      <w:r>
        <w:rPr>
          <w:spacing w:val="50"/>
        </w:rPr>
        <w:t> </w:t>
      </w:r>
      <w:r>
        <w:rPr/>
        <w:t>公司在承租开始日，将租赁资产</w:t>
      </w:r>
      <w:r>
        <w:rPr/>
        <w:t> </w:t>
      </w:r>
      <w:r>
        <w:rPr>
          <w:spacing w:val="-2"/>
        </w:rPr>
        <w:t>公允价值与最低租赁付款额现值两者中较低者作为租入资产的入账价值，将最低租赁付款额作为长期应付款的入账价值，其</w:t>
      </w:r>
      <w:r>
        <w:rPr>
          <w:spacing w:val="-64"/>
        </w:rPr>
        <w:t> </w:t>
      </w:r>
      <w:r>
        <w:rPr>
          <w:spacing w:val="-64"/>
        </w:rPr>
      </w:r>
      <w:r>
        <w:rPr/>
        <w:t>差额作为未确认的融资费。</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50" w:firstLine="360"/>
        <w:jc w:val="both"/>
      </w:pPr>
      <w:r>
        <w:rPr>
          <w:spacing w:val="-2"/>
        </w:rPr>
        <w:t>固定资产折旧采用年限平均法分类计提，根据固定资产类别、预计使用寿命和预计净残值率确定折旧率。如固定资产各</w:t>
      </w:r>
      <w:r>
        <w:rPr/>
        <w:t> 组成部分的使用寿命不同或者以不同方式为企业提供经济利益，则选择不同折旧率或折旧方法，分别计提折旧。</w:t>
      </w:r>
    </w:p>
    <w:p>
      <w:pPr>
        <w:pStyle w:val="BodyText"/>
        <w:spacing w:line="316" w:lineRule="auto" w:before="19"/>
        <w:ind w:right="151" w:firstLine="360"/>
        <w:jc w:val="both"/>
      </w:pPr>
      <w:r>
        <w:rPr>
          <w:spacing w:val="-2"/>
        </w:rPr>
        <w:t>融资租赁方式租入的固定资产，能合理确定租赁期届满时将会取得租赁资产所有权的，在租赁资产尚可使用年限内计提</w:t>
      </w:r>
      <w:r>
        <w:rPr/>
        <w:t> </w:t>
      </w:r>
      <w:r>
        <w:rPr>
          <w:spacing w:val="-2"/>
        </w:rPr>
        <w:t>折旧；无法合理确定租赁期届满时能够取得租赁资产所有权的，在租赁期与租赁资产尚可使用年限两者中较短的期间内计提</w:t>
      </w:r>
      <w:r>
        <w:rPr>
          <w:spacing w:val="-64"/>
        </w:rPr>
        <w:t> </w:t>
      </w:r>
      <w:r>
        <w:rPr>
          <w:spacing w:val="-64"/>
        </w:rPr>
      </w:r>
      <w:r>
        <w:rPr/>
        <w:t>折旧。</w:t>
      </w:r>
    </w:p>
    <w:p>
      <w:pPr>
        <w:pStyle w:val="BodyText"/>
        <w:spacing w:line="240" w:lineRule="auto" w:before="19"/>
        <w:ind w:right="0"/>
        <w:jc w:val="left"/>
      </w:pPr>
      <w:r>
        <w:rPr/>
        <w:t>各类固定资产折旧年限和年折旧率如下：</w:t>
      </w:r>
    </w:p>
    <w:p>
      <w:pPr>
        <w:spacing w:line="240" w:lineRule="auto" w:before="1"/>
        <w:rPr>
          <w:rFonts w:ascii="宋体" w:hAnsi="宋体" w:cs="宋体" w:eastAsia="宋体" w:hint="default"/>
          <w:sz w:val="29"/>
          <w:szCs w:val="29"/>
        </w:rPr>
      </w:pPr>
    </w:p>
    <w:tbl>
      <w:tblPr>
        <w:tblW w:w="0" w:type="auto"/>
        <w:jc w:val="left"/>
        <w:tblInd w:w="160" w:type="dxa"/>
        <w:tblLayout w:type="fixed"/>
        <w:tblCellMar>
          <w:top w:w="0" w:type="dxa"/>
          <w:left w:w="0" w:type="dxa"/>
          <w:bottom w:w="0" w:type="dxa"/>
          <w:right w:w="0" w:type="dxa"/>
        </w:tblCellMar>
        <w:tblLook w:val="01E0"/>
      </w:tblPr>
      <w:tblGrid>
        <w:gridCol w:w="2495"/>
        <w:gridCol w:w="2116"/>
        <w:gridCol w:w="2220"/>
        <w:gridCol w:w="2727"/>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w:t>
            </w:r>
          </w:p>
        </w:tc>
      </w:tr>
      <w:tr>
        <w:trPr>
          <w:trHeight w:val="40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19-31.67%</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0"/>
        <w:jc w:val="left"/>
      </w:pPr>
      <w:r>
        <w:rPr/>
        <w:t>公司在每期末判断固定资产是否存在可能发生减值的迹象。 </w:t>
      </w:r>
      <w:r>
        <w:rPr>
          <w:spacing w:val="-2"/>
        </w:rPr>
        <w:t>固定资产存在减值迹象的，估计其可收回金额。可收回金额根据固定资产的公允价值减去处置费用后的净额与固定资产</w:t>
      </w:r>
    </w:p>
    <w:p>
      <w:pPr>
        <w:pStyle w:val="BodyText"/>
        <w:spacing w:line="316" w:lineRule="auto" w:before="19"/>
        <w:ind w:left="513" w:right="0" w:hanging="361"/>
        <w:jc w:val="left"/>
      </w:pPr>
      <w:r>
        <w:rPr/>
        <w:t>预计未来现金流量的现值两者之间较高者确定。 </w:t>
      </w:r>
      <w:r>
        <w:rPr>
          <w:spacing w:val="-2"/>
        </w:rPr>
        <w:t>当固定资产的可收回金额低于其账面价值的，将固定资产的账面价值减记至可收回金额，减记的金额确认为固定资产减</w:t>
      </w:r>
    </w:p>
    <w:p>
      <w:pPr>
        <w:pStyle w:val="BodyText"/>
        <w:spacing w:line="316" w:lineRule="auto" w:before="19"/>
        <w:ind w:left="513" w:right="0" w:hanging="361"/>
        <w:jc w:val="left"/>
      </w:pPr>
      <w:r>
        <w:rPr/>
        <w:t>值损失，计入当期损益，同时计提相应的固定资产减值准备。 </w:t>
      </w:r>
      <w:r>
        <w:rPr>
          <w:spacing w:val="-2"/>
        </w:rPr>
        <w:t>固定资产减值损失确认后，减值固定资产的折旧在未来期间作相应调整，以使该固定资产在剩余使用寿命内，系统地分</w:t>
      </w:r>
    </w:p>
    <w:p>
      <w:pPr>
        <w:pStyle w:val="BodyText"/>
        <w:spacing w:line="316" w:lineRule="auto" w:before="19"/>
        <w:ind w:left="513" w:right="0" w:hanging="361"/>
        <w:jc w:val="left"/>
      </w:pPr>
      <w:r>
        <w:rPr/>
        <w:t>摊调整后的固定资产账面价值（扣除预计净残值）。 </w:t>
      </w:r>
      <w:r>
        <w:rPr>
          <w:spacing w:val="-2"/>
        </w:rPr>
        <w:t>固定资产的减值损失一经确认，在以后会计期间不再转回。有迹象表明一项固定资产可能发生减值的，企业以单项固定</w:t>
      </w:r>
    </w:p>
    <w:p>
      <w:pPr>
        <w:pStyle w:val="BodyText"/>
        <w:spacing w:line="316" w:lineRule="auto" w:before="19"/>
        <w:ind w:right="0"/>
        <w:jc w:val="left"/>
      </w:pPr>
      <w:r>
        <w:rPr>
          <w:spacing w:val="-2"/>
        </w:rPr>
        <w:t>资产为基础估计其可收回金额。企业难以对单项固定资产的可收回金额进行估计的，以该固定资产所属的资产组为基础确定</w:t>
      </w:r>
      <w:r>
        <w:rPr>
          <w:spacing w:val="-64"/>
        </w:rPr>
        <w:t> </w:t>
      </w:r>
      <w:r>
        <w:rPr>
          <w:spacing w:val="-64"/>
        </w:rPr>
      </w:r>
      <w:r>
        <w:rPr/>
        <w:t>资产组的可收回金额。</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13</w:t>
      </w:r>
      <w:r>
        <w:rPr/>
        <w:t>、在建工程</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在建工程以立项项目分类核算。</w:t>
      </w:r>
    </w:p>
    <w:p>
      <w:pPr>
        <w:spacing w:after="0" w:line="240" w:lineRule="auto"/>
        <w:jc w:val="left"/>
        <w:sectPr>
          <w:pgSz w:w="11910" w:h="16840"/>
          <w:pgMar w:header="877" w:footer="1227" w:top="1100" w:bottom="142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88"/>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91" w:firstLine="360"/>
        <w:jc w:val="both"/>
      </w:pPr>
      <w:r>
        <w:rPr>
          <w:spacing w:val="-2"/>
        </w:rPr>
        <w:t>在建工程项目按建造该项资产达到预定可使用状态前所发生的全部支出，作为固定资产的入账价值。所建造的固定资产</w:t>
      </w:r>
      <w:r>
        <w:rPr/>
        <w:t> </w:t>
      </w:r>
      <w:r>
        <w:rPr>
          <w:spacing w:val="-2"/>
        </w:rPr>
        <w:t>在建工程已达到预定可使用状态，但尚未办理竣工决算的，自达到预定可使用状态之日起，根据工程预算、造价或者工程实</w:t>
      </w:r>
      <w:r>
        <w:rPr>
          <w:spacing w:val="-66"/>
        </w:rPr>
        <w:t> </w:t>
      </w:r>
      <w:r>
        <w:rPr>
          <w:spacing w:val="-66"/>
        </w:rPr>
      </w:r>
      <w:r>
        <w:rPr>
          <w:spacing w:val="-2"/>
        </w:rPr>
        <w:t>际成本等，按估计的价值转入固定资产，并按本公司固定资产折旧政策计提固定资产的折旧，待办理竣工决算后，再按实际</w:t>
      </w:r>
      <w:r>
        <w:rPr>
          <w:spacing w:val="-64"/>
        </w:rPr>
        <w:t> </w:t>
      </w:r>
      <w:r>
        <w:rPr>
          <w:spacing w:val="-64"/>
        </w:rPr>
      </w:r>
      <w:r>
        <w:rPr/>
        <w:t>成本调整原来的暂估价值，但不调整原已计提的折旧额。</w:t>
      </w:r>
    </w:p>
    <w:p>
      <w:pPr>
        <w:spacing w:line="240" w:lineRule="auto" w:before="8"/>
        <w:rPr>
          <w:rFonts w:ascii="宋体" w:hAnsi="宋体" w:cs="宋体" w:eastAsia="宋体" w:hint="default"/>
          <w:sz w:val="22"/>
          <w:szCs w:val="22"/>
        </w:rPr>
      </w:pPr>
    </w:p>
    <w:p>
      <w:pPr>
        <w:pStyle w:val="Heading3"/>
        <w:spacing w:line="240" w:lineRule="auto"/>
        <w:ind w:right="88"/>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88"/>
        <w:jc w:val="left"/>
      </w:pPr>
      <w:r>
        <w:rPr/>
        <w:t>公司在每期末判断在建工程是否存在可能发生减值的迹象。 </w:t>
      </w:r>
      <w:r>
        <w:rPr>
          <w:spacing w:val="-2"/>
        </w:rPr>
        <w:t>在建工程存在减值迹象的，估计其可收回金额。有迹象表明一项在建工程可能发生减值的，企业以单项在建工程为基础</w:t>
      </w:r>
    </w:p>
    <w:p>
      <w:pPr>
        <w:pStyle w:val="BodyText"/>
        <w:spacing w:line="319" w:lineRule="auto" w:before="19"/>
        <w:ind w:right="88"/>
        <w:jc w:val="left"/>
      </w:pPr>
      <w:r>
        <w:rPr>
          <w:spacing w:val="-2"/>
        </w:rPr>
        <w:t>估计其可收回金额。企业难以对单项在建工程的可收回金额进行估计的，以该在建工程所属的资产组为基础确定资产组的可</w:t>
      </w:r>
      <w:r>
        <w:rPr>
          <w:spacing w:val="-64"/>
        </w:rPr>
        <w:t> </w:t>
      </w:r>
      <w:r>
        <w:rPr>
          <w:spacing w:val="-64"/>
        </w:rPr>
      </w:r>
      <w:r>
        <w:rPr/>
        <w:t>收回金额。</w:t>
      </w:r>
    </w:p>
    <w:p>
      <w:pPr>
        <w:pStyle w:val="BodyText"/>
        <w:spacing w:line="316" w:lineRule="auto" w:before="17"/>
        <w:ind w:right="94" w:firstLine="360"/>
        <w:jc w:val="left"/>
      </w:pPr>
      <w:r>
        <w:rPr/>
        <w:t>可收回金额根据在建工程的公允价值减去处置费用后的净额与在建工程预计未来现金流量的现值两者之间较高者确定。 </w:t>
      </w:r>
      <w:r>
        <w:rPr>
          <w:spacing w:val="-2"/>
        </w:rPr>
        <w:t>当在建工程的可收回金额低于其账面价值的，将在建工程的账面价值减记至可收回金额，减记的金额确认为在建工程减值损</w:t>
      </w:r>
      <w:r>
        <w:rPr>
          <w:spacing w:val="-64"/>
        </w:rPr>
        <w:t> </w:t>
      </w:r>
      <w:r>
        <w:rPr>
          <w:spacing w:val="-64"/>
        </w:rPr>
      </w:r>
      <w:r>
        <w:rPr/>
        <w:t>失，计入当期损益，同时计提相应的在建工程减值准备。在建工程的减值损失一经确认，在以后会计期间不再转回。</w:t>
      </w:r>
    </w:p>
    <w:p>
      <w:pPr>
        <w:spacing w:line="240" w:lineRule="auto" w:before="10"/>
        <w:rPr>
          <w:rFonts w:ascii="宋体" w:hAnsi="宋体" w:cs="宋体" w:eastAsia="宋体" w:hint="default"/>
          <w:sz w:val="22"/>
          <w:szCs w:val="22"/>
        </w:rPr>
      </w:pPr>
    </w:p>
    <w:p>
      <w:pPr>
        <w:pStyle w:val="Heading3"/>
        <w:spacing w:line="240" w:lineRule="auto"/>
        <w:ind w:right="88"/>
        <w:jc w:val="left"/>
        <w:rPr>
          <w:b w:val="0"/>
          <w:bCs w:val="0"/>
        </w:rPr>
      </w:pPr>
      <w:r>
        <w:rPr>
          <w:rFonts w:ascii="Times New Roman" w:hAnsi="Times New Roman" w:cs="Times New Roman" w:eastAsia="Times New Roman" w:hint="default"/>
        </w:rPr>
        <w:t>14</w:t>
      </w:r>
      <w:r>
        <w:rPr/>
        <w:t>、借款费用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8"/>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88" w:firstLine="360"/>
        <w:jc w:val="left"/>
      </w:pPr>
      <w:r>
        <w:rPr>
          <w:spacing w:val="-4"/>
        </w:rPr>
        <w:t>借款费用，包括借款利息、折价或者溢价的摊销、辅助费用以及因外币借款而发生的汇兑差额等。公司发生的借款费用，</w:t>
      </w:r>
      <w:r>
        <w:rPr/>
        <w:t> </w:t>
      </w:r>
      <w:r>
        <w:rPr>
          <w:spacing w:val="-2"/>
        </w:rPr>
        <w:t>可直接归属于符合资本化条件的资产的购建或者生产的，予以资本化，计入相关资产成本；其他借款费用，在发生时根据其</w:t>
      </w:r>
      <w:r>
        <w:rPr>
          <w:spacing w:val="-63"/>
        </w:rPr>
        <w:t> </w:t>
      </w:r>
      <w:r>
        <w:rPr>
          <w:spacing w:val="-63"/>
        </w:rPr>
      </w:r>
      <w:r>
        <w:rPr/>
        <w:t>发生额确认为费用，计入当期损益。</w:t>
      </w:r>
    </w:p>
    <w:p>
      <w:pPr>
        <w:pStyle w:val="BodyText"/>
        <w:spacing w:line="316" w:lineRule="auto" w:before="19"/>
        <w:ind w:right="274" w:firstLine="360"/>
        <w:jc w:val="left"/>
      </w:pPr>
      <w:r>
        <w:rPr/>
        <w:t>符合资本化条件的资产，是指需要经过相当长时间的购建或者生产活动才能达到预定可使用或者可销售状态的固定资 产、投资性房地产和存货等资产。借款费用同时满足下列条件时开始资本化：</w:t>
      </w:r>
    </w:p>
    <w:p>
      <w:pPr>
        <w:pStyle w:val="BodyText"/>
        <w:spacing w:line="316" w:lineRule="auto" w:before="19"/>
        <w:ind w:right="184" w:firstLine="360"/>
        <w:jc w:val="left"/>
      </w:pPr>
      <w:r>
        <w:rPr/>
        <w:t>（</w:t>
      </w:r>
      <w:r>
        <w:rPr>
          <w:rFonts w:ascii="宋体" w:hAnsi="宋体" w:cs="宋体" w:eastAsia="宋体" w:hint="default"/>
        </w:rPr>
        <w:t>1</w:t>
      </w:r>
      <w:r>
        <w:rPr/>
        <w:t>）资产支出已经发生，资产支出包括为购建或者生产符合资本化条件的资产而以支付现金、转移非现金资产或者承 担带息债务形式发生的支出；</w:t>
      </w:r>
    </w:p>
    <w:p>
      <w:pPr>
        <w:pStyle w:val="BodyText"/>
        <w:spacing w:line="240" w:lineRule="auto" w:before="19"/>
        <w:ind w:left="513" w:right="88"/>
        <w:jc w:val="left"/>
      </w:pPr>
      <w:r>
        <w:rPr/>
        <w:t>（</w:t>
      </w:r>
      <w:r>
        <w:rPr>
          <w:rFonts w:ascii="宋体" w:hAnsi="宋体" w:cs="宋体" w:eastAsia="宋体" w:hint="default"/>
        </w:rPr>
        <w:t>2</w:t>
      </w:r>
      <w:r>
        <w:rPr/>
        <w:t>）借款费用已经发生；</w:t>
      </w:r>
    </w:p>
    <w:p>
      <w:pPr>
        <w:pStyle w:val="BodyText"/>
        <w:spacing w:line="240" w:lineRule="auto" w:before="76"/>
        <w:ind w:left="513" w:right="88"/>
        <w:jc w:val="left"/>
      </w:pPr>
      <w:r>
        <w:rPr/>
        <w:t>（</w:t>
      </w:r>
      <w:r>
        <w:rPr>
          <w:rFonts w:ascii="宋体" w:hAnsi="宋体" w:cs="宋体" w:eastAsia="宋体" w:hint="default"/>
        </w:rPr>
        <w:t>3</w:t>
      </w:r>
      <w:r>
        <w:rPr/>
        <w:t>）为使资产达到预定可使用或者可销售状态所必要的购建或者生产活动已经开始。</w:t>
      </w:r>
    </w:p>
    <w:p>
      <w:pPr>
        <w:spacing w:line="240" w:lineRule="auto" w:before="0"/>
        <w:rPr>
          <w:rFonts w:ascii="宋体" w:hAnsi="宋体" w:cs="宋体" w:eastAsia="宋体" w:hint="default"/>
          <w:sz w:val="18"/>
          <w:szCs w:val="18"/>
        </w:rPr>
      </w:pPr>
    </w:p>
    <w:p>
      <w:pPr>
        <w:pStyle w:val="Heading3"/>
        <w:spacing w:line="240" w:lineRule="auto" w:before="120"/>
        <w:ind w:right="88"/>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90" w:firstLine="360"/>
        <w:jc w:val="both"/>
      </w:pPr>
      <w:r>
        <w:rPr>
          <w:spacing w:val="-2"/>
        </w:rPr>
        <w:t>资本化期间，指从借款费用开始资本化时点到停止资本化时点的期间，借款费用暂停资本化的期间不包括在内。当购建</w:t>
      </w:r>
      <w:r>
        <w:rPr/>
        <w:t> </w:t>
      </w:r>
      <w:r>
        <w:rPr>
          <w:spacing w:val="-2"/>
        </w:rPr>
        <w:t>或者生产符合资本化条件的资产达到预定可使用或者可销售状态时，借款费用停止资本化。当购建或者生产符合资本化条件</w:t>
      </w:r>
      <w:r>
        <w:rPr>
          <w:spacing w:val="-64"/>
        </w:rPr>
        <w:t> </w:t>
      </w:r>
      <w:r>
        <w:rPr>
          <w:spacing w:val="-64"/>
        </w:rPr>
      </w:r>
      <w:r>
        <w:rPr>
          <w:spacing w:val="-2"/>
        </w:rPr>
        <w:t>的资产中部分项目分别完工且可单独使用时，该部分资产借款费用停止资本化。购建或者生产的资产的各部分分别完工，但</w:t>
      </w:r>
      <w:r>
        <w:rPr>
          <w:spacing w:val="-63"/>
        </w:rPr>
        <w:t> </w:t>
      </w:r>
      <w:r>
        <w:rPr>
          <w:spacing w:val="-63"/>
        </w:rPr>
      </w:r>
      <w:r>
        <w:rPr/>
        <w:t>必须等到整体完工后才可使用或可对外销售的，在该资产整体完工时停止借款费用资本化。</w:t>
      </w:r>
    </w:p>
    <w:p>
      <w:pPr>
        <w:spacing w:line="240" w:lineRule="auto" w:before="9"/>
        <w:rPr>
          <w:rFonts w:ascii="宋体" w:hAnsi="宋体" w:cs="宋体" w:eastAsia="宋体" w:hint="default"/>
          <w:sz w:val="22"/>
          <w:szCs w:val="22"/>
        </w:rPr>
      </w:pPr>
    </w:p>
    <w:p>
      <w:pPr>
        <w:pStyle w:val="Heading3"/>
        <w:spacing w:line="240" w:lineRule="auto"/>
        <w:ind w:right="88"/>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88" w:firstLine="360"/>
        <w:jc w:val="left"/>
      </w:pPr>
      <w:r>
        <w:rPr>
          <w:spacing w:val="-2"/>
        </w:rPr>
        <w:t>符合资本化条件的资产在购建或生产过程中发生的非正常中断、且中断时间连续超过</w:t>
      </w:r>
      <w:r>
        <w:rPr>
          <w:rFonts w:ascii="宋体" w:hAnsi="宋体" w:cs="宋体" w:eastAsia="宋体" w:hint="default"/>
          <w:spacing w:val="-2"/>
        </w:rPr>
        <w:t>3</w:t>
      </w:r>
      <w:r>
        <w:rPr>
          <w:spacing w:val="-2"/>
        </w:rPr>
        <w:t>个月的，则借款费用暂停资本化；</w:t>
      </w:r>
      <w:r>
        <w:rPr/>
        <w:t> </w:t>
      </w: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spacing w:after="0" w:line="316" w:lineRule="auto"/>
        <w:jc w:val="left"/>
        <w:sectPr>
          <w:pgSz w:w="11910" w:h="16840"/>
          <w:pgMar w:header="877" w:footer="1227" w:top="1100" w:bottom="1420" w:left="980" w:right="940"/>
        </w:sectPr>
      </w:pPr>
    </w:p>
    <w:p>
      <w:pPr>
        <w:spacing w:line="240" w:lineRule="auto" w:before="11"/>
        <w:rPr>
          <w:rFonts w:ascii="宋体" w:hAnsi="宋体" w:cs="宋体" w:eastAsia="宋体" w:hint="default"/>
          <w:sz w:val="20"/>
          <w:szCs w:val="20"/>
        </w:rPr>
      </w:pPr>
    </w:p>
    <w:p>
      <w:pPr>
        <w:pStyle w:val="Heading3"/>
        <w:spacing w:line="240" w:lineRule="auto" w:before="36"/>
        <w:ind w:right="88"/>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88" w:firstLine="360"/>
        <w:jc w:val="left"/>
      </w:pPr>
      <w:r>
        <w:rPr>
          <w:spacing w:val="-2"/>
        </w:rPr>
        <w:t>对于为购建或者生产符合资本化条件的资产而借入的专门借款，以专门借款当期实际发生的借款费用，减去尚未动用的</w:t>
      </w:r>
      <w:r>
        <w:rPr/>
        <w:t> 借款资金存入银行取得的利息收入或进行暂时性投资取得的投资收益后的金额，来确定借款费用的资本化金额。</w:t>
      </w:r>
    </w:p>
    <w:p>
      <w:pPr>
        <w:pStyle w:val="BodyText"/>
        <w:spacing w:line="316" w:lineRule="auto" w:before="19"/>
        <w:ind w:right="192" w:firstLine="360"/>
        <w:jc w:val="both"/>
      </w:pPr>
      <w:r>
        <w:rPr>
          <w:spacing w:val="-2"/>
        </w:rPr>
        <w:t>对于为购建或者生产符合资本化条件的资产而占用的一般借款，根据累计资产支出超过专门借款部分的资产支出加权平</w:t>
      </w:r>
      <w:r>
        <w:rPr/>
        <w:t> </w:t>
      </w:r>
      <w:r>
        <w:rPr>
          <w:spacing w:val="-2"/>
        </w:rPr>
        <w:t>均数乘以所占用一般借款的资本化率，计算确定一般借款应予资本化的利息金额。资本化率根据一般借款加权平均利率计算</w:t>
      </w:r>
      <w:r>
        <w:rPr>
          <w:spacing w:val="-64"/>
        </w:rPr>
        <w:t> </w:t>
      </w:r>
      <w:r>
        <w:rPr>
          <w:spacing w:val="-64"/>
        </w:rPr>
      </w:r>
      <w:r>
        <w:rPr/>
        <w:t>确定。借款存在折价或者溢价的，按照实际利率法确定每一会计期间应摊销的折价或者溢价金额，调整每期利息金额。</w:t>
      </w:r>
    </w:p>
    <w:p>
      <w:pPr>
        <w:spacing w:line="240" w:lineRule="auto" w:before="10"/>
        <w:rPr>
          <w:rFonts w:ascii="宋体" w:hAnsi="宋体" w:cs="宋体" w:eastAsia="宋体" w:hint="default"/>
          <w:sz w:val="22"/>
          <w:szCs w:val="22"/>
        </w:rPr>
      </w:pPr>
    </w:p>
    <w:p>
      <w:pPr>
        <w:pStyle w:val="Heading3"/>
        <w:spacing w:line="240" w:lineRule="auto"/>
        <w:ind w:right="88"/>
        <w:jc w:val="left"/>
        <w:rPr>
          <w:b w:val="0"/>
          <w:bCs w:val="0"/>
        </w:rPr>
      </w:pPr>
      <w:r>
        <w:rPr>
          <w:rFonts w:ascii="Times New Roman" w:hAnsi="Times New Roman" w:cs="Times New Roman" w:eastAsia="Times New Roman" w:hint="default"/>
        </w:rPr>
        <w:t>15</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88"/>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13" w:right="88" w:hanging="361"/>
        <w:jc w:val="left"/>
      </w:pPr>
      <w:r>
        <w:rPr/>
        <w:t>（</w:t>
      </w:r>
      <w:r>
        <w:rPr>
          <w:rFonts w:ascii="宋体" w:hAnsi="宋体" w:cs="宋体" w:eastAsia="宋体" w:hint="default"/>
        </w:rPr>
        <w:t>1</w:t>
      </w:r>
      <w:r>
        <w:rPr/>
        <w:t>）公司取得无形资产时按成本进行初始计量； </w:t>
      </w:r>
      <w:r>
        <w:rPr>
          <w:spacing w:val="-2"/>
        </w:rPr>
        <w:t>外购无形资产的成本，包括购买价款、相关税费以及直接归属于使该项资产达到预定用途所发生的其他支出。购买无形</w:t>
      </w:r>
    </w:p>
    <w:p>
      <w:pPr>
        <w:pStyle w:val="BodyText"/>
        <w:spacing w:line="316" w:lineRule="auto" w:before="19"/>
        <w:ind w:right="88"/>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债务重组取得债务人用以抵债的无形资产，以该无形资产的公允价值为基础确定其入账价值，并将重组债务的账面价值与该</w:t>
      </w:r>
      <w:r>
        <w:rPr>
          <w:spacing w:val="-64"/>
        </w:rPr>
        <w:t> </w:t>
      </w:r>
      <w:r>
        <w:rPr>
          <w:spacing w:val="-64"/>
        </w:rPr>
      </w:r>
      <w:r>
        <w:rPr/>
        <w:t>用以抵债的无形资产公允价值之间的差额，计入当期损益；</w:t>
      </w:r>
    </w:p>
    <w:p>
      <w:pPr>
        <w:pStyle w:val="BodyText"/>
        <w:spacing w:line="316" w:lineRule="auto" w:before="19"/>
        <w:ind w:right="88" w:firstLine="360"/>
        <w:jc w:val="left"/>
      </w:pPr>
      <w:r>
        <w:rPr>
          <w:spacing w:val="-2"/>
        </w:rPr>
        <w:t>在非货币性资产交换具备商业实质且换入资产或换出资产的公允价值能够可靠计量的前提下，非货币性资产交换换入的</w:t>
      </w:r>
      <w:r>
        <w:rPr/>
        <w:t> </w:t>
      </w: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r>
        <w:rPr/>
        <w:t> </w:t>
      </w:r>
      <w:r>
        <w:rPr>
          <w:spacing w:val="-2"/>
        </w:rPr>
        <w:t>以同一控制下的企业吸收合并方式取得的无形资产按被合并方的账面价值确定其入账价值；以非同一控制下的企业吸收合并</w:t>
      </w:r>
      <w:r>
        <w:rPr>
          <w:spacing w:val="-64"/>
        </w:rPr>
        <w:t> </w:t>
      </w:r>
      <w:r>
        <w:rPr>
          <w:spacing w:val="-64"/>
        </w:rPr>
      </w:r>
      <w:r>
        <w:rPr/>
        <w:t>方式取得的无形资产按公允价值确定其入账价值。</w:t>
      </w:r>
    </w:p>
    <w:p>
      <w:pPr>
        <w:pStyle w:val="BodyText"/>
        <w:spacing w:line="316" w:lineRule="auto" w:before="19"/>
        <w:ind w:right="88" w:firstLine="360"/>
        <w:jc w:val="left"/>
      </w:pPr>
      <w:r>
        <w:rPr>
          <w:spacing w:val="-2"/>
        </w:rPr>
        <w:t>内部自行开发的无形资产，其成本包括：开发该无形资产时耗用的材料、劳务成本、注册费、在开发过程中使用的其他</w:t>
      </w:r>
      <w:r>
        <w:rPr/>
        <w:t> 专利权和特许权的摊销以及满足资本化条件的利息费用，以及为使该无形资产达到预定用途前所发生的其他直接费用。</w:t>
      </w:r>
    </w:p>
    <w:p>
      <w:pPr>
        <w:pStyle w:val="BodyText"/>
        <w:spacing w:line="240" w:lineRule="auto" w:before="19"/>
        <w:ind w:right="88"/>
        <w:jc w:val="left"/>
      </w:pPr>
      <w:r>
        <w:rPr/>
        <w:t>（</w:t>
      </w:r>
      <w:r>
        <w:rPr>
          <w:rFonts w:ascii="宋体" w:hAnsi="宋体" w:cs="宋体" w:eastAsia="宋体" w:hint="default"/>
        </w:rPr>
        <w:t>2</w:t>
      </w:r>
      <w:r>
        <w:rPr/>
        <w:t>）后续计量</w:t>
      </w:r>
    </w:p>
    <w:p>
      <w:pPr>
        <w:pStyle w:val="BodyText"/>
        <w:spacing w:line="316" w:lineRule="auto" w:before="76"/>
        <w:ind w:right="88" w:firstLine="360"/>
        <w:jc w:val="left"/>
      </w:pPr>
      <w:r>
        <w:rPr>
          <w:spacing w:val="-4"/>
        </w:rPr>
        <w:t>在取得无形资产时分析判断其使用寿命。对于使用寿命有限的无形资产，在为企业带来经济利益的期限内按直线法摊销；</w:t>
      </w:r>
      <w:r>
        <w:rPr/>
        <w:t> 无法预见无形资产为企业带来经济利益期限的，视为使用寿命不确定的无形资产，不予摊销。</w:t>
      </w:r>
    </w:p>
    <w:p>
      <w:pPr>
        <w:spacing w:line="240" w:lineRule="auto" w:before="10"/>
        <w:rPr>
          <w:rFonts w:ascii="宋体" w:hAnsi="宋体" w:cs="宋体" w:eastAsia="宋体" w:hint="default"/>
          <w:sz w:val="22"/>
          <w:szCs w:val="22"/>
        </w:rPr>
      </w:pPr>
    </w:p>
    <w:p>
      <w:pPr>
        <w:pStyle w:val="Heading3"/>
        <w:spacing w:line="240" w:lineRule="auto"/>
        <w:ind w:right="88"/>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4054"/>
        <w:jc w:val="left"/>
      </w:pPr>
      <w:r>
        <w:rPr/>
        <w:t>每期末，对使用寿命有限的无形资产的使用寿命及摊销方法进行复核。 经复核，本年期末无形资产的使用寿命及摊销方法与以前估计未有不同。</w:t>
      </w:r>
    </w:p>
    <w:p>
      <w:pPr>
        <w:spacing w:line="240" w:lineRule="auto" w:before="1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873"/>
        <w:gridCol w:w="4734"/>
      </w:tblGrid>
      <w:tr>
        <w:trPr>
          <w:trHeight w:val="408" w:hRule="exact"/>
        </w:trPr>
        <w:tc>
          <w:tcPr>
            <w:tcW w:w="4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r>
      <w:tr>
        <w:trPr>
          <w:trHeight w:val="407" w:hRule="exact"/>
        </w:trPr>
        <w:tc>
          <w:tcPr>
            <w:tcW w:w="4873"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4734"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30" w:hRule="exact"/>
        </w:trPr>
        <w:tc>
          <w:tcPr>
            <w:tcW w:w="4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spacing w:line="240" w:lineRule="auto" w:before="3"/>
        <w:rPr>
          <w:rFonts w:ascii="宋体" w:hAnsi="宋体" w:cs="宋体" w:eastAsia="宋体" w:hint="default"/>
          <w:sz w:val="19"/>
          <w:szCs w:val="19"/>
        </w:rPr>
      </w:pPr>
    </w:p>
    <w:p>
      <w:pPr>
        <w:pStyle w:val="Heading3"/>
        <w:spacing w:line="240" w:lineRule="auto" w:before="36"/>
        <w:ind w:right="88"/>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88"/>
        <w:jc w:val="left"/>
      </w:pPr>
      <w:r>
        <w:rPr/>
        <w:t>截至资产负债表日</w:t>
      </w:r>
      <w:r>
        <w:rPr>
          <w:rFonts w:ascii="宋体" w:hAnsi="宋体" w:cs="宋体" w:eastAsia="宋体" w:hint="default"/>
        </w:rPr>
        <w:t>,</w:t>
      </w:r>
      <w:r>
        <w:rPr/>
        <w:t>本公司没有使用寿命不确定的无形资产。</w:t>
      </w:r>
    </w:p>
    <w:p>
      <w:pPr>
        <w:spacing w:after="0" w:line="240" w:lineRule="auto"/>
        <w:jc w:val="left"/>
        <w:sectPr>
          <w:pgSz w:w="11910" w:h="16840"/>
          <w:pgMar w:header="877" w:footer="1227" w:top="1100" w:bottom="1420" w:left="980" w:right="94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50" w:firstLine="360"/>
        <w:jc w:val="both"/>
      </w:pPr>
      <w:r>
        <w:rPr>
          <w:spacing w:val="-2"/>
        </w:rPr>
        <w:t>对于使用寿命确定的无形资产，如有明显减值迹象的，期末进行减值测试。对于使用寿命不确定的无形资产，每期末进</w:t>
      </w:r>
      <w:r>
        <w:rPr/>
        <w:t> </w:t>
      </w:r>
      <w:r>
        <w:rPr>
          <w:spacing w:val="-2"/>
        </w:rPr>
        <w:t>行减值测试。对无形资产进行减值测试，估计其可收回金额。有迹象表明一项无形资产可能发生减值的，公司以单项无形资</w:t>
      </w:r>
      <w:r>
        <w:rPr>
          <w:spacing w:val="-65"/>
        </w:rPr>
        <w:t> </w:t>
      </w:r>
      <w:r>
        <w:rPr>
          <w:spacing w:val="-65"/>
        </w:rPr>
      </w:r>
      <w:r>
        <w:rPr>
          <w:spacing w:val="-2"/>
        </w:rPr>
        <w:t>产为基础估计其可收回金额。公司难以对单项资产的可收回金额进行估计的，以该无形资产所属的资产组为基础确定无形资</w:t>
      </w:r>
      <w:r>
        <w:rPr>
          <w:spacing w:val="-64"/>
        </w:rPr>
        <w:t> </w:t>
      </w:r>
      <w:r>
        <w:rPr>
          <w:spacing w:val="-64"/>
        </w:rPr>
      </w:r>
      <w:r>
        <w:rPr>
          <w:spacing w:val="-2"/>
        </w:rPr>
        <w:t>产组的可收回金额。可收回金额根据无形资产的公允价值减去处置费用后的净额与无形资产预计未来现金流量的现值两者之</w:t>
      </w:r>
      <w:r>
        <w:rPr>
          <w:spacing w:val="-64"/>
        </w:rPr>
        <w:t> </w:t>
      </w:r>
      <w:r>
        <w:rPr>
          <w:spacing w:val="-64"/>
        </w:rPr>
      </w:r>
      <w:r>
        <w:rPr>
          <w:spacing w:val="-2"/>
        </w:rPr>
        <w:t>间较高者确定。当无形资产的可收回金额低于其账面价值的，将无形资产的账面价值减记至可收回金额，减记的金额确认为</w:t>
      </w:r>
      <w:r>
        <w:rPr>
          <w:spacing w:val="-63"/>
        </w:rPr>
        <w:t> </w:t>
      </w:r>
      <w:r>
        <w:rPr>
          <w:spacing w:val="-63"/>
        </w:rPr>
      </w:r>
      <w:r>
        <w:rPr>
          <w:spacing w:val="-2"/>
        </w:rPr>
        <w:t>无形资产减值损失，计入当期损益，同时计提相应的无形资产减值准备。无形资产减值损失确认后，减值无形资产的折耗或</w:t>
      </w:r>
      <w:r>
        <w:rPr>
          <w:spacing w:val="-64"/>
        </w:rPr>
        <w:t> </w:t>
      </w:r>
      <w:r>
        <w:rPr>
          <w:spacing w:val="-64"/>
        </w:rPr>
      </w:r>
      <w:r>
        <w:rPr>
          <w:spacing w:val="-2"/>
        </w:rPr>
        <w:t>者摊销费用在未来期间作相应调整，以使该无形资产在剩余使用寿命内，系统地分摊调整后的无形资产账面价值（扣除预计</w:t>
      </w:r>
      <w:r>
        <w:rPr>
          <w:spacing w:val="-63"/>
        </w:rPr>
        <w:t> </w:t>
      </w:r>
      <w:r>
        <w:rPr>
          <w:spacing w:val="-63"/>
        </w:rPr>
      </w:r>
      <w:r>
        <w:rPr/>
        <w:t>净残值）。无形资产的减值损失一经确认，在以后会计期间不再转回。</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1" w:firstLine="360"/>
        <w:jc w:val="both"/>
      </w:pPr>
      <w:r>
        <w:rPr>
          <w:spacing w:val="-2"/>
        </w:rPr>
        <w:t>公司内部研究开发项目的支出分为研究阶段支出和开发阶段支出。研究阶段：为获取并理解新的科学或技术知识等而进</w:t>
      </w:r>
      <w:r>
        <w:rPr/>
        <w:t> </w:t>
      </w:r>
      <w:r>
        <w:rPr>
          <w:spacing w:val="-2"/>
        </w:rPr>
        <w:t>行的独创性的有计划调查、研究活动的阶段。开发阶段：在进行商业性生产或使用前，将研究成果或其他知识应用于某项计</w:t>
      </w:r>
      <w:r>
        <w:rPr>
          <w:spacing w:val="-64"/>
        </w:rPr>
        <w:t> </w:t>
      </w:r>
      <w:r>
        <w:rPr>
          <w:spacing w:val="-64"/>
        </w:rPr>
      </w:r>
      <w:r>
        <w:rPr/>
        <w:t>划或设计，以生产出新的或具有实质性改进的材料、装置、产品等活动的阶段。</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内部研究开发项目开发阶段的支出，同时满足下列条件时确认为无形资产：</w:t>
      </w:r>
    </w:p>
    <w:p>
      <w:pPr>
        <w:pStyle w:val="BodyText"/>
        <w:spacing w:line="240" w:lineRule="auto" w:before="76"/>
        <w:ind w:right="0"/>
        <w:jc w:val="left"/>
      </w:pPr>
      <w:r>
        <w:rPr/>
        <w:t>（</w:t>
      </w:r>
      <w:r>
        <w:rPr>
          <w:rFonts w:ascii="宋体" w:hAnsi="宋体" w:cs="宋体" w:eastAsia="宋体" w:hint="default"/>
        </w:rPr>
        <w:t>1</w:t>
      </w:r>
      <w:r>
        <w:rPr/>
        <w:t>）完成该无形资产以使其能够使用或出售在技术上具有可行性；</w:t>
      </w:r>
    </w:p>
    <w:p>
      <w:pPr>
        <w:pStyle w:val="BodyText"/>
        <w:spacing w:line="240" w:lineRule="auto" w:before="76"/>
        <w:ind w:right="0"/>
        <w:jc w:val="left"/>
      </w:pPr>
      <w:r>
        <w:rPr/>
        <w:t>（</w:t>
      </w:r>
      <w:r>
        <w:rPr>
          <w:rFonts w:ascii="宋体" w:hAnsi="宋体" w:cs="宋体" w:eastAsia="宋体" w:hint="default"/>
        </w:rPr>
        <w:t>2</w:t>
      </w:r>
      <w:r>
        <w:rPr/>
        <w:t>）具有完成该无形资产并使用或出售的意图；</w:t>
      </w:r>
    </w:p>
    <w:p>
      <w:pPr>
        <w:pStyle w:val="BodyText"/>
        <w:spacing w:line="316" w:lineRule="auto" w:before="76"/>
        <w:ind w:right="144"/>
        <w:jc w:val="left"/>
      </w:pPr>
      <w:r>
        <w:rPr/>
        <w:t>（</w:t>
      </w:r>
      <w:r>
        <w:rPr>
          <w:rFonts w:ascii="宋体" w:hAnsi="宋体" w:cs="宋体" w:eastAsia="宋体" w:hint="default"/>
        </w:rPr>
        <w:t>3</w:t>
      </w:r>
      <w:r>
        <w:rPr/>
        <w:t>）无形资产产生经济利益的方式，包括能够证明运用该无形资产生产的产品存在市场或无形资产自身存在市场，无形资 产将在内部使用的，能够证明其有用性；</w:t>
      </w:r>
    </w:p>
    <w:p>
      <w:pPr>
        <w:pStyle w:val="BodyText"/>
        <w:spacing w:line="240" w:lineRule="auto" w:before="19"/>
        <w:ind w:right="0"/>
        <w:jc w:val="left"/>
      </w:pPr>
      <w:r>
        <w:rPr/>
        <w:t>（</w:t>
      </w:r>
      <w:r>
        <w:rPr>
          <w:rFonts w:ascii="宋体" w:hAnsi="宋体" w:cs="宋体" w:eastAsia="宋体" w:hint="default"/>
        </w:rPr>
        <w:t>4</w:t>
      </w:r>
      <w:r>
        <w:rPr/>
        <w:t>）有足够的技术、财务资源和其他资源支持，以完成该无形资产的开发，并有能力使用或出售该无形资产；</w:t>
      </w:r>
    </w:p>
    <w:p>
      <w:pPr>
        <w:pStyle w:val="BodyText"/>
        <w:spacing w:line="316" w:lineRule="auto" w:before="76"/>
        <w:ind w:right="1134"/>
        <w:jc w:val="left"/>
      </w:pPr>
      <w:r>
        <w:rPr/>
        <w:t>（</w:t>
      </w:r>
      <w:r>
        <w:rPr>
          <w:rFonts w:ascii="宋体" w:hAnsi="宋体" w:cs="宋体" w:eastAsia="宋体" w:hint="default"/>
        </w:rPr>
        <w:t>5</w:t>
      </w:r>
      <w:r>
        <w:rPr/>
        <w:t>）归属于该无形资产开发阶段的支出能够可靠地计量。 开发阶段的支出，若不满足上列条件的，于发生时计入当期损益。研究阶段的支出，在发生时计入当期损益。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r>
        <w:rPr>
          <w:rFonts w:ascii="Times New Roman" w:hAnsi="Times New Roman" w:cs="Times New Roman" w:eastAsia="Times New Roman" w:hint="default"/>
        </w:rPr>
        <w:t>16</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2" w:firstLine="360"/>
        <w:jc w:val="both"/>
      </w:pPr>
      <w:r>
        <w:rPr>
          <w:spacing w:val="-2"/>
        </w:rPr>
        <w:t>长期待摊费用为已经发生但应由本期和以后各期负担的分摊期限在一年以上的各项费用，长期待摊费用在受益期内平均</w:t>
      </w:r>
      <w:r>
        <w:rPr/>
        <w:t> 摊销。</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17</w:t>
      </w:r>
      <w:r>
        <w:rPr/>
        <w:t>、预计负债</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54" w:firstLine="360"/>
        <w:jc w:val="both"/>
      </w:pPr>
      <w:r>
        <w:rPr>
          <w:spacing w:val="-2"/>
        </w:rPr>
        <w:t>本公司涉及诉讼、债务担保、亏损合同、重组事项时，如该等事项很可能需要未来以交付资产或提供劳务、其金额能够</w:t>
      </w:r>
      <w:r>
        <w:rPr/>
        <w:t> 可靠计量的，确认为预计负债。</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与或有事项相关的义务同时满足下列条件时，本公司确认为预计负债：</w:t>
      </w:r>
    </w:p>
    <w:p>
      <w:pPr>
        <w:pStyle w:val="BodyText"/>
        <w:spacing w:line="240" w:lineRule="auto" w:before="76"/>
        <w:ind w:left="513" w:right="0"/>
        <w:jc w:val="left"/>
      </w:pPr>
      <w:r>
        <w:rPr/>
        <w:t>（</w:t>
      </w:r>
      <w:r>
        <w:rPr>
          <w:rFonts w:ascii="宋体" w:hAnsi="宋体" w:cs="宋体" w:eastAsia="宋体" w:hint="default"/>
        </w:rPr>
        <w:t>1</w:t>
      </w:r>
      <w:r>
        <w:rPr/>
        <w:t>）该义务是本公司承担的现时义务；</w:t>
      </w:r>
    </w:p>
    <w:p>
      <w:pPr>
        <w:pStyle w:val="BodyText"/>
        <w:spacing w:line="240" w:lineRule="auto" w:before="76"/>
        <w:ind w:left="513" w:right="0"/>
        <w:jc w:val="left"/>
      </w:pPr>
      <w:r>
        <w:rPr/>
        <w:t>（</w:t>
      </w:r>
      <w:r>
        <w:rPr>
          <w:rFonts w:ascii="宋体" w:hAnsi="宋体" w:cs="宋体" w:eastAsia="宋体" w:hint="default"/>
        </w:rPr>
        <w:t>2</w:t>
      </w:r>
      <w:r>
        <w:rPr/>
        <w:t>）履行该义务很可能导致经济利益流出本公司；</w:t>
      </w:r>
    </w:p>
    <w:p>
      <w:pPr>
        <w:pStyle w:val="BodyText"/>
        <w:spacing w:line="240" w:lineRule="auto" w:before="76"/>
        <w:ind w:left="513" w:right="0"/>
        <w:jc w:val="left"/>
      </w:pPr>
      <w:r>
        <w:rPr/>
        <w:t>（</w:t>
      </w:r>
      <w:r>
        <w:rPr>
          <w:rFonts w:ascii="宋体" w:hAnsi="宋体" w:cs="宋体" w:eastAsia="宋体" w:hint="default"/>
        </w:rPr>
        <w:t>3</w:t>
      </w:r>
      <w:r>
        <w:rPr/>
        <w:t>）该义务的金额能够可靠地计量。</w:t>
      </w:r>
    </w:p>
    <w:p>
      <w:pPr>
        <w:spacing w:after="0" w:line="240" w:lineRule="auto"/>
        <w:jc w:val="left"/>
        <w:sectPr>
          <w:pgSz w:w="11910" w:h="16840"/>
          <w:pgMar w:header="877" w:footer="1227" w:top="1100" w:bottom="142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88"/>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13" w:right="88"/>
        <w:jc w:val="left"/>
      </w:pPr>
      <w:r>
        <w:rPr/>
        <w:t>本公司预计负债按履行相关现时义务所需的支出的最佳估计数进行初始计量。 </w:t>
      </w:r>
      <w:r>
        <w:rPr>
          <w:spacing w:val="-2"/>
        </w:rPr>
        <w:t>本公司在确定最佳估计数时，综合考虑与或有事项有关的风险、不确定性和货币时间价值等因素。对于货币时间价值影</w:t>
      </w:r>
    </w:p>
    <w:p>
      <w:pPr>
        <w:pStyle w:val="BodyText"/>
        <w:spacing w:line="316" w:lineRule="auto" w:before="19"/>
        <w:ind w:left="513" w:right="4594" w:hanging="361"/>
        <w:jc w:val="left"/>
      </w:pPr>
      <w:r>
        <w:rPr/>
        <w:t>响重大的，通过对相关未来现金流出进行折现后确定最佳估计数。 最佳估计数分别以下情况处理：</w:t>
      </w:r>
    </w:p>
    <w:p>
      <w:pPr>
        <w:pStyle w:val="BodyText"/>
        <w:spacing w:line="316" w:lineRule="auto" w:before="19"/>
        <w:ind w:right="88" w:firstLine="360"/>
        <w:jc w:val="left"/>
      </w:pPr>
      <w:r>
        <w:rPr>
          <w:spacing w:val="-2"/>
        </w:rPr>
        <w:t>所需支出存在一个连续范围（或区间），且该范围内各种结果发生的可能性相同的，则最佳估计数按照该范围的中间值</w:t>
      </w:r>
      <w:r>
        <w:rPr/>
        <w:t> 即上下限金额的平均数确定。</w:t>
      </w:r>
    </w:p>
    <w:p>
      <w:pPr>
        <w:pStyle w:val="BodyText"/>
        <w:spacing w:line="316" w:lineRule="auto" w:before="19"/>
        <w:ind w:right="190" w:firstLine="360"/>
        <w:jc w:val="both"/>
      </w:pPr>
      <w:r>
        <w:rPr>
          <w:spacing w:val="-2"/>
        </w:rPr>
        <w:t>所需支出不存在一个连续范围（或区间），或虽然存在一个连续范围但该范围内各种结果发生的可能性不相同的，如或</w:t>
      </w:r>
      <w:r>
        <w:rPr/>
        <w:t> </w:t>
      </w:r>
      <w:r>
        <w:rPr>
          <w:spacing w:val="-2"/>
        </w:rPr>
        <w:t>有事项涉及单个项目的，则最佳估计数按照最可能发生金额确定；如或有事项涉及多个项目的，则最佳估计数按各种可能结</w:t>
      </w:r>
      <w:r>
        <w:rPr>
          <w:spacing w:val="-63"/>
        </w:rPr>
        <w:t> </w:t>
      </w:r>
      <w:r>
        <w:rPr>
          <w:spacing w:val="-63"/>
        </w:rPr>
      </w:r>
      <w:r>
        <w:rPr/>
        <w:t>果及相关概率计算确定。</w:t>
      </w:r>
    </w:p>
    <w:p>
      <w:pPr>
        <w:pStyle w:val="BodyText"/>
        <w:spacing w:line="319" w:lineRule="auto" w:before="19"/>
        <w:ind w:right="94" w:firstLine="360"/>
        <w:jc w:val="left"/>
      </w:pPr>
      <w:r>
        <w:rPr/>
        <w:t>本公司清偿预计负债所需支出全部或部分预期由第三方补偿的，补偿金额在基本确定能够收到时，作为资产单独确认， 确认的补偿金额不超过预计负债的账面价值。</w:t>
      </w:r>
    </w:p>
    <w:p>
      <w:pPr>
        <w:pStyle w:val="BodyText"/>
        <w:spacing w:line="240" w:lineRule="auto" w:before="17"/>
        <w:ind w:left="513" w:right="0"/>
        <w:jc w:val="left"/>
      </w:pPr>
      <w:r>
        <w:rPr/>
        <w:t>公司根据合同的约定或合理的估计，在质保期间对所售商品或所提供的服务按预计可能产生的质保费用计提预计负债。</w:t>
      </w:r>
    </w:p>
    <w:p>
      <w:pPr>
        <w:spacing w:line="240" w:lineRule="auto" w:before="0"/>
        <w:rPr>
          <w:rFonts w:ascii="宋体" w:hAnsi="宋体" w:cs="宋体" w:eastAsia="宋体" w:hint="default"/>
          <w:sz w:val="18"/>
          <w:szCs w:val="18"/>
        </w:rPr>
      </w:pPr>
    </w:p>
    <w:p>
      <w:pPr>
        <w:pStyle w:val="Heading3"/>
        <w:spacing w:line="240" w:lineRule="auto" w:before="120"/>
        <w:ind w:right="88"/>
        <w:jc w:val="left"/>
        <w:rPr>
          <w:b w:val="0"/>
          <w:bCs w:val="0"/>
        </w:rPr>
      </w:pPr>
      <w:r>
        <w:rPr>
          <w:rFonts w:ascii="Times New Roman" w:hAnsi="Times New Roman" w:cs="Times New Roman" w:eastAsia="Times New Roman" w:hint="default"/>
        </w:rPr>
        <w:t>18</w:t>
      </w:r>
      <w:r>
        <w:rPr/>
        <w:t>、收入</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88"/>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90" w:firstLine="360"/>
        <w:jc w:val="both"/>
      </w:pPr>
      <w:r>
        <w:rPr>
          <w:spacing w:val="-2"/>
        </w:rPr>
        <w:t>公司已将商品所有权上的主要风险和报酬转移给购买方；公司既没有保留与所有权相联系的继续管理权，也没有对已售</w:t>
      </w:r>
      <w:r>
        <w:rPr/>
        <w:t> </w:t>
      </w:r>
      <w:r>
        <w:rPr>
          <w:spacing w:val="-2"/>
        </w:rPr>
        <w:t>出的商品实施有效控制；收入的金额能够可靠地计量；相关的经济利益很可能流入企业；相关的已发生或将发生的成本能够</w:t>
      </w:r>
      <w:r>
        <w:rPr>
          <w:spacing w:val="-63"/>
        </w:rPr>
        <w:t> </w:t>
      </w:r>
      <w:r>
        <w:rPr>
          <w:spacing w:val="-63"/>
        </w:rPr>
      </w:r>
      <w:r>
        <w:rPr/>
        <w:t>可靠地计量时，确认商品销售收入实现。</w:t>
      </w:r>
      <w:r>
        <w:rPr>
          <w:spacing w:val="50"/>
        </w:rPr>
        <w:t> </w:t>
      </w:r>
      <w:r>
        <w:rPr/>
        <w:t>①公司与客户签订销售合同</w:t>
      </w:r>
      <w:r>
        <w:rPr>
          <w:rFonts w:ascii="Times New Roman" w:hAnsi="Times New Roman" w:cs="Times New Roman" w:eastAsia="Times New Roman" w:hint="default"/>
        </w:rPr>
        <w:t>,</w:t>
      </w:r>
      <w:r>
        <w:rPr/>
        <w:t>根据销售合同约定的交货方式公司将货物发给客户</w:t>
      </w:r>
      <w:r>
        <w:rPr>
          <w:rFonts w:ascii="Times New Roman" w:hAnsi="Times New Roman" w:cs="Times New Roman" w:eastAsia="Times New Roman" w:hint="default"/>
        </w:rPr>
        <w:t>, </w:t>
      </w:r>
      <w:r>
        <w:rPr/>
        <w:t>客户收到货物并验收合格后付款</w:t>
      </w:r>
      <w:r>
        <w:rPr>
          <w:rFonts w:ascii="Times New Roman" w:hAnsi="Times New Roman" w:cs="Times New Roman" w:eastAsia="Times New Roman" w:hint="default"/>
        </w:rPr>
        <w:t>,</w:t>
      </w:r>
      <w:r>
        <w:rPr/>
        <w:t>公司取得客户收货凭据时确认收入。</w:t>
      </w:r>
      <w:r>
        <w:rPr>
          <w:spacing w:val="50"/>
        </w:rPr>
        <w:t> </w:t>
      </w:r>
      <w:r>
        <w:rPr/>
        <w:t>②公司与客户签订销售合同</w:t>
      </w:r>
      <w:r>
        <w:rPr>
          <w:rFonts w:ascii="Times New Roman" w:hAnsi="Times New Roman" w:cs="Times New Roman" w:eastAsia="Times New Roman" w:hint="default"/>
        </w:rPr>
        <w:t>,</w:t>
      </w:r>
      <w:r>
        <w:rPr/>
        <w:t>根据销售合同约定的交 货方式公司将货物发给客户</w:t>
      </w:r>
      <w:r>
        <w:rPr>
          <w:rFonts w:ascii="Times New Roman" w:hAnsi="Times New Roman" w:cs="Times New Roman" w:eastAsia="Times New Roman" w:hint="default"/>
        </w:rPr>
        <w:t>,</w:t>
      </w:r>
      <w:r>
        <w:rPr/>
        <w:t>公司技术服务人员指导第三方安装公司安装设备后</w:t>
      </w:r>
      <w:r>
        <w:rPr>
          <w:rFonts w:ascii="Times New Roman" w:hAnsi="Times New Roman" w:cs="Times New Roman" w:eastAsia="Times New Roman" w:hint="default"/>
        </w:rPr>
        <w:t>,</w:t>
      </w:r>
      <w:r>
        <w:rPr/>
        <w:t>客户进行验收</w:t>
      </w:r>
      <w:r>
        <w:rPr>
          <w:rFonts w:ascii="Times New Roman" w:hAnsi="Times New Roman" w:cs="Times New Roman" w:eastAsia="Times New Roman" w:hint="default"/>
        </w:rPr>
        <w:t>,</w:t>
      </w:r>
      <w:r>
        <w:rPr/>
        <w:t>验收完毕后</w:t>
      </w:r>
      <w:r>
        <w:rPr>
          <w:rFonts w:ascii="Times New Roman" w:hAnsi="Times New Roman" w:cs="Times New Roman" w:eastAsia="Times New Roman" w:hint="default"/>
        </w:rPr>
        <w:t>,</w:t>
      </w:r>
      <w:r>
        <w:rPr/>
        <w:t>公司确认收入。</w:t>
      </w:r>
    </w:p>
    <w:p>
      <w:pPr>
        <w:spacing w:line="240" w:lineRule="auto" w:before="8"/>
        <w:rPr>
          <w:rFonts w:ascii="宋体" w:hAnsi="宋体" w:cs="宋体" w:eastAsia="宋体" w:hint="default"/>
          <w:sz w:val="21"/>
          <w:szCs w:val="21"/>
        </w:rPr>
      </w:pPr>
    </w:p>
    <w:p>
      <w:pPr>
        <w:pStyle w:val="Heading3"/>
        <w:spacing w:line="240" w:lineRule="auto"/>
        <w:ind w:right="88"/>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4"/>
        <w:rPr>
          <w:rFonts w:ascii="宋体" w:hAnsi="宋体" w:cs="宋体" w:eastAsia="宋体" w:hint="default"/>
          <w:b/>
          <w:bCs/>
          <w:sz w:val="26"/>
          <w:szCs w:val="26"/>
        </w:rPr>
      </w:pPr>
    </w:p>
    <w:p>
      <w:pPr>
        <w:pStyle w:val="BodyText"/>
        <w:spacing w:line="439" w:lineRule="auto"/>
        <w:ind w:left="513" w:right="93" w:hanging="361"/>
        <w:jc w:val="left"/>
      </w:pPr>
      <w:r>
        <w:rPr/>
        <w:t>（</w:t>
      </w:r>
      <w:r>
        <w:rPr>
          <w:rFonts w:ascii="宋体" w:hAnsi="宋体" w:cs="宋体" w:eastAsia="宋体" w:hint="default"/>
        </w:rPr>
        <w:t>1</w:t>
      </w:r>
      <w:r>
        <w:rPr/>
        <w:t>）让渡资产使用权收入确认和计量的总体原则 与交易相关的经济利益很可能流入企业，收入的金额能够可靠地计量时。分别下列情况确定让渡资产使用权收入金额：</w:t>
      </w:r>
    </w:p>
    <w:p>
      <w:pPr>
        <w:pStyle w:val="BodyText"/>
        <w:spacing w:line="240" w:lineRule="auto" w:before="35"/>
        <w:ind w:right="88"/>
        <w:jc w:val="left"/>
      </w:pPr>
      <w:r>
        <w:rPr/>
        <w:t>①利息收入金额，按照他人使用本企业货币资金的时间和实际利率计算确定。</w:t>
      </w:r>
    </w:p>
    <w:p>
      <w:pPr>
        <w:pStyle w:val="BodyText"/>
        <w:spacing w:line="240" w:lineRule="auto" w:before="143"/>
        <w:ind w:right="88"/>
        <w:jc w:val="left"/>
      </w:pPr>
      <w:r>
        <w:rPr/>
        <w:t>②使用费收入金额，按照有关合同或协议约定的收费时间和方法计算确定。</w:t>
      </w:r>
    </w:p>
    <w:p>
      <w:pPr>
        <w:pStyle w:val="BodyText"/>
        <w:spacing w:line="314" w:lineRule="auto" w:before="79"/>
        <w:ind w:right="175"/>
        <w:jc w:val="left"/>
      </w:pPr>
      <w:r>
        <w:rPr/>
        <w:t>③出租物业收入</w:t>
      </w:r>
      <w:r>
        <w:rPr>
          <w:rFonts w:ascii="宋体" w:hAnsi="宋体" w:cs="宋体" w:eastAsia="宋体" w:hint="default"/>
        </w:rPr>
        <w:t>:</w:t>
      </w:r>
      <w:r>
        <w:rPr>
          <w:rFonts w:ascii="宋体" w:hAnsi="宋体" w:cs="宋体" w:eastAsia="宋体" w:hint="default"/>
          <w:spacing w:val="-57"/>
        </w:rPr>
        <w:t> </w:t>
      </w:r>
      <w:r>
        <w:rPr>
          <w:rFonts w:ascii="宋体" w:hAnsi="宋体" w:cs="宋体" w:eastAsia="宋体" w:hint="default"/>
        </w:rPr>
        <w:t>A</w:t>
      </w:r>
      <w:r>
        <w:rPr/>
        <w:t>、具有承租人认可的租赁合同、协议或其他结算通知书</w:t>
      </w:r>
      <w:r>
        <w:rPr>
          <w:spacing w:val="-24"/>
        </w:rPr>
        <w:t> </w:t>
      </w:r>
      <w:r>
        <w:rPr>
          <w:rFonts w:ascii="宋体" w:hAnsi="宋体" w:cs="宋体" w:eastAsia="宋体" w:hint="default"/>
        </w:rPr>
        <w:t>B</w:t>
      </w:r>
      <w:r>
        <w:rPr/>
        <w:t>、履行了合同规定的义务</w:t>
      </w:r>
      <w:r>
        <w:rPr>
          <w:rFonts w:ascii="宋体" w:hAnsi="宋体" w:cs="宋体" w:eastAsia="宋体" w:hint="default"/>
        </w:rPr>
        <w:t>,</w:t>
      </w:r>
      <w:r>
        <w:rPr/>
        <w:t>开具租赁发票且价款 已经取得或确信可以取得</w:t>
      </w:r>
      <w:r>
        <w:rPr>
          <w:spacing w:val="-1"/>
        </w:rPr>
        <w:t> </w:t>
      </w:r>
      <w:r>
        <w:rPr>
          <w:rFonts w:ascii="宋体" w:hAnsi="宋体" w:cs="宋体" w:eastAsia="宋体" w:hint="default"/>
        </w:rPr>
        <w:t>C</w:t>
      </w:r>
      <w:r>
        <w:rPr/>
        <w:t>、出租开发产品成本能够可靠地计量。</w:t>
      </w:r>
    </w:p>
    <w:p>
      <w:pPr>
        <w:pStyle w:val="Heading3"/>
        <w:spacing w:line="240" w:lineRule="auto" w:before="41"/>
        <w:ind w:right="88"/>
        <w:jc w:val="left"/>
        <w:rPr>
          <w:b w:val="0"/>
          <w:bCs w:val="0"/>
        </w:rPr>
      </w:pPr>
      <w:r>
        <w:rPr/>
        <w:t>（</w:t>
      </w:r>
      <w:r>
        <w:rPr>
          <w:rFonts w:ascii="Times New Roman" w:hAnsi="Times New Roman" w:cs="Times New Roman" w:eastAsia="Times New Roman" w:hint="default"/>
        </w:rPr>
        <w:t>3</w:t>
      </w:r>
      <w:r>
        <w:rPr/>
        <w:t>）按完工百分比法确认提供劳务的收入和建造合同收入时，确定合同完工进度的依据和方法</w:t>
      </w:r>
      <w:r>
        <w:rPr>
          <w:b w:val="0"/>
          <w:bCs w:val="0"/>
        </w:rPr>
      </w:r>
    </w:p>
    <w:p>
      <w:pPr>
        <w:pStyle w:val="BodyText"/>
        <w:spacing w:line="316" w:lineRule="auto" w:before="42"/>
        <w:ind w:right="88" w:firstLine="360"/>
        <w:jc w:val="left"/>
      </w:pPr>
      <w:r>
        <w:rPr>
          <w:spacing w:val="-4"/>
        </w:rPr>
        <w:t>在资产负债表日提供劳务交易的结果能够可靠估计的，采用完工百分比法确认提供劳务收入。提供劳务交易的完工进度，</w:t>
      </w:r>
      <w:r>
        <w:rPr/>
        <w:t> 依据已完工作的测量确定。</w:t>
      </w:r>
    </w:p>
    <w:p>
      <w:pPr>
        <w:pStyle w:val="BodyText"/>
        <w:spacing w:line="316" w:lineRule="auto" w:before="19"/>
        <w:ind w:right="88" w:firstLine="360"/>
        <w:jc w:val="left"/>
      </w:pPr>
      <w:r>
        <w:rPr>
          <w:spacing w:val="-2"/>
        </w:rPr>
        <w:t>按照已收或应收的合同或协议价款确定提供劳务收入总额，但已收或应收的合同或协议价款不公允的除外。资产负债表</w:t>
      </w:r>
      <w:r>
        <w:rPr/>
        <w:t> </w:t>
      </w:r>
      <w:r>
        <w:rPr>
          <w:spacing w:val="-4"/>
        </w:rPr>
        <w:t>日按照提供劳务收入总额乘以完工进度扣除以前会计期间累计已确认提供劳务收入后的金额，确认当期提供劳务收入；同时，</w:t>
      </w:r>
      <w:r>
        <w:rPr>
          <w:spacing w:val="-43"/>
        </w:rPr>
        <w:t> </w:t>
      </w:r>
      <w:r>
        <w:rPr>
          <w:spacing w:val="-43"/>
        </w:rPr>
      </w:r>
      <w:r>
        <w:rPr/>
        <w:t>按照提供劳务估计总成本乘以完工进度扣除以前会计期间累计已确认劳务成本后的金额，结转当期劳务成本。</w:t>
      </w:r>
    </w:p>
    <w:p>
      <w:pPr>
        <w:pStyle w:val="BodyText"/>
        <w:spacing w:line="240" w:lineRule="auto" w:before="19"/>
        <w:ind w:left="513" w:right="88"/>
        <w:jc w:val="left"/>
      </w:pPr>
      <w:r>
        <w:rPr/>
        <w:t>在资产负债表日提供劳务交易结果不能够可靠估计的，分别下列情况处理：</w:t>
      </w:r>
    </w:p>
    <w:p>
      <w:pPr>
        <w:pStyle w:val="BodyText"/>
        <w:spacing w:line="316" w:lineRule="auto" w:before="76"/>
        <w:ind w:right="88" w:firstLine="360"/>
        <w:jc w:val="left"/>
      </w:pPr>
      <w:r>
        <w:rPr>
          <w:spacing w:val="-2"/>
        </w:rPr>
        <w:t>①已经发生的劳务成本预计能够得到补偿的，按照已经发生的劳务成本金额确认提供劳务收入，并按相同金额结转劳务</w:t>
      </w:r>
      <w:r>
        <w:rPr/>
        <w:t> 成本。</w:t>
      </w:r>
    </w:p>
    <w:p>
      <w:pPr>
        <w:pStyle w:val="BodyText"/>
        <w:spacing w:line="273" w:lineRule="exact"/>
        <w:ind w:left="513" w:right="88"/>
        <w:jc w:val="left"/>
        <w:rPr>
          <w:sz w:val="21"/>
          <w:szCs w:val="21"/>
        </w:rPr>
      </w:pPr>
      <w:r>
        <w:rPr/>
        <w:t>②已经发生的劳务成本预计不能够得到补偿的，将已经发生的劳务成本计入当期损益，不确</w:t>
      </w:r>
      <w:r>
        <w:rPr>
          <w:sz w:val="21"/>
          <w:szCs w:val="21"/>
        </w:rPr>
        <w:t>认提供劳务收入。</w:t>
      </w:r>
    </w:p>
    <w:p>
      <w:pPr>
        <w:spacing w:after="0" w:line="273" w:lineRule="exact"/>
        <w:jc w:val="left"/>
        <w:rPr>
          <w:sz w:val="21"/>
          <w:szCs w:val="21"/>
        </w:rPr>
        <w:sectPr>
          <w:pgSz w:w="11910" w:h="16840"/>
          <w:pgMar w:header="877" w:footer="1227" w:top="1100" w:bottom="1420" w:left="980" w:right="94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19</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513" w:right="0"/>
        <w:jc w:val="left"/>
      </w:pPr>
      <w:r>
        <w:rPr/>
        <w:t>政府补助，是本公司从政府无偿取得的货币性资产与非货币性资产。分为与资产相关的政府补助和与收益相关的政府补</w:t>
      </w:r>
    </w:p>
    <w:p>
      <w:pPr>
        <w:pStyle w:val="BodyText"/>
        <w:spacing w:line="240" w:lineRule="auto" w:before="76"/>
        <w:ind w:right="0"/>
        <w:jc w:val="left"/>
      </w:pPr>
      <w:r>
        <w:rPr/>
        <w:t>助。</w:t>
      </w:r>
    </w:p>
    <w:p>
      <w:pPr>
        <w:spacing w:line="240" w:lineRule="auto" w:before="6"/>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0" w:firstLine="360"/>
        <w:jc w:val="both"/>
      </w:pPr>
      <w:r>
        <w:rPr>
          <w:spacing w:val="-2"/>
        </w:rPr>
        <w:t>与购建固定资产、无形资产等长期资产相关的政府补助，确认为递延收益，按照所建造或购买的资产使用年限分期计入</w:t>
      </w:r>
      <w:r>
        <w:rPr/>
        <w:t> 营业外收入；</w:t>
      </w:r>
    </w:p>
    <w:p>
      <w:pPr>
        <w:pStyle w:val="BodyText"/>
        <w:spacing w:line="319" w:lineRule="auto" w:before="19"/>
        <w:ind w:right="150" w:firstLine="360"/>
        <w:jc w:val="both"/>
      </w:pPr>
      <w:r>
        <w:rPr>
          <w:spacing w:val="-2"/>
        </w:rPr>
        <w:t>与收益相关的政府补助，用于补偿企业以后期间的相关费用或损失的，取得时确认为递延收益，在确认相关费用的期间</w:t>
      </w:r>
      <w:r>
        <w:rPr/>
        <w:t> 计入当期营业外收入；用于补偿企业已发生的相关费用或损失的，取得时直接计入当期营业外收入。</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20</w:t>
      </w:r>
      <w:r>
        <w:rPr/>
        <w:t>、递延所得税资产和递延所得税负债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49" w:firstLine="360"/>
        <w:jc w:val="both"/>
      </w:pPr>
      <w:r>
        <w:rPr/>
        <w:t>对于可抵扣暂时性差异确认递延所得税资产，以未来期间很可能取得的用来抵扣可抵扣暂时性差异的应纳税所得额为 限。</w:t>
      </w:r>
      <w:r>
        <w:rPr>
          <w:spacing w:val="-40"/>
        </w:rPr>
        <w:t> </w:t>
      </w:r>
      <w:r>
        <w:rPr/>
        <w:t>对于应纳税暂时性差异，除特殊情况外，确认递延所得税负债。</w:t>
      </w:r>
      <w:r>
        <w:rPr>
          <w:spacing w:val="-40"/>
        </w:rPr>
        <w:t> </w:t>
      </w:r>
      <w:r>
        <w:rPr/>
        <w:t>不确认递延所得税资产或递延所得税负债的特殊情况</w:t>
      </w:r>
      <w:r>
        <w:rPr/>
        <w:t> </w:t>
      </w:r>
      <w:r>
        <w:rPr>
          <w:spacing w:val="-2"/>
        </w:rPr>
        <w:t>包括：商誉的初始确认；除企业合并以外的发生时既不影响会计利润也不影响应纳税所得额（或可抵扣亏损）的其他交易或</w:t>
      </w:r>
      <w:r>
        <w:rPr>
          <w:spacing w:val="-66"/>
        </w:rPr>
        <w:t> </w:t>
      </w:r>
      <w:r>
        <w:rPr>
          <w:spacing w:val="-66"/>
        </w:rPr>
      </w:r>
      <w:r>
        <w:rPr/>
        <w:t>事项。</w:t>
      </w:r>
      <w:r>
        <w:rPr>
          <w:spacing w:val="6"/>
        </w:rPr>
        <w:t> </w:t>
      </w:r>
      <w:r>
        <w:rPr/>
        <w:t>当拥有以净额结算当期所得税资产及当期所得税负债的法定权利，且递延所得税资产及递延所得税负债是与同一税</w:t>
      </w:r>
      <w:r>
        <w:rPr/>
        <w:t> </w:t>
      </w:r>
      <w:r>
        <w:rPr>
          <w:spacing w:val="-2"/>
        </w:rPr>
        <w:t>收征管部门对同一纳税主体征收的所得税相关或者是对不同的纳税主体相关，但在未来每一具有重要性的递延所得税资产及</w:t>
      </w:r>
      <w:r>
        <w:rPr>
          <w:spacing w:val="-64"/>
        </w:rPr>
        <w:t> </w:t>
      </w:r>
      <w:r>
        <w:rPr>
          <w:spacing w:val="-64"/>
        </w:rPr>
      </w:r>
      <w:r>
        <w:rPr>
          <w:spacing w:val="-2"/>
        </w:rPr>
        <w:t>负债转回的期间内，涉及的纳税主体意图以净额结算当期所得税资产和负债或是同时取得资产、清偿负债时，递延所得税资</w:t>
      </w:r>
      <w:r>
        <w:rPr>
          <w:spacing w:val="-65"/>
        </w:rPr>
        <w:t> </w:t>
      </w:r>
      <w:r>
        <w:rPr>
          <w:spacing w:val="-65"/>
        </w:rPr>
      </w:r>
      <w:r>
        <w:rPr/>
        <w:t>产及递延所得税负债以抵销后的净额列报。</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对于应纳税暂时性差异，除特殊情况外，确认递延所得税负债。</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21</w:t>
      </w:r>
      <w:r>
        <w:rPr/>
        <w:t>、经营租赁、融资租赁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3" w:firstLine="360"/>
        <w:jc w:val="both"/>
      </w:pPr>
      <w:r>
        <w:rPr/>
        <w:t>（</w:t>
      </w:r>
      <w:r>
        <w:rPr>
          <w:rFonts w:ascii="宋体" w:hAnsi="宋体" w:cs="宋体" w:eastAsia="宋体" w:hint="default"/>
        </w:rPr>
        <w:t>1</w:t>
      </w:r>
      <w:r>
        <w:rPr/>
        <w:t>）公司租入资产所支付的租赁费，在不扣除免租期的整个租赁期内，按直线法进行分摊，计入当期费用。公司支付 的与租赁交易相关的初始直接费用，计入当期费用。</w:t>
      </w:r>
    </w:p>
    <w:p>
      <w:pPr>
        <w:pStyle w:val="BodyText"/>
        <w:spacing w:line="316" w:lineRule="auto" w:before="19"/>
        <w:ind w:right="152" w:firstLine="360"/>
        <w:jc w:val="both"/>
      </w:pPr>
      <w:r>
        <w:rPr>
          <w:spacing w:val="-2"/>
        </w:rPr>
        <w:t>资产出租方承担了应由公司承担的与租赁相关的费用时，公司将该部分费用从租金总额中扣除，按扣除后的租金费用在</w:t>
      </w:r>
      <w:r>
        <w:rPr/>
        <w:t> 租赁期内分摊，计入当期费用。</w:t>
      </w:r>
    </w:p>
    <w:p>
      <w:pPr>
        <w:pStyle w:val="BodyText"/>
        <w:spacing w:line="316" w:lineRule="auto" w:before="19"/>
        <w:ind w:right="153" w:firstLine="360"/>
        <w:jc w:val="both"/>
      </w:pPr>
      <w:r>
        <w:rPr/>
        <w:t>（</w:t>
      </w:r>
      <w:r>
        <w:rPr>
          <w:rFonts w:ascii="宋体" w:hAnsi="宋体" w:cs="宋体" w:eastAsia="宋体" w:hint="default"/>
        </w:rPr>
        <w:t>2</w:t>
      </w:r>
      <w:r>
        <w:rPr/>
        <w:t>）公司出租资产所收取的租赁费，在不扣除免租期的整个租赁期内，按直线法进行分摊，确认为租赁收入。公司支 </w:t>
      </w:r>
      <w:r>
        <w:rPr>
          <w:spacing w:val="-2"/>
        </w:rPr>
        <w:t>付的与租赁交易相关的初始直接费用，计入当期费用；如金额较大的，则予以资本化，在整个租赁期间内按照与租赁收入确</w:t>
      </w:r>
      <w:r>
        <w:rPr>
          <w:spacing w:val="-66"/>
        </w:rPr>
        <w:t> </w:t>
      </w:r>
      <w:r>
        <w:rPr>
          <w:spacing w:val="-66"/>
        </w:rPr>
      </w:r>
      <w:r>
        <w:rPr/>
        <w:t>认相同的基础分期计入当期收益。</w:t>
      </w:r>
    </w:p>
    <w:p>
      <w:pPr>
        <w:pStyle w:val="BodyText"/>
        <w:spacing w:line="316" w:lineRule="auto" w:before="19"/>
        <w:ind w:right="152" w:firstLine="360"/>
        <w:jc w:val="both"/>
      </w:pPr>
      <w:r>
        <w:rPr>
          <w:spacing w:val="-2"/>
        </w:rPr>
        <w:t>公司承担了应由承租方承担的与租赁相关的费用时，公司将该部分费用从租金收入总额中扣除，按扣除后的租金费用在</w:t>
      </w:r>
      <w:r>
        <w:rPr/>
        <w:t> 租赁期内分配。</w:t>
      </w:r>
    </w:p>
    <w:p>
      <w:pPr>
        <w:spacing w:after="0" w:line="316" w:lineRule="auto"/>
        <w:jc w:val="both"/>
        <w:sectPr>
          <w:pgSz w:w="11910" w:h="16840"/>
          <w:pgMar w:header="877" w:footer="1227" w:top="1100" w:bottom="142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88"/>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02" w:firstLine="360"/>
        <w:jc w:val="both"/>
      </w:pPr>
      <w:r>
        <w:rPr>
          <w:spacing w:val="-4"/>
        </w:rPr>
        <w:t>融资租入资产：公司在承租开始日，将租赁资产公允价值与最低租赁付款额现值两者中较低者作为租入资产的入账价值，</w:t>
      </w:r>
      <w:r>
        <w:rPr/>
        <w:t> 将最低租赁付款额作为长期应付款的入账价值，其差额作为未确认的融资费用。公司采用实际利率法对未确认的融资费用， 在资产租赁期间内摊销，计入财务费用。公司发生的初始直接费用，计入租入资产价值。</w:t>
      </w:r>
    </w:p>
    <w:p>
      <w:pPr>
        <w:spacing w:line="240" w:lineRule="auto" w:before="10"/>
        <w:rPr>
          <w:rFonts w:ascii="宋体" w:hAnsi="宋体" w:cs="宋体" w:eastAsia="宋体" w:hint="default"/>
          <w:sz w:val="22"/>
          <w:szCs w:val="22"/>
        </w:rPr>
      </w:pPr>
    </w:p>
    <w:p>
      <w:pPr>
        <w:pStyle w:val="Heading3"/>
        <w:spacing w:line="240" w:lineRule="auto"/>
        <w:ind w:right="88"/>
        <w:jc w:val="left"/>
        <w:rPr>
          <w:b w:val="0"/>
          <w:bCs w:val="0"/>
        </w:rPr>
      </w:pPr>
      <w:r>
        <w:rPr>
          <w:rFonts w:ascii="Times New Roman" w:hAnsi="Times New Roman" w:cs="Times New Roman" w:eastAsia="Times New Roman" w:hint="default"/>
        </w:rPr>
        <w:t>22</w:t>
      </w:r>
      <w:r>
        <w:rPr/>
        <w:t>、</w:t>
      </w:r>
      <w:r>
        <w:rPr>
          <w:spacing w:val="-1"/>
        </w:rPr>
        <w:t> </w:t>
      </w:r>
      <w:r>
        <w:rPr/>
        <w:t>关联方</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360"/>
        <w:jc w:val="left"/>
      </w:pPr>
      <w:r>
        <w:rPr/>
        <w:t>一方控制、共同控制另一方或对另一方施加重大影响，以及两方或两方以上同受一方控制、共同控制的，构成关联方。 关联方可为个人或企业。仅仅同受国家控制而不存在其他关联方关系的企业，不构成本公司的关联方。</w:t>
      </w:r>
    </w:p>
    <w:p>
      <w:pPr>
        <w:pStyle w:val="BodyText"/>
        <w:spacing w:line="240" w:lineRule="auto" w:before="19"/>
        <w:ind w:left="513" w:right="88"/>
        <w:jc w:val="left"/>
      </w:pPr>
      <w:r>
        <w:rPr/>
        <w:t>本公司的关联方包括但不限于：</w:t>
      </w:r>
    </w:p>
    <w:p>
      <w:pPr>
        <w:pStyle w:val="BodyText"/>
        <w:spacing w:line="240" w:lineRule="auto" w:before="76"/>
        <w:ind w:left="513" w:right="88"/>
        <w:jc w:val="left"/>
      </w:pPr>
      <w:r>
        <w:rPr/>
        <w:t>（</w:t>
      </w:r>
      <w:r>
        <w:rPr>
          <w:rFonts w:ascii="宋体" w:hAnsi="宋体" w:cs="宋体" w:eastAsia="宋体" w:hint="default"/>
        </w:rPr>
        <w:t>1</w:t>
      </w:r>
      <w:r>
        <w:rPr/>
        <w:t>）本公司的母公司；</w:t>
      </w:r>
    </w:p>
    <w:p>
      <w:pPr>
        <w:pStyle w:val="BodyText"/>
        <w:spacing w:line="240" w:lineRule="auto" w:before="77"/>
        <w:ind w:left="513" w:right="88"/>
        <w:jc w:val="left"/>
      </w:pPr>
      <w:r>
        <w:rPr/>
        <w:t>（</w:t>
      </w:r>
      <w:r>
        <w:rPr>
          <w:rFonts w:ascii="宋体" w:hAnsi="宋体" w:cs="宋体" w:eastAsia="宋体" w:hint="default"/>
        </w:rPr>
        <w:t>2</w:t>
      </w:r>
      <w:r>
        <w:rPr/>
        <w:t>）本公司的子公司；</w:t>
      </w:r>
    </w:p>
    <w:p>
      <w:pPr>
        <w:pStyle w:val="BodyText"/>
        <w:spacing w:line="240" w:lineRule="auto" w:before="76"/>
        <w:ind w:left="513" w:right="88"/>
        <w:jc w:val="left"/>
      </w:pPr>
      <w:r>
        <w:rPr/>
        <w:t>（</w:t>
      </w:r>
      <w:r>
        <w:rPr>
          <w:rFonts w:ascii="宋体" w:hAnsi="宋体" w:cs="宋体" w:eastAsia="宋体" w:hint="default"/>
        </w:rPr>
        <w:t>3</w:t>
      </w:r>
      <w:r>
        <w:rPr/>
        <w:t>）与本公司受同一母公司控制的其他企业；</w:t>
      </w:r>
    </w:p>
    <w:p>
      <w:pPr>
        <w:pStyle w:val="BodyText"/>
        <w:spacing w:line="240" w:lineRule="auto" w:before="76"/>
        <w:ind w:left="513" w:right="88"/>
        <w:jc w:val="left"/>
      </w:pPr>
      <w:r>
        <w:rPr/>
        <w:t>（</w:t>
      </w:r>
      <w:r>
        <w:rPr>
          <w:rFonts w:ascii="宋体" w:hAnsi="宋体" w:cs="宋体" w:eastAsia="宋体" w:hint="default"/>
        </w:rPr>
        <w:t>4</w:t>
      </w:r>
      <w:r>
        <w:rPr/>
        <w:t>）对本公司实施共同控制的投资方；</w:t>
      </w:r>
    </w:p>
    <w:p>
      <w:pPr>
        <w:pStyle w:val="BodyText"/>
        <w:spacing w:line="240" w:lineRule="auto" w:before="76"/>
        <w:ind w:left="513" w:right="88"/>
        <w:jc w:val="left"/>
      </w:pPr>
      <w:r>
        <w:rPr/>
        <w:t>（</w:t>
      </w:r>
      <w:r>
        <w:rPr>
          <w:rFonts w:ascii="宋体" w:hAnsi="宋体" w:cs="宋体" w:eastAsia="宋体" w:hint="default"/>
        </w:rPr>
        <w:t>5</w:t>
      </w:r>
      <w:r>
        <w:rPr/>
        <w:t>）对本公司施加重大影响的投资方；</w:t>
      </w:r>
    </w:p>
    <w:p>
      <w:pPr>
        <w:pStyle w:val="BodyText"/>
        <w:spacing w:line="240" w:lineRule="auto" w:before="76"/>
        <w:ind w:left="513" w:right="88"/>
        <w:jc w:val="left"/>
      </w:pPr>
      <w:r>
        <w:rPr/>
        <w:t>（</w:t>
      </w:r>
      <w:r>
        <w:rPr>
          <w:rFonts w:ascii="宋体" w:hAnsi="宋体" w:cs="宋体" w:eastAsia="宋体" w:hint="default"/>
        </w:rPr>
        <w:t>6</w:t>
      </w:r>
      <w:r>
        <w:rPr/>
        <w:t>）本公司的合营企业，包括合营企业的子公司；</w:t>
      </w:r>
    </w:p>
    <w:p>
      <w:pPr>
        <w:pStyle w:val="BodyText"/>
        <w:spacing w:line="240" w:lineRule="auto" w:before="76"/>
        <w:ind w:left="513" w:right="88"/>
        <w:jc w:val="left"/>
      </w:pPr>
      <w:r>
        <w:rPr/>
        <w:t>（</w:t>
      </w:r>
      <w:r>
        <w:rPr>
          <w:rFonts w:ascii="宋体" w:hAnsi="宋体" w:cs="宋体" w:eastAsia="宋体" w:hint="default"/>
        </w:rPr>
        <w:t>7</w:t>
      </w:r>
      <w:r>
        <w:rPr/>
        <w:t>）本公司的联营企业，包括联营企业的子公司；</w:t>
      </w:r>
    </w:p>
    <w:p>
      <w:pPr>
        <w:pStyle w:val="BodyText"/>
        <w:spacing w:line="240" w:lineRule="auto" w:before="76"/>
        <w:ind w:left="513" w:right="88"/>
        <w:jc w:val="left"/>
      </w:pPr>
      <w:r>
        <w:rPr/>
        <w:t>（</w:t>
      </w:r>
      <w:r>
        <w:rPr>
          <w:rFonts w:ascii="宋体" w:hAnsi="宋体" w:cs="宋体" w:eastAsia="宋体" w:hint="default"/>
        </w:rPr>
        <w:t>8</w:t>
      </w:r>
      <w:r>
        <w:rPr/>
        <w:t>）本公司的主要投资者个人及与其关系密切的家庭成员</w:t>
      </w:r>
      <w:r>
        <w:rPr>
          <w:spacing w:val="2"/>
        </w:rPr>
        <w:t> </w:t>
      </w:r>
      <w:r>
        <w:rPr/>
        <w:t>；</w:t>
      </w:r>
    </w:p>
    <w:p>
      <w:pPr>
        <w:pStyle w:val="BodyText"/>
        <w:spacing w:line="240" w:lineRule="auto" w:before="76"/>
        <w:ind w:left="513" w:right="88"/>
        <w:jc w:val="left"/>
      </w:pPr>
      <w:r>
        <w:rPr/>
        <w:t>（</w:t>
      </w:r>
      <w:r>
        <w:rPr>
          <w:rFonts w:ascii="宋体" w:hAnsi="宋体" w:cs="宋体" w:eastAsia="宋体" w:hint="default"/>
        </w:rPr>
        <w:t>9</w:t>
      </w:r>
      <w:r>
        <w:rPr/>
        <w:t>）本公司或其母公司的关键管理人员及与其关系密切的家庭成员；</w:t>
      </w:r>
    </w:p>
    <w:p>
      <w:pPr>
        <w:pStyle w:val="BodyText"/>
        <w:spacing w:line="240" w:lineRule="auto" w:before="76"/>
        <w:ind w:left="513" w:right="88"/>
        <w:jc w:val="left"/>
      </w:pPr>
      <w:r>
        <w:rPr/>
        <w:t>（</w:t>
      </w:r>
      <w:r>
        <w:rPr>
          <w:rFonts w:ascii="宋体" w:hAnsi="宋体" w:cs="宋体" w:eastAsia="宋体" w:hint="default"/>
        </w:rPr>
        <w:t>10</w:t>
      </w:r>
      <w:r>
        <w:rPr/>
        <w:t>）本公司的主要投资者个人、关键管理人员或与其关系密切的家庭成员控制、共同控制的其他企业。</w:t>
      </w:r>
    </w:p>
    <w:p>
      <w:pPr>
        <w:spacing w:line="240" w:lineRule="auto" w:before="0"/>
        <w:rPr>
          <w:rFonts w:ascii="宋体" w:hAnsi="宋体" w:cs="宋体" w:eastAsia="宋体" w:hint="default"/>
          <w:sz w:val="18"/>
          <w:szCs w:val="18"/>
        </w:rPr>
      </w:pPr>
    </w:p>
    <w:p>
      <w:pPr>
        <w:pStyle w:val="Heading3"/>
        <w:spacing w:line="240" w:lineRule="auto" w:before="120"/>
        <w:ind w:right="88"/>
        <w:jc w:val="left"/>
        <w:rPr>
          <w:b w:val="0"/>
          <w:bCs w:val="0"/>
        </w:rPr>
      </w:pPr>
      <w:r>
        <w:rPr>
          <w:rFonts w:ascii="Times New Roman" w:hAnsi="Times New Roman" w:cs="Times New Roman" w:eastAsia="Times New Roman" w:hint="default"/>
        </w:rPr>
        <w:t>23</w:t>
      </w:r>
      <w:r>
        <w:rPr/>
        <w:t>、 分部报告</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88"/>
        <w:jc w:val="left"/>
      </w:pPr>
      <w:r>
        <w:rPr/>
        <w:t>本公司主要在中国境内提供楼宇对讲系统及相关电子产品的生产和销售，因此不需披露分部报告。</w:t>
      </w:r>
    </w:p>
    <w:p>
      <w:pPr>
        <w:spacing w:line="240" w:lineRule="auto" w:before="0"/>
        <w:rPr>
          <w:rFonts w:ascii="宋体" w:hAnsi="宋体" w:cs="宋体" w:eastAsia="宋体" w:hint="default"/>
          <w:sz w:val="18"/>
          <w:szCs w:val="18"/>
        </w:rPr>
      </w:pPr>
    </w:p>
    <w:p>
      <w:pPr>
        <w:pStyle w:val="Heading3"/>
        <w:spacing w:line="240" w:lineRule="auto" w:before="120"/>
        <w:ind w:right="88"/>
        <w:jc w:val="left"/>
        <w:rPr>
          <w:b w:val="0"/>
          <w:bCs w:val="0"/>
        </w:rPr>
      </w:pPr>
      <w:r>
        <w:rPr>
          <w:rFonts w:ascii="Times New Roman" w:hAnsi="Times New Roman" w:cs="Times New Roman" w:eastAsia="Times New Roman" w:hint="default"/>
        </w:rPr>
        <w:t>24</w:t>
      </w:r>
      <w:r>
        <w:rPr/>
        <w:t>、主要会计政策、会计估计的变更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88"/>
        <w:jc w:val="left"/>
      </w:pPr>
      <w:r>
        <w:rPr/>
        <w:t>本报告期主要会计政策、会计估计是否变更</w:t>
      </w:r>
    </w:p>
    <w:p>
      <w:pPr>
        <w:pStyle w:val="BodyText"/>
        <w:spacing w:line="338" w:lineRule="auto" w:before="117"/>
        <w:ind w:right="56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本报告期公司主要会计政策、会计估计未发生变更。</w:t>
      </w:r>
    </w:p>
    <w:p>
      <w:pPr>
        <w:spacing w:line="240" w:lineRule="auto" w:before="7"/>
        <w:rPr>
          <w:rFonts w:ascii="宋体" w:hAnsi="宋体" w:cs="宋体" w:eastAsia="宋体" w:hint="default"/>
          <w:sz w:val="21"/>
          <w:szCs w:val="21"/>
        </w:rPr>
      </w:pPr>
    </w:p>
    <w:p>
      <w:pPr>
        <w:pStyle w:val="Heading3"/>
        <w:spacing w:line="240" w:lineRule="auto"/>
        <w:ind w:right="88"/>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88"/>
        <w:jc w:val="left"/>
      </w:pPr>
      <w:r>
        <w:rPr/>
        <w:t>本报告期主要会计政策是否变更</w:t>
      </w:r>
    </w:p>
    <w:p>
      <w:pPr>
        <w:pStyle w:val="BodyText"/>
        <w:spacing w:line="338" w:lineRule="auto" w:before="118"/>
        <w:ind w:right="65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本报告期公司主要会计政策未发生变更。</w:t>
      </w:r>
    </w:p>
    <w:p>
      <w:pPr>
        <w:spacing w:line="240" w:lineRule="auto" w:before="7"/>
        <w:rPr>
          <w:rFonts w:ascii="宋体" w:hAnsi="宋体" w:cs="宋体" w:eastAsia="宋体" w:hint="default"/>
          <w:sz w:val="21"/>
          <w:szCs w:val="21"/>
        </w:rPr>
      </w:pPr>
    </w:p>
    <w:p>
      <w:pPr>
        <w:pStyle w:val="Heading3"/>
        <w:spacing w:line="240" w:lineRule="auto"/>
        <w:ind w:right="88"/>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88"/>
        <w:jc w:val="left"/>
      </w:pPr>
      <w:r>
        <w:rPr/>
        <w:t>本报告期主要会计估计是否变更</w:t>
      </w:r>
    </w:p>
    <w:p>
      <w:pPr>
        <w:pStyle w:val="BodyText"/>
        <w:spacing w:line="338" w:lineRule="auto" w:before="117"/>
        <w:ind w:right="65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本报告期公司主要会计估计未发生变更。</w:t>
      </w:r>
    </w:p>
    <w:p>
      <w:pPr>
        <w:spacing w:after="0" w:line="338" w:lineRule="auto"/>
        <w:jc w:val="left"/>
        <w:sectPr>
          <w:pgSz w:w="11910" w:h="16840"/>
          <w:pgMar w:header="877" w:footer="1227" w:top="1100" w:bottom="1420" w:left="980" w:right="94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25</w:t>
      </w:r>
      <w:r>
        <w:rPr/>
        <w:t>、前期会计差错更正</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本报告期是否发现前期会计差错</w:t>
      </w:r>
    </w:p>
    <w:p>
      <w:pPr>
        <w:pStyle w:val="BodyText"/>
        <w:spacing w:line="340" w:lineRule="auto" w:before="115"/>
        <w:ind w:right="7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本报告期未发现前期会计差错。</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本报告期是否发现采用追溯重述法的前期会计差错</w:t>
      </w:r>
    </w:p>
    <w:p>
      <w:pPr>
        <w:pStyle w:val="BodyText"/>
        <w:spacing w:line="340" w:lineRule="auto" w:before="117"/>
        <w:ind w:right="50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本报告期未发生采用追溯重述法的前期会计差错更正事项。</w:t>
      </w:r>
    </w:p>
    <w:p>
      <w:pPr>
        <w:spacing w:line="240" w:lineRule="auto" w:before="6"/>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本报告期是否发现采用未来适用法的前期会计差错</w:t>
      </w:r>
    </w:p>
    <w:p>
      <w:pPr>
        <w:pStyle w:val="BodyText"/>
        <w:spacing w:line="340" w:lineRule="auto" w:before="117"/>
        <w:ind w:right="50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本报告期未发生采用未来适用法的前期会计差错更正事项。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五、税项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17"/>
        <w:gridCol w:w="3024"/>
        <w:gridCol w:w="3027"/>
      </w:tblGrid>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24" w:type="dxa"/>
            <w:vMerge w:val="restart"/>
            <w:tcBorders>
              <w:top w:val="single" w:sz="4" w:space="0" w:color="000000"/>
              <w:left w:val="single" w:sz="10" w:space="0" w:color="D2D2D2"/>
              <w:right w:val="single" w:sz="4" w:space="0" w:color="000000"/>
            </w:tcBorders>
          </w:tcPr>
          <w:p>
            <w:pPr>
              <w:pStyle w:val="TableParagraph"/>
              <w:spacing w:line="316" w:lineRule="auto" w:before="49"/>
              <w:ind w:left="16" w:right="17"/>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 </w:t>
            </w:r>
            <w:r>
              <w:rPr>
                <w:rFonts w:ascii="宋体" w:hAnsi="宋体" w:cs="宋体" w:eastAsia="宋体" w:hint="default"/>
                <w:spacing w:val="-6"/>
                <w:sz w:val="18"/>
                <w:szCs w:val="18"/>
              </w:rPr>
              <w:t>务收入为基础计算销项税额，在扣除当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期允许抵扣的进项税额后，差额部分为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应交增值税</w:t>
            </w:r>
          </w:p>
        </w:tc>
        <w:tc>
          <w:tcPr>
            <w:tcW w:w="30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17%</w:t>
            </w:r>
          </w:p>
        </w:tc>
      </w:tr>
      <w:tr>
        <w:trPr>
          <w:trHeight w:val="394" w:hRule="exact"/>
        </w:trPr>
        <w:tc>
          <w:tcPr>
            <w:tcW w:w="3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4" w:type="dxa"/>
            <w:vMerge/>
            <w:tcBorders>
              <w:left w:val="single" w:sz="10" w:space="0" w:color="D2D2D2"/>
              <w:right w:val="single" w:sz="4" w:space="0" w:color="000000"/>
            </w:tcBorders>
          </w:tcPr>
          <w:p>
            <w:pPr/>
          </w:p>
        </w:tc>
        <w:tc>
          <w:tcPr>
            <w:tcW w:w="3027" w:type="dxa"/>
            <w:vMerge/>
            <w:tcBorders>
              <w:left w:val="single" w:sz="4" w:space="0" w:color="000000"/>
              <w:right w:val="single" w:sz="4" w:space="0" w:color="000000"/>
            </w:tcBorders>
          </w:tcPr>
          <w:p>
            <w:pPr/>
          </w:p>
        </w:tc>
      </w:tr>
      <w:tr>
        <w:trPr>
          <w:trHeight w:val="473" w:hRule="exact"/>
        </w:trPr>
        <w:tc>
          <w:tcPr>
            <w:tcW w:w="3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24" w:type="dxa"/>
            <w:vMerge/>
            <w:tcBorders>
              <w:left w:val="single" w:sz="10" w:space="0" w:color="D2D2D2"/>
              <w:bottom w:val="single" w:sz="4" w:space="0" w:color="000000"/>
              <w:right w:val="single" w:sz="4" w:space="0" w:color="000000"/>
            </w:tcBorders>
          </w:tcPr>
          <w:p>
            <w:pPr/>
          </w:p>
        </w:tc>
        <w:tc>
          <w:tcPr>
            <w:tcW w:w="3027" w:type="dxa"/>
            <w:vMerge/>
            <w:tcBorders>
              <w:left w:val="single" w:sz="4" w:space="0" w:color="000000"/>
              <w:bottom w:val="single" w:sz="4" w:space="0" w:color="000000"/>
              <w:right w:val="single" w:sz="4" w:space="0" w:color="000000"/>
            </w:tcBorders>
          </w:tcPr>
          <w:p>
            <w:pP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按应税营业收入计缴</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按具体应税项目固定税率缴纳</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按实际应缴流转税额计缴</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按实际应缴流转税额计缴</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按实际应缴流转税额计缴</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0"/>
        <w:jc w:val="left"/>
      </w:pPr>
      <w:r>
        <w:rPr/>
        <w:t>各分公司、分厂执行的所得税税率</w:t>
      </w:r>
    </w:p>
    <w:p>
      <w:pPr>
        <w:pStyle w:val="Heading3"/>
        <w:spacing w:line="600" w:lineRule="atLeast" w:before="47"/>
        <w:ind w:right="7982"/>
        <w:jc w:val="left"/>
        <w:rPr>
          <w:b w:val="0"/>
          <w:bCs w:val="0"/>
        </w:rPr>
      </w:pPr>
      <w:r>
        <w:rPr>
          <w:rFonts w:ascii="Times New Roman" w:hAnsi="Times New Roman" w:cs="Times New Roman" w:eastAsia="Times New Roman" w:hint="default"/>
        </w:rPr>
        <w:t>2</w:t>
      </w:r>
      <w:r>
        <w:rPr/>
        <w:t>、税收优惠及批文</w:t>
      </w:r>
      <w:r>
        <w:rPr>
          <w:spacing w:val="-103"/>
        </w:rPr>
        <w:t> </w:t>
      </w:r>
      <w:r>
        <w:rPr/>
        <w:t>增值税</w:t>
      </w:r>
      <w:r>
        <w:rPr>
          <w:b w:val="0"/>
          <w:bCs w:val="0"/>
        </w:rPr>
      </w:r>
    </w:p>
    <w:p>
      <w:pPr>
        <w:pStyle w:val="BodyText"/>
        <w:spacing w:line="240" w:lineRule="auto" w:before="58"/>
        <w:ind w:left="513" w:right="0"/>
        <w:jc w:val="left"/>
      </w:pPr>
      <w:r>
        <w:rPr/>
        <w:t>根据国务院发布的国发</w:t>
      </w:r>
      <w:r>
        <w:rPr>
          <w:rFonts w:ascii="宋体" w:hAnsi="宋体" w:cs="宋体" w:eastAsia="宋体" w:hint="default"/>
        </w:rPr>
        <w:t>[2011]4</w:t>
      </w:r>
      <w:r>
        <w:rPr/>
        <w:t>号《国务院关于印发进一步鼓励软件产业和集成电路产业发展若干政策的通知》和财税</w:t>
      </w:r>
    </w:p>
    <w:p>
      <w:pPr>
        <w:pStyle w:val="BodyText"/>
        <w:spacing w:line="316" w:lineRule="auto" w:before="76"/>
        <w:ind w:right="137"/>
        <w:jc w:val="left"/>
      </w:pPr>
      <w:r>
        <w:rPr>
          <w:spacing w:val="-4"/>
        </w:rPr>
        <w:t>〔</w:t>
      </w:r>
      <w:r>
        <w:rPr>
          <w:rFonts w:ascii="宋体" w:hAnsi="宋体" w:cs="宋体" w:eastAsia="宋体" w:hint="default"/>
          <w:spacing w:val="-4"/>
        </w:rPr>
        <w:t>2011</w:t>
      </w:r>
      <w:r>
        <w:rPr>
          <w:spacing w:val="-4"/>
        </w:rPr>
        <w:t>〕</w:t>
      </w:r>
      <w:r>
        <w:rPr>
          <w:rFonts w:ascii="宋体" w:hAnsi="宋体" w:cs="宋体" w:eastAsia="宋体" w:hint="default"/>
          <w:spacing w:val="-4"/>
        </w:rPr>
        <w:t>100</w:t>
      </w:r>
      <w:r>
        <w:rPr>
          <w:spacing w:val="-4"/>
        </w:rPr>
        <w:t>号《财政部</w:t>
      </w:r>
      <w:r>
        <w:rPr>
          <w:spacing w:val="-27"/>
        </w:rPr>
        <w:t> </w:t>
      </w:r>
      <w:r>
        <w:rPr/>
        <w:t>国家税务总局关于软件产品增值税政策的通知》的有关规定，增值税一般纳税人销售其自行开发生</w:t>
      </w:r>
      <w:r>
        <w:rPr/>
        <w:t> 产的软件产品，按</w:t>
      </w:r>
      <w:r>
        <w:rPr>
          <w:rFonts w:ascii="宋体" w:hAnsi="宋体" w:cs="宋体" w:eastAsia="宋体" w:hint="default"/>
        </w:rPr>
        <w:t>17%</w:t>
      </w:r>
      <w:r>
        <w:rPr/>
        <w:t>税率征收增值税后，对其增值税实际税负超过</w:t>
      </w:r>
      <w:r>
        <w:rPr>
          <w:rFonts w:ascii="宋体" w:hAnsi="宋体" w:cs="宋体" w:eastAsia="宋体" w:hint="default"/>
        </w:rPr>
        <w:t>3%</w:t>
      </w:r>
      <w:r>
        <w:rPr/>
        <w:t>的部分实行即征即退政策。</w:t>
      </w:r>
    </w:p>
    <w:p>
      <w:pPr>
        <w:pStyle w:val="Heading3"/>
        <w:spacing w:line="273" w:lineRule="exact"/>
        <w:ind w:right="0"/>
        <w:jc w:val="left"/>
        <w:rPr>
          <w:b w:val="0"/>
          <w:bCs w:val="0"/>
        </w:rPr>
      </w:pPr>
      <w:r>
        <w:rPr/>
        <w:t>企业所得税</w:t>
      </w:r>
      <w:r>
        <w:rPr>
          <w:b w:val="0"/>
          <w:bCs w:val="0"/>
        </w:rPr>
      </w:r>
    </w:p>
    <w:p>
      <w:pPr>
        <w:pStyle w:val="BodyText"/>
        <w:spacing w:line="240" w:lineRule="auto" w:before="58"/>
        <w:ind w:left="513" w:right="0"/>
        <w:jc w:val="left"/>
      </w:pPr>
      <w:r>
        <w:rPr/>
        <w:t>根据广东省信息产业厅颁发的粤</w:t>
      </w:r>
      <w:r>
        <w:rPr>
          <w:rFonts w:ascii="宋体" w:hAnsi="宋体" w:cs="宋体" w:eastAsia="宋体" w:hint="default"/>
        </w:rPr>
        <w:t>R</w:t>
      </w:r>
      <w:r>
        <w:rPr/>
        <w:t>－</w:t>
      </w:r>
      <w:r>
        <w:rPr>
          <w:rFonts w:ascii="宋体" w:hAnsi="宋体" w:cs="宋体" w:eastAsia="宋体" w:hint="default"/>
        </w:rPr>
        <w:t>2008</w:t>
      </w:r>
      <w:r>
        <w:rPr/>
        <w:t>—</w:t>
      </w:r>
      <w:r>
        <w:rPr>
          <w:rFonts w:ascii="宋体" w:hAnsi="宋体" w:cs="宋体" w:eastAsia="宋体" w:hint="default"/>
        </w:rPr>
        <w:t>0106</w:t>
      </w:r>
      <w:r>
        <w:rPr/>
        <w:t>号证书，本公司于</w:t>
      </w:r>
      <w:r>
        <w:rPr>
          <w:rFonts w:ascii="宋体" w:hAnsi="宋体" w:cs="宋体" w:eastAsia="宋体" w:hint="default"/>
        </w:rPr>
        <w:t>2008</w:t>
      </w:r>
      <w:r>
        <w:rPr/>
        <w:t>年</w:t>
      </w:r>
      <w:r>
        <w:rPr>
          <w:rFonts w:ascii="宋体" w:hAnsi="宋体" w:cs="宋体" w:eastAsia="宋体" w:hint="default"/>
        </w:rPr>
        <w:t>12</w:t>
      </w:r>
      <w:r>
        <w:rPr/>
        <w:t>月</w:t>
      </w:r>
      <w:r>
        <w:rPr>
          <w:rFonts w:ascii="宋体" w:hAnsi="宋体" w:cs="宋体" w:eastAsia="宋体" w:hint="default"/>
        </w:rPr>
        <w:t>8</w:t>
      </w:r>
      <w:r>
        <w:rPr/>
        <w:t>日被认定为软件企业。根据国务院发布的</w:t>
      </w:r>
    </w:p>
    <w:p>
      <w:pPr>
        <w:spacing w:after="0" w:line="240" w:lineRule="auto"/>
        <w:jc w:val="left"/>
        <w:sectPr>
          <w:pgSz w:w="11910" w:h="16840"/>
          <w:pgMar w:header="877" w:footer="1227" w:top="1100" w:bottom="1420" w:left="980" w:right="980"/>
        </w:sectPr>
      </w:pPr>
    </w:p>
    <w:p>
      <w:pPr>
        <w:spacing w:line="240" w:lineRule="auto" w:before="11"/>
        <w:rPr>
          <w:rFonts w:ascii="宋体" w:hAnsi="宋体" w:cs="宋体" w:eastAsia="宋体" w:hint="default"/>
          <w:sz w:val="21"/>
          <w:szCs w:val="21"/>
        </w:rPr>
      </w:pPr>
    </w:p>
    <w:p>
      <w:pPr>
        <w:pStyle w:val="BodyText"/>
        <w:spacing w:line="319" w:lineRule="auto" w:before="44"/>
        <w:ind w:right="146"/>
        <w:jc w:val="both"/>
      </w:pPr>
      <w:r>
        <w:rPr/>
        <w:t>国发</w:t>
      </w:r>
      <w:r>
        <w:rPr>
          <w:rFonts w:ascii="宋体" w:hAnsi="宋体" w:cs="宋体" w:eastAsia="宋体" w:hint="default"/>
        </w:rPr>
        <w:t>[2011]4</w:t>
      </w:r>
      <w:r>
        <w:rPr/>
        <w:t>号《国务院关于印发进一步鼓励软件产业和集成电路产业发展若干政策的通知》的有关规定，本公司享受自获</w:t>
      </w:r>
      <w:r>
        <w:rPr>
          <w:spacing w:val="-86"/>
        </w:rPr>
        <w:t> </w:t>
      </w:r>
      <w:r>
        <w:rPr>
          <w:spacing w:val="-86"/>
        </w:rPr>
      </w:r>
      <w:r>
        <w:rPr>
          <w:spacing w:val="-2"/>
        </w:rPr>
        <w:t>利年度起，企业所得税</w:t>
      </w:r>
      <w:r>
        <w:rPr>
          <w:rFonts w:ascii="宋体" w:hAnsi="宋体" w:cs="宋体" w:eastAsia="宋体" w:hint="default"/>
          <w:spacing w:val="-2"/>
        </w:rPr>
        <w:t>"</w:t>
      </w:r>
      <w:r>
        <w:rPr>
          <w:spacing w:val="-2"/>
        </w:rPr>
        <w:t>两免三减半</w:t>
      </w:r>
      <w:r>
        <w:rPr>
          <w:rFonts w:ascii="宋体" w:hAnsi="宋体" w:cs="宋体" w:eastAsia="宋体" w:hint="default"/>
          <w:spacing w:val="-2"/>
        </w:rPr>
        <w:t>"</w:t>
      </w:r>
      <w:r>
        <w:rPr>
          <w:spacing w:val="-2"/>
        </w:rPr>
        <w:t>的优惠政策，</w:t>
      </w:r>
      <w:r>
        <w:rPr>
          <w:rFonts w:ascii="宋体" w:hAnsi="宋体" w:cs="宋体" w:eastAsia="宋体" w:hint="default"/>
          <w:spacing w:val="-2"/>
        </w:rPr>
        <w:t>2008</w:t>
      </w:r>
      <w:r>
        <w:rPr>
          <w:spacing w:val="-2"/>
        </w:rPr>
        <w:t>、</w:t>
      </w:r>
      <w:r>
        <w:rPr>
          <w:rFonts w:ascii="宋体" w:hAnsi="宋体" w:cs="宋体" w:eastAsia="宋体" w:hint="default"/>
          <w:spacing w:val="-2"/>
        </w:rPr>
        <w:t>2009</w:t>
      </w:r>
      <w:r>
        <w:rPr>
          <w:spacing w:val="-2"/>
        </w:rPr>
        <w:t>年度企业所得税免税。</w:t>
      </w:r>
      <w:r>
        <w:rPr>
          <w:rFonts w:ascii="宋体" w:hAnsi="宋体" w:cs="宋体" w:eastAsia="宋体" w:hint="default"/>
          <w:spacing w:val="-2"/>
        </w:rPr>
        <w:t>2010</w:t>
      </w:r>
      <w:r>
        <w:rPr>
          <w:spacing w:val="-2"/>
        </w:rPr>
        <w:t>至</w:t>
      </w:r>
      <w:r>
        <w:rPr>
          <w:rFonts w:ascii="宋体" w:hAnsi="宋体" w:cs="宋体" w:eastAsia="宋体" w:hint="default"/>
          <w:spacing w:val="-2"/>
        </w:rPr>
        <w:t>2012</w:t>
      </w:r>
      <w:r>
        <w:rPr>
          <w:spacing w:val="-2"/>
        </w:rPr>
        <w:t>年企业所得税减半征收，税</w:t>
      </w:r>
      <w:r>
        <w:rPr>
          <w:spacing w:val="-48"/>
        </w:rPr>
        <w:t> </w:t>
      </w:r>
      <w:r>
        <w:rPr>
          <w:spacing w:val="-48"/>
        </w:rPr>
      </w:r>
      <w:r>
        <w:rPr/>
        <w:t>率为</w:t>
      </w:r>
      <w:r>
        <w:rPr>
          <w:rFonts w:ascii="宋体" w:hAnsi="宋体" w:cs="宋体" w:eastAsia="宋体" w:hint="default"/>
        </w:rPr>
        <w:t>12.5%</w:t>
      </w:r>
      <w:r>
        <w:rPr/>
        <w:t>。</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r>
        <w:rPr/>
        <w:t>六、企业合并及合并财务报表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5708"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2"/>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473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广东安 居宝智 能控制 系统有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4"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广东省 广州市 广州经 济技术 开发区 科学城 起云路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号二</w:t>
            </w:r>
          </w:p>
          <w:p>
            <w:pPr>
              <w:pStyle w:val="TableParagraph"/>
              <w:spacing w:line="248" w:lineRule="exact"/>
              <w:ind w:left="23" w:right="0"/>
              <w:jc w:val="both"/>
              <w:rPr>
                <w:rFonts w:ascii="宋体" w:hAnsi="宋体" w:cs="宋体" w:eastAsia="宋体" w:hint="default"/>
                <w:sz w:val="18"/>
                <w:szCs w:val="18"/>
              </w:rPr>
            </w:pP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3" w:right="0"/>
              <w:jc w:val="left"/>
              <w:rPr>
                <w:rFonts w:ascii="Times New Roman" w:hAnsi="Times New Roman" w:cs="Times New Roman" w:eastAsia="Times New Roman" w:hint="default"/>
                <w:sz w:val="18"/>
                <w:szCs w:val="18"/>
              </w:rPr>
            </w:pPr>
            <w:r>
              <w:rPr>
                <w:rFonts w:ascii="Times New Roman"/>
                <w:sz w:val="18"/>
              </w:rPr>
              <w:t>1050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智能控 制系统 设备的 生产、 销售； 销售： 智能设 备、电 子产 品、计 算机软 件；生 产、加 工：电 子产</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55" w:right="0"/>
              <w:jc w:val="left"/>
              <w:rPr>
                <w:rFonts w:ascii="Times New Roman" w:hAnsi="Times New Roman" w:cs="Times New Roman" w:eastAsia="Times New Roman" w:hint="default"/>
                <w:sz w:val="18"/>
                <w:szCs w:val="18"/>
              </w:rPr>
            </w:pPr>
            <w:r>
              <w:rPr>
                <w:rFonts w:ascii="Times New Roman"/>
                <w:sz w:val="18"/>
              </w:rPr>
              <w:t>735.00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335" w:right="0"/>
              <w:jc w:val="left"/>
              <w:rPr>
                <w:rFonts w:ascii="Times New Roman" w:hAnsi="Times New Roman" w:cs="Times New Roman" w:eastAsia="Times New Roman" w:hint="default"/>
                <w:sz w:val="18"/>
                <w:szCs w:val="18"/>
              </w:rPr>
            </w:pPr>
            <w:r>
              <w:rPr>
                <w:rFonts w:ascii="Times New Roman"/>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321" w:right="0"/>
              <w:jc w:val="left"/>
              <w:rPr>
                <w:rFonts w:ascii="Times New Roman" w:hAnsi="Times New Roman" w:cs="Times New Roman" w:eastAsia="Times New Roman" w:hint="default"/>
                <w:sz w:val="18"/>
                <w:szCs w:val="18"/>
              </w:rPr>
            </w:pPr>
            <w:r>
              <w:rPr>
                <w:rFonts w:ascii="Times New Roman"/>
                <w:sz w:val="18"/>
              </w:rPr>
              <w:t>70%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321" w:right="0"/>
              <w:jc w:val="left"/>
              <w:rPr>
                <w:rFonts w:ascii="Times New Roman" w:hAnsi="Times New Roman" w:cs="Times New Roman" w:eastAsia="Times New Roman" w:hint="default"/>
                <w:sz w:val="18"/>
                <w:szCs w:val="18"/>
              </w:rPr>
            </w:pPr>
            <w:r>
              <w:rPr>
                <w:rFonts w:ascii="Times New Roman"/>
                <w:sz w:val="18"/>
              </w:rPr>
              <w:t>70%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56" w:right="0"/>
              <w:jc w:val="left"/>
              <w:rPr>
                <w:rFonts w:ascii="Times New Roman" w:hAnsi="Times New Roman" w:cs="Times New Roman" w:eastAsia="Times New Roman" w:hint="default"/>
                <w:sz w:val="18"/>
                <w:szCs w:val="18"/>
              </w:rPr>
            </w:pPr>
            <w:r>
              <w:rPr>
                <w:rFonts w:ascii="Times New Roman"/>
                <w:sz w:val="18"/>
              </w:rPr>
              <w:t>267.24</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84" w:right="0"/>
              <w:jc w:val="left"/>
              <w:rPr>
                <w:rFonts w:ascii="Times New Roman" w:hAnsi="Times New Roman" w:cs="Times New Roman" w:eastAsia="Times New Roman" w:hint="default"/>
                <w:sz w:val="18"/>
                <w:szCs w:val="18"/>
              </w:rPr>
            </w:pPr>
            <w:r>
              <w:rPr>
                <w:rFonts w:ascii="Times New Roman"/>
                <w:sz w:val="18"/>
              </w:rPr>
              <w:t>-47.76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338"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1611"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7"/>
              <w:jc w:val="both"/>
              <w:rPr>
                <w:rFonts w:ascii="宋体" w:hAnsi="宋体" w:cs="宋体" w:eastAsia="宋体" w:hint="default"/>
                <w:sz w:val="18"/>
                <w:szCs w:val="18"/>
              </w:rPr>
            </w:pPr>
            <w:r>
              <w:rPr>
                <w:rFonts w:ascii="宋体" w:hAnsi="宋体" w:cs="宋体" w:eastAsia="宋体" w:hint="default"/>
                <w:sz w:val="18"/>
                <w:szCs w:val="18"/>
              </w:rPr>
              <w:t>品；计 算机软 件的设 计、开 发。</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6642"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广东安 居宝光 电传输 科技有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4" w:lineRule="auto"/>
              <w:ind w:left="23" w:right="19"/>
              <w:jc w:val="both"/>
              <w:rPr>
                <w:rFonts w:ascii="宋体" w:hAnsi="宋体" w:cs="宋体" w:eastAsia="宋体" w:hint="default"/>
                <w:sz w:val="18"/>
                <w:szCs w:val="18"/>
              </w:rPr>
            </w:pPr>
            <w:r>
              <w:rPr>
                <w:rFonts w:ascii="宋体" w:hAnsi="宋体" w:cs="宋体" w:eastAsia="宋体" w:hint="default"/>
                <w:sz w:val="18"/>
                <w:szCs w:val="18"/>
              </w:rPr>
              <w:t>广州高 新技术 产业开 发区科 学城起 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号自编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栋</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楼</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3" w:right="0"/>
              <w:jc w:val="left"/>
              <w:rPr>
                <w:rFonts w:ascii="Times New Roman" w:hAnsi="Times New Roman" w:cs="Times New Roman" w:eastAsia="Times New Roman" w:hint="default"/>
                <w:sz w:val="18"/>
                <w:szCs w:val="18"/>
              </w:rPr>
            </w:pPr>
            <w:r>
              <w:rPr>
                <w:rFonts w:ascii="Times New Roman"/>
                <w:sz w:val="18"/>
              </w:rPr>
              <w:t>3000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研究、 开发、 设计： 光电传 输设 备、智 能安防 线缆、 综合布 线系统 及相关 技术服 务；制 造、销 售：光 电传输 设备及 配件， 智能安 防线 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335" w:right="0"/>
              <w:jc w:val="left"/>
              <w:rPr>
                <w:rFonts w:ascii="Times New Roman" w:hAnsi="Times New Roman" w:cs="Times New Roman" w:eastAsia="Times New Roman" w:hint="default"/>
                <w:sz w:val="18"/>
                <w:szCs w:val="18"/>
              </w:rPr>
            </w:pPr>
            <w:r>
              <w:rPr>
                <w:rFonts w:ascii="Times New Roman"/>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336" w:right="0"/>
              <w:jc w:val="left"/>
              <w:rPr>
                <w:rFonts w:ascii="Times New Roman" w:hAnsi="Times New Roman" w:cs="Times New Roman" w:eastAsia="Times New Roman" w:hint="default"/>
                <w:sz w:val="18"/>
                <w:szCs w:val="18"/>
              </w:rPr>
            </w:pPr>
            <w:r>
              <w:rPr>
                <w:rFonts w:ascii="Times New Roman"/>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335"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338" w:right="0"/>
              <w:jc w:val="lef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4106"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w:t>
            </w:r>
          </w:p>
        </w:tc>
      </w:tr>
    </w:tbl>
    <w:p>
      <w:pPr>
        <w:spacing w:after="0" w:line="316" w:lineRule="auto"/>
        <w:jc w:val="both"/>
        <w:rPr>
          <w:rFonts w:ascii="宋体" w:hAnsi="宋体" w:cs="宋体" w:eastAsia="宋体"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1611"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9" w:right="62"/>
              <w:jc w:val="both"/>
              <w:rPr>
                <w:rFonts w:ascii="宋体" w:hAnsi="宋体" w:cs="宋体" w:eastAsia="宋体" w:hint="default"/>
                <w:sz w:val="18"/>
                <w:szCs w:val="18"/>
              </w:rPr>
            </w:pPr>
            <w:r>
              <w:rPr>
                <w:rFonts w:ascii="宋体" w:hAnsi="宋体" w:cs="宋体" w:eastAsia="宋体" w:hint="default"/>
                <w:sz w:val="18"/>
                <w:szCs w:val="18"/>
              </w:rPr>
              <w:t>有者权 益中所 享有份 额后的 余额</w:t>
            </w:r>
          </w:p>
        </w:tc>
      </w:tr>
      <w:tr>
        <w:trPr>
          <w:trHeight w:val="414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9"/>
              <w:ind w:left="24" w:right="108"/>
              <w:jc w:val="both"/>
              <w:rPr>
                <w:rFonts w:ascii="宋体" w:hAnsi="宋体" w:cs="宋体" w:eastAsia="宋体" w:hint="default"/>
                <w:sz w:val="18"/>
                <w:szCs w:val="18"/>
              </w:rPr>
            </w:pPr>
            <w:r>
              <w:rPr>
                <w:rFonts w:ascii="宋体" w:hAnsi="宋体" w:cs="宋体" w:eastAsia="宋体" w:hint="default"/>
                <w:sz w:val="18"/>
                <w:szCs w:val="18"/>
              </w:rPr>
              <w:t>广州市 德居安 电子科 技有限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3" w:right="108"/>
              <w:jc w:val="both"/>
              <w:rPr>
                <w:rFonts w:ascii="宋体" w:hAnsi="宋体" w:cs="宋体" w:eastAsia="宋体" w:hint="default"/>
                <w:sz w:val="18"/>
                <w:szCs w:val="18"/>
              </w:rPr>
            </w:pPr>
            <w:r>
              <w:rPr>
                <w:rFonts w:ascii="宋体" w:hAnsi="宋体" w:cs="宋体" w:eastAsia="宋体" w:hint="default"/>
                <w:sz w:val="18"/>
                <w:szCs w:val="18"/>
              </w:rPr>
              <w:t>广州高 新技术 产业开 发区科 学城起 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号自编 一栋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3539.63</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生产新 型电子 元器 件、元 器件专 用材 料，销 售本公 司产品 并提供 技术咨 询服 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5,663.2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、合并范围发生变更的说明</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414"/>
        <w:jc w:val="left"/>
      </w:pPr>
      <w:r>
        <w:rPr/>
        <w:t>合并报表范围发生变更说明 </w:t>
      </w:r>
      <w:r>
        <w:rPr>
          <w:rFonts w:ascii="宋体" w:hAnsi="宋体" w:cs="宋体" w:eastAsia="宋体" w:hint="default"/>
        </w:rPr>
        <w:t>(1)</w:t>
      </w:r>
      <w:r>
        <w:rPr/>
        <w:t>、与上期相比本期新增合并单位</w:t>
      </w:r>
      <w:r>
        <w:rPr>
          <w:rFonts w:ascii="宋体" w:hAnsi="宋体" w:cs="宋体" w:eastAsia="宋体" w:hint="default"/>
        </w:rPr>
        <w:t>2</w:t>
      </w:r>
      <w:r>
        <w:rPr/>
        <w:t>家，原因为：本年新设立</w:t>
      </w:r>
      <w:r>
        <w:rPr>
          <w:rFonts w:ascii="宋体" w:hAnsi="宋体" w:cs="宋体" w:eastAsia="宋体" w:hint="default"/>
        </w:rPr>
        <w:t>1</w:t>
      </w:r>
      <w:r>
        <w:rPr/>
        <w:t>家全资子公司及收购</w:t>
      </w:r>
      <w:r>
        <w:rPr>
          <w:rFonts w:ascii="宋体" w:hAnsi="宋体" w:cs="宋体" w:eastAsia="宋体" w:hint="default"/>
        </w:rPr>
        <w:t>1</w:t>
      </w:r>
      <w:r>
        <w:rPr/>
        <w:t>家同一控制下的公司</w:t>
      </w:r>
      <w:r>
        <w:rPr>
          <w:rFonts w:ascii="宋体" w:hAnsi="宋体" w:cs="宋体" w:eastAsia="宋体" w:hint="default"/>
        </w:rPr>
        <w:t>100%</w:t>
      </w:r>
      <w:r>
        <w:rPr/>
        <w:t>的股权。 </w:t>
      </w:r>
      <w:r>
        <w:rPr>
          <w:rFonts w:ascii="宋体" w:hAnsi="宋体" w:cs="宋体" w:eastAsia="宋体" w:hint="default"/>
        </w:rPr>
        <w:t>(2)</w:t>
      </w:r>
      <w:r>
        <w:rPr/>
        <w:t>、本期无减少合并单位。</w:t>
      </w:r>
    </w:p>
    <w:p>
      <w:pPr>
        <w:pStyle w:val="BodyText"/>
        <w:spacing w:line="338" w:lineRule="auto" w:before="43"/>
        <w:ind w:right="2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与上年相比本年（期）新增合并单位</w:t>
      </w:r>
      <w:r>
        <w:rPr>
          <w:rFonts w:ascii="Times New Roman" w:hAnsi="Times New Roman" w:cs="Times New Roman" w:eastAsia="Times New Roman" w:hint="default"/>
        </w:rPr>
        <w:t>2</w:t>
      </w:r>
      <w:r>
        <w:rPr/>
        <w:t>家，原因为报告期新设立</w:t>
      </w:r>
      <w:r>
        <w:rPr>
          <w:rFonts w:ascii="Times New Roman" w:hAnsi="Times New Roman" w:cs="Times New Roman" w:eastAsia="Times New Roman" w:hint="default"/>
        </w:rPr>
        <w:t>1</w:t>
      </w:r>
      <w:r>
        <w:rPr/>
        <w:t>家全资子公司及收购</w:t>
      </w:r>
      <w:r>
        <w:rPr>
          <w:rFonts w:ascii="Times New Roman" w:hAnsi="Times New Roman" w:cs="Times New Roman" w:eastAsia="Times New Roman" w:hint="default"/>
        </w:rPr>
        <w:t>1</w:t>
      </w:r>
      <w:r>
        <w:rPr/>
        <w:t>家同一控制下的公司</w:t>
      </w:r>
      <w:r>
        <w:rPr>
          <w:rFonts w:ascii="Times New Roman" w:hAnsi="Times New Roman" w:cs="Times New Roman" w:eastAsia="Times New Roman" w:hint="default"/>
        </w:rPr>
        <w:t>100%</w:t>
      </w:r>
      <w:r>
        <w:rPr/>
        <w:t>的股权。</w:t>
      </w:r>
    </w:p>
    <w:p>
      <w:pPr>
        <w:pStyle w:val="Heading3"/>
        <w:spacing w:line="251" w:lineRule="exact"/>
        <w:ind w:left="243" w:right="0"/>
        <w:jc w:val="left"/>
        <w:rPr>
          <w:b w:val="0"/>
          <w:bCs w:val="0"/>
        </w:rPr>
      </w:pPr>
      <w:r>
        <w:rPr>
          <w:rFonts w:ascii="Times New Roman" w:hAnsi="Times New Roman" w:cs="Times New Roman" w:eastAsia="Times New Roman" w:hint="default"/>
        </w:rPr>
        <w:t>3</w:t>
      </w:r>
      <w:r>
        <w:rPr/>
        <w:t>、报告期内新纳入合并范围的主体和报告期内不再纳入合并范围的主体</w:t>
      </w:r>
      <w:r>
        <w:rPr>
          <w:b w:val="0"/>
          <w:bCs w:val="0"/>
        </w:rPr>
      </w:r>
    </w:p>
    <w:p>
      <w:pPr>
        <w:pStyle w:val="BodyText"/>
        <w:spacing w:line="240" w:lineRule="auto" w:before="82"/>
        <w:ind w:right="0"/>
        <w:jc w:val="left"/>
      </w:pPr>
      <w:r>
        <w:rPr/>
        <w:t>本期新纳入合并范围的子公司、特殊目的主体、通过受托经营或承租等方式形成控制权的经营实体</w:t>
      </w:r>
    </w:p>
    <w:p>
      <w:pPr>
        <w:pStyle w:val="BodyText"/>
        <w:spacing w:line="240" w:lineRule="auto" w:before="115"/>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403"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9"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广东安居宝光电传输科技有限公司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2,978.31</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-21.69</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广州市德居安电子科技有限公司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3,348.91</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36.98</w:t>
            </w:r>
          </w:p>
        </w:tc>
      </w:tr>
    </w:tbl>
    <w:p>
      <w:pPr>
        <w:pStyle w:val="BodyText"/>
        <w:spacing w:line="240" w:lineRule="auto" w:before="8"/>
        <w:ind w:right="0"/>
        <w:jc w:val="left"/>
      </w:pPr>
      <w:r>
        <w:rPr/>
        <w:t>本年无不再纳入合并范围的子公司、特殊目的主体、通过受托经营或承租等方式形成控制权的经营实体。</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4</w:t>
      </w:r>
      <w:r>
        <w:rPr/>
        <w:t>、报告期内发生的同一控制下企业合并</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单位：万</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96"/>
        <w:gridCol w:w="1553"/>
        <w:gridCol w:w="1555"/>
        <w:gridCol w:w="1556"/>
        <w:gridCol w:w="1556"/>
        <w:gridCol w:w="1555"/>
      </w:tblGrid>
      <w:tr>
        <w:trPr>
          <w:trHeight w:val="713" w:hRule="exact"/>
        </w:trPr>
        <w:tc>
          <w:tcPr>
            <w:tcW w:w="1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3"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5" w:right="48"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4" w:right="51" w:hanging="272"/>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r>
        <w:trPr>
          <w:trHeight w:val="715"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1"/>
              <w:jc w:val="left"/>
              <w:rPr>
                <w:rFonts w:ascii="宋体" w:hAnsi="宋体" w:cs="宋体" w:eastAsia="宋体" w:hint="default"/>
                <w:sz w:val="18"/>
                <w:szCs w:val="18"/>
              </w:rPr>
            </w:pPr>
            <w:r>
              <w:rPr>
                <w:rFonts w:ascii="宋体" w:hAnsi="宋体" w:cs="宋体" w:eastAsia="宋体" w:hint="default"/>
                <w:sz w:val="18"/>
                <w:szCs w:val="18"/>
              </w:rPr>
              <w:t>广州市德居安电子科 技有限公司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77"/>
              <w:jc w:val="left"/>
              <w:rPr>
                <w:rFonts w:ascii="宋体" w:hAnsi="宋体" w:cs="宋体" w:eastAsia="宋体" w:hint="default"/>
                <w:sz w:val="18"/>
                <w:szCs w:val="18"/>
              </w:rPr>
            </w:pPr>
            <w:r>
              <w:rPr>
                <w:rFonts w:ascii="宋体" w:hAnsi="宋体" w:cs="宋体" w:eastAsia="宋体" w:hint="default"/>
                <w:sz w:val="18"/>
                <w:szCs w:val="18"/>
              </w:rPr>
              <w:t>广州市德居安电子 科技有限公司与本</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219.11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36.98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92" w:right="0"/>
              <w:jc w:val="left"/>
              <w:rPr>
                <w:rFonts w:ascii="Times New Roman" w:hAnsi="Times New Roman" w:cs="Times New Roman" w:eastAsia="Times New Roman" w:hint="default"/>
                <w:sz w:val="18"/>
                <w:szCs w:val="18"/>
              </w:rPr>
            </w:pPr>
            <w:r>
              <w:rPr>
                <w:rFonts w:ascii="Times New Roman"/>
                <w:sz w:val="18"/>
              </w:rPr>
              <w:t>1,301.02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796"/>
        <w:gridCol w:w="1553"/>
        <w:gridCol w:w="1555"/>
        <w:gridCol w:w="1556"/>
        <w:gridCol w:w="1556"/>
        <w:gridCol w:w="1555"/>
      </w:tblGrid>
      <w:tr>
        <w:trPr>
          <w:trHeight w:val="987" w:hRule="exact"/>
        </w:trPr>
        <w:tc>
          <w:tcPr>
            <w:tcW w:w="1796"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77"/>
              <w:jc w:val="both"/>
              <w:rPr>
                <w:rFonts w:ascii="宋体" w:hAnsi="宋体" w:cs="宋体" w:eastAsia="宋体" w:hint="default"/>
                <w:sz w:val="18"/>
                <w:szCs w:val="18"/>
              </w:rPr>
            </w:pPr>
            <w:r>
              <w:rPr>
                <w:rFonts w:ascii="宋体" w:hAnsi="宋体" w:cs="宋体" w:eastAsia="宋体" w:hint="default"/>
                <w:sz w:val="18"/>
                <w:szCs w:val="18"/>
              </w:rPr>
              <w:t>公司在合并前后同 受张波控制，且该 控制非暂时性</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left="424" w:right="0" w:hanging="272"/>
        <w:jc w:val="left"/>
      </w:pPr>
      <w:r>
        <w:rPr/>
        <w:t>同一控制下企业合并的其他说明 本公司以</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28</w:t>
      </w:r>
      <w:r>
        <w:rPr/>
        <w:t>日为合并日，以人民币</w:t>
      </w:r>
      <w:r>
        <w:rPr>
          <w:rFonts w:ascii="宋体" w:hAnsi="宋体" w:cs="宋体" w:eastAsia="宋体" w:hint="default"/>
        </w:rPr>
        <w:t>56,632,368.63</w:t>
      </w:r>
      <w:r>
        <w:rPr/>
        <w:t>元作为合并成本，取得了广州市德居安电子科技有限公司</w:t>
      </w:r>
    </w:p>
    <w:p>
      <w:pPr>
        <w:pStyle w:val="BodyText"/>
        <w:spacing w:line="224" w:lineRule="exact"/>
        <w:ind w:right="0"/>
        <w:jc w:val="left"/>
      </w:pPr>
      <w:r>
        <w:rPr>
          <w:rFonts w:ascii="宋体" w:hAnsi="宋体" w:cs="宋体" w:eastAsia="宋体" w:hint="default"/>
        </w:rPr>
        <w:t>100%</w:t>
      </w:r>
      <w:r>
        <w:rPr/>
        <w:t>的权益。所购股权在合并日的账面价值总额为人民币</w:t>
      </w:r>
      <w:r>
        <w:rPr>
          <w:rFonts w:ascii="宋体" w:hAnsi="宋体" w:cs="宋体" w:eastAsia="宋体" w:hint="default"/>
        </w:rPr>
        <w:t>33,489,063.37</w:t>
      </w:r>
      <w:r>
        <w:rPr/>
        <w:t>元。合并日的确定依据：完成工商变更登记并取得</w:t>
      </w:r>
    </w:p>
    <w:p>
      <w:pPr>
        <w:pStyle w:val="BodyText"/>
        <w:spacing w:line="316" w:lineRule="auto" w:before="76"/>
        <w:ind w:left="424" w:right="0" w:hanging="272"/>
        <w:jc w:val="left"/>
      </w:pPr>
      <w:r>
        <w:rPr/>
        <w:t>对被合并方控制权之日期。 </w:t>
      </w:r>
      <w:r>
        <w:rPr>
          <w:spacing w:val="-2"/>
        </w:rPr>
        <w:t>广州市德居安电子科技有限公司是于</w:t>
      </w:r>
      <w:r>
        <w:rPr>
          <w:rFonts w:ascii="宋体" w:hAnsi="宋体" w:cs="宋体" w:eastAsia="宋体" w:hint="default"/>
          <w:spacing w:val="-2"/>
        </w:rPr>
        <w:t>2008</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17</w:t>
      </w:r>
      <w:r>
        <w:rPr>
          <w:spacing w:val="-2"/>
        </w:rPr>
        <w:t>日成立的公司，目前注册地址为广州高新技术产业开发区科学城起云路</w:t>
      </w:r>
    </w:p>
    <w:p>
      <w:pPr>
        <w:pStyle w:val="BodyText"/>
        <w:spacing w:line="316" w:lineRule="auto" w:before="19"/>
        <w:ind w:left="513" w:right="1584" w:hanging="361"/>
        <w:jc w:val="left"/>
      </w:pPr>
      <w:r>
        <w:rPr>
          <w:rFonts w:ascii="宋体" w:hAnsi="宋体" w:cs="宋体" w:eastAsia="宋体" w:hint="default"/>
        </w:rPr>
        <w:t>8</w:t>
      </w:r>
      <w:r>
        <w:rPr/>
        <w:t>号自编一栋，主要从事生产新型电子元器件、元器件专用材料，销售本公司产品并提供技术咨询服务。 被合并方资产和负债的账面价值</w:t>
      </w:r>
    </w:p>
    <w:p>
      <w:pPr>
        <w:pStyle w:val="BodyText"/>
        <w:spacing w:line="240" w:lineRule="auto" w:before="19"/>
        <w:ind w:left="0" w:right="192"/>
        <w:jc w:val="right"/>
      </w:pPr>
      <w:r>
        <w:rPr/>
        <w:t>单位：万元</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522"/>
        <w:gridCol w:w="3075"/>
        <w:gridCol w:w="2936"/>
      </w:tblGrid>
      <w:tr>
        <w:trPr>
          <w:trHeight w:val="361" w:hRule="exact"/>
        </w:trPr>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合并日</w:t>
            </w:r>
          </w:p>
        </w:tc>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41" w:right="0"/>
              <w:jc w:val="left"/>
              <w:rPr>
                <w:rFonts w:ascii="宋体" w:hAnsi="宋体" w:cs="宋体" w:eastAsia="宋体" w:hint="default"/>
                <w:sz w:val="18"/>
                <w:szCs w:val="18"/>
              </w:rPr>
            </w:pPr>
            <w:r>
              <w:rPr>
                <w:rFonts w:ascii="宋体" w:hAnsi="宋体" w:cs="宋体" w:eastAsia="宋体" w:hint="default"/>
                <w:sz w:val="18"/>
                <w:szCs w:val="18"/>
              </w:rPr>
              <w:t>上一资产负债表日</w:t>
            </w:r>
          </w:p>
        </w:tc>
      </w:tr>
      <w:tr>
        <w:trPr>
          <w:trHeight w:val="358" w:hRule="exact"/>
        </w:trPr>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8,972.03</w:t>
            </w:r>
          </w:p>
        </w:tc>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6,194.95</w:t>
            </w:r>
          </w:p>
        </w:tc>
      </w:tr>
      <w:tr>
        <w:trPr>
          <w:trHeight w:val="360" w:hRule="exact"/>
        </w:trPr>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其中：固定资产</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2,919.15</w:t>
            </w:r>
          </w:p>
        </w:tc>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74" w:hRule="exact"/>
        </w:trPr>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4,985.78</w:t>
            </w:r>
          </w:p>
        </w:tc>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4,800.86</w:t>
            </w:r>
          </w:p>
        </w:tc>
      </w:tr>
      <w:tr>
        <w:trPr>
          <w:trHeight w:val="358" w:hRule="exact"/>
        </w:trPr>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5,623.12</w:t>
            </w:r>
          </w:p>
        </w:tc>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2,883.02</w:t>
            </w:r>
          </w:p>
        </w:tc>
      </w:tr>
      <w:tr>
        <w:trPr>
          <w:trHeight w:val="360" w:hRule="exact"/>
        </w:trPr>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其中：其他应付款</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5,675.97</w:t>
            </w:r>
          </w:p>
        </w:tc>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2,939.78</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七、合并财务报表主要项目注释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325"/>
        <w:gridCol w:w="931"/>
        <w:gridCol w:w="1462"/>
        <w:gridCol w:w="1327"/>
        <w:gridCol w:w="932"/>
        <w:gridCol w:w="1594"/>
      </w:tblGrid>
      <w:tr>
        <w:trPr>
          <w:trHeight w:val="206"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vMerge/>
            <w:tcBorders>
              <w:left w:val="single" w:sz="4" w:space="0" w:color="000000"/>
              <w:bottom w:val="single" w:sz="4" w:space="0" w:color="000000"/>
              <w:right w:val="single" w:sz="4" w:space="0" w:color="000000"/>
            </w:tcBorders>
            <w:shd w:val="clear" w:color="auto" w:fill="D2D2D2"/>
          </w:tcPr>
          <w:p>
            <w:pPr/>
          </w:p>
        </w:tc>
        <w:tc>
          <w:tcPr>
            <w:tcW w:w="3853"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3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202,591.36</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42,569.53</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202,591.36</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42,569.53</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822,717,273.05</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857,652,203.67</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822,707,832.17</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857,642,767.53</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3" w:right="0"/>
              <w:jc w:val="left"/>
              <w:rPr>
                <w:rFonts w:ascii="Times New Roman" w:hAnsi="Times New Roman" w:cs="Times New Roman" w:eastAsia="Times New Roman" w:hint="default"/>
                <w:sz w:val="18"/>
                <w:szCs w:val="18"/>
              </w:rPr>
            </w:pPr>
            <w:r>
              <w:rPr>
                <w:rFonts w:ascii="Times New Roman"/>
                <w:sz w:val="18"/>
              </w:rPr>
              <w:t>11,643.91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0.81%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9,440.88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3" w:right="0"/>
              <w:jc w:val="left"/>
              <w:rPr>
                <w:rFonts w:ascii="Times New Roman" w:hAnsi="Times New Roman" w:cs="Times New Roman" w:eastAsia="Times New Roman" w:hint="default"/>
                <w:sz w:val="18"/>
                <w:szCs w:val="18"/>
              </w:rPr>
            </w:pPr>
            <w:r>
              <w:rPr>
                <w:rFonts w:ascii="Times New Roman"/>
                <w:sz w:val="18"/>
              </w:rPr>
              <w:t>11,639.50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9,436.14</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842,837.80</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1,220,310.25</w:t>
            </w:r>
          </w:p>
        </w:tc>
      </w:tr>
      <w:tr>
        <w:trPr>
          <w:trHeight w:val="40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842,837.80</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1,220,310.25</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823,762,702.21</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858,915,083.45</w:t>
            </w:r>
          </w:p>
        </w:tc>
      </w:tr>
    </w:tbl>
    <w:p>
      <w:pPr>
        <w:pStyle w:val="BodyText"/>
        <w:spacing w:line="655" w:lineRule="auto" w:before="49"/>
        <w:ind w:right="2574"/>
        <w:jc w:val="left"/>
        <w:rPr>
          <w:sz w:val="21"/>
          <w:szCs w:val="21"/>
        </w:rPr>
      </w:pPr>
      <w:r>
        <w:rPr/>
        <w:pict>
          <v:shape style="position:absolute;margin-left:56.16pt;margin-top:50.881721pt;width:480.6pt;height:44.2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43"/>
                    <w:gridCol w:w="3027"/>
                    <w:gridCol w:w="2641"/>
                  </w:tblGrid>
                  <w:tr>
                    <w:trPr>
                      <w:trHeight w:val="439" w:hRule="exact"/>
                    </w:trPr>
                    <w:tc>
                      <w:tcPr>
                        <w:tcW w:w="3943" w:type="dxa"/>
                        <w:tcBorders>
                          <w:top w:val="single" w:sz="9" w:space="0" w:color="000000"/>
                          <w:left w:val="nil" w:sz="6" w:space="0" w:color="auto"/>
                          <w:bottom w:val="single" w:sz="9" w:space="0" w:color="000000"/>
                          <w:right w:val="nil" w:sz="6" w:space="0" w:color="auto"/>
                        </w:tcBorders>
                      </w:tcPr>
                      <w:p>
                        <w:pPr>
                          <w:pStyle w:val="TableParagraph"/>
                          <w:spacing w:line="240" w:lineRule="auto" w:before="17"/>
                          <w:ind w:left="406"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027" w:type="dxa"/>
                        <w:tcBorders>
                          <w:top w:val="single" w:sz="9" w:space="0" w:color="000000"/>
                          <w:left w:val="nil" w:sz="6" w:space="0" w:color="auto"/>
                          <w:bottom w:val="single" w:sz="9" w:space="0" w:color="000000"/>
                          <w:right w:val="nil" w:sz="6" w:space="0" w:color="auto"/>
                        </w:tcBorders>
                      </w:tcPr>
                      <w:p>
                        <w:pPr>
                          <w:pStyle w:val="TableParagraph"/>
                          <w:spacing w:line="240" w:lineRule="auto" w:before="17"/>
                          <w:ind w:right="921"/>
                          <w:jc w:val="right"/>
                          <w:rPr>
                            <w:rFonts w:ascii="宋体" w:hAnsi="宋体" w:cs="宋体" w:eastAsia="宋体" w:hint="default"/>
                            <w:sz w:val="18"/>
                            <w:szCs w:val="18"/>
                          </w:rPr>
                        </w:pPr>
                        <w:r>
                          <w:rPr>
                            <w:rFonts w:ascii="宋体" w:hAnsi="宋体" w:cs="宋体" w:eastAsia="宋体" w:hint="default"/>
                            <w:sz w:val="18"/>
                            <w:szCs w:val="18"/>
                          </w:rPr>
                          <w:t>年末余额</w:t>
                        </w:r>
                      </w:p>
                    </w:tc>
                    <w:tc>
                      <w:tcPr>
                        <w:tcW w:w="2641" w:type="dxa"/>
                        <w:tcBorders>
                          <w:top w:val="single" w:sz="9" w:space="0" w:color="000000"/>
                          <w:left w:val="nil" w:sz="6" w:space="0" w:color="auto"/>
                          <w:bottom w:val="single" w:sz="9" w:space="0" w:color="000000"/>
                          <w:right w:val="nil" w:sz="6" w:space="0" w:color="auto"/>
                        </w:tcBorders>
                      </w:tcPr>
                      <w:p>
                        <w:pPr>
                          <w:pStyle w:val="TableParagraph"/>
                          <w:spacing w:line="240" w:lineRule="auto" w:before="17"/>
                          <w:ind w:left="49"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22" w:hRule="exact"/>
                    </w:trPr>
                    <w:tc>
                      <w:tcPr>
                        <w:tcW w:w="3943" w:type="dxa"/>
                        <w:tcBorders>
                          <w:top w:val="single" w:sz="9" w:space="0" w:color="000000"/>
                          <w:left w:val="nil" w:sz="6" w:space="0" w:color="auto"/>
                          <w:bottom w:val="single" w:sz="9" w:space="0" w:color="000000"/>
                          <w:right w:val="nil" w:sz="6" w:space="0" w:color="auto"/>
                        </w:tcBorders>
                      </w:tcPr>
                      <w:p>
                        <w:pPr>
                          <w:pStyle w:val="TableParagraph"/>
                          <w:spacing w:line="240" w:lineRule="auto" w:before="17"/>
                          <w:ind w:left="399" w:right="0"/>
                          <w:jc w:val="center"/>
                          <w:rPr>
                            <w:rFonts w:ascii="宋体" w:hAnsi="宋体" w:cs="宋体" w:eastAsia="宋体" w:hint="default"/>
                            <w:sz w:val="18"/>
                            <w:szCs w:val="18"/>
                          </w:rPr>
                        </w:pPr>
                        <w:r>
                          <w:rPr>
                            <w:rFonts w:ascii="宋体" w:hAnsi="宋体" w:cs="宋体" w:eastAsia="宋体" w:hint="default"/>
                            <w:sz w:val="18"/>
                            <w:szCs w:val="18"/>
                          </w:rPr>
                          <w:t>保函保证金</w:t>
                        </w:r>
                      </w:p>
                    </w:tc>
                    <w:tc>
                      <w:tcPr>
                        <w:tcW w:w="3027" w:type="dxa"/>
                        <w:tcBorders>
                          <w:top w:val="single" w:sz="9" w:space="0" w:color="000000"/>
                          <w:left w:val="nil" w:sz="6" w:space="0" w:color="auto"/>
                          <w:bottom w:val="single" w:sz="9" w:space="0" w:color="000000"/>
                          <w:right w:val="nil" w:sz="6" w:space="0" w:color="auto"/>
                        </w:tcBorders>
                      </w:tcPr>
                      <w:p>
                        <w:pPr>
                          <w:pStyle w:val="TableParagraph"/>
                          <w:spacing w:line="240" w:lineRule="auto" w:before="17"/>
                          <w:ind w:right="805"/>
                          <w:jc w:val="right"/>
                          <w:rPr>
                            <w:rFonts w:ascii="宋体" w:hAnsi="宋体" w:cs="宋体" w:eastAsia="宋体" w:hint="default"/>
                            <w:sz w:val="18"/>
                            <w:szCs w:val="18"/>
                          </w:rPr>
                        </w:pPr>
                        <w:r>
                          <w:rPr>
                            <w:rFonts w:ascii="宋体"/>
                            <w:spacing w:val="-1"/>
                            <w:sz w:val="18"/>
                          </w:rPr>
                          <w:t>842,837.80</w:t>
                        </w:r>
                      </w:p>
                    </w:tc>
                    <w:tc>
                      <w:tcPr>
                        <w:tcW w:w="2641" w:type="dxa"/>
                        <w:tcBorders>
                          <w:top w:val="single" w:sz="9" w:space="0" w:color="000000"/>
                          <w:left w:val="nil" w:sz="6" w:space="0" w:color="auto"/>
                          <w:bottom w:val="single" w:sz="9" w:space="0" w:color="000000"/>
                          <w:right w:val="nil" w:sz="6" w:space="0" w:color="auto"/>
                        </w:tcBorders>
                      </w:tcPr>
                      <w:p>
                        <w:pPr>
                          <w:pStyle w:val="TableParagraph"/>
                          <w:spacing w:line="240" w:lineRule="auto" w:before="17"/>
                          <w:ind w:left="52" w:right="0"/>
                          <w:jc w:val="center"/>
                          <w:rPr>
                            <w:rFonts w:ascii="宋体" w:hAnsi="宋体" w:cs="宋体" w:eastAsia="宋体" w:hint="default"/>
                            <w:sz w:val="18"/>
                            <w:szCs w:val="18"/>
                          </w:rPr>
                        </w:pPr>
                        <w:r>
                          <w:rPr>
                            <w:rFonts w:ascii="宋体"/>
                            <w:sz w:val="18"/>
                          </w:rPr>
                          <w:t>1,220,310.25</w:t>
                        </w:r>
                      </w:p>
                    </w:tc>
                  </w:tr>
                </w:tbl>
                <w:p>
                  <w:pPr/>
                </w:p>
              </w:txbxContent>
            </v:textbox>
            <w10:wrap type="none"/>
          </v:shape>
        </w:pict>
      </w:r>
      <w:r>
        <w:rPr/>
        <w:t>如有因抵押、质押或冻结等对使用有限制、存放在境外、有潜在回收风险的款项应单独说明 其中受限制的货币资金明细如下</w:t>
      </w:r>
      <w:r>
        <w:rPr>
          <w:sz w:val="21"/>
          <w:szCs w:val="21"/>
        </w:rPr>
        <w:t>：</w:t>
      </w:r>
    </w:p>
    <w:p>
      <w:pPr>
        <w:spacing w:after="0" w:line="655" w:lineRule="auto"/>
        <w:jc w:val="left"/>
        <w:rPr>
          <w:sz w:val="21"/>
          <w:szCs w:val="21"/>
        </w:rPr>
        <w:sectPr>
          <w:pgSz w:w="11910" w:h="16840"/>
          <w:pgMar w:header="877" w:footer="1227" w:top="1100" w:bottom="142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1"/>
      </w:tblGrid>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4,626,831.19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1,936,160.00</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4,626,831.19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1,936,160.00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）期末无已质押的应收票据</w:t>
      </w:r>
      <w:r>
        <w:rPr>
          <w:b w:val="0"/>
          <w:bCs w:val="0"/>
        </w:rPr>
      </w:r>
    </w:p>
    <w:p>
      <w:pPr>
        <w:spacing w:line="240" w:lineRule="auto" w:before="10"/>
        <w:rPr>
          <w:rFonts w:ascii="宋体" w:hAnsi="宋体" w:cs="宋体" w:eastAsia="宋体" w:hint="default"/>
          <w:b/>
          <w:bCs/>
          <w:sz w:val="24"/>
          <w:szCs w:val="24"/>
        </w:rPr>
      </w:pPr>
    </w:p>
    <w:p>
      <w:pPr>
        <w:pStyle w:val="Heading3"/>
        <w:spacing w:line="256" w:lineRule="auto"/>
        <w:ind w:right="0"/>
        <w:jc w:val="left"/>
        <w:rPr>
          <w:b w:val="0"/>
          <w:bCs w:val="0"/>
        </w:rPr>
      </w:pPr>
      <w:r>
        <w:rPr/>
        <w:t>（</w:t>
      </w:r>
      <w:r>
        <w:rPr>
          <w:rFonts w:ascii="Times New Roman" w:hAnsi="Times New Roman" w:cs="Times New Roman" w:eastAsia="Times New Roman" w:hint="default"/>
        </w:rPr>
        <w:t>3</w:t>
      </w:r>
      <w:r>
        <w:rPr/>
        <w:t>）本年无因因出票人无力履约而将票据转为应收账款的票据，以及期末公司已经背书给他方但尚未到</w:t>
      </w:r>
      <w:r>
        <w:rPr>
          <w:spacing w:val="-65"/>
        </w:rPr>
        <w:t> </w:t>
      </w:r>
      <w:r>
        <w:rPr>
          <w:spacing w:val="-65"/>
        </w:rPr>
      </w:r>
      <w:r>
        <w:rPr/>
        <w:t>期的票据情况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right="0"/>
        <w:jc w:val="left"/>
      </w:pPr>
      <w:r>
        <w:rPr/>
        <w:t>公司已经背书给其他方但尚未到期的票据</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320,160.00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1,720,160.00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Heading3"/>
        <w:spacing w:line="278" w:lineRule="exact"/>
        <w:ind w:right="0"/>
        <w:jc w:val="left"/>
        <w:rPr>
          <w:b w:val="0"/>
          <w:bCs w:val="0"/>
        </w:rPr>
      </w:pPr>
      <w:r>
        <w:rPr>
          <w:sz w:val="18"/>
          <w:szCs w:val="18"/>
        </w:rPr>
        <w:t>（</w:t>
      </w:r>
      <w:r>
        <w:rPr>
          <w:rFonts w:ascii="Times New Roman" w:hAnsi="Times New Roman" w:cs="Times New Roman" w:eastAsia="Times New Roman" w:hint="default"/>
          <w:sz w:val="18"/>
          <w:szCs w:val="18"/>
        </w:rPr>
        <w:t>4</w:t>
      </w:r>
      <w:r>
        <w:rPr>
          <w:sz w:val="18"/>
          <w:szCs w:val="18"/>
        </w:rPr>
        <w:t>）</w:t>
      </w:r>
      <w:r>
        <w:rPr/>
        <w:t>年末应收票据中无持本公司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％）表决权股份的股东单位欠款</w:t>
      </w:r>
      <w:r>
        <w:rPr>
          <w:spacing w:val="-20"/>
        </w:rPr>
        <w:t> </w:t>
      </w:r>
      <w:r>
        <w:rPr/>
        <w:t>。</w:t>
      </w:r>
      <w:r>
        <w:rPr>
          <w:b w:val="0"/>
          <w:bCs w:val="0"/>
        </w:rPr>
      </w:r>
    </w:p>
    <w:p>
      <w:pPr>
        <w:pStyle w:val="Heading3"/>
        <w:spacing w:line="240" w:lineRule="auto" w:before="21"/>
        <w:ind w:right="0"/>
        <w:jc w:val="left"/>
        <w:rPr>
          <w:b w:val="0"/>
          <w:bCs w:val="0"/>
        </w:rPr>
      </w:pPr>
      <w:r>
        <w:rPr>
          <w:sz w:val="18"/>
          <w:szCs w:val="18"/>
        </w:rPr>
        <w:t>（</w:t>
      </w:r>
      <w:r>
        <w:rPr>
          <w:rFonts w:ascii="Times New Roman" w:hAnsi="Times New Roman" w:cs="Times New Roman" w:eastAsia="Times New Roman" w:hint="default"/>
          <w:sz w:val="18"/>
          <w:szCs w:val="18"/>
        </w:rPr>
        <w:t>5</w:t>
      </w:r>
      <w:r>
        <w:rPr>
          <w:sz w:val="18"/>
          <w:szCs w:val="18"/>
        </w:rPr>
        <w:t>）</w:t>
      </w:r>
      <w:r>
        <w:rPr/>
        <w:t>年末无已贴现或质押的商业承兑票据。</w:t>
      </w:r>
      <w:r>
        <w:rPr>
          <w:b w:val="0"/>
          <w:bCs w:val="0"/>
        </w:rPr>
      </w:r>
    </w:p>
    <w:p>
      <w:pPr>
        <w:spacing w:line="240" w:lineRule="auto" w:before="1"/>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3"/>
        <w:gridCol w:w="1861"/>
        <w:gridCol w:w="1863"/>
        <w:gridCol w:w="1860"/>
        <w:gridCol w:w="2127"/>
      </w:tblGrid>
      <w:tr>
        <w:trPr>
          <w:trHeight w:val="401"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定期银行存款利息</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18,448,273.40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18,719,892.60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14,028,932.68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23,139,233.32</w:t>
            </w:r>
          </w:p>
        </w:tc>
      </w:tr>
      <w:tr>
        <w:trPr>
          <w:trHeight w:val="401"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18,448,273.40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18,719,892.60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14,028,932.68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23,139,233.32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）应收利息的说明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上述利息为募集资金定期存款利息。</w:t>
      </w:r>
    </w:p>
    <w:p>
      <w:pPr>
        <w:spacing w:after="0" w:line="240" w:lineRule="auto"/>
        <w:jc w:val="left"/>
        <w:sectPr>
          <w:pgSz w:w="11910" w:h="16840"/>
          <w:pgMar w:header="877" w:footer="1227" w:top="1100" w:bottom="142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121"/>
        <w:gridCol w:w="739"/>
        <w:gridCol w:w="1104"/>
        <w:gridCol w:w="754"/>
        <w:gridCol w:w="1229"/>
        <w:gridCol w:w="710"/>
        <w:gridCol w:w="1133"/>
        <w:gridCol w:w="782"/>
      </w:tblGrid>
      <w:tr>
        <w:trPr>
          <w:trHeight w:val="401"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000" w:type="dxa"/>
            <w:vMerge/>
            <w:tcBorders>
              <w:left w:val="single" w:sz="4" w:space="0" w:color="000000"/>
              <w:right w:val="single" w:sz="4" w:space="0" w:color="000000"/>
            </w:tcBorders>
            <w:shd w:val="clear" w:color="auto" w:fill="D2D2D2"/>
          </w:tcPr>
          <w:p>
            <w:pP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403"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按账龄组合计提坏账准 备的应收账款</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72,650,695.59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4,053,723.74</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53,980,656.21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3,026,924.91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5.61%</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72,650,695.59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4,053,723.74</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53,980,656.21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3,026,924.91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5.61%</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72,650,695.59</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04"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4,053,723.74</w:t>
            </w:r>
          </w:p>
        </w:tc>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2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53,980,656.21</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3,026,924.91</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5814"/>
        <w:jc w:val="left"/>
      </w:pPr>
      <w:r>
        <w:rPr/>
        <w:t>应收账款种类的说明 期末单项金额重大并单项计提坏账准备的应收账款</w:t>
      </w:r>
    </w:p>
    <w:p>
      <w:pPr>
        <w:pStyle w:val="BodyText"/>
        <w:spacing w:line="340" w:lineRule="auto" w:before="25"/>
        <w:ind w:right="5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50"/>
        <w:gridCol w:w="1600"/>
        <w:gridCol w:w="923"/>
        <w:gridCol w:w="1740"/>
        <w:gridCol w:w="1454"/>
        <w:gridCol w:w="931"/>
        <w:gridCol w:w="1459"/>
      </w:tblGrid>
      <w:tr>
        <w:trPr>
          <w:trHeight w:val="401" w:hRule="exact"/>
        </w:trPr>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25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2522" w:type="dxa"/>
            <w:gridSpan w:val="2"/>
            <w:vMerge/>
            <w:tcBorders>
              <w:left w:val="single" w:sz="4" w:space="0" w:color="000000"/>
              <w:bottom w:val="single" w:sz="4" w:space="0" w:color="000000"/>
              <w:right w:val="single" w:sz="4" w:space="0" w:color="000000"/>
            </w:tcBorders>
            <w:shd w:val="clear" w:color="auto" w:fill="D2D2D2"/>
          </w:tcPr>
          <w:p>
            <w:pPr/>
          </w:p>
        </w:tc>
        <w:tc>
          <w:tcPr>
            <w:tcW w:w="17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5" w:type="dxa"/>
            <w:gridSpan w:val="2"/>
            <w:vMerge/>
            <w:tcBorders>
              <w:left w:val="single" w:sz="4" w:space="0" w:color="000000"/>
              <w:bottom w:val="single" w:sz="4" w:space="0" w:color="000000"/>
              <w:right w:val="single" w:sz="4" w:space="0" w:color="000000"/>
            </w:tcBorders>
            <w:shd w:val="clear" w:color="auto" w:fill="D2D2D2"/>
          </w:tcPr>
          <w:p>
            <w:pPr/>
          </w:p>
        </w:tc>
        <w:tc>
          <w:tcPr>
            <w:tcW w:w="14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4" w:hRule="exact"/>
        </w:trPr>
        <w:tc>
          <w:tcPr>
            <w:tcW w:w="1450" w:type="dxa"/>
            <w:vMerge w:val="restart"/>
            <w:tcBorders>
              <w:top w:val="nil" w:sz="6" w:space="0" w:color="auto"/>
              <w:left w:val="single" w:sz="4" w:space="0" w:color="000000"/>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40" w:type="dxa"/>
            <w:vMerge/>
            <w:tcBorders>
              <w:left w:val="single" w:sz="4" w:space="0" w:color="000000"/>
              <w:bottom w:val="nil" w:sz="6" w:space="0" w:color="auto"/>
              <w:right w:val="single" w:sz="4" w:space="0" w:color="000000"/>
            </w:tcBorders>
            <w:shd w:val="clear" w:color="auto" w:fill="D2D2D2"/>
          </w:tcPr>
          <w:p>
            <w:pPr/>
          </w:p>
        </w:tc>
        <w:tc>
          <w:tcPr>
            <w:tcW w:w="14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9" w:type="dxa"/>
            <w:vMerge/>
            <w:tcBorders>
              <w:left w:val="single" w:sz="4" w:space="0" w:color="000000"/>
              <w:bottom w:val="nil" w:sz="6" w:space="0" w:color="auto"/>
              <w:right w:val="single" w:sz="4" w:space="0" w:color="000000"/>
            </w:tcBorders>
            <w:shd w:val="clear" w:color="auto" w:fill="D2D2D2"/>
          </w:tcPr>
          <w:p>
            <w:pPr/>
          </w:p>
        </w:tc>
      </w:tr>
      <w:tr>
        <w:trPr>
          <w:trHeight w:val="211" w:hRule="exact"/>
        </w:trPr>
        <w:tc>
          <w:tcPr>
            <w:tcW w:w="1450"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4"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4" w:hRule="exact"/>
        </w:trPr>
        <w:tc>
          <w:tcPr>
            <w:tcW w:w="955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00" w:right="0"/>
              <w:jc w:val="left"/>
              <w:rPr>
                <w:rFonts w:ascii="Times New Roman" w:hAnsi="Times New Roman" w:cs="Times New Roman" w:eastAsia="Times New Roman" w:hint="default"/>
                <w:sz w:val="18"/>
                <w:szCs w:val="18"/>
              </w:rPr>
            </w:pPr>
            <w:r>
              <w:rPr>
                <w:rFonts w:ascii="Times New Roman"/>
                <w:sz w:val="18"/>
              </w:rPr>
              <w:t>--</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5"/>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60,513,303.25</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2" w:right="0"/>
              <w:jc w:val="left"/>
              <w:rPr>
                <w:rFonts w:ascii="Times New Roman" w:hAnsi="Times New Roman" w:cs="Times New Roman" w:eastAsia="Times New Roman" w:hint="default"/>
                <w:sz w:val="18"/>
                <w:szCs w:val="18"/>
              </w:rPr>
            </w:pPr>
            <w:r>
              <w:rPr>
                <w:rFonts w:ascii="Times New Roman"/>
                <w:sz w:val="18"/>
              </w:rPr>
              <w:t>83.29%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605,133.02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40,162,234.87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401,622.35</w:t>
            </w:r>
          </w:p>
        </w:tc>
      </w:tr>
      <w:tr>
        <w:trPr>
          <w:trHeight w:val="401"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7,614,860.86</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2" w:right="0"/>
              <w:jc w:val="left"/>
              <w:rPr>
                <w:rFonts w:ascii="Times New Roman" w:hAnsi="Times New Roman" w:cs="Times New Roman" w:eastAsia="Times New Roman" w:hint="default"/>
                <w:sz w:val="18"/>
                <w:szCs w:val="18"/>
              </w:rPr>
            </w:pPr>
            <w:r>
              <w:rPr>
                <w:rFonts w:ascii="Times New Roman"/>
                <w:sz w:val="18"/>
              </w:rPr>
              <w:t>10.48%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761,486.09</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8,444,491.77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15.64%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844,449.18</w:t>
            </w:r>
          </w:p>
        </w:tc>
      </w:tr>
      <w:tr>
        <w:trPr>
          <w:trHeight w:val="403"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2,622,038.36</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3.61%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786,611.51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5,132,965.98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1,539,889.79</w:t>
            </w:r>
          </w:p>
        </w:tc>
      </w:tr>
      <w:tr>
        <w:trPr>
          <w:trHeight w:val="401"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1,900,493.12</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2.62%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1,900,493.12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240,963.59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240,963.59</w:t>
            </w:r>
          </w:p>
        </w:tc>
      </w:tr>
      <w:tr>
        <w:trPr>
          <w:trHeight w:val="404"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0"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72,650,695.59</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74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4,053,723.74</w:t>
            </w:r>
          </w:p>
        </w:tc>
        <w:tc>
          <w:tcPr>
            <w:tcW w:w="1454"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53,980,656.21</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3,026,924.91</w:t>
            </w:r>
          </w:p>
        </w:tc>
      </w:tr>
    </w:tbl>
    <w:p>
      <w:pPr>
        <w:pStyle w:val="BodyText"/>
        <w:spacing w:line="240" w:lineRule="auto" w:before="49"/>
        <w:ind w:right="0"/>
        <w:jc w:val="left"/>
      </w:pPr>
      <w:r>
        <w:rPr/>
        <w:t>组合中，采用余额百分比法计提坏账准备的应收账款</w:t>
      </w:r>
    </w:p>
    <w:p>
      <w:pPr>
        <w:pStyle w:val="BodyText"/>
        <w:spacing w:line="340" w:lineRule="auto" w:before="115"/>
        <w:ind w:right="5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38" w:lineRule="auto" w:before="41"/>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1227" w:top="1100" w:bottom="142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）本报告期无转回或收回的应收账款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）本报告期内无实际核销的应收账款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）本报告期应收账款中无持有公司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1,320,045.65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1,211,513.00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1,190,648.84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1,089,569.97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1,078,878.00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5,890,655.46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广州市高堡仕智能科技有限 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对子公司存在重大影响的股东</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87,179.00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）报告期内无终止确认的应收款项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）报告期内无以应收款项为标的进行证券化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2"/>
        <w:gridCol w:w="1057"/>
        <w:gridCol w:w="792"/>
        <w:gridCol w:w="1058"/>
        <w:gridCol w:w="795"/>
        <w:gridCol w:w="1058"/>
        <w:gridCol w:w="926"/>
        <w:gridCol w:w="1191"/>
        <w:gridCol w:w="779"/>
      </w:tblGrid>
      <w:tr>
        <w:trPr>
          <w:trHeight w:val="401" w:hRule="exact"/>
        </w:trPr>
        <w:tc>
          <w:tcPr>
            <w:tcW w:w="19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902" w:type="dxa"/>
            <w:vMerge/>
            <w:tcBorders>
              <w:left w:val="single" w:sz="4" w:space="0" w:color="000000"/>
              <w:right w:val="single" w:sz="4" w:space="0" w:color="000000"/>
            </w:tcBorders>
            <w:shd w:val="clear" w:color="auto" w:fill="D2D2D2"/>
          </w:tcPr>
          <w:p>
            <w:pP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902"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403" w:hRule="exact"/>
        </w:trPr>
        <w:tc>
          <w:tcPr>
            <w:tcW w:w="955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3"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69"/>
              <w:jc w:val="left"/>
              <w:rPr>
                <w:rFonts w:ascii="宋体" w:hAnsi="宋体" w:cs="宋体" w:eastAsia="宋体" w:hint="default"/>
                <w:sz w:val="18"/>
                <w:szCs w:val="18"/>
              </w:rPr>
            </w:pPr>
            <w:r>
              <w:rPr>
                <w:rFonts w:ascii="宋体" w:hAnsi="宋体" w:cs="宋体" w:eastAsia="宋体" w:hint="default"/>
                <w:sz w:val="18"/>
                <w:szCs w:val="18"/>
              </w:rPr>
              <w:t>按账龄组合计提坏账准 备的其他应收款</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4,496,110.08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502,705.55</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6,338,981.29</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322,405.08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5.09%</w:t>
            </w:r>
          </w:p>
        </w:tc>
      </w:tr>
    </w:tbl>
    <w:p>
      <w:pPr>
        <w:spacing w:after="0" w:line="240" w:lineRule="auto"/>
        <w:jc w:val="right"/>
        <w:rPr>
          <w:rFonts w:ascii="Times New Roman" w:hAnsi="Times New Roman" w:cs="Times New Roman" w:eastAsia="Times New Roman" w:hint="default"/>
          <w:sz w:val="18"/>
          <w:szCs w:val="18"/>
        </w:rPr>
        <w:sectPr>
          <w:footerReference w:type="default" r:id="rId36"/>
          <w:pgSz w:w="11910" w:h="16840"/>
          <w:pgMar w:footer="1227" w:header="877" w:top="1100" w:bottom="142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02"/>
        <w:gridCol w:w="1057"/>
        <w:gridCol w:w="792"/>
        <w:gridCol w:w="1058"/>
        <w:gridCol w:w="795"/>
        <w:gridCol w:w="1058"/>
        <w:gridCol w:w="926"/>
        <w:gridCol w:w="1191"/>
        <w:gridCol w:w="790"/>
      </w:tblGrid>
      <w:tr>
        <w:trPr>
          <w:trHeight w:val="401" w:hRule="exact"/>
        </w:trPr>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4,496,110.08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0" w:right="0"/>
              <w:jc w:val="lef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502,705.55</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3" w:right="0"/>
              <w:jc w:val="left"/>
              <w:rPr>
                <w:rFonts w:ascii="Times New Roman" w:hAnsi="Times New Roman" w:cs="Times New Roman" w:eastAsia="Times New Roman" w:hint="default"/>
                <w:sz w:val="18"/>
                <w:szCs w:val="18"/>
              </w:rPr>
            </w:pPr>
            <w:r>
              <w:rPr>
                <w:rFonts w:ascii="Times New Roman"/>
                <w:sz w:val="18"/>
              </w:rPr>
              <w:t>11.18%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6,338,981.29</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322,405.08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5.09%</w:t>
            </w:r>
          </w:p>
        </w:tc>
      </w:tr>
      <w:tr>
        <w:trPr>
          <w:trHeight w:val="403" w:hRule="exact"/>
        </w:trPr>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4,496,110.08</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31" w:right="0"/>
              <w:jc w:val="left"/>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502,705.55</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6,338,981.29</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322,405.08</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31"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footerReference w:type="default" r:id="rId37"/>
          <w:pgSz w:w="11910" w:h="16840"/>
          <w:pgMar w:footer="1227" w:header="877" w:top="1100" w:bottom="1420" w:left="980" w:right="980"/>
          <w:pgNumType w:start="101"/>
        </w:sectPr>
      </w:pPr>
    </w:p>
    <w:p>
      <w:pPr>
        <w:pStyle w:val="BodyText"/>
        <w:spacing w:line="357" w:lineRule="auto" w:before="49"/>
        <w:ind w:right="-20"/>
        <w:jc w:val="left"/>
      </w:pPr>
      <w:r>
        <w:rPr/>
        <w:t>其他应收款种类的说明 年末无单项金额重大并单项计提坏账准备的其他应收款 期末单项金额重大并单项计提坏账准备的其他应收款</w:t>
      </w:r>
    </w:p>
    <w:p>
      <w:pPr>
        <w:pStyle w:val="BodyText"/>
        <w:spacing w:line="338" w:lineRule="auto" w:before="29"/>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880" w:bottom="280" w:left="980" w:right="980"/>
          <w:cols w:num="2" w:equalWidth="0">
            <w:col w:w="4473" w:space="4356"/>
            <w:col w:w="112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36"/>
        <w:gridCol w:w="1847"/>
        <w:gridCol w:w="646"/>
        <w:gridCol w:w="1459"/>
        <w:gridCol w:w="1450"/>
        <w:gridCol w:w="646"/>
        <w:gridCol w:w="1674"/>
      </w:tblGrid>
      <w:tr>
        <w:trPr>
          <w:trHeight w:val="403" w:hRule="exact"/>
        </w:trPr>
        <w:tc>
          <w:tcPr>
            <w:tcW w:w="1836" w:type="dxa"/>
            <w:vMerge w:val="restart"/>
            <w:tcBorders>
              <w:top w:val="single" w:sz="4" w:space="0" w:color="000000"/>
              <w:left w:val="single" w:sz="4" w:space="0" w:color="000000"/>
              <w:right w:val="single" w:sz="4" w:space="0" w:color="000000"/>
            </w:tcBorders>
            <w:shd w:val="clear" w:color="auto" w:fill="D2D2D2"/>
          </w:tcPr>
          <w:p>
            <w:pPr/>
          </w:p>
        </w:tc>
        <w:tc>
          <w:tcPr>
            <w:tcW w:w="39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836" w:type="dxa"/>
            <w:vMerge/>
            <w:tcBorders>
              <w:left w:val="single" w:sz="4" w:space="0" w:color="000000"/>
              <w:bottom w:val="nil" w:sz="6" w:space="0" w:color="auto"/>
              <w:right w:val="single" w:sz="4" w:space="0" w:color="000000"/>
            </w:tcBorders>
            <w:shd w:val="clear" w:color="auto" w:fill="D2D2D2"/>
          </w:tcPr>
          <w:p>
            <w:pPr/>
          </w:p>
        </w:tc>
        <w:tc>
          <w:tcPr>
            <w:tcW w:w="24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2D2D2"/>
          </w:tcPr>
          <w:p>
            <w:pPr/>
          </w:p>
        </w:tc>
        <w:tc>
          <w:tcPr>
            <w:tcW w:w="20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74"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8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2494" w:type="dxa"/>
            <w:gridSpan w:val="2"/>
            <w:vMerge/>
            <w:tcBorders>
              <w:left w:val="single" w:sz="4" w:space="0" w:color="000000"/>
              <w:bottom w:val="single" w:sz="4" w:space="0" w:color="000000"/>
              <w:right w:val="single" w:sz="4" w:space="0" w:color="000000"/>
            </w:tcBorders>
            <w:shd w:val="clear" w:color="auto" w:fill="D2D2D2"/>
          </w:tcPr>
          <w:p>
            <w:pPr/>
          </w:p>
        </w:tc>
        <w:tc>
          <w:tcPr>
            <w:tcW w:w="1459" w:type="dxa"/>
            <w:vMerge/>
            <w:tcBorders>
              <w:left w:val="single" w:sz="4" w:space="0" w:color="000000"/>
              <w:bottom w:val="nil" w:sz="6" w:space="0" w:color="auto"/>
              <w:right w:val="single" w:sz="4" w:space="0" w:color="000000"/>
            </w:tcBorders>
            <w:shd w:val="clear" w:color="auto" w:fill="D2D2D2"/>
          </w:tcPr>
          <w:p>
            <w:pPr/>
          </w:p>
        </w:tc>
        <w:tc>
          <w:tcPr>
            <w:tcW w:w="2096" w:type="dxa"/>
            <w:gridSpan w:val="2"/>
            <w:vMerge/>
            <w:tcBorders>
              <w:left w:val="single" w:sz="4" w:space="0" w:color="000000"/>
              <w:bottom w:val="single" w:sz="4" w:space="0" w:color="000000"/>
              <w:right w:val="single" w:sz="4" w:space="0" w:color="000000"/>
            </w:tcBorders>
            <w:shd w:val="clear" w:color="auto" w:fill="D2D2D2"/>
          </w:tcPr>
          <w:p>
            <w:pPr/>
          </w:p>
        </w:tc>
        <w:tc>
          <w:tcPr>
            <w:tcW w:w="1674"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836" w:type="dxa"/>
            <w:vMerge/>
            <w:tcBorders>
              <w:left w:val="single" w:sz="4" w:space="0" w:color="000000"/>
              <w:bottom w:val="single" w:sz="5" w:space="0" w:color="FFFFFF"/>
              <w:right w:val="single" w:sz="4" w:space="0" w:color="000000"/>
            </w:tcBorders>
            <w:shd w:val="clear" w:color="auto" w:fill="D2D2D2"/>
          </w:tcPr>
          <w:p>
            <w:pPr/>
          </w:p>
        </w:tc>
        <w:tc>
          <w:tcPr>
            <w:tcW w:w="1847"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3" w:right="0"/>
              <w:jc w:val="left"/>
              <w:rPr>
                <w:rFonts w:ascii="Times New Roman" w:hAnsi="Times New Roman" w:cs="Times New Roman" w:eastAsia="Times New Roman" w:hint="default"/>
                <w:sz w:val="18"/>
                <w:szCs w:val="18"/>
              </w:rPr>
            </w:pPr>
            <w:r>
              <w:rPr>
                <w:rFonts w:ascii="Times New Roman"/>
                <w:sz w:val="18"/>
              </w:rPr>
              <w:t>(%)</w:t>
            </w:r>
          </w:p>
        </w:tc>
        <w:tc>
          <w:tcPr>
            <w:tcW w:w="14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3" w:right="0"/>
              <w:jc w:val="left"/>
              <w:rPr>
                <w:rFonts w:ascii="Times New Roman" w:hAnsi="Times New Roman" w:cs="Times New Roman" w:eastAsia="Times New Roman" w:hint="default"/>
                <w:sz w:val="18"/>
                <w:szCs w:val="18"/>
              </w:rPr>
            </w:pPr>
            <w:r>
              <w:rPr>
                <w:rFonts w:ascii="Times New Roman"/>
                <w:sz w:val="18"/>
              </w:rPr>
              <w:t>(%)</w:t>
            </w:r>
          </w:p>
        </w:tc>
        <w:tc>
          <w:tcPr>
            <w:tcW w:w="16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47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3" w:hRule="exact"/>
        </w:trPr>
        <w:tc>
          <w:tcPr>
            <w:tcW w:w="1836" w:type="dxa"/>
            <w:vMerge w:val="restart"/>
            <w:tcBorders>
              <w:top w:val="single" w:sz="5" w:space="0" w:color="FFFFFF"/>
              <w:left w:val="single" w:sz="4" w:space="0" w:color="000000"/>
              <w:right w:val="single" w:sz="4" w:space="0" w:color="000000"/>
            </w:tcBorders>
            <w:shd w:val="clear" w:color="auto" w:fill="D2D2D2"/>
          </w:tcPr>
          <w:p>
            <w:pPr/>
          </w:p>
        </w:tc>
        <w:tc>
          <w:tcPr>
            <w:tcW w:w="1847"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46" w:type="dxa"/>
            <w:vMerge/>
            <w:tcBorders>
              <w:left w:val="single" w:sz="4" w:space="0" w:color="000000"/>
              <w:right w:val="single" w:sz="4" w:space="0" w:color="000000"/>
            </w:tcBorders>
            <w:shd w:val="clear" w:color="auto" w:fill="D2D2D2"/>
          </w:tcPr>
          <w:p>
            <w:pPr/>
          </w:p>
        </w:tc>
        <w:tc>
          <w:tcPr>
            <w:tcW w:w="1459" w:type="dxa"/>
            <w:vMerge/>
            <w:tcBorders>
              <w:left w:val="single" w:sz="4" w:space="0" w:color="000000"/>
              <w:bottom w:val="nil" w:sz="6" w:space="0" w:color="auto"/>
              <w:right w:val="single" w:sz="4" w:space="0" w:color="000000"/>
            </w:tcBorders>
            <w:shd w:val="clear" w:color="auto" w:fill="D2D2D2"/>
          </w:tcPr>
          <w:p>
            <w:pPr/>
          </w:p>
        </w:tc>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646" w:type="dxa"/>
            <w:vMerge/>
            <w:tcBorders>
              <w:left w:val="single" w:sz="4" w:space="0" w:color="000000"/>
              <w:right w:val="single" w:sz="4" w:space="0" w:color="000000"/>
            </w:tcBorders>
            <w:shd w:val="clear" w:color="auto" w:fill="D2D2D2"/>
          </w:tcPr>
          <w:p>
            <w:pPr/>
          </w:p>
        </w:tc>
        <w:tc>
          <w:tcPr>
            <w:tcW w:w="1674"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836" w:type="dxa"/>
            <w:vMerge/>
            <w:tcBorders>
              <w:left w:val="single" w:sz="4" w:space="0" w:color="000000"/>
              <w:right w:val="single" w:sz="4" w:space="0" w:color="000000"/>
            </w:tcBorders>
            <w:shd w:val="clear" w:color="auto" w:fill="D2D2D2"/>
          </w:tcPr>
          <w:p>
            <w:pPr/>
          </w:p>
        </w:tc>
        <w:tc>
          <w:tcPr>
            <w:tcW w:w="1847" w:type="dxa"/>
            <w:vMerge/>
            <w:tcBorders>
              <w:left w:val="single" w:sz="4" w:space="0" w:color="000000"/>
              <w:bottom w:val="nil" w:sz="6" w:space="0" w:color="auto"/>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c>
          <w:tcPr>
            <w:tcW w:w="1459" w:type="dxa"/>
            <w:vMerge w:val="restart"/>
            <w:tcBorders>
              <w:top w:val="nil" w:sz="6" w:space="0" w:color="auto"/>
              <w:left w:val="single" w:sz="4" w:space="0" w:color="000000"/>
              <w:right w:val="single" w:sz="4" w:space="0" w:color="000000"/>
            </w:tcBorders>
            <w:shd w:val="clear" w:color="auto" w:fill="D2D2D2"/>
          </w:tcPr>
          <w:p>
            <w:pPr/>
          </w:p>
        </w:tc>
        <w:tc>
          <w:tcPr>
            <w:tcW w:w="1450" w:type="dxa"/>
            <w:vMerge/>
            <w:tcBorders>
              <w:left w:val="single" w:sz="4" w:space="0" w:color="000000"/>
              <w:bottom w:val="nil" w:sz="6" w:space="0" w:color="auto"/>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c>
          <w:tcPr>
            <w:tcW w:w="1674"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836" w:type="dxa"/>
            <w:vMerge/>
            <w:tcBorders>
              <w:left w:val="single" w:sz="4" w:space="0" w:color="000000"/>
              <w:bottom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c>
          <w:tcPr>
            <w:tcW w:w="1459"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c>
          <w:tcPr>
            <w:tcW w:w="1674"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2"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7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2,882,434.08</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64.11%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28,824.35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5,587,078.29</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88.14%</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55,870.78</w:t>
            </w:r>
          </w:p>
        </w:tc>
      </w:tr>
      <w:tr>
        <w:trPr>
          <w:trHeight w:val="40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1,054,978.00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23.46%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105,497.80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453,183.00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7.15%</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45,318.30</w:t>
            </w:r>
          </w:p>
        </w:tc>
      </w:tr>
      <w:tr>
        <w:trPr>
          <w:trHeight w:val="401"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271,878.00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6.05%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81,563.40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110,720.00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1.75%</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33,216.00</w:t>
            </w:r>
          </w:p>
        </w:tc>
      </w:tr>
      <w:tr>
        <w:trPr>
          <w:trHeight w:val="40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286,820.00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6.38%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286,820.00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188,000.00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2.96%</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188,000.00</w:t>
            </w:r>
          </w:p>
        </w:tc>
      </w:tr>
      <w:tr>
        <w:trPr>
          <w:trHeight w:val="404"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4,496,110.08</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502,705.55</w:t>
            </w:r>
          </w:p>
        </w:tc>
        <w:tc>
          <w:tcPr>
            <w:tcW w:w="145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6,338,981.29</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322,405.08</w:t>
            </w:r>
          </w:p>
        </w:tc>
      </w:tr>
    </w:tbl>
    <w:p>
      <w:pPr>
        <w:pStyle w:val="BodyText"/>
        <w:spacing w:line="240" w:lineRule="auto" w:before="49"/>
        <w:ind w:right="0"/>
        <w:jc w:val="left"/>
      </w:pPr>
      <w:r>
        <w:rPr/>
        <w:t>组合中，采用余额百分比法计提坏账准备的其他应收款</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40" w:lineRule="auto" w:before="39"/>
        <w:ind w:right="5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）本报告期无转回或收回的其他应收款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）本报告期无实际核销的其他应收款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56" w:lineRule="auto"/>
        <w:ind w:right="142"/>
        <w:jc w:val="left"/>
        <w:rPr>
          <w:b w:val="0"/>
          <w:bCs w:val="0"/>
        </w:rPr>
      </w:pPr>
      <w:r>
        <w:rPr/>
        <w:t>（</w:t>
      </w:r>
      <w:r>
        <w:rPr>
          <w:rFonts w:ascii="Times New Roman" w:hAnsi="Times New Roman" w:cs="Times New Roman" w:eastAsia="Times New Roman" w:hint="default"/>
        </w:rPr>
        <w:t>4</w:t>
      </w:r>
      <w:r>
        <w:rPr/>
        <w:t>）本报告期无其他应收款中持有公司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w:t>
      </w:r>
      <w:r>
        <w:rPr>
          <w:rFonts w:ascii="Times New Roman" w:hAnsi="Times New Roman" w:cs="Times New Roman" w:eastAsia="Times New Roman" w:hint="default"/>
        </w:rPr>
        <w:t>5</w:t>
      </w:r>
      <w:r>
        <w:rPr/>
        <w:t>）其他应收款金额</w:t>
      </w:r>
      <w:r>
        <w:rPr>
          <w:w w:val="100"/>
        </w:rPr>
        <w:t> </w:t>
      </w:r>
      <w:r>
        <w:rPr/>
        <w:t>前五名单位情况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外单位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730,000.00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16.24%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880" w:bottom="2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外单位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387,008.00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外单位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6.67%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外单位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外单位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4.45%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1,817,008.00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40.42%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）报告期内无其他应收关联方账款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）报告期内无终止确认的其他应收款项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）报告期内无以其他应收款为标的进行证券化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4"/>
        <w:gridCol w:w="3187"/>
        <w:gridCol w:w="1064"/>
        <w:gridCol w:w="3053"/>
        <w:gridCol w:w="1063"/>
      </w:tblGrid>
      <w:tr>
        <w:trPr>
          <w:trHeight w:val="206" w:hRule="exact"/>
        </w:trPr>
        <w:tc>
          <w:tcPr>
            <w:tcW w:w="1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7" w:hRule="exact"/>
        </w:trPr>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1204" w:type="dxa"/>
            <w:vMerge/>
            <w:tcBorders>
              <w:left w:val="single" w:sz="4" w:space="0" w:color="000000"/>
              <w:bottom w:val="nil" w:sz="6" w:space="0" w:color="auto"/>
              <w:right w:val="single" w:sz="4" w:space="0" w:color="000000"/>
            </w:tcBorders>
            <w:shd w:val="clear" w:color="auto" w:fill="D2D2D2"/>
          </w:tcPr>
          <w:p>
            <w:pPr/>
          </w:p>
        </w:tc>
        <w:tc>
          <w:tcPr>
            <w:tcW w:w="31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6" w:hRule="exact"/>
        </w:trPr>
        <w:tc>
          <w:tcPr>
            <w:tcW w:w="1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7"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3,197,228.47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96.74%</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2,765,082.96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107,836.86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3,305,065.33</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2,765,082.96</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655,200.00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未供货</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506,218.01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未供货</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403,921.42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未供货</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239,816.00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未供货</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206,150.00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未供货</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2,011,305.43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）本报告期预付款项中无持有本公司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年末预付款项中无持本公司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％）表决权股份的股东单位欠款。</w:t>
      </w:r>
    </w:p>
    <w:p>
      <w:pPr>
        <w:spacing w:after="0" w:line="240" w:lineRule="auto"/>
        <w:jc w:val="left"/>
        <w:sectPr>
          <w:pgSz w:w="11910" w:h="16840"/>
          <w:pgMar w:header="877" w:footer="1227" w:top="1100" w:bottom="142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462"/>
        <w:gridCol w:w="1193"/>
        <w:gridCol w:w="1330"/>
        <w:gridCol w:w="1327"/>
        <w:gridCol w:w="1330"/>
        <w:gridCol w:w="132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0" w:hRule="exact"/>
        </w:trPr>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24,542,333.43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914,650.80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23,627,682.63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18,120,411.11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483,955.93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17,636,455.18</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51,036,575.90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1,077,493.79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49,959,082.11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30,317,890.19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1,072,370.21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29,245,519.98</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12,478,269.03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1,603,057.54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10,875,211.49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11,638,023.05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651,709.10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10,986,313.95</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17,818.06</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17,818.06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455,531.04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455,531.04</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88,074,996.42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3,595,202.13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84,479,794.29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60,531,855.39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2,208,035.24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58,323,820.15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38"/>
        <w:gridCol w:w="1616"/>
        <w:gridCol w:w="1615"/>
        <w:gridCol w:w="1414"/>
        <w:gridCol w:w="1431"/>
        <w:gridCol w:w="1757"/>
      </w:tblGrid>
      <w:tr>
        <w:trPr>
          <w:trHeight w:val="206" w:hRule="exact"/>
        </w:trPr>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5" w:type="dxa"/>
            <w:tcBorders>
              <w:top w:val="single" w:sz="4" w:space="0" w:color="000000"/>
              <w:left w:val="single" w:sz="4" w:space="0" w:color="000000"/>
              <w:bottom w:val="nil" w:sz="6" w:space="0" w:color="auto"/>
              <w:right w:val="single" w:sz="4" w:space="0" w:color="000000"/>
            </w:tcBorders>
            <w:shd w:val="clear" w:color="auto" w:fill="D2D2D2"/>
          </w:tcPr>
          <w:p>
            <w:pPr/>
          </w:p>
        </w:tc>
        <w:tc>
          <w:tcPr>
            <w:tcW w:w="28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7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5" w:type="dxa"/>
            <w:gridSpan w:val="2"/>
            <w:vMerge/>
            <w:tcBorders>
              <w:left w:val="single" w:sz="4" w:space="0" w:color="000000"/>
              <w:bottom w:val="single" w:sz="4" w:space="0" w:color="000000"/>
              <w:right w:val="single" w:sz="4" w:space="0" w:color="000000"/>
            </w:tcBorders>
            <w:shd w:val="clear" w:color="auto" w:fill="D2D2D2"/>
          </w:tcPr>
          <w:p>
            <w:pPr/>
          </w:p>
        </w:tc>
        <w:tc>
          <w:tcPr>
            <w:tcW w:w="17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1738" w:type="dxa"/>
            <w:vMerge/>
            <w:tcBorders>
              <w:left w:val="single" w:sz="4" w:space="0" w:color="000000"/>
              <w:bottom w:val="nil" w:sz="6" w:space="0" w:color="auto"/>
              <w:right w:val="single" w:sz="4" w:space="0" w:color="000000"/>
            </w:tcBorders>
            <w:shd w:val="clear" w:color="auto" w:fill="D2D2D2"/>
          </w:tcPr>
          <w:p>
            <w:pPr/>
          </w:p>
        </w:tc>
        <w:tc>
          <w:tcPr>
            <w:tcW w:w="1616" w:type="dxa"/>
            <w:vMerge/>
            <w:tcBorders>
              <w:left w:val="single" w:sz="4" w:space="0" w:color="000000"/>
              <w:bottom w:val="nil" w:sz="6" w:space="0" w:color="auto"/>
              <w:right w:val="single" w:sz="4" w:space="0" w:color="000000"/>
            </w:tcBorders>
            <w:shd w:val="clear" w:color="auto" w:fill="D2D2D2"/>
          </w:tcPr>
          <w:p>
            <w:pPr/>
          </w:p>
        </w:tc>
        <w:tc>
          <w:tcPr>
            <w:tcW w:w="1615" w:type="dxa"/>
            <w:vMerge/>
            <w:tcBorders>
              <w:left w:val="single" w:sz="4" w:space="0" w:color="000000"/>
              <w:bottom w:val="nil" w:sz="6" w:space="0" w:color="auto"/>
              <w:right w:val="single" w:sz="4" w:space="0" w:color="000000"/>
            </w:tcBorders>
            <w:shd w:val="clear" w:color="auto" w:fill="D2D2D2"/>
          </w:tcPr>
          <w:p>
            <w:pPr/>
          </w:p>
        </w:tc>
        <w:tc>
          <w:tcPr>
            <w:tcW w:w="14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4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4" w:type="dxa"/>
            <w:vMerge/>
            <w:tcBorders>
              <w:left w:val="single" w:sz="4" w:space="0" w:color="000000"/>
              <w:bottom w:val="single" w:sz="4" w:space="0" w:color="000000"/>
              <w:right w:val="single" w:sz="4" w:space="0" w:color="000000"/>
            </w:tcBorders>
            <w:shd w:val="clear" w:color="auto" w:fill="D2D2D2"/>
          </w:tcPr>
          <w:p>
            <w:pPr/>
          </w:p>
        </w:tc>
        <w:tc>
          <w:tcPr>
            <w:tcW w:w="1431" w:type="dxa"/>
            <w:vMerge/>
            <w:tcBorders>
              <w:left w:val="single" w:sz="4" w:space="0" w:color="000000"/>
              <w:bottom w:val="single" w:sz="4" w:space="0" w:color="000000"/>
              <w:right w:val="single" w:sz="4" w:space="0" w:color="000000"/>
            </w:tcBorders>
            <w:shd w:val="clear" w:color="auto" w:fill="D2D2D2"/>
          </w:tcPr>
          <w:p>
            <w:pPr/>
          </w:p>
        </w:tc>
        <w:tc>
          <w:tcPr>
            <w:tcW w:w="17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483,955.93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430,694.87</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914,650.80</w:t>
            </w: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1,072,370.21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5,123.58</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1,077,493.79</w:t>
            </w:r>
          </w:p>
        </w:tc>
      </w:tr>
      <w:tr>
        <w:trPr>
          <w:trHeight w:val="401"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651,709.10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951,348.44</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1,603,057.54</w:t>
            </w: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2,208,035.24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1,387,166.89</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3,595,202.13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571"/>
        <w:gridCol w:w="2213"/>
        <w:gridCol w:w="2393"/>
      </w:tblGrid>
      <w:tr>
        <w:trPr>
          <w:trHeight w:val="161" w:hRule="exact"/>
        </w:trPr>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22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21" w:right="108" w:hanging="810"/>
              <w:jc w:val="left"/>
              <w:rPr>
                <w:rFonts w:ascii="宋体" w:hAnsi="宋体" w:cs="宋体" w:eastAsia="宋体" w:hint="default"/>
                <w:sz w:val="18"/>
                <w:szCs w:val="18"/>
              </w:rPr>
            </w:pPr>
            <w:r>
              <w:rPr>
                <w:rFonts w:ascii="宋体" w:hAnsi="宋体" w:cs="宋体" w:eastAsia="宋体" w:hint="default"/>
                <w:sz w:val="18"/>
                <w:szCs w:val="18"/>
              </w:rPr>
              <w:t>本期转回存货跌价准备的 原因</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96" w:right="111"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4" w:hRule="exact"/>
        </w:trPr>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21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21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73" w:hRule="exact"/>
        </w:trPr>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571" w:type="dxa"/>
            <w:vMerge w:val="restart"/>
            <w:tcBorders>
              <w:top w:val="single" w:sz="4" w:space="0" w:color="000000"/>
              <w:left w:val="single" w:sz="10" w:space="0" w:color="D2D2D2"/>
              <w:right w:val="single" w:sz="4" w:space="0" w:color="000000"/>
            </w:tcBorders>
          </w:tcPr>
          <w:p>
            <w:pPr>
              <w:pStyle w:val="TableParagraph"/>
              <w:spacing w:line="316" w:lineRule="auto" w:before="49"/>
              <w:ind w:left="16" w:right="20"/>
              <w:jc w:val="left"/>
              <w:rPr>
                <w:rFonts w:ascii="宋体" w:hAnsi="宋体" w:cs="宋体" w:eastAsia="宋体" w:hint="default"/>
                <w:sz w:val="18"/>
                <w:szCs w:val="18"/>
              </w:rPr>
            </w:pPr>
            <w:r>
              <w:rPr>
                <w:rFonts w:ascii="宋体" w:hAnsi="宋体" w:cs="宋体" w:eastAsia="宋体" w:hint="default"/>
                <w:sz w:val="18"/>
                <w:szCs w:val="18"/>
              </w:rPr>
              <w:t>以所生产的产成品的估计售价 减去至完工时估计将要发生的 成本、估计的销售费用和相关税 费后的金额，确定其减值金额</w:t>
            </w:r>
          </w:p>
        </w:tc>
        <w:tc>
          <w:tcPr>
            <w:tcW w:w="22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本年无此情况</w:t>
            </w:r>
          </w:p>
        </w:tc>
        <w:tc>
          <w:tcPr>
            <w:tcW w:w="23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571" w:type="dxa"/>
            <w:vMerge/>
            <w:tcBorders>
              <w:left w:val="single" w:sz="10" w:space="0" w:color="D2D2D2"/>
              <w:right w:val="single" w:sz="4" w:space="0" w:color="000000"/>
            </w:tcBorders>
          </w:tcPr>
          <w:p>
            <w:pPr/>
          </w:p>
        </w:tc>
        <w:tc>
          <w:tcPr>
            <w:tcW w:w="2213"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r>
      <w:tr>
        <w:trPr>
          <w:trHeight w:val="473" w:hRule="exact"/>
        </w:trPr>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571" w:type="dxa"/>
            <w:vMerge/>
            <w:tcBorders>
              <w:left w:val="single" w:sz="10" w:space="0" w:color="D2D2D2"/>
              <w:bottom w:val="single" w:sz="4" w:space="0" w:color="000000"/>
              <w:right w:val="single" w:sz="4" w:space="0" w:color="000000"/>
            </w:tcBorders>
          </w:tcPr>
          <w:p>
            <w:pPr/>
          </w:p>
        </w:tc>
        <w:tc>
          <w:tcPr>
            <w:tcW w:w="2213" w:type="dxa"/>
            <w:vMerge/>
            <w:tcBorders>
              <w:left w:val="single" w:sz="4" w:space="0" w:color="000000"/>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r>
      <w:tr>
        <w:trPr>
          <w:trHeight w:val="317" w:hRule="exact"/>
        </w:trPr>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571" w:type="dxa"/>
            <w:vMerge w:val="restart"/>
            <w:tcBorders>
              <w:top w:val="single" w:sz="4" w:space="0" w:color="000000"/>
              <w:left w:val="single" w:sz="10" w:space="0" w:color="D2D2D2"/>
              <w:right w:val="single" w:sz="4" w:space="0" w:color="000000"/>
            </w:tcBorders>
          </w:tcPr>
          <w:p>
            <w:pPr>
              <w:pStyle w:val="TableParagraph"/>
              <w:spacing w:line="316" w:lineRule="auto" w:before="49"/>
              <w:ind w:left="16" w:right="194"/>
              <w:jc w:val="both"/>
              <w:rPr>
                <w:rFonts w:ascii="宋体" w:hAnsi="宋体" w:cs="宋体" w:eastAsia="宋体" w:hint="default"/>
                <w:sz w:val="18"/>
                <w:szCs w:val="18"/>
              </w:rPr>
            </w:pPr>
            <w:r>
              <w:rPr>
                <w:rFonts w:ascii="宋体" w:hAnsi="宋体" w:cs="宋体" w:eastAsia="宋体" w:hint="default"/>
                <w:sz w:val="18"/>
                <w:szCs w:val="18"/>
              </w:rPr>
              <w:t>以该存货的估计售价减去估计 的销售费用和相关税费后的金 额，确定其减值金额</w:t>
            </w:r>
          </w:p>
        </w:tc>
        <w:tc>
          <w:tcPr>
            <w:tcW w:w="22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本年无此情况</w:t>
            </w:r>
          </w:p>
        </w:tc>
        <w:tc>
          <w:tcPr>
            <w:tcW w:w="23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571" w:type="dxa"/>
            <w:vMerge/>
            <w:tcBorders>
              <w:left w:val="single" w:sz="10" w:space="0" w:color="D2D2D2"/>
              <w:right w:val="single" w:sz="4" w:space="0" w:color="000000"/>
            </w:tcBorders>
          </w:tcPr>
          <w:p>
            <w:pPr/>
          </w:p>
        </w:tc>
        <w:tc>
          <w:tcPr>
            <w:tcW w:w="2213"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r>
      <w:tr>
        <w:trPr>
          <w:trHeight w:val="317" w:hRule="exact"/>
        </w:trPr>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571" w:type="dxa"/>
            <w:vMerge/>
            <w:tcBorders>
              <w:left w:val="single" w:sz="10" w:space="0" w:color="D2D2D2"/>
              <w:bottom w:val="single" w:sz="4" w:space="0" w:color="000000"/>
              <w:right w:val="single" w:sz="4" w:space="0" w:color="000000"/>
            </w:tcBorders>
          </w:tcPr>
          <w:p>
            <w:pPr/>
          </w:p>
        </w:tc>
        <w:tc>
          <w:tcPr>
            <w:tcW w:w="2213" w:type="dxa"/>
            <w:vMerge/>
            <w:tcBorders>
              <w:left w:val="single" w:sz="4" w:space="0" w:color="000000"/>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r>
      <w:tr>
        <w:trPr>
          <w:trHeight w:val="1337" w:hRule="exact"/>
        </w:trPr>
        <w:tc>
          <w:tcPr>
            <w:tcW w:w="239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以所生产的产成品的估计售价 减去至完工时估计将要发生的 成本、估计的销售费用和相关税 费后的金额，确定其减值金额</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本年无此情况</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11"/>
        <w:rPr>
          <w:rFonts w:ascii="宋体" w:hAnsi="宋体" w:cs="宋体" w:eastAsia="宋体" w:hint="default"/>
          <w:b/>
          <w:bCs/>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7"/>
        <w:gridCol w:w="2924"/>
        <w:gridCol w:w="3190"/>
      </w:tblGrid>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1"/>
              <w:jc w:val="right"/>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本年支付以后年度房租</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1,087,917.19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974,708.92</w:t>
            </w: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1"/>
              <w:jc w:val="right"/>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1,087,917.19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974,708.92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9</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6"/>
        <w:gridCol w:w="1485"/>
        <w:gridCol w:w="1315"/>
        <w:gridCol w:w="1594"/>
        <w:gridCol w:w="1597"/>
        <w:gridCol w:w="1459"/>
      </w:tblGrid>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41,951,712.13</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2" w:right="0"/>
              <w:jc w:val="left"/>
              <w:rPr>
                <w:rFonts w:ascii="Times New Roman" w:hAnsi="Times New Roman" w:cs="Times New Roman" w:eastAsia="Times New Roman" w:hint="default"/>
                <w:sz w:val="18"/>
                <w:szCs w:val="18"/>
              </w:rPr>
            </w:pPr>
            <w:r>
              <w:rPr>
                <w:rFonts w:ascii="Times New Roman"/>
                <w:sz w:val="18"/>
              </w:rPr>
              <w:t>109,946,343.00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243,750.00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151,654,305.13</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20,264,859.40</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3" w:right="0"/>
              <w:jc w:val="left"/>
              <w:rPr>
                <w:rFonts w:ascii="Times New Roman" w:hAnsi="Times New Roman" w:cs="Times New Roman" w:eastAsia="Times New Roman" w:hint="default"/>
                <w:sz w:val="18"/>
                <w:szCs w:val="18"/>
              </w:rPr>
            </w:pPr>
            <w:r>
              <w:rPr>
                <w:rFonts w:ascii="Times New Roman"/>
                <w:sz w:val="18"/>
              </w:rPr>
              <w:t>92,145,954.34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112,410,813.74</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7,495,004.13</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3" w:right="0"/>
              <w:jc w:val="left"/>
              <w:rPr>
                <w:rFonts w:ascii="Times New Roman" w:hAnsi="Times New Roman" w:cs="Times New Roman" w:eastAsia="Times New Roman" w:hint="default"/>
                <w:sz w:val="18"/>
                <w:szCs w:val="18"/>
              </w:rPr>
            </w:pPr>
            <w:r>
              <w:rPr>
                <w:rFonts w:ascii="Times New Roman"/>
                <w:sz w:val="18"/>
              </w:rPr>
              <w:t>13,381,461.48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243,750.00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20,632,715.61</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8,014,265.00</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981,173.32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8,995,438.32</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6,177,583.60</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2" w:right="0"/>
              <w:jc w:val="left"/>
              <w:rPr>
                <w:rFonts w:ascii="Times New Roman" w:hAnsi="Times New Roman" w:cs="Times New Roman" w:eastAsia="Times New Roman" w:hint="default"/>
                <w:sz w:val="18"/>
                <w:szCs w:val="18"/>
              </w:rPr>
            </w:pPr>
            <w:r>
              <w:rPr>
                <w:rFonts w:ascii="Times New Roman"/>
                <w:sz w:val="18"/>
              </w:rPr>
              <w:t>3,437,753.86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9,615,337.46</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7,164,314.65</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5,348,090.47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227,703.42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12,284,701.70</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1,633,898.03</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1,649,707.38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3,283,605.41</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2,707,657.13</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1,540,393.97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227,703.42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4,020,347.68</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799,558.81</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803,406.32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1,602,965.13</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2,023,200.68</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1,354,582.80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3,377,783.48</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34,787,397.48</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139,369,603.43</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18,630,961.37</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109,127,208.33</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4,787,347.00</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16,612,367.94</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7,214,706.19</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7,392,473.19</w:t>
            </w:r>
          </w:p>
        </w:tc>
      </w:tr>
      <w:tr>
        <w:trPr>
          <w:trHeight w:val="404" w:hRule="exact"/>
        </w:trPr>
        <w:tc>
          <w:tcPr>
            <w:tcW w:w="21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48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4,154,382.92</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6,237,553.97</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8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34,787,397.48</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139,369,603.43</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8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18,630,961.37</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109,127,208.33</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8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4,787,347.00</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16,612,367.94</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8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7,214,706.19</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7,392,473.19</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48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4,154,382.92</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6,237,553.97</w:t>
            </w:r>
          </w:p>
        </w:tc>
      </w:tr>
    </w:tbl>
    <w:p>
      <w:pPr>
        <w:pStyle w:val="BodyText"/>
        <w:spacing w:line="240" w:lineRule="auto" w:before="49"/>
        <w:ind w:right="0"/>
        <w:jc w:val="left"/>
      </w:pPr>
      <w:r>
        <w:rPr/>
        <w:t>本期折旧额</w:t>
      </w:r>
      <w:r>
        <w:rPr>
          <w:spacing w:val="-49"/>
        </w:rPr>
        <w:t> </w:t>
      </w:r>
      <w:r>
        <w:rPr>
          <w:rFonts w:ascii="Times New Roman" w:hAnsi="Times New Roman" w:cs="Times New Roman" w:eastAsia="Times New Roman" w:hint="default"/>
        </w:rPr>
        <w:t>5,348,090.47</w:t>
      </w:r>
      <w:r>
        <w:rPr>
          <w:rFonts w:ascii="Times New Roman" w:hAnsi="Times New Roman" w:cs="Times New Roman" w:eastAsia="Times New Roman" w:hint="default"/>
          <w:spacing w:val="-1"/>
        </w:rPr>
        <w:t> </w:t>
      </w:r>
      <w:r>
        <w:rPr/>
        <w:t>元；本期由在建工程转入固定资产原价为</w:t>
      </w:r>
      <w:r>
        <w:rPr>
          <w:spacing w:val="-48"/>
        </w:rPr>
        <w:t> </w:t>
      </w:r>
      <w:r>
        <w:rPr>
          <w:rFonts w:ascii="Times New Roman" w:hAnsi="Times New Roman" w:cs="Times New Roman" w:eastAsia="Times New Roman" w:hint="default"/>
        </w:rPr>
        <w:t>81,579,285.35</w:t>
      </w:r>
      <w:r>
        <w:rPr>
          <w:rFonts w:ascii="Times New Roman" w:hAnsi="Times New Roman" w:cs="Times New Roman" w:eastAsia="Times New Roman" w:hint="default"/>
          <w:spacing w:val="-2"/>
        </w:rPr>
        <w:t> </w:t>
      </w:r>
      <w:r>
        <w:rPr/>
        <w:t>元。</w:t>
      </w:r>
    </w:p>
    <w:p>
      <w:pPr>
        <w:spacing w:after="0" w:line="240" w:lineRule="auto"/>
        <w:jc w:val="left"/>
        <w:sectPr>
          <w:pgSz w:w="11910" w:h="16840"/>
          <w:pgMar w:header="877" w:footer="1227" w:top="1100" w:bottom="1420" w:left="980" w:right="980"/>
        </w:sectPr>
      </w:pPr>
    </w:p>
    <w:p>
      <w:pPr>
        <w:spacing w:line="240" w:lineRule="auto" w:before="11"/>
        <w:rPr>
          <w:rFonts w:ascii="宋体" w:hAnsi="宋体" w:cs="宋体" w:eastAsia="宋体" w:hint="default"/>
          <w:sz w:val="20"/>
          <w:szCs w:val="20"/>
        </w:rPr>
      </w:pPr>
      <w:r>
        <w:rPr/>
        <w:pict>
          <v:group style="position:absolute;margin-left:87.624001pt;margin-top:687.639954pt;width:41.2pt;height:36.25pt;mso-position-horizontal-relative:page;mso-position-vertical-relative:page;z-index:-759544" coordorigin="1752,13753" coordsize="824,725">
            <v:group style="position:absolute;left:1886;top:13764;width:2;height:704" coordorigin="1886,13764" coordsize="2,704">
              <v:shape style="position:absolute;left:1886;top:13764;width:2;height:704" coordorigin="1886,13764" coordsize="0,704" path="m1886,13764l1886,14467e" filled="false" stroked="true" strokeweight="1.08pt" strokecolor="#ffffff">
                <v:path arrowok="t"/>
              </v:shape>
            </v:group>
            <v:group style="position:absolute;left:1896;top:13764;width:680;height:353" coordorigin="1896,13764" coordsize="680,353">
              <v:shape style="position:absolute;left:1896;top:13764;width:680;height:353" coordorigin="1896,13764" coordsize="680,353" path="m1896,14116l2576,14116,2576,13764,1896,13764,1896,14116xe" filled="true" fillcolor="#ffffff" stroked="false">
                <v:path arrowok="t"/>
                <v:fill type="solid"/>
              </v:shape>
            </v:group>
            <v:group style="position:absolute;left:1896;top:14116;width:680;height:351" coordorigin="1896,14116" coordsize="680,351">
              <v:shape style="position:absolute;left:1896;top:14116;width:680;height:351" coordorigin="1896,14116" coordsize="680,351" path="m1896,14467l2576,14467,2576,14116,1896,14116,1896,14467xe" filled="true" fillcolor="#ffffff" stroked="false">
                <v:path arrowok="t"/>
                <v:fill type="solid"/>
              </v:shape>
              <v:shape style="position:absolute;left:1752;top:13753;width:824;height:725" type="#_x0000_t202" filled="false" stroked="false">
                <v:textbox inset="0,0,0,0">
                  <w:txbxContent>
                    <w:p>
                      <w:pPr>
                        <w:spacing w:line="240" w:lineRule="auto" w:before="6"/>
                        <w:rPr>
                          <w:rFonts w:ascii="宋体" w:hAnsi="宋体" w:cs="宋体" w:eastAsia="宋体"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）报告期内无暂时闲置的固定资产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）报告期内无通过融资租赁租入的固定资产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）报告期内无通过经营租赁租出的固定资产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）期末未持有待售的固定资产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319"/>
        <w:gridCol w:w="2194"/>
        <w:gridCol w:w="2568"/>
        <w:gridCol w:w="2468"/>
      </w:tblGrid>
      <w:tr>
        <w:trPr>
          <w:trHeight w:val="379" w:hRule="exact"/>
        </w:trPr>
        <w:tc>
          <w:tcPr>
            <w:tcW w:w="2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362" w:hRule="exact"/>
        </w:trPr>
        <w:tc>
          <w:tcPr>
            <w:tcW w:w="2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4,679,420.00</w:t>
            </w:r>
          </w:p>
        </w:tc>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手续未办理完整</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年内</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厂房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49,857,754.86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49,857,754.86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97,244,262.70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97,244,262.70</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光缆生产设备</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863,940.00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863,940.00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环氧地坪</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排烟管道</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122,666.00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122,666.00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50,973,360.86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50,973,360.86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97,244,262.70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97,244,262.70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5"/>
        <w:gridCol w:w="71"/>
        <w:gridCol w:w="666"/>
        <w:gridCol w:w="734"/>
        <w:gridCol w:w="735"/>
        <w:gridCol w:w="734"/>
        <w:gridCol w:w="737"/>
        <w:gridCol w:w="737"/>
        <w:gridCol w:w="735"/>
        <w:gridCol w:w="737"/>
        <w:gridCol w:w="737"/>
        <w:gridCol w:w="735"/>
        <w:gridCol w:w="737"/>
        <w:gridCol w:w="737"/>
      </w:tblGrid>
      <w:tr>
        <w:trPr>
          <w:trHeight w:val="1337"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4"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89"/>
              <w:jc w:val="right"/>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93" w:right="91"/>
              <w:jc w:val="center"/>
              <w:rPr>
                <w:rFonts w:ascii="Times New Roman" w:hAnsi="Times New Roman" w:cs="Times New Roman" w:eastAsia="Times New Roman" w:hint="default"/>
                <w:sz w:val="18"/>
                <w:szCs w:val="18"/>
              </w:rPr>
            </w:pPr>
            <w:r>
              <w:rPr>
                <w:rFonts w:ascii="宋体" w:hAnsi="宋体" w:cs="宋体" w:eastAsia="宋体" w:hint="default"/>
                <w:sz w:val="18"/>
                <w:szCs w:val="18"/>
              </w:rPr>
              <w:t>工程投 入占预 算比例 </w:t>
            </w:r>
            <w:r>
              <w:rPr>
                <w:rFonts w:ascii="Times New Roman" w:hAnsi="Times New Roman" w:cs="Times New Roman" w:eastAsia="Times New Roman" w:hint="default"/>
                <w:sz w:val="18"/>
                <w:szCs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6"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期末数</w:t>
            </w:r>
          </w:p>
        </w:tc>
      </w:tr>
      <w:tr>
        <w:trPr>
          <w:trHeight w:val="1027"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8"/>
              <w:jc w:val="both"/>
              <w:rPr>
                <w:rFonts w:ascii="宋体" w:hAnsi="宋体" w:cs="宋体" w:eastAsia="宋体" w:hint="default"/>
                <w:sz w:val="18"/>
                <w:szCs w:val="18"/>
              </w:rPr>
            </w:pPr>
            <w:r>
              <w:rPr>
                <w:rFonts w:ascii="宋体" w:hAnsi="宋体" w:cs="宋体" w:eastAsia="宋体" w:hint="default"/>
                <w:sz w:val="18"/>
                <w:szCs w:val="18"/>
              </w:rPr>
              <w:t>厂房（</w:t>
            </w:r>
            <w:r>
              <w:rPr>
                <w:rFonts w:ascii="Times New Roman" w:hAnsi="Times New Roman" w:cs="Times New Roman" w:eastAsia="Times New Roman" w:hint="default"/>
                <w:sz w:val="18"/>
                <w:szCs w:val="18"/>
              </w:rPr>
              <w:t>1 </w:t>
            </w:r>
            <w:r>
              <w:rPr>
                <w:rFonts w:ascii="宋体" w:hAnsi="宋体" w:cs="宋体" w:eastAsia="宋体" w:hint="default"/>
                <w:sz w:val="18"/>
                <w:szCs w:val="18"/>
              </w:rPr>
              <w:t>号楼、</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p>
        </w:tc>
        <w:tc>
          <w:tcPr>
            <w:tcW w:w="7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52,500,9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10.35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49,235,6</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93.11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2,735,34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2.24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51,971,0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35.35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98.99%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厂房</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6</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w:t>
            </w:r>
            <w:r>
              <w:rPr>
                <w:rFonts w:ascii="Times New Roman" w:hAnsi="Times New Roman" w:cs="Times New Roman" w:eastAsia="Times New Roman" w:hint="default"/>
                <w:sz w:val="18"/>
                <w:szCs w:val="18"/>
              </w:rPr>
              <w:t>)</w:t>
            </w:r>
          </w:p>
        </w:tc>
        <w:tc>
          <w:tcPr>
            <w:tcW w:w="71" w:type="dxa"/>
            <w:tcBorders>
              <w:top w:val="single" w:sz="4" w:space="0" w:color="000000"/>
              <w:left w:val="single" w:sz="4" w:space="0" w:color="000000"/>
              <w:bottom w:val="single" w:sz="4" w:space="0" w:color="000000"/>
              <w:right w:val="nil" w:sz="6" w:space="0" w:color="auto"/>
            </w:tcBorders>
          </w:tcPr>
          <w:p>
            <w:pPr/>
          </w:p>
        </w:tc>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left"/>
              <w:rPr>
                <w:rFonts w:ascii="Times New Roman" w:hAnsi="Times New Roman" w:cs="Times New Roman" w:eastAsia="Times New Roman" w:hint="default"/>
                <w:sz w:val="18"/>
                <w:szCs w:val="18"/>
              </w:rPr>
            </w:pPr>
            <w:r>
              <w:rPr>
                <w:rFonts w:ascii="Times New Roman"/>
                <w:sz w:val="18"/>
              </w:rPr>
              <w:t>79,526,0</w:t>
            </w:r>
          </w:p>
          <w:p>
            <w:pPr>
              <w:pStyle w:val="TableParagraph"/>
              <w:spacing w:line="240" w:lineRule="auto" w:before="105"/>
              <w:ind w:left="231" w:right="0"/>
              <w:jc w:val="left"/>
              <w:rPr>
                <w:rFonts w:ascii="Times New Roman" w:hAnsi="Times New Roman" w:cs="Times New Roman" w:eastAsia="Times New Roman" w:hint="default"/>
                <w:sz w:val="18"/>
                <w:szCs w:val="18"/>
              </w:rPr>
            </w:pPr>
            <w:r>
              <w:rPr>
                <w:rFonts w:ascii="Times New Roman"/>
                <w:sz w:val="18"/>
              </w:rPr>
              <w:t>04.86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48,008,5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69.59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31,457,4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35.27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29,608,2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99.92%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99.92%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677,925.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677,925.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抵押借 款</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49,857,7</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54.86</w:t>
            </w:r>
          </w:p>
        </w:tc>
      </w:tr>
      <w:tr>
        <w:trPr>
          <w:trHeight w:val="715"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光缆生 产设备</w:t>
            </w:r>
          </w:p>
        </w:tc>
        <w:tc>
          <w:tcPr>
            <w:tcW w:w="7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1,234,20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863,940.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863,940.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34"/>
        <w:gridCol w:w="737"/>
        <w:gridCol w:w="734"/>
        <w:gridCol w:w="735"/>
        <w:gridCol w:w="734"/>
        <w:gridCol w:w="737"/>
        <w:gridCol w:w="737"/>
        <w:gridCol w:w="735"/>
        <w:gridCol w:w="737"/>
        <w:gridCol w:w="737"/>
        <w:gridCol w:w="735"/>
        <w:gridCol w:w="737"/>
        <w:gridCol w:w="737"/>
      </w:tblGrid>
      <w:tr>
        <w:trPr>
          <w:trHeight w:val="716"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133,261,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115.21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97,244,2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62.70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35,056,7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17.51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81,579,2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85.35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677,925.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677,925.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50,721,6</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94.86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）报告期内无在建工程减值准备</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厂房</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正在进行装修尚未达到可使用状态</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光缆生产设备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设备正在安装尚未达到可使用状态</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26,698,456.66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3,725,245.24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30,423,701.90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25,224,224.97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25,224,224.97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监控软件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299,145.24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299,145.24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管理软件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270,524.00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33,100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303,624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开发套件软件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475,310.99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475,310.99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用友人事软件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办公软件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698,396.70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698,396.70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停车场系统软件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3,393,000.00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3,393,000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2,077,001.42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1,035,887.55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3,112,888.97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1,882,481.61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518,704.90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2,401,186.51</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监控软件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27,421.68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27,421.68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管理软件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79,983.49</w:t>
            </w:r>
            <w:r>
              <w:rPr>
                <w:rFonts w:ascii="Times New Roman"/>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30,089.86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110,073.35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开发套件软件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66,231.92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47,531.23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113,763.15</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用友人事软件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9,833.33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12,833.33</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办公软件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38,471.07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69,839.88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108,310.95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停车场系统软件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339,300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339,300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24,621,455.24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2,689,357.69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27,310,812.93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23,341,743.36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22,823,038.46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监控软件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271,723.56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管理软件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190,540.51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193,550.65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开发套件软件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409,079.07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361,547.84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用友人事软件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20,166.67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17,166.67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办公软件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659,925.63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590,085.75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停车场系统软件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3,053,700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监控软件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管理软件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开发套件软件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用友人事软件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办公软件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停车场系统软件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24,621,455.24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6" w:right="0"/>
              <w:jc w:val="left"/>
              <w:rPr>
                <w:rFonts w:ascii="Times New Roman" w:hAnsi="Times New Roman" w:cs="Times New Roman" w:eastAsia="Times New Roman" w:hint="default"/>
                <w:sz w:val="18"/>
                <w:szCs w:val="18"/>
              </w:rPr>
            </w:pPr>
            <w:r>
              <w:rPr>
                <w:rFonts w:ascii="Times New Roman"/>
                <w:sz w:val="18"/>
              </w:rPr>
              <w:t>2,689,357.69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27,310,812.93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23,341,743.36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22,823,038.46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监控软件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271,723.56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管理软件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190,540.51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193,550.65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开发套件软件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409,079.07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361,547.84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用友人事软件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20,166.67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17,166.67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办公软件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659,925.63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590,085.75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停车场系统软件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3,053,700</w:t>
            </w:r>
          </w:p>
        </w:tc>
      </w:tr>
    </w:tbl>
    <w:p>
      <w:pPr>
        <w:pStyle w:val="BodyText"/>
        <w:spacing w:line="240" w:lineRule="auto" w:before="49"/>
        <w:ind w:right="0"/>
        <w:jc w:val="left"/>
      </w:pPr>
      <w:r>
        <w:rPr/>
        <w:t>本期摊销额</w:t>
      </w:r>
      <w:r>
        <w:rPr>
          <w:spacing w:val="-47"/>
        </w:rPr>
        <w:t> </w:t>
      </w:r>
      <w:r>
        <w:rPr>
          <w:rFonts w:ascii="Times New Roman" w:hAnsi="Times New Roman" w:cs="Times New Roman" w:eastAsia="Times New Roman" w:hint="default"/>
        </w:rPr>
        <w:t>1,035,887.55</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4914"/>
        <w:jc w:val="left"/>
      </w:pPr>
      <w:r>
        <w:rPr/>
        <w:t>本年无与无形资产有关的开发项目支出。 本年未发生以明显高于账面价值的价格出售无形资产的情况。</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12</w:t>
      </w:r>
      <w:r>
        <w:rPr/>
        <w:t>、长期待摊费用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号楼装修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3,238,500.00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办公楼装修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314,257.40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2,271.23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311,986.17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4,124,257.40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573,771.23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3,550,486.17</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13</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已确认的递延所得税资产和递延所得税负债</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3"/>
        <w:gridCol w:w="2924"/>
        <w:gridCol w:w="2921"/>
      </w:tblGrid>
      <w:tr>
        <w:trPr>
          <w:trHeight w:val="408"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1,227,225.87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698,783.24</w:t>
            </w:r>
          </w:p>
        </w:tc>
      </w:tr>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1,845,637.76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1,134,428.68</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679,658.99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514,582.74</w:t>
            </w:r>
          </w:p>
        </w:tc>
      </w:tr>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810,720.42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88,324.37</w:t>
            </w:r>
          </w:p>
        </w:tc>
      </w:tr>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未实现内部交易</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17,182.55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15,924.64</w:t>
            </w:r>
          </w:p>
        </w:tc>
      </w:tr>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以前年度可弥补亏损</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289,594.80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27,294.96</w:t>
            </w:r>
          </w:p>
        </w:tc>
      </w:tr>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4,870,020.39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2,479,338.63</w:t>
            </w:r>
          </w:p>
        </w:tc>
      </w:tr>
      <w:tr>
        <w:trPr>
          <w:trHeight w:val="402"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pStyle w:val="BodyText"/>
        <w:spacing w:line="240" w:lineRule="auto" w:before="49"/>
        <w:ind w:right="0"/>
        <w:jc w:val="left"/>
      </w:pPr>
      <w:r>
        <w:rPr/>
        <w:t>应纳税差异和可抵扣差异项目明细</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0"/>
        <w:gridCol w:w="2931"/>
        <w:gridCol w:w="2787"/>
      </w:tblGrid>
      <w:tr>
        <w:trPr>
          <w:trHeight w:val="404" w:hRule="exact"/>
        </w:trPr>
        <w:tc>
          <w:tcPr>
            <w:tcW w:w="3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1" w:hRule="exact"/>
        </w:trPr>
        <w:tc>
          <w:tcPr>
            <w:tcW w:w="3850" w:type="dxa"/>
            <w:vMerge/>
            <w:tcBorders>
              <w:left w:val="single" w:sz="4" w:space="0" w:color="000000"/>
              <w:bottom w:val="single" w:sz="4" w:space="0" w:color="000000"/>
              <w:right w:val="single" w:sz="4" w:space="0" w:color="000000"/>
            </w:tcBorders>
            <w:shd w:val="clear" w:color="auto" w:fill="D2D2D2"/>
          </w:tcPr>
          <w:p>
            <w:pPr/>
          </w:p>
        </w:tc>
        <w:tc>
          <w:tcPr>
            <w:tcW w:w="2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3"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396"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8" w:hRule="exact"/>
        </w:trPr>
        <w:tc>
          <w:tcPr>
            <w:tcW w:w="385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31" w:type="dxa"/>
            <w:tcBorders>
              <w:top w:val="single" w:sz="4" w:space="0" w:color="000000"/>
              <w:left w:val="single" w:sz="10" w:space="0" w:color="CCCCCC"/>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8,151,631.42</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931" w:type="dxa"/>
            <w:tcBorders>
              <w:top w:val="single" w:sz="4" w:space="0" w:color="000000"/>
              <w:left w:val="single" w:sz="10" w:space="0" w:color="CCC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12,339,979.70</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31" w:type="dxa"/>
            <w:tcBorders>
              <w:top w:val="single" w:sz="4" w:space="0" w:color="000000"/>
              <w:left w:val="single" w:sz="10" w:space="0" w:color="CCC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5,404,802.78</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931" w:type="dxa"/>
            <w:tcBorders>
              <w:top w:val="single" w:sz="4" w:space="0" w:color="000000"/>
              <w:left w:val="single" w:sz="10" w:space="0" w:color="CCC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4,546,987.35</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以前年度可弥补亏损</w:t>
            </w:r>
          </w:p>
        </w:tc>
        <w:tc>
          <w:tcPr>
            <w:tcW w:w="2931" w:type="dxa"/>
            <w:tcBorders>
              <w:top w:val="single" w:sz="4" w:space="0" w:color="000000"/>
              <w:left w:val="single" w:sz="10" w:space="0" w:color="CCC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2,012,167.96</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未实现内部交易</w:t>
            </w:r>
          </w:p>
        </w:tc>
        <w:tc>
          <w:tcPr>
            <w:tcW w:w="2931" w:type="dxa"/>
            <w:tcBorders>
              <w:top w:val="single" w:sz="4" w:space="0" w:color="000000"/>
              <w:left w:val="single" w:sz="10" w:space="0" w:color="CCC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114,550.33</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32,570,119.54</w:t>
            </w:r>
          </w:p>
        </w:tc>
        <w:tc>
          <w:tcPr>
            <w:tcW w:w="27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互抵后的递延所得税资产及负债的组成项目</w:t>
      </w:r>
    </w:p>
    <w:p>
      <w:pPr>
        <w:pStyle w:val="BodyText"/>
        <w:spacing w:line="240" w:lineRule="auto" w:before="117"/>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60"/>
        <w:gridCol w:w="1627"/>
        <w:gridCol w:w="1628"/>
        <w:gridCol w:w="1628"/>
        <w:gridCol w:w="1630"/>
      </w:tblGrid>
      <w:tr>
        <w:trPr>
          <w:trHeight w:val="67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1" w:right="84"/>
              <w:jc w:val="left"/>
              <w:rPr>
                <w:rFonts w:ascii="宋体" w:hAnsi="宋体" w:cs="宋体" w:eastAsia="宋体" w:hint="default"/>
                <w:sz w:val="18"/>
                <w:szCs w:val="18"/>
              </w:rPr>
            </w:pPr>
            <w:r>
              <w:rPr>
                <w:rFonts w:ascii="宋体" w:hAnsi="宋体" w:cs="宋体" w:eastAsia="宋体" w:hint="default"/>
                <w:sz w:val="18"/>
                <w:szCs w:val="18"/>
              </w:rPr>
              <w:t>报告期末互抵后的 递延所得税资产或</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8" w:right="87"/>
              <w:jc w:val="left"/>
              <w:rPr>
                <w:rFonts w:ascii="宋体" w:hAnsi="宋体" w:cs="宋体" w:eastAsia="宋体" w:hint="default"/>
                <w:sz w:val="18"/>
                <w:szCs w:val="18"/>
              </w:rPr>
            </w:pPr>
            <w:r>
              <w:rPr>
                <w:rFonts w:ascii="宋体" w:hAnsi="宋体" w:cs="宋体" w:eastAsia="宋体" w:hint="default"/>
                <w:sz w:val="18"/>
                <w:szCs w:val="18"/>
              </w:rPr>
              <w:t>报告期末互抵后的 可抵扣或应纳税暂</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8" w:right="87"/>
              <w:jc w:val="left"/>
              <w:rPr>
                <w:rFonts w:ascii="宋体" w:hAnsi="宋体" w:cs="宋体" w:eastAsia="宋体" w:hint="default"/>
                <w:sz w:val="18"/>
                <w:szCs w:val="18"/>
              </w:rPr>
            </w:pPr>
            <w:r>
              <w:rPr>
                <w:rFonts w:ascii="宋体" w:hAnsi="宋体" w:cs="宋体" w:eastAsia="宋体" w:hint="default"/>
                <w:sz w:val="18"/>
                <w:szCs w:val="18"/>
              </w:rPr>
              <w:t>报告期初互抵后的 递延所得税资产或</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8" w:right="89"/>
              <w:jc w:val="left"/>
              <w:rPr>
                <w:rFonts w:ascii="宋体" w:hAnsi="宋体" w:cs="宋体" w:eastAsia="宋体" w:hint="default"/>
                <w:sz w:val="18"/>
                <w:szCs w:val="18"/>
              </w:rPr>
            </w:pPr>
            <w:r>
              <w:rPr>
                <w:rFonts w:ascii="宋体" w:hAnsi="宋体" w:cs="宋体" w:eastAsia="宋体" w:hint="default"/>
                <w:sz w:val="18"/>
                <w:szCs w:val="18"/>
              </w:rPr>
              <w:t>报告期初互抵后的 可抵扣或应纳税暂</w:t>
            </w:r>
          </w:p>
        </w:tc>
      </w:tr>
    </w:tbl>
    <w:p>
      <w:pPr>
        <w:spacing w:after="0" w:line="314"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063"/>
        <w:gridCol w:w="1625"/>
        <w:gridCol w:w="1628"/>
        <w:gridCol w:w="1628"/>
        <w:gridCol w:w="1630"/>
      </w:tblGrid>
      <w:tr>
        <w:trPr>
          <w:trHeight w:val="36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28"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48" w:right="0"/>
              <w:jc w:val="left"/>
              <w:rPr>
                <w:rFonts w:ascii="宋体" w:hAnsi="宋体" w:cs="宋体" w:eastAsia="宋体" w:hint="default"/>
                <w:sz w:val="18"/>
                <w:szCs w:val="18"/>
              </w:rPr>
            </w:pPr>
            <w:r>
              <w:rPr>
                <w:rFonts w:ascii="宋体" w:hAnsi="宋体" w:cs="宋体" w:eastAsia="宋体" w:hint="default"/>
                <w:sz w:val="18"/>
                <w:szCs w:val="18"/>
              </w:rPr>
              <w:t>时性差异</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28"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48" w:right="0"/>
              <w:jc w:val="left"/>
              <w:rPr>
                <w:rFonts w:ascii="宋体" w:hAnsi="宋体" w:cs="宋体" w:eastAsia="宋体" w:hint="default"/>
                <w:sz w:val="18"/>
                <w:szCs w:val="18"/>
              </w:rPr>
            </w:pPr>
            <w:r>
              <w:rPr>
                <w:rFonts w:ascii="宋体" w:hAnsi="宋体" w:cs="宋体" w:eastAsia="宋体" w:hint="default"/>
                <w:sz w:val="18"/>
                <w:szCs w:val="18"/>
              </w:rPr>
              <w:t>时性差异</w:t>
            </w:r>
          </w:p>
        </w:tc>
      </w:tr>
      <w:tr>
        <w:trPr>
          <w:trHeight w:val="401"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43" w:right="0"/>
              <w:jc w:val="left"/>
              <w:rPr>
                <w:rFonts w:ascii="Times New Roman" w:hAnsi="Times New Roman" w:cs="Times New Roman" w:eastAsia="Times New Roman" w:hint="default"/>
                <w:sz w:val="18"/>
                <w:szCs w:val="18"/>
              </w:rPr>
            </w:pPr>
            <w:r>
              <w:rPr>
                <w:rFonts w:ascii="Times New Roman"/>
                <w:sz w:val="18"/>
              </w:rPr>
              <w:t>4,870,020.39</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0" w:right="0"/>
              <w:jc w:val="left"/>
              <w:rPr>
                <w:rFonts w:ascii="Times New Roman" w:hAnsi="Times New Roman" w:cs="Times New Roman" w:eastAsia="Times New Roman" w:hint="default"/>
                <w:sz w:val="18"/>
                <w:szCs w:val="18"/>
              </w:rPr>
            </w:pPr>
            <w:r>
              <w:rPr>
                <w:rFonts w:ascii="Times New Roman"/>
                <w:sz w:val="18"/>
              </w:rPr>
              <w:t>2,479,338.63</w:t>
            </w: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14</w:t>
      </w:r>
      <w:r>
        <w:rPr/>
        <w:t>、资产减值准备明细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3"/>
        <w:gridCol w:w="1538"/>
        <w:gridCol w:w="1529"/>
        <w:gridCol w:w="1399"/>
        <w:gridCol w:w="1397"/>
        <w:gridCol w:w="1452"/>
      </w:tblGrid>
      <w:tr>
        <w:trPr>
          <w:trHeight w:val="206" w:hRule="exact"/>
        </w:trPr>
        <w:tc>
          <w:tcPr>
            <w:tcW w:w="22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2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2243" w:type="dxa"/>
            <w:vMerge/>
            <w:tcBorders>
              <w:left w:val="single" w:sz="4" w:space="0" w:color="000000"/>
              <w:bottom w:val="nil" w:sz="6" w:space="0" w:color="auto"/>
              <w:right w:val="single" w:sz="4" w:space="0" w:color="000000"/>
            </w:tcBorders>
            <w:shd w:val="clear" w:color="auto" w:fill="D2D2D2"/>
          </w:tcPr>
          <w:p>
            <w:pPr/>
          </w:p>
        </w:tc>
        <w:tc>
          <w:tcPr>
            <w:tcW w:w="1538"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3,349,329.99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1,207,099.30</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4,556,429.29</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2,208,035.24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1,387,166.89</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3,595,202.13</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5,557,365.23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2,594,266.19</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8,151,631.42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15</w:t>
      </w:r>
      <w:r>
        <w:rPr/>
        <w:t>、应付账款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52,645,490.85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39,730,306.07</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10,444.59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266,509.10</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8,290.40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52,664,225.84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39,996,815.17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）本报告期应付账款中无应付持有公司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6894"/>
        <w:jc w:val="left"/>
      </w:pPr>
      <w:r>
        <w:rPr/>
        <w:t>年末数中无欠关联方款项 年末无账龄超过一年的大额应付账款</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16</w:t>
      </w:r>
      <w:r>
        <w:rPr/>
        <w:t>、预收账款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22,299,865.31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8,881,808.73</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928,500.07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815,858.01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292,763.06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696,802.54</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353,268.41</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23,874,396.85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10,394,469.28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）本报告期预收账款中无预收持有公司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1824"/>
        <w:gridCol w:w="1620"/>
        <w:gridCol w:w="1599"/>
        <w:gridCol w:w="4532"/>
      </w:tblGrid>
      <w:tr>
        <w:trPr>
          <w:trHeight w:val="386" w:hRule="exact"/>
        </w:trPr>
        <w:tc>
          <w:tcPr>
            <w:tcW w:w="182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left="13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left="487"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59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left="235" w:right="0"/>
              <w:jc w:val="left"/>
              <w:rPr>
                <w:rFonts w:ascii="宋体" w:hAnsi="宋体" w:cs="宋体" w:eastAsia="宋体" w:hint="default"/>
                <w:sz w:val="18"/>
                <w:szCs w:val="18"/>
              </w:rPr>
            </w:pPr>
            <w:r>
              <w:rPr>
                <w:rFonts w:ascii="宋体" w:hAnsi="宋体" w:cs="宋体" w:eastAsia="宋体" w:hint="default"/>
                <w:sz w:val="18"/>
                <w:szCs w:val="18"/>
              </w:rPr>
              <w:t>未结转原因</w:t>
            </w:r>
          </w:p>
        </w:tc>
        <w:tc>
          <w:tcPr>
            <w:tcW w:w="453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left="463" w:right="0"/>
              <w:jc w:val="left"/>
              <w:rPr>
                <w:rFonts w:ascii="宋体" w:hAnsi="宋体" w:cs="宋体" w:eastAsia="宋体" w:hint="default"/>
                <w:sz w:val="18"/>
                <w:szCs w:val="18"/>
              </w:rPr>
            </w:pPr>
            <w:r>
              <w:rPr>
                <w:rFonts w:ascii="宋体" w:hAnsi="宋体" w:cs="宋体" w:eastAsia="宋体" w:hint="default"/>
                <w:sz w:val="18"/>
                <w:szCs w:val="18"/>
              </w:rPr>
              <w:t>备注（报表日后已结转或还款的应予注明）</w:t>
            </w:r>
          </w:p>
        </w:tc>
      </w:tr>
      <w:tr>
        <w:trPr>
          <w:trHeight w:val="403" w:hRule="exact"/>
        </w:trPr>
        <w:tc>
          <w:tcPr>
            <w:tcW w:w="1824"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137"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6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484" w:right="0"/>
              <w:jc w:val="left"/>
              <w:rPr>
                <w:rFonts w:ascii="宋体" w:hAnsi="宋体" w:cs="宋体" w:eastAsia="宋体" w:hint="default"/>
                <w:sz w:val="18"/>
                <w:szCs w:val="18"/>
              </w:rPr>
            </w:pPr>
            <w:r>
              <w:rPr>
                <w:rFonts w:ascii="宋体"/>
                <w:sz w:val="18"/>
              </w:rPr>
              <w:t>109,048.00</w:t>
            </w:r>
          </w:p>
        </w:tc>
        <w:tc>
          <w:tcPr>
            <w:tcW w:w="1599"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237" w:right="0"/>
              <w:jc w:val="left"/>
              <w:rPr>
                <w:rFonts w:ascii="宋体" w:hAnsi="宋体" w:cs="宋体" w:eastAsia="宋体" w:hint="default"/>
                <w:sz w:val="18"/>
                <w:szCs w:val="18"/>
              </w:rPr>
            </w:pPr>
            <w:r>
              <w:rPr>
                <w:rFonts w:ascii="宋体" w:hAnsi="宋体" w:cs="宋体" w:eastAsia="宋体" w:hint="default"/>
                <w:sz w:val="18"/>
                <w:szCs w:val="18"/>
              </w:rPr>
              <w:t>客户未提货</w:t>
            </w:r>
          </w:p>
        </w:tc>
        <w:tc>
          <w:tcPr>
            <w:tcW w:w="4532" w:type="dxa"/>
            <w:tcBorders>
              <w:top w:val="single" w:sz="12" w:space="0" w:color="000000"/>
              <w:left w:val="nil" w:sz="6" w:space="0" w:color="auto"/>
              <w:bottom w:val="single" w:sz="12" w:space="0" w:color="000000"/>
              <w:right w:val="nil" w:sz="6" w:space="0" w:color="auto"/>
            </w:tcBorders>
          </w:tcPr>
          <w:p>
            <w:pPr/>
          </w:p>
        </w:tc>
      </w:tr>
      <w:tr>
        <w:trPr>
          <w:trHeight w:val="387" w:hRule="exact"/>
        </w:trPr>
        <w:tc>
          <w:tcPr>
            <w:tcW w:w="1824"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137"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6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484" w:right="0"/>
              <w:jc w:val="left"/>
              <w:rPr>
                <w:rFonts w:ascii="宋体" w:hAnsi="宋体" w:cs="宋体" w:eastAsia="宋体" w:hint="default"/>
                <w:sz w:val="18"/>
                <w:szCs w:val="18"/>
              </w:rPr>
            </w:pPr>
            <w:r>
              <w:rPr>
                <w:rFonts w:ascii="宋体"/>
                <w:sz w:val="18"/>
              </w:rPr>
              <w:t>103,683.70</w:t>
            </w:r>
          </w:p>
        </w:tc>
        <w:tc>
          <w:tcPr>
            <w:tcW w:w="1599"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237" w:right="0"/>
              <w:jc w:val="left"/>
              <w:rPr>
                <w:rFonts w:ascii="宋体" w:hAnsi="宋体" w:cs="宋体" w:eastAsia="宋体" w:hint="default"/>
                <w:sz w:val="18"/>
                <w:szCs w:val="18"/>
              </w:rPr>
            </w:pPr>
            <w:r>
              <w:rPr>
                <w:rFonts w:ascii="宋体" w:hAnsi="宋体" w:cs="宋体" w:eastAsia="宋体" w:hint="default"/>
                <w:sz w:val="18"/>
                <w:szCs w:val="18"/>
              </w:rPr>
              <w:t>客户未提货</w:t>
            </w:r>
          </w:p>
        </w:tc>
        <w:tc>
          <w:tcPr>
            <w:tcW w:w="4532" w:type="dxa"/>
            <w:tcBorders>
              <w:top w:val="single" w:sz="12" w:space="0" w:color="000000"/>
              <w:left w:val="nil" w:sz="6" w:space="0" w:color="auto"/>
              <w:bottom w:val="single" w:sz="12" w:space="0" w:color="000000"/>
              <w:right w:val="nil" w:sz="6" w:space="0" w:color="auto"/>
            </w:tcBorders>
          </w:tcPr>
          <w:p>
            <w:pPr/>
          </w:p>
        </w:tc>
      </w:tr>
      <w:tr>
        <w:trPr>
          <w:trHeight w:val="386" w:hRule="exact"/>
        </w:trPr>
        <w:tc>
          <w:tcPr>
            <w:tcW w:w="1824"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137"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6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484" w:right="0"/>
              <w:jc w:val="left"/>
              <w:rPr>
                <w:rFonts w:ascii="宋体" w:hAnsi="宋体" w:cs="宋体" w:eastAsia="宋体" w:hint="default"/>
                <w:sz w:val="18"/>
                <w:szCs w:val="18"/>
              </w:rPr>
            </w:pPr>
            <w:r>
              <w:rPr>
                <w:rFonts w:ascii="宋体"/>
                <w:sz w:val="18"/>
              </w:rPr>
              <w:t>78,455.40</w:t>
            </w:r>
          </w:p>
        </w:tc>
        <w:tc>
          <w:tcPr>
            <w:tcW w:w="1599"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237" w:right="0"/>
              <w:jc w:val="left"/>
              <w:rPr>
                <w:rFonts w:ascii="宋体" w:hAnsi="宋体" w:cs="宋体" w:eastAsia="宋体" w:hint="default"/>
                <w:sz w:val="18"/>
                <w:szCs w:val="18"/>
              </w:rPr>
            </w:pPr>
            <w:r>
              <w:rPr>
                <w:rFonts w:ascii="宋体" w:hAnsi="宋体" w:cs="宋体" w:eastAsia="宋体" w:hint="default"/>
                <w:sz w:val="18"/>
                <w:szCs w:val="18"/>
              </w:rPr>
              <w:t>客户未提货</w:t>
            </w:r>
          </w:p>
        </w:tc>
        <w:tc>
          <w:tcPr>
            <w:tcW w:w="4532" w:type="dxa"/>
            <w:tcBorders>
              <w:top w:val="single" w:sz="12" w:space="0" w:color="000000"/>
              <w:left w:val="nil" w:sz="6" w:space="0" w:color="auto"/>
              <w:bottom w:val="single" w:sz="12" w:space="0" w:color="000000"/>
              <w:right w:val="nil" w:sz="6" w:space="0" w:color="auto"/>
            </w:tcBorders>
          </w:tcPr>
          <w:p>
            <w:pPr/>
          </w:p>
        </w:tc>
      </w:tr>
      <w:tr>
        <w:trPr>
          <w:trHeight w:val="389" w:hRule="exact"/>
        </w:trPr>
        <w:tc>
          <w:tcPr>
            <w:tcW w:w="1824"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137"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6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484" w:right="0"/>
              <w:jc w:val="left"/>
              <w:rPr>
                <w:rFonts w:ascii="宋体" w:hAnsi="宋体" w:cs="宋体" w:eastAsia="宋体" w:hint="default"/>
                <w:sz w:val="18"/>
                <w:szCs w:val="18"/>
              </w:rPr>
            </w:pPr>
            <w:r>
              <w:rPr>
                <w:rFonts w:ascii="宋体"/>
                <w:sz w:val="18"/>
              </w:rPr>
              <w:t>70,097.00</w:t>
            </w:r>
          </w:p>
        </w:tc>
        <w:tc>
          <w:tcPr>
            <w:tcW w:w="1599"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237" w:right="0"/>
              <w:jc w:val="left"/>
              <w:rPr>
                <w:rFonts w:ascii="宋体" w:hAnsi="宋体" w:cs="宋体" w:eastAsia="宋体" w:hint="default"/>
                <w:sz w:val="18"/>
                <w:szCs w:val="18"/>
              </w:rPr>
            </w:pPr>
            <w:r>
              <w:rPr>
                <w:rFonts w:ascii="宋体" w:hAnsi="宋体" w:cs="宋体" w:eastAsia="宋体" w:hint="default"/>
                <w:sz w:val="18"/>
                <w:szCs w:val="18"/>
              </w:rPr>
              <w:t>客户未提货</w:t>
            </w:r>
          </w:p>
        </w:tc>
        <w:tc>
          <w:tcPr>
            <w:tcW w:w="4532" w:type="dxa"/>
            <w:tcBorders>
              <w:top w:val="single" w:sz="12" w:space="0" w:color="000000"/>
              <w:left w:val="nil" w:sz="6" w:space="0" w:color="auto"/>
              <w:bottom w:val="single" w:sz="12" w:space="0" w:color="000000"/>
              <w:right w:val="nil" w:sz="6" w:space="0" w:color="auto"/>
            </w:tcBorders>
          </w:tcPr>
          <w:p>
            <w:pPr/>
          </w:p>
        </w:tc>
      </w:tr>
      <w:tr>
        <w:trPr>
          <w:trHeight w:val="386" w:hRule="exact"/>
        </w:trPr>
        <w:tc>
          <w:tcPr>
            <w:tcW w:w="182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left="137"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6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left="484" w:right="0"/>
              <w:jc w:val="left"/>
              <w:rPr>
                <w:rFonts w:ascii="宋体" w:hAnsi="宋体" w:cs="宋体" w:eastAsia="宋体" w:hint="default"/>
                <w:sz w:val="18"/>
                <w:szCs w:val="18"/>
              </w:rPr>
            </w:pPr>
            <w:r>
              <w:rPr>
                <w:rFonts w:ascii="宋体"/>
                <w:sz w:val="18"/>
              </w:rPr>
              <w:t>57,000.00</w:t>
            </w:r>
          </w:p>
        </w:tc>
        <w:tc>
          <w:tcPr>
            <w:tcW w:w="159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left="237" w:right="0"/>
              <w:jc w:val="left"/>
              <w:rPr>
                <w:rFonts w:ascii="宋体" w:hAnsi="宋体" w:cs="宋体" w:eastAsia="宋体" w:hint="default"/>
                <w:sz w:val="18"/>
                <w:szCs w:val="18"/>
              </w:rPr>
            </w:pPr>
            <w:r>
              <w:rPr>
                <w:rFonts w:ascii="宋体" w:hAnsi="宋体" w:cs="宋体" w:eastAsia="宋体" w:hint="default"/>
                <w:sz w:val="18"/>
                <w:szCs w:val="18"/>
              </w:rPr>
              <w:t>客户未提货</w:t>
            </w:r>
          </w:p>
        </w:tc>
        <w:tc>
          <w:tcPr>
            <w:tcW w:w="4532" w:type="dxa"/>
            <w:tcBorders>
              <w:top w:val="single" w:sz="12" w:space="0" w:color="000000"/>
              <w:left w:val="nil" w:sz="6" w:space="0" w:color="auto"/>
              <w:bottom w:val="single" w:sz="12" w:space="0" w:color="000000"/>
              <w:right w:val="nil" w:sz="6" w:space="0" w:color="auto"/>
            </w:tcBorders>
          </w:tcPr>
          <w:p>
            <w:pPr/>
          </w:p>
        </w:tc>
      </w:tr>
      <w:tr>
        <w:trPr>
          <w:trHeight w:val="389" w:hRule="exact"/>
        </w:trPr>
        <w:tc>
          <w:tcPr>
            <w:tcW w:w="1824"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13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487" w:right="0"/>
              <w:jc w:val="left"/>
              <w:rPr>
                <w:rFonts w:ascii="宋体" w:hAnsi="宋体" w:cs="宋体" w:eastAsia="宋体" w:hint="default"/>
                <w:sz w:val="18"/>
                <w:szCs w:val="18"/>
              </w:rPr>
            </w:pPr>
            <w:r>
              <w:rPr>
                <w:rFonts w:ascii="宋体"/>
                <w:sz w:val="18"/>
              </w:rPr>
              <w:t>418,284.10</w:t>
            </w:r>
          </w:p>
        </w:tc>
        <w:tc>
          <w:tcPr>
            <w:tcW w:w="1599" w:type="dxa"/>
            <w:tcBorders>
              <w:top w:val="single" w:sz="12" w:space="0" w:color="000000"/>
              <w:left w:val="nil" w:sz="6" w:space="0" w:color="auto"/>
              <w:bottom w:val="single" w:sz="12" w:space="0" w:color="000000"/>
              <w:right w:val="nil" w:sz="6" w:space="0" w:color="auto"/>
            </w:tcBorders>
          </w:tcPr>
          <w:p>
            <w:pPr/>
          </w:p>
        </w:tc>
        <w:tc>
          <w:tcPr>
            <w:tcW w:w="4532" w:type="dxa"/>
            <w:tcBorders>
              <w:top w:val="single" w:sz="12" w:space="0" w:color="000000"/>
              <w:left w:val="nil" w:sz="6" w:space="0" w:color="auto"/>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0"/>
        <w:jc w:val="left"/>
        <w:rPr>
          <w:b w:val="0"/>
          <w:bCs w:val="0"/>
        </w:rPr>
      </w:pPr>
      <w:r>
        <w:rPr>
          <w:rFonts w:ascii="Times New Roman" w:hAnsi="Times New Roman" w:cs="Times New Roman" w:eastAsia="Times New Roman" w:hint="default"/>
        </w:rPr>
        <w:t>17</w:t>
      </w:r>
      <w:r>
        <w:rPr/>
        <w:t>、应付职工薪酬</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9"/>
          <w:szCs w:val="29"/>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863"/>
        <w:gridCol w:w="1992"/>
        <w:gridCol w:w="2259"/>
        <w:gridCol w:w="1860"/>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9,097,714.68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60,188,336.07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56,946,071.05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12,339,979.70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3"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7,131,786.43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7,131,786.43</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3"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6,723,568.90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6,723,568.90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1,742,810.49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1,742,810.49</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4,160,809.18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4,160,809.18</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532,192.96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532,192.96</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80,857.92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80,857.92</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206,898.35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206,898.35</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1,723,124.00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1,723,124.00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pacing w:val="-9"/>
                <w:sz w:val="18"/>
                <w:szCs w:val="18"/>
              </w:rPr>
              <w:t>五、工会经费和职工</w:t>
            </w:r>
            <w:r>
              <w:rPr>
                <w:rFonts w:ascii="宋体" w:hAnsi="宋体" w:cs="宋体" w:eastAsia="宋体" w:hint="default"/>
                <w:sz w:val="18"/>
                <w:szCs w:val="18"/>
              </w:rPr>
              <w:t> 教育经费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297.50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297.50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9,097,714.68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75,767,112.90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72,524,847.88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12,339,979.70</w:t>
            </w:r>
          </w:p>
        </w:tc>
      </w:tr>
    </w:tbl>
    <w:p>
      <w:pPr>
        <w:spacing w:after="0" w:line="240" w:lineRule="auto"/>
        <w:jc w:val="right"/>
        <w:rPr>
          <w:rFonts w:ascii="Times New Roman" w:hAnsi="Times New Roman" w:cs="Times New Roman" w:eastAsia="Times New Roman" w:hint="default"/>
          <w:sz w:val="18"/>
          <w:szCs w:val="18"/>
        </w:rPr>
        <w:sectPr>
          <w:footerReference w:type="default" r:id="rId38"/>
          <w:pgSz w:w="11910" w:h="16840"/>
          <w:pgMar w:footer="1227" w:header="877" w:top="1100" w:bottom="1420" w:left="980" w:right="980"/>
          <w:pgNumType w:start="11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18</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1,442,520.22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1,984,864.27</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-9,845.88</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7,319,320.18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2,465,714.16</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353,212.37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280,058.34</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26,677.11</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154,556.37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200,041.67</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堤防费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251,087.64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148,119.50</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97,743.00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8,332.88</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市区堤围防护费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7,115.67</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9,650,719.56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5,078,797.94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19</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86,384,680.03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27,931,268.98</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20,689,015.92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5,521,479.75</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1,660,000.00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1,570,126.00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109,233,695.95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35,022,874.73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26,800,000.00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3" w:right="0"/>
              <w:jc w:val="left"/>
              <w:rPr>
                <w:rFonts w:ascii="Times New Roman" w:hAnsi="Times New Roman" w:cs="Times New Roman" w:eastAsia="Times New Roman" w:hint="default"/>
                <w:sz w:val="18"/>
                <w:szCs w:val="18"/>
              </w:rPr>
            </w:pPr>
            <w:r>
              <w:rPr>
                <w:rFonts w:ascii="Times New Roman"/>
                <w:sz w:val="18"/>
              </w:rPr>
              <w:t>17,500,000.00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截至</w:t>
      </w:r>
      <w:r>
        <w:rPr>
          <w:spacing w:val="-45"/>
        </w:rPr>
        <w:t> </w:t>
      </w:r>
      <w:r>
        <w:rPr>
          <w:rFonts w:ascii="宋体" w:hAnsi="宋体" w:cs="宋体" w:eastAsia="宋体" w:hint="default"/>
        </w:rPr>
        <w:t>2013</w:t>
      </w:r>
      <w:r>
        <w:rPr>
          <w:rFonts w:ascii="宋体" w:hAnsi="宋体" w:cs="宋体" w:eastAsia="宋体" w:hint="default"/>
          <w:spacing w:val="-47"/>
        </w:rPr>
        <w:t> </w:t>
      </w:r>
      <w:r>
        <w:rPr/>
        <w:t>年</w:t>
      </w:r>
      <w:r>
        <w:rPr>
          <w:spacing w:val="-46"/>
        </w:rPr>
        <w:t> </w:t>
      </w:r>
      <w:r>
        <w:rPr>
          <w:rFonts w:ascii="宋体" w:hAnsi="宋体" w:cs="宋体" w:eastAsia="宋体" w:hint="default"/>
        </w:rPr>
        <w:t>2</w:t>
      </w:r>
      <w:r>
        <w:rPr>
          <w:rFonts w:ascii="宋体" w:hAnsi="宋体" w:cs="宋体" w:eastAsia="宋体" w:hint="default"/>
          <w:spacing w:val="-47"/>
        </w:rPr>
        <w:t> </w:t>
      </w:r>
      <w:r>
        <w:rPr/>
        <w:t>月</w:t>
      </w:r>
      <w:r>
        <w:rPr>
          <w:spacing w:val="-46"/>
        </w:rPr>
        <w:t> </w:t>
      </w:r>
      <w:r>
        <w:rPr>
          <w:rFonts w:ascii="宋体" w:hAnsi="宋体" w:cs="宋体" w:eastAsia="宋体" w:hint="default"/>
        </w:rPr>
        <w:t>1</w:t>
      </w:r>
      <w:r>
        <w:rPr>
          <w:rFonts w:ascii="宋体" w:hAnsi="宋体" w:cs="宋体" w:eastAsia="宋体" w:hint="default"/>
          <w:spacing w:val="-45"/>
        </w:rPr>
        <w:t> </w:t>
      </w:r>
      <w:r>
        <w:rPr/>
        <w:t>日，广州市德居安电子科技有限公司已偿还该股东欠款。</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7"/>
        <w:rPr>
          <w:rFonts w:ascii="宋体" w:hAnsi="宋体" w:cs="宋体" w:eastAsia="宋体" w:hint="default"/>
          <w:b/>
          <w:bCs/>
          <w:sz w:val="25"/>
          <w:szCs w:val="25"/>
        </w:rPr>
      </w:pPr>
    </w:p>
    <w:tbl>
      <w:tblPr>
        <w:tblW w:w="0" w:type="auto"/>
        <w:jc w:val="left"/>
        <w:tblInd w:w="152" w:type="dxa"/>
        <w:tblLayout w:type="fixed"/>
        <w:tblCellMar>
          <w:top w:w="0" w:type="dxa"/>
          <w:left w:w="0" w:type="dxa"/>
          <w:bottom w:w="0" w:type="dxa"/>
          <w:right w:w="0" w:type="dxa"/>
        </w:tblCellMar>
        <w:tblLook w:val="01E0"/>
      </w:tblPr>
      <w:tblGrid>
        <w:gridCol w:w="1394"/>
        <w:gridCol w:w="1857"/>
        <w:gridCol w:w="1888"/>
        <w:gridCol w:w="4363"/>
      </w:tblGrid>
      <w:tr>
        <w:trPr>
          <w:trHeight w:val="391" w:hRule="exact"/>
        </w:trPr>
        <w:tc>
          <w:tcPr>
            <w:tcW w:w="13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right="17"/>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57"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right="57"/>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1888"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338" w:right="0"/>
              <w:jc w:val="left"/>
              <w:rPr>
                <w:rFonts w:ascii="宋体" w:hAnsi="宋体" w:cs="宋体" w:eastAsia="宋体" w:hint="default"/>
                <w:sz w:val="18"/>
                <w:szCs w:val="18"/>
              </w:rPr>
            </w:pPr>
            <w:r>
              <w:rPr>
                <w:rFonts w:ascii="宋体" w:hAnsi="宋体" w:cs="宋体" w:eastAsia="宋体" w:hint="default"/>
                <w:sz w:val="18"/>
                <w:szCs w:val="18"/>
              </w:rPr>
              <w:t>未偿还原因</w:t>
            </w:r>
          </w:p>
        </w:tc>
        <w:tc>
          <w:tcPr>
            <w:tcW w:w="4363"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603" w:right="0"/>
              <w:jc w:val="left"/>
              <w:rPr>
                <w:rFonts w:ascii="宋体" w:hAnsi="宋体" w:cs="宋体" w:eastAsia="宋体" w:hint="default"/>
                <w:sz w:val="18"/>
                <w:szCs w:val="18"/>
              </w:rPr>
            </w:pPr>
            <w:r>
              <w:rPr>
                <w:rFonts w:ascii="宋体" w:hAnsi="宋体" w:cs="宋体" w:eastAsia="宋体" w:hint="default"/>
                <w:sz w:val="18"/>
                <w:szCs w:val="18"/>
              </w:rPr>
              <w:t>备注（报表日后已还款的应予注明）</w:t>
            </w:r>
          </w:p>
        </w:tc>
      </w:tr>
      <w:tr>
        <w:trPr>
          <w:trHeight w:val="391" w:hRule="exact"/>
        </w:trPr>
        <w:tc>
          <w:tcPr>
            <w:tcW w:w="13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76" w:right="0"/>
              <w:jc w:val="center"/>
              <w:rPr>
                <w:rFonts w:ascii="宋体" w:hAnsi="宋体" w:cs="宋体" w:eastAsia="宋体" w:hint="default"/>
                <w:sz w:val="18"/>
                <w:szCs w:val="18"/>
              </w:rPr>
            </w:pPr>
            <w:r>
              <w:rPr>
                <w:rFonts w:ascii="宋体" w:hAnsi="宋体" w:cs="宋体" w:eastAsia="宋体" w:hint="default"/>
                <w:sz w:val="18"/>
                <w:szCs w:val="18"/>
              </w:rPr>
              <w:t>张波</w:t>
            </w:r>
          </w:p>
        </w:tc>
        <w:tc>
          <w:tcPr>
            <w:tcW w:w="1857"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8" w:right="0"/>
              <w:jc w:val="center"/>
              <w:rPr>
                <w:rFonts w:ascii="宋体" w:hAnsi="宋体" w:cs="宋体" w:eastAsia="宋体" w:hint="default"/>
                <w:sz w:val="18"/>
                <w:szCs w:val="18"/>
              </w:rPr>
            </w:pPr>
            <w:r>
              <w:rPr>
                <w:rFonts w:ascii="宋体"/>
                <w:sz w:val="18"/>
              </w:rPr>
              <w:t>17,500,000.00</w:t>
            </w:r>
          </w:p>
        </w:tc>
        <w:tc>
          <w:tcPr>
            <w:tcW w:w="1888"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384" w:right="0"/>
              <w:jc w:val="left"/>
              <w:rPr>
                <w:rFonts w:ascii="宋体" w:hAnsi="宋体" w:cs="宋体" w:eastAsia="宋体" w:hint="default"/>
                <w:sz w:val="18"/>
                <w:szCs w:val="18"/>
              </w:rPr>
            </w:pPr>
            <w:r>
              <w:rPr>
                <w:rFonts w:ascii="宋体" w:hAnsi="宋体" w:cs="宋体" w:eastAsia="宋体" w:hint="default"/>
                <w:sz w:val="18"/>
                <w:szCs w:val="18"/>
              </w:rPr>
              <w:t>未到期借款</w:t>
            </w:r>
          </w:p>
        </w:tc>
        <w:tc>
          <w:tcPr>
            <w:tcW w:w="4363"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63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月末已全额偿还</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4229"/>
        <w:gridCol w:w="1719"/>
        <w:gridCol w:w="1934"/>
        <w:gridCol w:w="1663"/>
      </w:tblGrid>
      <w:tr>
        <w:trPr>
          <w:trHeight w:val="386" w:hRule="exact"/>
        </w:trPr>
        <w:tc>
          <w:tcPr>
            <w:tcW w:w="42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right="179"/>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19"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488"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934"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661" w:right="0"/>
              <w:jc w:val="left"/>
              <w:rPr>
                <w:rFonts w:ascii="宋体" w:hAnsi="宋体" w:cs="宋体" w:eastAsia="宋体" w:hint="default"/>
                <w:sz w:val="18"/>
                <w:szCs w:val="18"/>
              </w:rPr>
            </w:pPr>
            <w:r>
              <w:rPr>
                <w:rFonts w:ascii="宋体" w:hAnsi="宋体" w:cs="宋体" w:eastAsia="宋体" w:hint="default"/>
                <w:sz w:val="18"/>
                <w:szCs w:val="18"/>
              </w:rPr>
              <w:t>性质或内容</w:t>
            </w:r>
          </w:p>
        </w:tc>
        <w:tc>
          <w:tcPr>
            <w:tcW w:w="1663" w:type="dxa"/>
            <w:tcBorders>
              <w:top w:val="single" w:sz="12" w:space="0" w:color="000000"/>
              <w:left w:val="nil" w:sz="6" w:space="0" w:color="auto"/>
              <w:bottom w:val="single" w:sz="12" w:space="0" w:color="000000"/>
              <w:right w:val="nil" w:sz="6" w:space="0" w:color="auto"/>
            </w:tcBorders>
          </w:tcPr>
          <w:p>
            <w:pPr>
              <w:pStyle w:val="TableParagraph"/>
              <w:tabs>
                <w:tab w:pos="1068" w:val="left" w:leader="none"/>
              </w:tabs>
              <w:spacing w:line="240" w:lineRule="auto" w:before="20"/>
              <w:ind w:left="528" w:right="0"/>
              <w:jc w:val="left"/>
              <w:rPr>
                <w:rFonts w:ascii="宋体" w:hAnsi="宋体" w:cs="宋体" w:eastAsia="宋体" w:hint="default"/>
                <w:sz w:val="18"/>
                <w:szCs w:val="18"/>
              </w:rPr>
            </w:pPr>
            <w:r>
              <w:rPr>
                <w:rFonts w:ascii="宋体" w:hAnsi="宋体" w:cs="宋体" w:eastAsia="宋体" w:hint="default"/>
                <w:sz w:val="18"/>
                <w:szCs w:val="18"/>
              </w:rPr>
              <w:t>备</w:t>
              <w:tab/>
              <w:t>注</w:t>
            </w:r>
          </w:p>
        </w:tc>
      </w:tr>
      <w:tr>
        <w:trPr>
          <w:trHeight w:val="1061" w:hRule="exact"/>
        </w:trPr>
        <w:tc>
          <w:tcPr>
            <w:tcW w:w="4229" w:type="dxa"/>
            <w:tcBorders>
              <w:top w:val="single" w:sz="12" w:space="0" w:color="000000"/>
              <w:left w:val="nil" w:sz="6" w:space="0" w:color="auto"/>
              <w:bottom w:val="single" w:sz="12" w:space="0" w:color="000000"/>
              <w:right w:val="nil" w:sz="6" w:space="0" w:color="auto"/>
            </w:tcBorders>
          </w:tcPr>
          <w:p>
            <w:pPr>
              <w:pStyle w:val="TableParagraph"/>
              <w:spacing w:line="316" w:lineRule="auto" w:before="20"/>
              <w:ind w:left="1032" w:right="354" w:hanging="855"/>
              <w:jc w:val="left"/>
              <w:rPr>
                <w:rFonts w:ascii="宋体" w:hAnsi="宋体" w:cs="宋体" w:eastAsia="宋体" w:hint="default"/>
                <w:sz w:val="18"/>
                <w:szCs w:val="18"/>
              </w:rPr>
            </w:pPr>
            <w:r>
              <w:rPr>
                <w:rFonts w:ascii="宋体" w:hAnsi="宋体" w:cs="宋体" w:eastAsia="宋体" w:hint="default"/>
                <w:sz w:val="18"/>
                <w:szCs w:val="18"/>
              </w:rPr>
              <w:t>德居安科技有限公司（</w:t>
            </w:r>
            <w:r>
              <w:rPr>
                <w:rFonts w:ascii="宋体" w:hAnsi="宋体" w:cs="宋体" w:eastAsia="宋体" w:hint="default"/>
                <w:sz w:val="18"/>
                <w:szCs w:val="18"/>
              </w:rPr>
              <w:t>D-JA TECHNOLOGY</w:t>
            </w:r>
            <w:r>
              <w:rPr>
                <w:rFonts w:ascii="宋体" w:hAnsi="宋体" w:cs="宋体" w:eastAsia="宋体" w:hint="default"/>
                <w:spacing w:val="-4"/>
                <w:sz w:val="18"/>
                <w:szCs w:val="18"/>
              </w:rPr>
              <w:t> </w:t>
            </w:r>
            <w:r>
              <w:rPr>
                <w:rFonts w:ascii="宋体" w:hAnsi="宋体" w:cs="宋体" w:eastAsia="宋体" w:hint="default"/>
                <w:sz w:val="18"/>
                <w:szCs w:val="18"/>
              </w:rPr>
              <w:t>CO.</w:t>
            </w:r>
            <w:r>
              <w:rPr>
                <w:rFonts w:ascii="宋体" w:hAnsi="宋体" w:cs="宋体" w:eastAsia="宋体" w:hint="default"/>
                <w:sz w:val="18"/>
                <w:szCs w:val="18"/>
              </w:rPr>
              <w:t>， </w:t>
            </w:r>
            <w:r>
              <w:rPr>
                <w:rFonts w:ascii="宋体" w:hAnsi="宋体" w:cs="宋体" w:eastAsia="宋体" w:hint="default"/>
                <w:sz w:val="18"/>
                <w:szCs w:val="18"/>
              </w:rPr>
              <w:t>LIMITED</w:t>
            </w:r>
            <w:r>
              <w:rPr>
                <w:rFonts w:ascii="宋体" w:hAnsi="宋体" w:cs="宋体" w:eastAsia="宋体" w:hint="default"/>
                <w:sz w:val="18"/>
                <w:szCs w:val="18"/>
              </w:rPr>
              <w:t>（</w:t>
            </w:r>
            <w:r>
              <w:rPr>
                <w:rFonts w:ascii="宋体" w:hAnsi="宋体" w:cs="宋体" w:eastAsia="宋体" w:hint="default"/>
                <w:sz w:val="18"/>
                <w:szCs w:val="18"/>
              </w:rPr>
              <w:t>HK</w:t>
            </w:r>
            <w:r>
              <w:rPr>
                <w:rFonts w:ascii="宋体" w:hAnsi="宋体" w:cs="宋体" w:eastAsia="宋体" w:hint="default"/>
                <w:sz w:val="18"/>
                <w:szCs w:val="18"/>
              </w:rPr>
              <w:t>）</w:t>
            </w:r>
            <w:r>
              <w:rPr>
                <w:rFonts w:ascii="宋体" w:hAnsi="宋体" w:cs="宋体" w:eastAsia="宋体" w:hint="default"/>
                <w:sz w:val="18"/>
                <w:szCs w:val="18"/>
              </w:rPr>
              <w:t>Limited</w:t>
            </w:r>
            <w:r>
              <w:rPr>
                <w:rFonts w:ascii="宋体" w:hAnsi="宋体" w:cs="宋体" w:eastAsia="宋体" w:hint="default"/>
                <w:sz w:val="18"/>
                <w:szCs w:val="18"/>
              </w:rPr>
              <w:t>）</w:t>
            </w:r>
          </w:p>
        </w:tc>
        <w:tc>
          <w:tcPr>
            <w:tcW w:w="1719"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356" w:right="0"/>
              <w:jc w:val="left"/>
              <w:rPr>
                <w:rFonts w:ascii="宋体" w:hAnsi="宋体" w:cs="宋体" w:eastAsia="宋体" w:hint="default"/>
                <w:sz w:val="18"/>
                <w:szCs w:val="18"/>
              </w:rPr>
            </w:pPr>
            <w:r>
              <w:rPr>
                <w:rFonts w:ascii="宋体"/>
                <w:sz w:val="18"/>
              </w:rPr>
              <w:t>54,480,467.72</w:t>
            </w:r>
          </w:p>
        </w:tc>
        <w:tc>
          <w:tcPr>
            <w:tcW w:w="1934"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190" w:right="0"/>
              <w:jc w:val="left"/>
              <w:rPr>
                <w:rFonts w:ascii="宋体" w:hAnsi="宋体" w:cs="宋体" w:eastAsia="宋体" w:hint="default"/>
                <w:sz w:val="18"/>
                <w:szCs w:val="18"/>
              </w:rPr>
            </w:pPr>
            <w:r>
              <w:rPr>
                <w:rFonts w:ascii="宋体" w:hAnsi="宋体" w:cs="宋体" w:eastAsia="宋体" w:hint="default"/>
                <w:sz w:val="18"/>
                <w:szCs w:val="18"/>
              </w:rPr>
              <w:t>购买德居安股权款项</w:t>
            </w:r>
          </w:p>
        </w:tc>
        <w:tc>
          <w:tcPr>
            <w:tcW w:w="1663" w:type="dxa"/>
            <w:tcBorders>
              <w:top w:val="single" w:sz="12" w:space="0" w:color="000000"/>
              <w:left w:val="nil" w:sz="6" w:space="0" w:color="auto"/>
              <w:bottom w:val="single" w:sz="12" w:space="0" w:color="000000"/>
              <w:right w:val="nil" w:sz="6" w:space="0" w:color="auto"/>
            </w:tcBorders>
          </w:tcPr>
          <w:p>
            <w:pPr>
              <w:pStyle w:val="TableParagraph"/>
              <w:spacing w:line="316" w:lineRule="auto" w:before="20"/>
              <w:ind w:left="708" w:right="5" w:hanging="586"/>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月末已全额 偿还</w:t>
            </w:r>
          </w:p>
        </w:tc>
      </w:tr>
      <w:tr>
        <w:trPr>
          <w:trHeight w:val="722" w:hRule="exact"/>
        </w:trPr>
        <w:tc>
          <w:tcPr>
            <w:tcW w:w="42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right="179"/>
              <w:jc w:val="center"/>
              <w:rPr>
                <w:rFonts w:ascii="宋体" w:hAnsi="宋体" w:cs="宋体" w:eastAsia="宋体" w:hint="default"/>
                <w:sz w:val="18"/>
                <w:szCs w:val="18"/>
              </w:rPr>
            </w:pPr>
            <w:r>
              <w:rPr>
                <w:rFonts w:ascii="宋体" w:hAnsi="宋体" w:cs="宋体" w:eastAsia="宋体" w:hint="default"/>
                <w:sz w:val="18"/>
                <w:szCs w:val="18"/>
              </w:rPr>
              <w:t>张波</w:t>
            </w:r>
          </w:p>
        </w:tc>
        <w:tc>
          <w:tcPr>
            <w:tcW w:w="1719"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356" w:right="0"/>
              <w:jc w:val="left"/>
              <w:rPr>
                <w:rFonts w:ascii="宋体" w:hAnsi="宋体" w:cs="宋体" w:eastAsia="宋体" w:hint="default"/>
                <w:sz w:val="18"/>
                <w:szCs w:val="18"/>
              </w:rPr>
            </w:pPr>
            <w:r>
              <w:rPr>
                <w:rFonts w:ascii="宋体"/>
                <w:sz w:val="18"/>
              </w:rPr>
              <w:t>26,800,000.00</w:t>
            </w:r>
          </w:p>
        </w:tc>
        <w:tc>
          <w:tcPr>
            <w:tcW w:w="1934"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93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663" w:type="dxa"/>
            <w:tcBorders>
              <w:top w:val="single" w:sz="12" w:space="0" w:color="000000"/>
              <w:left w:val="nil" w:sz="6" w:space="0" w:color="auto"/>
              <w:bottom w:val="single" w:sz="12" w:space="0" w:color="000000"/>
              <w:right w:val="nil" w:sz="6" w:space="0" w:color="auto"/>
            </w:tcBorders>
          </w:tcPr>
          <w:p>
            <w:pPr>
              <w:pStyle w:val="TableParagraph"/>
              <w:spacing w:line="316" w:lineRule="auto" w:before="20"/>
              <w:ind w:left="708" w:right="5" w:hanging="586"/>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月末已全额 偿还</w:t>
            </w:r>
          </w:p>
        </w:tc>
      </w:tr>
      <w:tr>
        <w:trPr>
          <w:trHeight w:val="389" w:hRule="exact"/>
        </w:trPr>
        <w:tc>
          <w:tcPr>
            <w:tcW w:w="42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right="179"/>
              <w:jc w:val="center"/>
              <w:rPr>
                <w:rFonts w:ascii="宋体" w:hAnsi="宋体" w:cs="宋体" w:eastAsia="宋体" w:hint="default"/>
                <w:sz w:val="18"/>
                <w:szCs w:val="18"/>
              </w:rPr>
            </w:pPr>
            <w:r>
              <w:rPr>
                <w:rFonts w:ascii="宋体" w:hAnsi="宋体" w:cs="宋体" w:eastAsia="宋体" w:hint="default"/>
                <w:sz w:val="18"/>
                <w:szCs w:val="18"/>
              </w:rPr>
              <w:t>合计</w:t>
            </w:r>
          </w:p>
        </w:tc>
        <w:tc>
          <w:tcPr>
            <w:tcW w:w="1719"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447" w:right="0"/>
              <w:jc w:val="left"/>
              <w:rPr>
                <w:rFonts w:ascii="宋体" w:hAnsi="宋体" w:cs="宋体" w:eastAsia="宋体" w:hint="default"/>
                <w:sz w:val="18"/>
                <w:szCs w:val="18"/>
              </w:rPr>
            </w:pPr>
            <w:r>
              <w:rPr>
                <w:rFonts w:ascii="宋体"/>
                <w:sz w:val="18"/>
              </w:rPr>
              <w:t>81,280,467.72</w:t>
            </w:r>
          </w:p>
        </w:tc>
        <w:tc>
          <w:tcPr>
            <w:tcW w:w="1934" w:type="dxa"/>
            <w:tcBorders>
              <w:top w:val="single" w:sz="12" w:space="0" w:color="000000"/>
              <w:left w:val="nil" w:sz="6" w:space="0" w:color="auto"/>
              <w:bottom w:val="single" w:sz="12" w:space="0" w:color="000000"/>
              <w:right w:val="nil" w:sz="6" w:space="0" w:color="auto"/>
            </w:tcBorders>
          </w:tcPr>
          <w:p>
            <w:pPr/>
          </w:p>
        </w:tc>
        <w:tc>
          <w:tcPr>
            <w:tcW w:w="1663" w:type="dxa"/>
            <w:tcBorders>
              <w:top w:val="single" w:sz="12" w:space="0" w:color="000000"/>
              <w:left w:val="nil" w:sz="6" w:space="0" w:color="auto"/>
              <w:bottom w:val="single" w:sz="12" w:space="0" w:color="000000"/>
              <w:right w:val="nil" w:sz="6" w:space="0" w:color="auto"/>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）年末数中欠关联方情况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52" w:type="dxa"/>
        <w:tblLayout w:type="fixed"/>
        <w:tblCellMar>
          <w:top w:w="0" w:type="dxa"/>
          <w:left w:w="0" w:type="dxa"/>
          <w:bottom w:w="0" w:type="dxa"/>
          <w:right w:w="0" w:type="dxa"/>
        </w:tblCellMar>
        <w:tblLook w:val="01E0"/>
      </w:tblPr>
      <w:tblGrid>
        <w:gridCol w:w="4236"/>
        <w:gridCol w:w="2518"/>
        <w:gridCol w:w="2733"/>
      </w:tblGrid>
      <w:tr>
        <w:trPr>
          <w:trHeight w:val="422" w:hRule="exact"/>
        </w:trPr>
        <w:tc>
          <w:tcPr>
            <w:tcW w:w="4236" w:type="dxa"/>
            <w:tcBorders>
              <w:top w:val="single" w:sz="9" w:space="0" w:color="000000"/>
              <w:left w:val="nil" w:sz="6" w:space="0" w:color="auto"/>
              <w:bottom w:val="single" w:sz="9" w:space="0" w:color="000000"/>
              <w:right w:val="nil" w:sz="6" w:space="0" w:color="auto"/>
            </w:tcBorders>
          </w:tcPr>
          <w:p>
            <w:pPr>
              <w:pStyle w:val="TableParagraph"/>
              <w:spacing w:line="240" w:lineRule="auto" w:before="137"/>
              <w:ind w:right="215"/>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518" w:type="dxa"/>
            <w:tcBorders>
              <w:top w:val="single" w:sz="9" w:space="0" w:color="000000"/>
              <w:left w:val="nil" w:sz="6" w:space="0" w:color="auto"/>
              <w:bottom w:val="single" w:sz="9" w:space="0" w:color="000000"/>
              <w:right w:val="nil" w:sz="6" w:space="0" w:color="auto"/>
            </w:tcBorders>
          </w:tcPr>
          <w:p>
            <w:pPr>
              <w:pStyle w:val="TableParagraph"/>
              <w:spacing w:line="240" w:lineRule="auto" w:before="137"/>
              <w:ind w:right="401"/>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733" w:type="dxa"/>
            <w:tcBorders>
              <w:top w:val="single" w:sz="9" w:space="0" w:color="000000"/>
              <w:left w:val="nil" w:sz="6" w:space="0" w:color="auto"/>
              <w:bottom w:val="single" w:sz="9" w:space="0" w:color="000000"/>
              <w:right w:val="nil" w:sz="6" w:space="0" w:color="auto"/>
            </w:tcBorders>
          </w:tcPr>
          <w:p>
            <w:pPr>
              <w:pStyle w:val="TableParagraph"/>
              <w:spacing w:line="240" w:lineRule="auto" w:before="137"/>
              <w:ind w:right="184"/>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953" w:hRule="exact"/>
        </w:trPr>
        <w:tc>
          <w:tcPr>
            <w:tcW w:w="4236" w:type="dxa"/>
            <w:tcBorders>
              <w:top w:val="single" w:sz="9" w:space="0" w:color="000000"/>
              <w:left w:val="nil" w:sz="6" w:space="0" w:color="auto"/>
              <w:bottom w:val="single" w:sz="9" w:space="0" w:color="000000"/>
              <w:right w:val="nil" w:sz="6" w:space="0" w:color="auto"/>
            </w:tcBorders>
          </w:tcPr>
          <w:p>
            <w:pPr>
              <w:pStyle w:val="TableParagraph"/>
              <w:spacing w:line="400" w:lineRule="atLeast" w:before="36"/>
              <w:ind w:left="107" w:right="431"/>
              <w:jc w:val="left"/>
              <w:rPr>
                <w:rFonts w:ascii="宋体" w:hAnsi="宋体" w:cs="宋体" w:eastAsia="宋体" w:hint="default"/>
                <w:sz w:val="18"/>
                <w:szCs w:val="18"/>
              </w:rPr>
            </w:pPr>
            <w:r>
              <w:rPr>
                <w:rFonts w:ascii="宋体" w:hAnsi="宋体" w:cs="宋体" w:eastAsia="宋体" w:hint="default"/>
                <w:sz w:val="18"/>
                <w:szCs w:val="18"/>
              </w:rPr>
              <w:t>德居安科技有限公司（</w:t>
            </w:r>
            <w:r>
              <w:rPr>
                <w:rFonts w:ascii="宋体" w:hAnsi="宋体" w:cs="宋体" w:eastAsia="宋体" w:hint="default"/>
                <w:sz w:val="18"/>
                <w:szCs w:val="18"/>
              </w:rPr>
              <w:t>D-JA TECHNOLOGY</w:t>
            </w:r>
            <w:r>
              <w:rPr>
                <w:rFonts w:ascii="宋体" w:hAnsi="宋体" w:cs="宋体" w:eastAsia="宋体" w:hint="default"/>
                <w:spacing w:val="-3"/>
                <w:sz w:val="18"/>
                <w:szCs w:val="18"/>
              </w:rPr>
              <w:t> </w:t>
            </w:r>
            <w:r>
              <w:rPr>
                <w:rFonts w:ascii="宋体" w:hAnsi="宋体" w:cs="宋体" w:eastAsia="宋体" w:hint="default"/>
                <w:sz w:val="18"/>
                <w:szCs w:val="18"/>
              </w:rPr>
              <w:t>CO.</w:t>
            </w:r>
            <w:r>
              <w:rPr>
                <w:rFonts w:ascii="宋体" w:hAnsi="宋体" w:cs="宋体" w:eastAsia="宋体" w:hint="default"/>
                <w:sz w:val="18"/>
                <w:szCs w:val="18"/>
              </w:rPr>
              <w:t>， </w:t>
            </w:r>
            <w:r>
              <w:rPr>
                <w:rFonts w:ascii="宋体" w:hAnsi="宋体" w:cs="宋体" w:eastAsia="宋体" w:hint="default"/>
                <w:sz w:val="18"/>
                <w:szCs w:val="18"/>
              </w:rPr>
              <w:t>LIMITED</w:t>
            </w:r>
            <w:r>
              <w:rPr>
                <w:rFonts w:ascii="宋体" w:hAnsi="宋体" w:cs="宋体" w:eastAsia="宋体" w:hint="default"/>
                <w:sz w:val="18"/>
                <w:szCs w:val="18"/>
              </w:rPr>
              <w:t>（</w:t>
            </w:r>
            <w:r>
              <w:rPr>
                <w:rFonts w:ascii="宋体" w:hAnsi="宋体" w:cs="宋体" w:eastAsia="宋体" w:hint="default"/>
                <w:sz w:val="18"/>
                <w:szCs w:val="18"/>
              </w:rPr>
              <w:t>HK</w:t>
            </w:r>
            <w:r>
              <w:rPr>
                <w:rFonts w:ascii="宋体" w:hAnsi="宋体" w:cs="宋体" w:eastAsia="宋体" w:hint="default"/>
                <w:sz w:val="18"/>
                <w:szCs w:val="18"/>
              </w:rPr>
              <w:t>）</w:t>
            </w:r>
            <w:r>
              <w:rPr>
                <w:rFonts w:ascii="宋体" w:hAnsi="宋体" w:cs="宋体" w:eastAsia="宋体" w:hint="default"/>
                <w:sz w:val="18"/>
                <w:szCs w:val="18"/>
              </w:rPr>
              <w:t>Limited</w:t>
            </w:r>
            <w:r>
              <w:rPr>
                <w:rFonts w:ascii="宋体" w:hAnsi="宋体" w:cs="宋体" w:eastAsia="宋体" w:hint="default"/>
                <w:sz w:val="18"/>
                <w:szCs w:val="18"/>
              </w:rPr>
              <w:t>）</w:t>
            </w:r>
          </w:p>
        </w:tc>
        <w:tc>
          <w:tcPr>
            <w:tcW w:w="2518" w:type="dxa"/>
            <w:tcBorders>
              <w:top w:val="single" w:sz="9" w:space="0" w:color="000000"/>
              <w:left w:val="nil" w:sz="6" w:space="0" w:color="auto"/>
              <w:bottom w:val="single" w:sz="9"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478"/>
              <w:jc w:val="center"/>
              <w:rPr>
                <w:rFonts w:ascii="宋体" w:hAnsi="宋体" w:cs="宋体" w:eastAsia="宋体" w:hint="default"/>
                <w:sz w:val="18"/>
                <w:szCs w:val="18"/>
              </w:rPr>
            </w:pPr>
            <w:r>
              <w:rPr>
                <w:rFonts w:ascii="宋体"/>
                <w:sz w:val="18"/>
              </w:rPr>
              <w:t>54,480,467.72</w:t>
            </w:r>
          </w:p>
        </w:tc>
        <w:tc>
          <w:tcPr>
            <w:tcW w:w="2733" w:type="dxa"/>
            <w:tcBorders>
              <w:top w:val="single" w:sz="9" w:space="0" w:color="000000"/>
              <w:left w:val="nil" w:sz="6" w:space="0" w:color="auto"/>
              <w:bottom w:val="single" w:sz="9"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2"/>
              <w:jc w:val="center"/>
              <w:rPr>
                <w:rFonts w:ascii="宋体" w:hAnsi="宋体" w:cs="宋体" w:eastAsia="宋体" w:hint="default"/>
                <w:sz w:val="18"/>
                <w:szCs w:val="18"/>
              </w:rPr>
            </w:pPr>
            <w:r>
              <w:rPr>
                <w:rFonts w:ascii="宋体"/>
                <w:sz w:val="18"/>
              </w:rPr>
              <w:t>0.00</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0"/>
        <w:jc w:val="left"/>
        <w:rPr>
          <w:b w:val="0"/>
          <w:bCs w:val="0"/>
        </w:rPr>
      </w:pPr>
      <w:r>
        <w:rPr>
          <w:rFonts w:ascii="Times New Roman" w:hAnsi="Times New Roman" w:cs="Times New Roman" w:eastAsia="Times New Roman" w:hint="default"/>
        </w:rPr>
        <w:t>20</w:t>
      </w:r>
      <w:r>
        <w:rPr/>
        <w:t>、预计负债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3"/>
        <w:gridCol w:w="1873"/>
        <w:gridCol w:w="1860"/>
        <w:gridCol w:w="1860"/>
        <w:gridCol w:w="1995"/>
      </w:tblGrid>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4,116,661.92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3,636,984.17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3,206,658.74</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4,546,987.35</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4,116,661.92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3,636,984.17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3,206,658.74</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4,546,987.35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21</w:t>
      </w:r>
      <w:r>
        <w:rPr/>
        <w:t>、其他非流动负债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0"/>
        <w:gridCol w:w="3449"/>
        <w:gridCol w:w="2665"/>
      </w:tblGrid>
      <w:tr>
        <w:trPr>
          <w:trHeight w:val="540" w:hRule="exact"/>
        </w:trPr>
        <w:tc>
          <w:tcPr>
            <w:tcW w:w="3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期末账面余额</w:t>
            </w:r>
          </w:p>
        </w:tc>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left="78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521" w:hRule="exact"/>
        </w:trPr>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w:t>
            </w:r>
          </w:p>
        </w:tc>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5,404,802.78</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pacing w:val="-1"/>
                <w:sz w:val="18"/>
              </w:rPr>
              <w:t>706,595.00</w:t>
            </w:r>
          </w:p>
        </w:tc>
      </w:tr>
      <w:tr>
        <w:trPr>
          <w:trHeight w:val="564" w:hRule="exact"/>
        </w:trPr>
        <w:tc>
          <w:tcPr>
            <w:tcW w:w="3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5,404,802.78</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706,595.00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80"/>
        </w:sectPr>
      </w:pPr>
    </w:p>
    <w:p>
      <w:pPr>
        <w:pStyle w:val="BodyText"/>
        <w:spacing w:line="240" w:lineRule="auto" w:before="15"/>
        <w:ind w:left="0" w:right="133"/>
        <w:jc w:val="right"/>
      </w:pPr>
      <w:r>
        <w:rPr/>
        <w:t>广东安居宝数码科技股份有限公司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p>
      <w:pPr>
        <w:pStyle w:val="Heading3"/>
        <w:spacing w:line="240" w:lineRule="auto" w:before="36"/>
        <w:ind w:left="140" w:right="0"/>
        <w:jc w:val="left"/>
        <w:rPr>
          <w:b w:val="0"/>
          <w:bCs w:val="0"/>
        </w:rPr>
      </w:pPr>
      <w:r>
        <w:rPr>
          <w:rFonts w:ascii="Times New Roman" w:hAnsi="Times New Roman" w:cs="Times New Roman" w:eastAsia="Times New Roman" w:hint="default"/>
        </w:rPr>
        <w:t>22</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31"/>
        <w:jc w:val="right"/>
      </w:pPr>
      <w:r>
        <w:rPr>
          <w:spacing w:val="-3"/>
        </w:rPr>
        <w:t>单位</w:t>
      </w:r>
      <w:r>
        <w:rPr>
          <w:spacing w:val="-92"/>
        </w:rPr>
        <w:t>：</w:t>
      </w:r>
      <w:r>
        <w:rPr/>
        <w:t>股</w:t>
      </w:r>
    </w:p>
    <w:p>
      <w:pPr>
        <w:spacing w:line="240" w:lineRule="auto" w:before="4"/>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297"/>
        <w:gridCol w:w="1678"/>
        <w:gridCol w:w="1670"/>
        <w:gridCol w:w="1673"/>
        <w:gridCol w:w="1676"/>
        <w:gridCol w:w="1670"/>
        <w:gridCol w:w="1676"/>
        <w:gridCol w:w="1522"/>
      </w:tblGrid>
      <w:tr>
        <w:trPr>
          <w:trHeight w:val="348" w:hRule="exact"/>
        </w:trPr>
        <w:tc>
          <w:tcPr>
            <w:tcW w:w="2297" w:type="dxa"/>
            <w:vMerge w:val="restart"/>
            <w:tcBorders>
              <w:top w:val="single" w:sz="4" w:space="0" w:color="000000"/>
              <w:left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1678" w:type="dxa"/>
            <w:vMerge w:val="restart"/>
            <w:tcBorders>
              <w:top w:val="single" w:sz="4" w:space="0" w:color="000000"/>
              <w:left w:val="single" w:sz="4" w:space="0" w:color="000000"/>
              <w:right w:val="single" w:sz="4" w:space="0" w:color="000000"/>
            </w:tcBorders>
          </w:tcPr>
          <w:p>
            <w:pPr>
              <w:pStyle w:val="TableParagraph"/>
              <w:spacing w:line="240" w:lineRule="auto" w:before="17"/>
              <w:ind w:left="47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836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本年变动增（</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before="17"/>
              <w:ind w:left="393"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8" w:hRule="exact"/>
        </w:trPr>
        <w:tc>
          <w:tcPr>
            <w:tcW w:w="2297" w:type="dxa"/>
            <w:vMerge/>
            <w:tcBorders>
              <w:left w:val="single" w:sz="4" w:space="0" w:color="000000"/>
              <w:bottom w:val="single" w:sz="4" w:space="0" w:color="000000"/>
              <w:right w:val="single" w:sz="4" w:space="0" w:color="000000"/>
            </w:tcBorders>
          </w:tcPr>
          <w:p>
            <w:pPr/>
          </w:p>
        </w:tc>
        <w:tc>
          <w:tcPr>
            <w:tcW w:w="1678" w:type="dxa"/>
            <w:vMerge/>
            <w:tcBorders>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8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22" w:type="dxa"/>
            <w:vMerge/>
            <w:tcBorders>
              <w:left w:val="single" w:sz="4" w:space="0" w:color="000000"/>
              <w:bottom w:val="single" w:sz="4" w:space="0" w:color="000000"/>
              <w:right w:val="single" w:sz="4" w:space="0" w:color="000000"/>
            </w:tcBorders>
          </w:tcPr>
          <w:p>
            <w:pPr/>
          </w:p>
        </w:tc>
      </w:tr>
      <w:tr>
        <w:trPr>
          <w:trHeight w:val="348"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．有限售条件股份</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国家持股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9"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国有法人持股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8"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其他内资持股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135,000,000.00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-10,000,000.00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125,000,000.00</w:t>
            </w:r>
          </w:p>
        </w:tc>
      </w:tr>
      <w:tr>
        <w:trPr>
          <w:trHeight w:val="348"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境内法人持股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10,000,000.00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-10,000,000.00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8"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125,000,000.00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125,000,000.00</w:t>
            </w:r>
          </w:p>
        </w:tc>
      </w:tr>
      <w:tr>
        <w:trPr>
          <w:trHeight w:val="348"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外资持股</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8"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8"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135,000,000.00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-10,000,000.00</w:t>
            </w:r>
            <w:r>
              <w:rPr>
                <w:rFonts w:ascii="Times New Roman"/>
                <w:sz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125,000,000.00</w:t>
            </w:r>
          </w:p>
        </w:tc>
      </w:tr>
      <w:tr>
        <w:trPr>
          <w:trHeight w:val="348"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．无限售条件流通股份</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人民币普通股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45,000,000.00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10,000,000.00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348"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境内上市的外资股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8"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境外上市的外资股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9"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其他</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8"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无限售条件流通股份合计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45,000,000.00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10,000,000.00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348"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180,000,000.00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180,000,000.00</w:t>
            </w:r>
          </w:p>
        </w:tc>
      </w:tr>
    </w:tbl>
    <w:p>
      <w:pPr>
        <w:pStyle w:val="Heading3"/>
        <w:spacing w:line="262" w:lineRule="exact"/>
        <w:ind w:left="140" w:right="0"/>
        <w:jc w:val="left"/>
        <w:rPr>
          <w:b w:val="0"/>
          <w:bCs w:val="0"/>
        </w:rPr>
      </w:pPr>
      <w:r>
        <w:rPr/>
        <w:t>本年股本变动为发起人限售股份上市。</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9"/>
          <w:szCs w:val="19"/>
        </w:rPr>
      </w:pPr>
    </w:p>
    <w:p>
      <w:pPr>
        <w:pStyle w:val="BodyText"/>
        <w:spacing w:line="240" w:lineRule="auto"/>
        <w:ind w:left="6965" w:right="6962"/>
        <w:jc w:val="center"/>
        <w:rPr>
          <w:rFonts w:ascii="Times New Roman" w:hAnsi="Times New Roman" w:cs="Times New Roman" w:eastAsia="Times New Roman" w:hint="default"/>
        </w:rPr>
      </w:pPr>
      <w:r>
        <w:rPr>
          <w:rFonts w:ascii="Times New Roman"/>
        </w:rPr>
        <w:t>113</w:t>
      </w:r>
    </w:p>
    <w:p>
      <w:pPr>
        <w:spacing w:after="0" w:line="240" w:lineRule="auto"/>
        <w:jc w:val="center"/>
        <w:rPr>
          <w:rFonts w:ascii="Times New Roman" w:hAnsi="Times New Roman" w:cs="Times New Roman" w:eastAsia="Times New Roman" w:hint="default"/>
        </w:rPr>
        <w:sectPr>
          <w:headerReference w:type="default" r:id="rId39"/>
          <w:footerReference w:type="default" r:id="rId40"/>
          <w:pgSz w:w="16840" w:h="11910" w:orient="landscape"/>
          <w:pgMar w:header="0" w:footer="0" w:top="800" w:bottom="2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pStyle w:val="Heading3"/>
        <w:spacing w:line="240" w:lineRule="auto" w:before="36"/>
        <w:ind w:right="0"/>
        <w:jc w:val="left"/>
        <w:rPr>
          <w:b w:val="0"/>
          <w:bCs w:val="0"/>
        </w:rPr>
      </w:pPr>
      <w:r>
        <w:rPr>
          <w:rFonts w:ascii="Times New Roman" w:hAnsi="Times New Roman" w:cs="Times New Roman" w:eastAsia="Times New Roman" w:hint="default"/>
        </w:rPr>
        <w:t>23</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3121"/>
        <w:gridCol w:w="1932"/>
        <w:gridCol w:w="1155"/>
        <w:gridCol w:w="1623"/>
        <w:gridCol w:w="1757"/>
      </w:tblGrid>
      <w:tr>
        <w:trPr>
          <w:trHeight w:val="427"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1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44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60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67"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32" w:type="dxa"/>
            <w:tcBorders>
              <w:top w:val="single" w:sz="14" w:space="0" w:color="D2D2D2"/>
              <w:left w:val="single" w:sz="13" w:space="0" w:color="D2D2D2"/>
              <w:bottom w:val="single" w:sz="4" w:space="0" w:color="000000"/>
              <w:right w:val="single" w:sz="4" w:space="0" w:color="000000"/>
            </w:tcBorders>
          </w:tcPr>
          <w:p>
            <w:pPr>
              <w:pStyle w:val="TableParagraph"/>
              <w:spacing w:line="240" w:lineRule="auto" w:before="117"/>
              <w:ind w:right="19"/>
              <w:jc w:val="right"/>
              <w:rPr>
                <w:rFonts w:ascii="Times New Roman" w:hAnsi="Times New Roman" w:cs="Times New Roman" w:eastAsia="Times New Roman" w:hint="default"/>
                <w:sz w:val="18"/>
                <w:szCs w:val="18"/>
              </w:rPr>
            </w:pPr>
            <w:r>
              <w:rPr>
                <w:rFonts w:ascii="Times New Roman"/>
                <w:spacing w:val="-1"/>
                <w:sz w:val="18"/>
              </w:rPr>
              <w:t>771,458,956.05</w:t>
            </w:r>
          </w:p>
        </w:tc>
        <w:tc>
          <w:tcPr>
            <w:tcW w:w="1155" w:type="dxa"/>
            <w:tcBorders>
              <w:top w:val="single" w:sz="14" w:space="0" w:color="D2D2D2"/>
              <w:left w:val="single" w:sz="4" w:space="0" w:color="000000"/>
              <w:bottom w:val="single" w:sz="4" w:space="0" w:color="000000"/>
              <w:right w:val="single" w:sz="4" w:space="0" w:color="000000"/>
            </w:tcBorders>
          </w:tcPr>
          <w:p>
            <w:pPr/>
          </w:p>
        </w:tc>
        <w:tc>
          <w:tcPr>
            <w:tcW w:w="1623" w:type="dxa"/>
            <w:tcBorders>
              <w:top w:val="single" w:sz="14" w:space="0" w:color="D2D2D2"/>
              <w:left w:val="single" w:sz="4" w:space="0" w:color="000000"/>
              <w:bottom w:val="single" w:sz="4" w:space="0" w:color="000000"/>
              <w:right w:val="single" w:sz="4" w:space="0" w:color="000000"/>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56,632,368.63</w:t>
            </w:r>
          </w:p>
        </w:tc>
        <w:tc>
          <w:tcPr>
            <w:tcW w:w="1757" w:type="dxa"/>
            <w:tcBorders>
              <w:top w:val="single" w:sz="14" w:space="0" w:color="D2D2D2"/>
              <w:left w:val="single" w:sz="4" w:space="0" w:color="000000"/>
              <w:bottom w:val="single" w:sz="4" w:space="0" w:color="000000"/>
              <w:right w:val="single" w:sz="4" w:space="0" w:color="000000"/>
            </w:tcBorders>
          </w:tcPr>
          <w:p>
            <w:pPr>
              <w:pStyle w:val="TableParagraph"/>
              <w:spacing w:line="240" w:lineRule="auto" w:before="117"/>
              <w:ind w:left="597" w:right="0"/>
              <w:jc w:val="left"/>
              <w:rPr>
                <w:rFonts w:ascii="Times New Roman" w:hAnsi="Times New Roman" w:cs="Times New Roman" w:eastAsia="Times New Roman" w:hint="default"/>
                <w:sz w:val="18"/>
                <w:szCs w:val="18"/>
              </w:rPr>
            </w:pPr>
            <w:r>
              <w:rPr>
                <w:rFonts w:ascii="Times New Roman"/>
                <w:sz w:val="18"/>
              </w:rPr>
              <w:t>714,826,587.42</w:t>
            </w:r>
          </w:p>
        </w:tc>
      </w:tr>
      <w:tr>
        <w:trPr>
          <w:trHeight w:val="45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其中：投资者投入的资本</w:t>
            </w:r>
          </w:p>
        </w:tc>
        <w:tc>
          <w:tcPr>
            <w:tcW w:w="1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736,062,616.33</w:t>
            </w:r>
          </w:p>
        </w:tc>
        <w:tc>
          <w:tcPr>
            <w:tcW w:w="1155"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97" w:right="0"/>
              <w:jc w:val="left"/>
              <w:rPr>
                <w:rFonts w:ascii="Times New Roman" w:hAnsi="Times New Roman" w:cs="Times New Roman" w:eastAsia="Times New Roman" w:hint="default"/>
                <w:sz w:val="18"/>
                <w:szCs w:val="18"/>
              </w:rPr>
            </w:pPr>
            <w:r>
              <w:rPr>
                <w:rFonts w:ascii="Times New Roman"/>
                <w:sz w:val="18"/>
              </w:rPr>
              <w:t>736,062,616.33</w:t>
            </w:r>
          </w:p>
        </w:tc>
      </w:tr>
      <w:tr>
        <w:trPr>
          <w:trHeight w:val="454"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564" w:right="0"/>
              <w:jc w:val="left"/>
              <w:rPr>
                <w:rFonts w:ascii="宋体" w:hAnsi="宋体" w:cs="宋体" w:eastAsia="宋体" w:hint="default"/>
                <w:sz w:val="18"/>
                <w:szCs w:val="18"/>
              </w:rPr>
            </w:pPr>
            <w:r>
              <w:rPr>
                <w:rFonts w:ascii="宋体" w:hAnsi="宋体" w:cs="宋体" w:eastAsia="宋体" w:hint="default"/>
                <w:sz w:val="18"/>
                <w:szCs w:val="18"/>
              </w:rPr>
              <w:t>同一控制下企业合并的影响</w:t>
            </w:r>
          </w:p>
        </w:tc>
        <w:tc>
          <w:tcPr>
            <w:tcW w:w="1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7"/>
              <w:ind w:right="19"/>
              <w:jc w:val="right"/>
              <w:rPr>
                <w:rFonts w:ascii="Times New Roman" w:hAnsi="Times New Roman" w:cs="Times New Roman" w:eastAsia="Times New Roman" w:hint="default"/>
                <w:sz w:val="18"/>
                <w:szCs w:val="18"/>
              </w:rPr>
            </w:pPr>
            <w:r>
              <w:rPr>
                <w:rFonts w:ascii="Times New Roman"/>
                <w:spacing w:val="-1"/>
                <w:sz w:val="18"/>
              </w:rPr>
              <w:t>35,396,339.72</w:t>
            </w:r>
          </w:p>
        </w:tc>
        <w:tc>
          <w:tcPr>
            <w:tcW w:w="1155"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56,632,368.63</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628" w:right="0"/>
              <w:jc w:val="left"/>
              <w:rPr>
                <w:rFonts w:ascii="Times New Roman" w:hAnsi="Times New Roman" w:cs="Times New Roman" w:eastAsia="Times New Roman" w:hint="default"/>
                <w:sz w:val="18"/>
                <w:szCs w:val="18"/>
              </w:rPr>
            </w:pPr>
            <w:r>
              <w:rPr>
                <w:rFonts w:ascii="Times New Roman"/>
                <w:sz w:val="18"/>
              </w:rPr>
              <w:t>-21,236,028.91</w:t>
            </w:r>
          </w:p>
        </w:tc>
      </w:tr>
      <w:tr>
        <w:trPr>
          <w:trHeight w:val="454"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7"/>
              <w:ind w:right="19"/>
              <w:jc w:val="right"/>
              <w:rPr>
                <w:rFonts w:ascii="Times New Roman" w:hAnsi="Times New Roman" w:cs="Times New Roman" w:eastAsia="Times New Roman" w:hint="default"/>
                <w:sz w:val="18"/>
                <w:szCs w:val="18"/>
              </w:rPr>
            </w:pPr>
            <w:r>
              <w:rPr>
                <w:rFonts w:ascii="Times New Roman"/>
                <w:spacing w:val="-1"/>
                <w:sz w:val="18"/>
              </w:rPr>
              <w:t>771,458,956.05</w:t>
            </w:r>
          </w:p>
        </w:tc>
        <w:tc>
          <w:tcPr>
            <w:tcW w:w="1155"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56,632,368.63</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597" w:right="0"/>
              <w:jc w:val="left"/>
              <w:rPr>
                <w:rFonts w:ascii="Times New Roman" w:hAnsi="Times New Roman" w:cs="Times New Roman" w:eastAsia="Times New Roman" w:hint="default"/>
                <w:sz w:val="18"/>
                <w:szCs w:val="18"/>
              </w:rPr>
            </w:pPr>
            <w:r>
              <w:rPr>
                <w:rFonts w:ascii="Times New Roman"/>
                <w:sz w:val="18"/>
              </w:rPr>
              <w:t>714,826,587.42</w:t>
            </w:r>
          </w:p>
        </w:tc>
      </w:tr>
    </w:tbl>
    <w:p>
      <w:pPr>
        <w:pStyle w:val="BodyText"/>
        <w:spacing w:line="240" w:lineRule="auto" w:before="49"/>
        <w:ind w:right="0"/>
        <w:jc w:val="left"/>
      </w:pPr>
      <w:r>
        <w:rPr/>
        <w:t>资本公积说明</w:t>
      </w:r>
    </w:p>
    <w:p>
      <w:pPr>
        <w:pStyle w:val="BodyText"/>
        <w:spacing w:line="300" w:lineRule="auto" w:before="115"/>
        <w:ind w:right="151" w:firstLine="274"/>
        <w:jc w:val="both"/>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2012</w:t>
      </w:r>
      <w:r>
        <w:rPr>
          <w:spacing w:val="-1"/>
        </w:rPr>
        <w:t>年度同一控制下企业合并影响的年初资本公积余额</w:t>
      </w:r>
      <w:r>
        <w:rPr>
          <w:rFonts w:ascii="Times New Roman" w:hAnsi="Times New Roman" w:cs="Times New Roman" w:eastAsia="Times New Roman" w:hint="default"/>
          <w:spacing w:val="-1"/>
        </w:rPr>
        <w:t>35,396,339.72</w:t>
      </w:r>
      <w:r>
        <w:rPr>
          <w:spacing w:val="-1"/>
        </w:rPr>
        <w:t>元，是模拟公司</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日合并广州市德</w:t>
      </w:r>
      <w:r>
        <w:rPr/>
        <w:t> 居安电子科技有限公司增加净资产以及转出留存收益形成的期末资本公积。</w:t>
      </w:r>
    </w:p>
    <w:p>
      <w:pPr>
        <w:pStyle w:val="BodyText"/>
        <w:spacing w:line="300" w:lineRule="auto" w:before="31"/>
        <w:ind w:right="148" w:firstLine="274"/>
        <w:jc w:val="both"/>
      </w:pPr>
      <w:r>
        <w:rPr>
          <w:spacing w:val="-1"/>
        </w:rPr>
        <w:t>（</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2012</w:t>
      </w:r>
      <w:r>
        <w:rPr>
          <w:spacing w:val="-1"/>
        </w:rPr>
        <w:t>年度同一控制下企业合并影响的资本公积减少</w:t>
      </w:r>
      <w:r>
        <w:rPr>
          <w:rFonts w:ascii="Times New Roman" w:hAnsi="Times New Roman" w:cs="Times New Roman" w:eastAsia="Times New Roman" w:hint="default"/>
          <w:spacing w:val="-1"/>
        </w:rPr>
        <w:t>56,632,368.63</w:t>
      </w:r>
      <w:r>
        <w:rPr>
          <w:spacing w:val="-1"/>
        </w:rPr>
        <w:t>元，原因是：①公司</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28</w:t>
      </w:r>
      <w:r>
        <w:rPr>
          <w:spacing w:val="-1"/>
        </w:rPr>
        <w:t>日同一控制下合</w:t>
      </w:r>
      <w:r>
        <w:rPr/>
        <w:t> </w:t>
      </w:r>
      <w:r>
        <w:rPr>
          <w:spacing w:val="-1"/>
        </w:rPr>
        <w:t>并广州市德居安电子科技有限公司所确认的长期股权投资成本与所支付的合并对价差额冲减资本公积</w:t>
      </w:r>
      <w:r>
        <w:rPr>
          <w:rFonts w:ascii="Times New Roman" w:hAnsi="Times New Roman" w:cs="Times New Roman" w:eastAsia="Times New Roman" w:hint="default"/>
          <w:spacing w:val="-1"/>
        </w:rPr>
        <w:t>23,143,305.26</w:t>
      </w:r>
      <w:r>
        <w:rPr>
          <w:spacing w:val="-1"/>
        </w:rPr>
        <w:t>元；②公</w:t>
      </w:r>
      <w:r>
        <w:rPr>
          <w:spacing w:val="-69"/>
        </w:rPr>
        <w:t> </w:t>
      </w:r>
      <w:r>
        <w:rPr>
          <w:spacing w:val="-69"/>
        </w:rPr>
      </w:r>
      <w:r>
        <w:rPr/>
        <w:t>司将广州市德居安电子科技有限公司合并前实现留存收益</w:t>
      </w:r>
      <w:r>
        <w:rPr>
          <w:rFonts w:ascii="Times New Roman" w:hAnsi="Times New Roman" w:cs="Times New Roman" w:eastAsia="Times New Roman" w:hint="default"/>
        </w:rPr>
        <w:t>-1,907,276.35</w:t>
      </w:r>
      <w:r>
        <w:rPr/>
        <w:t>元，从公司的资本公积转到留存收益；③公司</w:t>
      </w:r>
      <w:r>
        <w:rPr>
          <w:rFonts w:ascii="Times New Roman" w:hAnsi="Times New Roman" w:cs="Times New Roman" w:eastAsia="Times New Roman" w:hint="default"/>
        </w:rPr>
        <w:t>2012</w:t>
      </w:r>
      <w:r>
        <w:rPr/>
        <w:t>年 </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28</w:t>
      </w:r>
      <w:r>
        <w:rPr>
          <w:spacing w:val="-1"/>
        </w:rPr>
        <w:t>日合并广州市德居安电子科技有限公司，冲回模拟以前年度视同纳入合并范围而确认的资本公积</w:t>
      </w:r>
      <w:r>
        <w:rPr>
          <w:rFonts w:ascii="Times New Roman" w:hAnsi="Times New Roman" w:cs="Times New Roman" w:eastAsia="Times New Roman" w:hint="default"/>
          <w:spacing w:val="-1"/>
        </w:rPr>
        <w:t>35,396,339.72</w:t>
      </w:r>
      <w:r>
        <w:rPr>
          <w:spacing w:val="-1"/>
        </w:rPr>
        <w:t>元；以</w:t>
      </w:r>
      <w:r>
        <w:rPr>
          <w:spacing w:val="-74"/>
        </w:rPr>
        <w:t> </w:t>
      </w:r>
      <w:r>
        <w:rPr>
          <w:spacing w:val="-74"/>
        </w:rPr>
      </w:r>
      <w:r>
        <w:rPr/>
        <w:t>上三项共减少资本公积</w:t>
      </w:r>
      <w:r>
        <w:rPr>
          <w:rFonts w:ascii="Times New Roman" w:hAnsi="Times New Roman" w:cs="Times New Roman" w:eastAsia="Times New Roman" w:hint="default"/>
        </w:rPr>
        <w:t>56,632,368.63</w:t>
      </w:r>
      <w:r>
        <w:rPr/>
        <w:t>元。</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24</w:t>
      </w:r>
      <w:r>
        <w:rPr/>
        <w:t>、盈余公积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17,401,499.69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7,657,541.68</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25,059,041.37</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17,401,499.69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7,657,541.68</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25,059,041.37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25</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41"/>
        <w:gridCol w:w="2122"/>
      </w:tblGrid>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81,095,953.82</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81,095,953.82</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75,754,985.34</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7,657,541.68</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50,400,000.00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98,793,397.48</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41"/>
          <w:pgSz w:w="11910" w:h="16840"/>
          <w:pgMar w:footer="1227" w:header="0" w:top="1100" w:bottom="1420" w:left="980" w:right="980"/>
          <w:pgNumType w:start="114"/>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26</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363,180,530.76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253,094,445.08</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61,500.50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122,452.12</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189,216,360.14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132,451,992.24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）工业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363,180,530.76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188,994,587.27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253,094,445.08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132,451,992.24</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363,180,530.76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188,994,587.27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253,094,445.08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132,451,992.24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楼宇对讲系统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324,831,064.32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168,668,247.53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232,103,950.04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124,332,300.05</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智能家居系统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18,076,487.02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8,782,092.16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12,887,120.50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5,343,202.37</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停车场系统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11,181,257.47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6,770,320.34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9,091,721.95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4,773,927.24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8,103,374.54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2,776,489.82</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363,180,530.76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188,994,587.27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253,094,445.08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132,451,992.24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45,353,308.37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25,250,501.70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30,996,883.75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16,843,888.69</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53,764,170.24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31,424,702.13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27,354,654.04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16,027,913.64</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106,116,859.75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49,805,510.95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86,957,990.25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45,160,056.70</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73,085,195.29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39,434,223.19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48,023,005.67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24,053,213.54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24,372,353.42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12,531,857.24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15,509,764.40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7,901,237.39</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13,628,759.38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7,049,141.27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9,182,026.39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5,013,611.44</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46,859,884.31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23,498,650.79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35,070,120.58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17,452,070.84</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363,180,530.76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188,994,587.27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253,094,445.08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132,451,992.24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95"/>
        <w:gridCol w:w="2850"/>
        <w:gridCol w:w="4126"/>
      </w:tblGrid>
      <w:tr>
        <w:trPr>
          <w:trHeight w:val="402"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8,603,828.90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w:t>
            </w:r>
          </w:p>
        </w:tc>
      </w:tr>
      <w:tr>
        <w:trPr>
          <w:trHeight w:val="404"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3,239,383.28</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0.89%</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2,610,596.53</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0.72%</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2,609,650.05</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0.72%</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2,558,329.05</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0.7%</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19,621,787.81</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27</w:t>
      </w:r>
      <w:r>
        <w:rPr/>
        <w:t>、营业税金及附加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72"/>
        <w:gridCol w:w="2003"/>
        <w:gridCol w:w="1863"/>
        <w:gridCol w:w="2921"/>
      </w:tblGrid>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156,739.45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5,697.05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1,974,268.85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1,488,731.66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1,410,141.65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1,063,379.75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3,541,149.95</w:t>
            </w:r>
          </w:p>
        </w:tc>
        <w:tc>
          <w:tcPr>
            <w:tcW w:w="186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2,557,808.46</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28</w:t>
      </w:r>
      <w:r>
        <w:rPr/>
        <w:t>、销售费用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16,749,271.39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13,374,494.34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1,553,592.95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774,759.13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劳动保险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1,843,057.78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1,568,537.36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6,822,861.96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4,033,060.60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4,617,028.27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3,686,966.97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5,161,448.08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3,714,436.63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487,000.40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221,954.84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3,930,170.60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4,203,353.17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4,286,919.54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3,600,080.53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1,249,346.00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853,521.41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产品质量保证</w:t>
            </w:r>
            <w:r>
              <w:rPr>
                <w:rFonts w:ascii="Times New Roman" w:hAnsi="Times New Roman" w:cs="Times New Roman" w:eastAsia="Times New Roman" w:hint="default"/>
                <w:sz w:val="18"/>
                <w:szCs w:val="18"/>
              </w:rPr>
              <w:t>(</w:t>
            </w:r>
            <w:r>
              <w:rPr>
                <w:rFonts w:ascii="宋体" w:hAnsi="宋体" w:cs="宋体" w:eastAsia="宋体" w:hint="default"/>
                <w:sz w:val="18"/>
                <w:szCs w:val="18"/>
              </w:rPr>
              <w:t>维修费</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3,636,984.17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2,487,760.52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457,749.75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317,337.73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247,702.91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137,099.97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通讯补助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34,547.00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221,725.07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7,648,517.21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5,087,116.43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1,810.85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4,477.18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4,336,639.81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4,377,934.91</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32,794.82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会员费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121,870.00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7,961.57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23,455.00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1,750.50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376,704.00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345,929.00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57,638.10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63,689,910.59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49,022,257.86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29</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8,948,692.20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5,747,445.33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3,576,103.27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2,656,940.01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劳动保险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1,009,764.30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510,808.34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1,708,106.69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1,315,208.32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304,492.92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45,879.00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854,464.15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1,005,933.15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1,923,397.65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733,079.01</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2,801,477.39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1,352,404.91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494,615.24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180,262.16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352,123.23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194,352.39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610,430.50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366,405.72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843,565.18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488,423.24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2,757,960.47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3,066,774.90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956,746.13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425,616.15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24,649,802.41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15,483,732.20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招聘费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105,960.00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64,795.00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1,035,356.50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458,806.33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2,215,942.05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2,432,333.67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会员费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280,083.00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1,453,515.00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1,316,514.15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认证检测费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95,403.00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环境绿化费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270,793.90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165,847.50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98,194.23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130,950.62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57,491,489.41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38,408,012.10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30</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48,176.06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23,325,054.24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22,135,805.50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130,592.72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65,058.63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-23,194,461.52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-22,022,570.81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31</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1,207,099.30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2,163,608.13</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1,387,166.89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2,208,035.24</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2,594,266.19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4,371,643.37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32</w:t>
      </w:r>
      <w:r>
        <w:rPr/>
        <w:t>、营业外收入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3"/>
        <w:gridCol w:w="1956"/>
        <w:gridCol w:w="2160"/>
        <w:gridCol w:w="2149"/>
      </w:tblGrid>
      <w:tr>
        <w:trPr>
          <w:trHeight w:val="715" w:hRule="exact"/>
        </w:trPr>
        <w:tc>
          <w:tcPr>
            <w:tcW w:w="3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95" w:right="70"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bl>
    <w:p>
      <w:pPr>
        <w:spacing w:after="0" w:line="316" w:lineRule="auto"/>
        <w:jc w:val="left"/>
        <w:rPr>
          <w:rFonts w:ascii="宋体" w:hAnsi="宋体" w:cs="宋体" w:eastAsia="宋体" w:hint="default"/>
          <w:sz w:val="18"/>
          <w:szCs w:val="18"/>
        </w:rPr>
        <w:sectPr>
          <w:pgSz w:w="11910" w:h="16840"/>
          <w:pgMar w:header="0"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294"/>
        <w:gridCol w:w="1956"/>
        <w:gridCol w:w="2160"/>
        <w:gridCol w:w="2161"/>
      </w:tblGrid>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3,512,964.45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4,251,705.00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3,512,964.45</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13,558,672.66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12,053,707.10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4,467.83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95,354.86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4,467.83</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17,076,104.94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16,400,766.96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3,517,432.28</w:t>
            </w:r>
          </w:p>
        </w:tc>
      </w:tr>
    </w:tbl>
    <w:p>
      <w:pPr>
        <w:spacing w:line="240" w:lineRule="auto" w:before="3"/>
        <w:rPr>
          <w:rFonts w:ascii="宋体" w:hAnsi="宋体" w:cs="宋体" w:eastAsia="宋体" w:hint="default"/>
          <w:sz w:val="19"/>
          <w:szCs w:val="19"/>
        </w:rPr>
      </w:pPr>
    </w:p>
    <w:p>
      <w:pPr>
        <w:pStyle w:val="Heading3"/>
        <w:spacing w:line="240" w:lineRule="auto" w:before="36"/>
        <w:ind w:right="88"/>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21"/>
      </w:tblGrid>
      <w:tr>
        <w:trPr>
          <w:trHeight w:val="402"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广州开发区科技和信息化局资助 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679,838.00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专利资助款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21,600.00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8,800.00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质量监督局资助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年市民营企业奖励专项资金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年市民营企业奖励专项资金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4"/>
              <w:jc w:val="left"/>
              <w:rPr>
                <w:rFonts w:ascii="宋体" w:hAnsi="宋体" w:cs="宋体" w:eastAsia="宋体" w:hint="default"/>
                <w:sz w:val="18"/>
                <w:szCs w:val="18"/>
              </w:rPr>
            </w:pPr>
            <w:r>
              <w:rPr>
                <w:rFonts w:ascii="宋体" w:hAnsi="宋体" w:cs="宋体" w:eastAsia="宋体" w:hint="default"/>
                <w:sz w:val="18"/>
                <w:szCs w:val="18"/>
              </w:rPr>
              <w:t>开发区拔付市科技局项目及重点 软件企业奖励</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989,719.00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工伤奖励金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2,015.23</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6"/>
              <w:jc w:val="both"/>
              <w:rPr>
                <w:rFonts w:ascii="宋体" w:hAnsi="宋体" w:cs="宋体" w:eastAsia="宋体" w:hint="default"/>
                <w:sz w:val="18"/>
                <w:szCs w:val="18"/>
              </w:rPr>
            </w:pPr>
            <w:r>
              <w:rPr>
                <w:rFonts w:ascii="宋体" w:hAnsi="宋体" w:cs="宋体" w:eastAsia="宋体" w:hint="default"/>
                <w:sz w:val="18"/>
                <w:szCs w:val="18"/>
              </w:rPr>
              <w:t>广州开发区科技和信息化局对</w:t>
            </w:r>
            <w:r>
              <w:rPr>
                <w:rFonts w:ascii="Times New Roman" w:hAnsi="Times New Roman" w:cs="Times New Roman" w:eastAsia="Times New Roman" w:hint="default"/>
                <w:sz w:val="18"/>
                <w:szCs w:val="18"/>
              </w:rPr>
              <w:t>“</w:t>
            </w:r>
            <w:r>
              <w:rPr>
                <w:rFonts w:ascii="宋体" w:hAnsi="宋体" w:cs="宋体" w:eastAsia="宋体" w:hint="default"/>
                <w:sz w:val="18"/>
                <w:szCs w:val="18"/>
              </w:rPr>
              <w:t>基 于无线射频的智能家居系统</w:t>
            </w:r>
            <w:r>
              <w:rPr>
                <w:rFonts w:ascii="Times New Roman" w:hAnsi="Times New Roman" w:cs="Times New Roman" w:eastAsia="Times New Roman" w:hint="default"/>
                <w:sz w:val="18"/>
                <w:szCs w:val="18"/>
              </w:rPr>
              <w:t>”</w:t>
            </w:r>
            <w:r>
              <w:rPr>
                <w:rFonts w:ascii="宋体" w:hAnsi="宋体" w:cs="宋体" w:eastAsia="宋体" w:hint="default"/>
                <w:sz w:val="18"/>
                <w:szCs w:val="18"/>
              </w:rPr>
              <w:t>项目 支助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105,031.86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广州开发区科技和信息化局拨款 社区安防工程</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201,962.25</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科信局</w:t>
            </w:r>
            <w:r>
              <w:rPr>
                <w:rFonts w:ascii="Times New Roman" w:hAnsi="Times New Roman" w:cs="Times New Roman" w:eastAsia="Times New Roman" w:hint="default"/>
                <w:sz w:val="18"/>
                <w:szCs w:val="18"/>
              </w:rPr>
              <w:t>“</w:t>
            </w:r>
            <w:r>
              <w:rPr>
                <w:rFonts w:ascii="宋体" w:hAnsi="宋体" w:cs="宋体" w:eastAsia="宋体" w:hint="default"/>
                <w:sz w:val="18"/>
                <w:szCs w:val="18"/>
              </w:rPr>
              <w:t>基于物联网的社区智能监 测平台</w:t>
            </w:r>
            <w:r>
              <w:rPr>
                <w:rFonts w:ascii="Times New Roman" w:hAnsi="Times New Roman" w:cs="Times New Roman" w:eastAsia="Times New Roman" w:hint="default"/>
                <w:sz w:val="18"/>
                <w:szCs w:val="18"/>
              </w:rPr>
              <w:t>”</w:t>
            </w:r>
            <w:r>
              <w:rPr>
                <w:rFonts w:ascii="宋体" w:hAnsi="宋体" w:cs="宋体" w:eastAsia="宋体" w:hint="default"/>
                <w:sz w:val="18"/>
                <w:szCs w:val="18"/>
              </w:rPr>
              <w:t>科学技术经费</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6"/>
              <w:jc w:val="both"/>
              <w:rPr>
                <w:rFonts w:ascii="宋体" w:hAnsi="宋体" w:cs="宋体" w:eastAsia="宋体" w:hint="default"/>
                <w:sz w:val="18"/>
                <w:szCs w:val="18"/>
              </w:rPr>
            </w:pPr>
            <w:r>
              <w:rPr>
                <w:rFonts w:ascii="宋体" w:hAnsi="宋体" w:cs="宋体" w:eastAsia="宋体" w:hint="default"/>
                <w:sz w:val="18"/>
                <w:szCs w:val="18"/>
              </w:rPr>
              <w:t>广州开发区科技和信息化局拨款 </w:t>
            </w:r>
            <w:r>
              <w:rPr>
                <w:rFonts w:ascii="Times New Roman" w:hAnsi="Times New Roman" w:cs="Times New Roman" w:eastAsia="Times New Roman" w:hint="default"/>
                <w:sz w:val="18"/>
                <w:szCs w:val="18"/>
              </w:rPr>
              <w:t>“</w:t>
            </w:r>
            <w:r>
              <w:rPr>
                <w:rFonts w:ascii="宋体" w:hAnsi="宋体" w:cs="宋体" w:eastAsia="宋体" w:hint="default"/>
                <w:sz w:val="18"/>
                <w:szCs w:val="18"/>
              </w:rPr>
              <w:t>社区安防工程</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基于物联网的 社区智能监测平台</w:t>
            </w:r>
            <w:r>
              <w:rPr>
                <w:rFonts w:ascii="Times New Roman" w:hAnsi="Times New Roman" w:cs="Times New Roman" w:eastAsia="Times New Roman" w:hint="default"/>
                <w:sz w:val="18"/>
                <w:szCs w:val="18"/>
              </w:rPr>
              <w:t>”</w:t>
            </w:r>
            <w:r>
              <w:rPr>
                <w:rFonts w:ascii="宋体" w:hAnsi="宋体" w:cs="宋体" w:eastAsia="宋体" w:hint="default"/>
                <w:sz w:val="18"/>
                <w:szCs w:val="18"/>
              </w:rPr>
              <w:t>科学技术经费</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171,798.11</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科技局划拨</w:t>
            </w:r>
            <w:r>
              <w:rPr>
                <w:rFonts w:ascii="Times New Roman" w:hAnsi="Times New Roman" w:cs="Times New Roman" w:eastAsia="Times New Roman" w:hint="default"/>
                <w:sz w:val="18"/>
                <w:szCs w:val="18"/>
              </w:rPr>
              <w:t>“</w:t>
            </w:r>
            <w:r>
              <w:rPr>
                <w:rFonts w:ascii="宋体" w:hAnsi="宋体" w:cs="宋体" w:eastAsia="宋体" w:hint="default"/>
                <w:sz w:val="18"/>
                <w:szCs w:val="18"/>
              </w:rPr>
              <w:t>创业板上市资助金</w:t>
            </w:r>
            <w:r>
              <w:rPr>
                <w:rFonts w:ascii="Times New Roman" w:hAnsi="Times New Roman" w:cs="Times New Roman" w:eastAsia="Times New Roman" w:hint="default"/>
                <w:sz w:val="18"/>
                <w:szCs w:val="18"/>
              </w:rPr>
              <w:t>”</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广州市扶持企业发展专项资金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就业工作先进集体奖励</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5,000.00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省现代信息服务业发展资金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1,293,405.00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3,512,964.45</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4,251,705.00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88"/>
        <w:jc w:val="left"/>
      </w:pPr>
      <w:r>
        <w:rPr/>
        <w:t>营业外收入说明</w:t>
      </w:r>
    </w:p>
    <w:p>
      <w:pPr>
        <w:pStyle w:val="BodyText"/>
        <w:spacing w:line="300" w:lineRule="auto" w:before="115"/>
        <w:ind w:right="97" w:firstLine="182"/>
        <w:jc w:val="left"/>
      </w:pPr>
      <w:r>
        <w:rPr/>
        <w:t>（</w:t>
      </w:r>
      <w:r>
        <w:rPr>
          <w:rFonts w:ascii="Times New Roman" w:hAnsi="Times New Roman" w:cs="Times New Roman" w:eastAsia="Times New Roman" w:hint="default"/>
        </w:rPr>
        <w:t>1</w:t>
      </w:r>
      <w:r>
        <w:rPr/>
        <w:t>）</w:t>
      </w:r>
      <w:r>
        <w:rPr>
          <w:spacing w:val="-32"/>
        </w:rPr>
        <w:t> </w:t>
      </w:r>
      <w:r>
        <w:rPr>
          <w:spacing w:val="-3"/>
        </w:rPr>
        <w:t>广州开发区科技和信息化局资助款是根据广州市科技和信息化局、广州市文化广电新闻出版局、广州市软件（动漫）</w:t>
      </w:r>
      <w:r>
        <w:rPr/>
        <w:t> </w:t>
      </w:r>
      <w:r>
        <w:rPr>
          <w:spacing w:val="-2"/>
        </w:rPr>
        <w:t>产业发展领导小组办公室、广州市财政局下发的《关于下达</w:t>
      </w:r>
      <w:r>
        <w:rPr>
          <w:rFonts w:ascii="Times New Roman" w:hAnsi="Times New Roman" w:cs="Times New Roman" w:eastAsia="Times New Roman" w:hint="default"/>
          <w:spacing w:val="-2"/>
        </w:rPr>
        <w:t>2011</w:t>
      </w:r>
      <w:r>
        <w:rPr>
          <w:spacing w:val="-2"/>
        </w:rPr>
        <w:t>年度第五批广州市软件（动漫）产业发展资金项目经费的通</w:t>
      </w:r>
      <w:r>
        <w:rPr>
          <w:spacing w:val="-60"/>
        </w:rPr>
        <w:t> </w:t>
      </w:r>
      <w:r>
        <w:rPr>
          <w:spacing w:val="-60"/>
        </w:rPr>
      </w:r>
      <w:r>
        <w:rPr/>
        <w:t>知》（穗科信字</w:t>
      </w:r>
      <w:r>
        <w:rPr>
          <w:rFonts w:ascii="Times New Roman" w:hAnsi="Times New Roman" w:cs="Times New Roman" w:eastAsia="Times New Roman" w:hint="default"/>
        </w:rPr>
        <w:t>[2011]315</w:t>
      </w:r>
      <w:r>
        <w:rPr/>
        <w:t>号）文件，对本公司在高级人才个人所得税给予人民币</w:t>
      </w:r>
      <w:r>
        <w:rPr>
          <w:rFonts w:ascii="Times New Roman" w:hAnsi="Times New Roman" w:cs="Times New Roman" w:eastAsia="Times New Roman" w:hint="default"/>
        </w:rPr>
        <w:t>179,838.00</w:t>
      </w:r>
      <w:r>
        <w:rPr/>
        <w:t>元，以及在重点软件和动漫企业 所得税给予</w:t>
      </w:r>
      <w:r>
        <w:rPr>
          <w:rFonts w:ascii="Times New Roman" w:hAnsi="Times New Roman" w:cs="Times New Roman" w:eastAsia="Times New Roman" w:hint="default"/>
        </w:rPr>
        <w:t>500,000.00</w:t>
      </w:r>
      <w:r>
        <w:rPr/>
        <w:t>元的资金奖励，合计资助款</w:t>
      </w:r>
      <w:r>
        <w:rPr>
          <w:rFonts w:ascii="Times New Roman" w:hAnsi="Times New Roman" w:cs="Times New Roman" w:eastAsia="Times New Roman" w:hint="default"/>
        </w:rPr>
        <w:t>679</w:t>
      </w:r>
      <w:r>
        <w:rPr>
          <w:rFonts w:ascii="Times New Roman" w:hAnsi="Times New Roman" w:cs="Times New Roman" w:eastAsia="Times New Roman" w:hint="default"/>
          <w:spacing w:val="-8"/>
        </w:rPr>
        <w:t> </w:t>
      </w:r>
      <w:r>
        <w:rPr>
          <w:rFonts w:ascii="Times New Roman" w:hAnsi="Times New Roman" w:cs="Times New Roman" w:eastAsia="Times New Roman" w:hint="default"/>
        </w:rPr>
        <w:t>,838.00</w:t>
      </w:r>
      <w:r>
        <w:rPr/>
        <w:t>元。本公司已与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6</w:t>
      </w:r>
      <w:r>
        <w:rPr/>
        <w:t>日收到资金资助</w:t>
      </w:r>
      <w:r>
        <w:rPr>
          <w:rFonts w:ascii="Times New Roman" w:hAnsi="Times New Roman" w:cs="Times New Roman" w:eastAsia="Times New Roman" w:hint="default"/>
        </w:rPr>
        <w:t>679,838.00</w:t>
      </w:r>
      <w:r>
        <w:rPr/>
        <w:t>元。</w:t>
      </w:r>
    </w:p>
    <w:p>
      <w:pPr>
        <w:spacing w:after="0" w:line="300" w:lineRule="auto"/>
        <w:jc w:val="left"/>
        <w:sectPr>
          <w:pgSz w:w="11910" w:h="16840"/>
          <w:pgMar w:header="0" w:footer="1227" w:top="1100" w:bottom="1420" w:left="980" w:right="9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408" w:lineRule="auto"/>
        <w:ind w:right="191" w:firstLine="216"/>
        <w:jc w:val="both"/>
      </w:pPr>
      <w:r>
        <w:rPr/>
        <w:t>（</w:t>
      </w:r>
      <w:r>
        <w:rPr>
          <w:rFonts w:ascii="宋体" w:hAnsi="宋体" w:cs="宋体" w:eastAsia="宋体" w:hint="default"/>
        </w:rPr>
        <w:t>2</w:t>
      </w:r>
      <w:r>
        <w:rPr/>
        <w:t>）</w:t>
      </w:r>
      <w:r>
        <w:rPr>
          <w:spacing w:val="45"/>
        </w:rPr>
        <w:t> </w:t>
      </w:r>
      <w:r>
        <w:rPr>
          <w:rFonts w:ascii="宋体" w:hAnsi="宋体" w:cs="宋体" w:eastAsia="宋体" w:hint="default"/>
        </w:rPr>
        <w:t>2011</w:t>
      </w:r>
      <w:r>
        <w:rPr/>
        <w:t>年市民营企业奖励专项资金是根据广州市经济贸易委员会、广州市财政局下发的《关于下达</w:t>
      </w:r>
      <w:r>
        <w:rPr>
          <w:rFonts w:ascii="宋体" w:hAnsi="宋体" w:cs="宋体" w:eastAsia="宋体" w:hint="default"/>
        </w:rPr>
        <w:t>2011</w:t>
      </w:r>
      <w:r>
        <w:rPr/>
        <w:t>年市民营企 </w:t>
      </w:r>
      <w:r>
        <w:rPr>
          <w:spacing w:val="-2"/>
        </w:rPr>
        <w:t>业奖励专项资金计划的通知》（穗经贸函</w:t>
      </w:r>
      <w:r>
        <w:rPr>
          <w:rFonts w:ascii="宋体" w:hAnsi="宋体" w:cs="宋体" w:eastAsia="宋体" w:hint="default"/>
          <w:spacing w:val="-2"/>
        </w:rPr>
        <w:t>[2012]1043</w:t>
      </w:r>
      <w:r>
        <w:rPr>
          <w:spacing w:val="-2"/>
        </w:rPr>
        <w:t>号）文件，对本公司符合民营企业奖励专项资金申请资格，给予发放民</w:t>
      </w:r>
      <w:r>
        <w:rPr>
          <w:spacing w:val="-60"/>
        </w:rPr>
        <w:t> </w:t>
      </w:r>
      <w:r>
        <w:rPr>
          <w:spacing w:val="-60"/>
        </w:rPr>
      </w:r>
      <w:r>
        <w:rPr/>
        <w:t>营企业奖励专项资金</w:t>
      </w:r>
      <w:r>
        <w:rPr>
          <w:rFonts w:ascii="宋体" w:hAnsi="宋体" w:cs="宋体" w:eastAsia="宋体" w:hint="default"/>
        </w:rPr>
        <w:t>650,000.00</w:t>
      </w:r>
      <w:r>
        <w:rPr/>
        <w:t>元，本公司已于</w:t>
      </w:r>
      <w:r>
        <w:rPr>
          <w:rFonts w:ascii="宋体" w:hAnsi="宋体" w:cs="宋体" w:eastAsia="宋体" w:hint="default"/>
        </w:rPr>
        <w:t>2012</w:t>
      </w:r>
      <w:r>
        <w:rPr/>
        <w:t>年</w:t>
      </w:r>
      <w:r>
        <w:rPr>
          <w:rFonts w:ascii="宋体" w:hAnsi="宋体" w:cs="宋体" w:eastAsia="宋体" w:hint="default"/>
        </w:rPr>
        <w:t>11</w:t>
      </w:r>
      <w:r>
        <w:rPr/>
        <w:t>月</w:t>
      </w:r>
      <w:r>
        <w:rPr>
          <w:rFonts w:ascii="宋体" w:hAnsi="宋体" w:cs="宋体" w:eastAsia="宋体" w:hint="default"/>
        </w:rPr>
        <w:t>30</w:t>
      </w:r>
      <w:r>
        <w:rPr/>
        <w:t>日收到民营企业奖励专项资金</w:t>
      </w:r>
      <w:r>
        <w:rPr>
          <w:rFonts w:ascii="宋体" w:hAnsi="宋体" w:cs="宋体" w:eastAsia="宋体" w:hint="default"/>
        </w:rPr>
        <w:t>650,000.00</w:t>
      </w:r>
      <w:r>
        <w:rPr/>
        <w:t>元。</w:t>
      </w:r>
    </w:p>
    <w:p>
      <w:pPr>
        <w:pStyle w:val="BodyText"/>
        <w:spacing w:line="408" w:lineRule="auto" w:before="39"/>
        <w:ind w:right="94" w:firstLine="182"/>
        <w:jc w:val="left"/>
      </w:pPr>
      <w:r>
        <w:rPr>
          <w:spacing w:val="-3"/>
        </w:rPr>
        <w:t>（</w:t>
      </w:r>
      <w:r>
        <w:rPr>
          <w:rFonts w:ascii="宋体" w:hAnsi="宋体" w:cs="宋体" w:eastAsia="宋体" w:hint="default"/>
          <w:spacing w:val="-3"/>
        </w:rPr>
        <w:t>3</w:t>
      </w:r>
      <w:r>
        <w:rPr>
          <w:spacing w:val="-3"/>
        </w:rPr>
        <w:t>）</w:t>
      </w:r>
      <w:r>
        <w:rPr>
          <w:rFonts w:ascii="宋体" w:hAnsi="宋体" w:cs="宋体" w:eastAsia="宋体" w:hint="default"/>
          <w:spacing w:val="-3"/>
        </w:rPr>
        <w:t>2012</w:t>
      </w:r>
      <w:r>
        <w:rPr>
          <w:spacing w:val="-3"/>
        </w:rPr>
        <w:t>年市民营企业奖励专项资金是根据广州市经济贸易委员会、广州市财政局下发的《市经贸委财政局关于下达</w:t>
      </w:r>
      <w:r>
        <w:rPr>
          <w:rFonts w:ascii="宋体" w:hAnsi="宋体" w:cs="宋体" w:eastAsia="宋体" w:hint="default"/>
          <w:spacing w:val="-3"/>
        </w:rPr>
        <w:t>2012</w:t>
      </w:r>
      <w:r>
        <w:rPr>
          <w:rFonts w:ascii="宋体" w:hAnsi="宋体" w:cs="宋体" w:eastAsia="宋体" w:hint="default"/>
        </w:rPr>
        <w:t> </w:t>
      </w:r>
      <w:r>
        <w:rPr>
          <w:spacing w:val="-3"/>
        </w:rPr>
        <w:t>年市民营企业奖励专项资金计划的通知》（穗经贸函</w:t>
      </w:r>
      <w:r>
        <w:rPr>
          <w:rFonts w:ascii="宋体" w:hAnsi="宋体" w:cs="宋体" w:eastAsia="宋体" w:hint="default"/>
          <w:spacing w:val="-3"/>
        </w:rPr>
        <w:t>[2012]1393</w:t>
      </w:r>
      <w:r>
        <w:rPr>
          <w:spacing w:val="-3"/>
        </w:rPr>
        <w:t>号）文件，认定本公司符合民营企业奖励专项资金申请资格，</w:t>
      </w:r>
      <w:r>
        <w:rPr>
          <w:spacing w:val="-88"/>
        </w:rPr>
        <w:t> </w:t>
      </w:r>
      <w:r>
        <w:rPr>
          <w:spacing w:val="-88"/>
        </w:rPr>
      </w:r>
      <w:r>
        <w:rPr/>
        <w:t>给予发放民营企业奖励专项资金</w:t>
      </w:r>
      <w:r>
        <w:rPr>
          <w:rFonts w:ascii="宋体" w:hAnsi="宋体" w:cs="宋体" w:eastAsia="宋体" w:hint="default"/>
        </w:rPr>
        <w:t>500,000.00</w:t>
      </w:r>
      <w:r>
        <w:rPr/>
        <w:t>元，本公司在</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28</w:t>
      </w:r>
      <w:r>
        <w:rPr/>
        <w:t>日收到民营企业奖励专项资金</w:t>
      </w:r>
      <w:r>
        <w:rPr>
          <w:rFonts w:ascii="宋体" w:hAnsi="宋体" w:cs="宋体" w:eastAsia="宋体" w:hint="default"/>
        </w:rPr>
        <w:t>500,000.00</w:t>
      </w:r>
      <w:r>
        <w:rPr/>
        <w:t>元。</w:t>
      </w:r>
    </w:p>
    <w:p>
      <w:pPr>
        <w:pStyle w:val="BodyText"/>
        <w:spacing w:line="408" w:lineRule="auto" w:before="39"/>
        <w:ind w:right="187" w:firstLine="182"/>
        <w:jc w:val="both"/>
      </w:pPr>
      <w:r>
        <w:rPr/>
        <w:t>（</w:t>
      </w:r>
      <w:r>
        <w:rPr>
          <w:rFonts w:ascii="宋体" w:hAnsi="宋体" w:cs="宋体" w:eastAsia="宋体" w:hint="default"/>
        </w:rPr>
        <w:t>4</w:t>
      </w:r>
      <w:r>
        <w:rPr/>
        <w:t>）开发区拔付市科技局项目及重点软件企业奖励是根据广州市科技和信息化局、广州市财政局下发的《关于下达</w:t>
      </w:r>
      <w:r>
        <w:rPr>
          <w:rFonts w:ascii="宋体" w:hAnsi="宋体" w:cs="宋体" w:eastAsia="宋体" w:hint="default"/>
        </w:rPr>
        <w:t>2012 </w:t>
      </w:r>
      <w:r>
        <w:rPr/>
        <w:t>年第二批广州市软件和信息服务业发展专项资金的通知》（穗科信字</w:t>
      </w:r>
      <w:r>
        <w:rPr>
          <w:rFonts w:ascii="宋体" w:hAnsi="宋体" w:cs="宋体" w:eastAsia="宋体" w:hint="default"/>
        </w:rPr>
        <w:t>[2012]321</w:t>
      </w:r>
      <w:r>
        <w:rPr/>
        <w:t>号）文件，认定本公司符合重点软件企业所</w:t>
      </w:r>
      <w:r>
        <w:rPr>
          <w:spacing w:val="-86"/>
        </w:rPr>
        <w:t> </w:t>
      </w:r>
      <w:r>
        <w:rPr>
          <w:spacing w:val="-86"/>
        </w:rPr>
      </w:r>
      <w:r>
        <w:rPr>
          <w:spacing w:val="4"/>
        </w:rPr>
        <w:t>得税奖励、高级人才个人所得税奖励的要求，给予发放专项资金</w:t>
      </w:r>
      <w:r>
        <w:rPr>
          <w:rFonts w:ascii="宋体" w:hAnsi="宋体" w:cs="宋体" w:eastAsia="宋体" w:hint="default"/>
          <w:spacing w:val="4"/>
        </w:rPr>
        <w:t>989,719.00</w:t>
      </w:r>
      <w:r>
        <w:rPr>
          <w:spacing w:val="4"/>
        </w:rPr>
        <w:t>元，本公司在</w:t>
      </w:r>
      <w:r>
        <w:rPr>
          <w:rFonts w:ascii="宋体" w:hAnsi="宋体" w:cs="宋体" w:eastAsia="宋体" w:hint="default"/>
          <w:spacing w:val="4"/>
        </w:rPr>
        <w:t>2012</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18</w:t>
      </w:r>
      <w:r>
        <w:rPr>
          <w:spacing w:val="4"/>
        </w:rPr>
        <w:t>日收到专项资金</w:t>
      </w:r>
      <w:r>
        <w:rPr>
          <w:spacing w:val="-72"/>
        </w:rPr>
        <w:t> </w:t>
      </w:r>
      <w:r>
        <w:rPr>
          <w:spacing w:val="-72"/>
        </w:rPr>
      </w:r>
      <w:r>
        <w:rPr>
          <w:rFonts w:ascii="宋体" w:hAnsi="宋体" w:cs="宋体" w:eastAsia="宋体" w:hint="default"/>
        </w:rPr>
        <w:t>989,719.00</w:t>
      </w:r>
      <w:r>
        <w:rPr/>
        <w:t>元。</w:t>
      </w:r>
    </w:p>
    <w:p>
      <w:pPr>
        <w:pStyle w:val="BodyText"/>
        <w:spacing w:line="451" w:lineRule="auto"/>
        <w:ind w:right="191" w:firstLine="274"/>
        <w:jc w:val="both"/>
      </w:pPr>
      <w:r>
        <w:rPr>
          <w:spacing w:val="-2"/>
        </w:rPr>
        <w:t>（</w:t>
      </w:r>
      <w:r>
        <w:rPr>
          <w:rFonts w:ascii="Times New Roman" w:hAnsi="Times New Roman" w:cs="Times New Roman" w:eastAsia="Times New Roman" w:hint="default"/>
          <w:spacing w:val="-2"/>
        </w:rPr>
        <w:t>5</w:t>
      </w:r>
      <w:r>
        <w:rPr>
          <w:spacing w:val="-2"/>
        </w:rPr>
        <w:t>）广州开发区科技和信息化局对</w:t>
      </w:r>
      <w:r>
        <w:rPr>
          <w:rFonts w:ascii="Times New Roman" w:hAnsi="Times New Roman" w:cs="Times New Roman" w:eastAsia="Times New Roman" w:hint="default"/>
          <w:spacing w:val="-2"/>
        </w:rPr>
        <w:t>“</w:t>
      </w:r>
      <w:r>
        <w:rPr>
          <w:spacing w:val="-2"/>
        </w:rPr>
        <w:t>基于无线射频的智能家居系统</w:t>
      </w:r>
      <w:r>
        <w:rPr>
          <w:rFonts w:ascii="Times New Roman" w:hAnsi="Times New Roman" w:cs="Times New Roman" w:eastAsia="Times New Roman" w:hint="default"/>
          <w:spacing w:val="-2"/>
        </w:rPr>
        <w:t>”</w:t>
      </w:r>
      <w:r>
        <w:rPr>
          <w:spacing w:val="-2"/>
        </w:rPr>
        <w:t>项目支助是根据科技和信息化局下发的《关于对广东</w:t>
      </w:r>
      <w:r>
        <w:rPr/>
        <w:t> 安居宝数码科技股份有限公司市级科技计划项目资金配套的批复》（穗开科资</w:t>
      </w:r>
      <w:r>
        <w:rPr>
          <w:rFonts w:ascii="Times New Roman" w:hAnsi="Times New Roman" w:cs="Times New Roman" w:eastAsia="Times New Roman" w:hint="default"/>
        </w:rPr>
        <w:t>[2012]209</w:t>
      </w:r>
      <w:r>
        <w:rPr/>
        <w:t>号）文件，对本公司基于无线射频</w:t>
      </w:r>
      <w:r>
        <w:rPr>
          <w:spacing w:val="-29"/>
        </w:rPr>
        <w:t> </w:t>
      </w:r>
      <w:r>
        <w:rPr>
          <w:spacing w:val="-29"/>
        </w:rPr>
      </w:r>
      <w:r>
        <w:rPr>
          <w:spacing w:val="-2"/>
        </w:rPr>
        <w:t>的智能家居系统关键技术研究及产业化科技攻关专项，给予发放科技经费</w:t>
      </w:r>
      <w:r>
        <w:rPr>
          <w:rFonts w:ascii="Times New Roman" w:hAnsi="Times New Roman" w:cs="Times New Roman" w:eastAsia="Times New Roman" w:hint="default"/>
          <w:spacing w:val="-2"/>
        </w:rPr>
        <w:t>210,000.00</w:t>
      </w:r>
      <w:r>
        <w:rPr>
          <w:spacing w:val="-2"/>
        </w:rPr>
        <w:t>元，本公司已于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17</w:t>
      </w:r>
      <w:r>
        <w:rPr>
          <w:spacing w:val="-2"/>
        </w:rPr>
        <w:t>日收到第一</w:t>
      </w:r>
      <w:r>
        <w:rPr>
          <w:spacing w:val="-52"/>
        </w:rPr>
        <w:t> </w:t>
      </w:r>
      <w:r>
        <w:rPr>
          <w:spacing w:val="-52"/>
        </w:rPr>
      </w:r>
      <w:r>
        <w:rPr/>
        <w:t>期科技经费</w:t>
      </w:r>
      <w:r>
        <w:rPr>
          <w:rFonts w:ascii="Times New Roman" w:hAnsi="Times New Roman" w:cs="Times New Roman" w:eastAsia="Times New Roman" w:hint="default"/>
        </w:rPr>
        <w:t>147,000.00</w:t>
      </w:r>
      <w:r>
        <w:rPr/>
        <w:t>元（占总科技经费的</w:t>
      </w:r>
      <w:r>
        <w:rPr>
          <w:rFonts w:ascii="Times New Roman" w:hAnsi="Times New Roman" w:cs="Times New Roman" w:eastAsia="Times New Roman" w:hint="default"/>
        </w:rPr>
        <w:t>70%</w:t>
      </w:r>
      <w:r>
        <w:rPr/>
        <w:t>），其中计入营业外收入</w:t>
      </w:r>
      <w:r>
        <w:rPr>
          <w:rFonts w:ascii="Times New Roman" w:hAnsi="Times New Roman" w:cs="Times New Roman" w:eastAsia="Times New Roman" w:hint="default"/>
        </w:rPr>
        <w:t>105,031.86</w:t>
      </w:r>
      <w:r>
        <w:rPr/>
        <w:t>元，递延收益</w:t>
      </w:r>
      <w:r>
        <w:rPr>
          <w:rFonts w:ascii="Times New Roman" w:hAnsi="Times New Roman" w:cs="Times New Roman" w:eastAsia="Times New Roman" w:hint="default"/>
        </w:rPr>
        <w:t>41,968.14</w:t>
      </w:r>
      <w:r>
        <w:rPr/>
        <w:t>元。</w:t>
      </w:r>
    </w:p>
    <w:p>
      <w:pPr>
        <w:pStyle w:val="BodyText"/>
        <w:spacing w:line="451" w:lineRule="auto" w:before="43"/>
        <w:ind w:right="191" w:firstLine="216"/>
        <w:jc w:val="both"/>
      </w:pPr>
      <w:r>
        <w:rPr>
          <w:spacing w:val="-4"/>
        </w:rPr>
        <w:t>（</w:t>
      </w:r>
      <w:r>
        <w:rPr>
          <w:rFonts w:ascii="Times New Roman" w:hAnsi="Times New Roman" w:cs="Times New Roman" w:eastAsia="Times New Roman" w:hint="default"/>
          <w:spacing w:val="-4"/>
        </w:rPr>
        <w:t>6</w:t>
      </w:r>
      <w:r>
        <w:rPr>
          <w:spacing w:val="-4"/>
        </w:rPr>
        <w:t>）广州开发区科技和信息化局拨款社区安防工程科学技术经费是根据广州市科技和信息化局、广州市财政局下发的《关</w:t>
      </w:r>
      <w:r>
        <w:rPr/>
        <w:t> 于下达</w:t>
      </w:r>
      <w:r>
        <w:rPr>
          <w:rFonts w:ascii="Times New Roman" w:hAnsi="Times New Roman" w:cs="Times New Roman" w:eastAsia="Times New Roman" w:hint="default"/>
        </w:rPr>
        <w:t>2012</w:t>
      </w:r>
      <w:r>
        <w:rPr/>
        <w:t>第三批科学技术经费的通知》（穗科信字</w:t>
      </w:r>
      <w:r>
        <w:rPr>
          <w:rFonts w:ascii="Times New Roman" w:hAnsi="Times New Roman" w:cs="Times New Roman" w:eastAsia="Times New Roman" w:hint="default"/>
        </w:rPr>
        <w:t>[2012]150</w:t>
      </w:r>
      <w:r>
        <w:rPr/>
        <w:t>号）文件，对本公司基于广州市社区安防工程技术研究开发</w:t>
      </w:r>
      <w:r>
        <w:rPr>
          <w:spacing w:val="-36"/>
        </w:rPr>
        <w:t> </w:t>
      </w:r>
      <w:r>
        <w:rPr>
          <w:spacing w:val="-36"/>
        </w:rPr>
      </w:r>
      <w:r>
        <w:rPr>
          <w:spacing w:val="-2"/>
        </w:rPr>
        <w:t>中心（项目编号</w:t>
      </w:r>
      <w:r>
        <w:rPr>
          <w:rFonts w:ascii="Times New Roman" w:hAnsi="Times New Roman" w:cs="Times New Roman" w:eastAsia="Times New Roman" w:hint="default"/>
          <w:spacing w:val="-2"/>
        </w:rPr>
        <w:t>2012J3300011</w:t>
      </w:r>
      <w:r>
        <w:rPr>
          <w:spacing w:val="-2"/>
        </w:rPr>
        <w:t>）的企业工程中心专项资金，给予发放科学经费</w:t>
      </w:r>
      <w:r>
        <w:rPr>
          <w:rFonts w:ascii="Times New Roman" w:hAnsi="Times New Roman" w:cs="Times New Roman" w:eastAsia="Times New Roman" w:hint="default"/>
          <w:spacing w:val="-2"/>
        </w:rPr>
        <w:t>250,000.00</w:t>
      </w:r>
      <w:r>
        <w:rPr>
          <w:spacing w:val="-2"/>
        </w:rPr>
        <w:t>元，本公司在</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25</w:t>
      </w:r>
      <w:r>
        <w:rPr>
          <w:spacing w:val="-2"/>
        </w:rPr>
        <w:t>日收到专</w:t>
      </w:r>
      <w:r>
        <w:rPr>
          <w:spacing w:val="-27"/>
        </w:rPr>
        <w:t> </w:t>
      </w:r>
      <w:r>
        <w:rPr>
          <w:spacing w:val="-27"/>
        </w:rPr>
      </w:r>
      <w:r>
        <w:rPr/>
        <w:t>项资金</w:t>
      </w:r>
      <w:r>
        <w:rPr>
          <w:rFonts w:ascii="Times New Roman" w:hAnsi="Times New Roman" w:cs="Times New Roman" w:eastAsia="Times New Roman" w:hint="default"/>
        </w:rPr>
        <w:t>250,000.00</w:t>
      </w:r>
      <w:r>
        <w:rPr/>
        <w:t>元，其中计入营业外收入</w:t>
      </w:r>
      <w:r>
        <w:rPr>
          <w:rFonts w:ascii="Times New Roman" w:hAnsi="Times New Roman" w:cs="Times New Roman" w:eastAsia="Times New Roman" w:hint="default"/>
        </w:rPr>
        <w:t>201,962.25</w:t>
      </w:r>
      <w:r>
        <w:rPr/>
        <w:t>元，递延收益</w:t>
      </w:r>
      <w:r>
        <w:rPr>
          <w:rFonts w:ascii="Times New Roman" w:hAnsi="Times New Roman" w:cs="Times New Roman" w:eastAsia="Times New Roman" w:hint="default"/>
        </w:rPr>
        <w:t>48,037.75</w:t>
      </w:r>
      <w:r>
        <w:rPr/>
        <w:t>元。</w:t>
      </w:r>
    </w:p>
    <w:p>
      <w:pPr>
        <w:pStyle w:val="BodyText"/>
        <w:spacing w:line="451" w:lineRule="auto" w:before="43"/>
        <w:ind w:right="186" w:firstLine="274"/>
        <w:jc w:val="both"/>
      </w:pPr>
      <w:r>
        <w:rPr>
          <w:spacing w:val="-2"/>
        </w:rPr>
        <w:t>（</w:t>
      </w:r>
      <w:r>
        <w:rPr>
          <w:rFonts w:ascii="Times New Roman" w:hAnsi="Times New Roman" w:cs="Times New Roman" w:eastAsia="Times New Roman" w:hint="default"/>
          <w:spacing w:val="-2"/>
        </w:rPr>
        <w:t>7</w:t>
      </w:r>
      <w:r>
        <w:rPr>
          <w:spacing w:val="-2"/>
        </w:rPr>
        <w:t>）科信局</w:t>
      </w:r>
      <w:r>
        <w:rPr>
          <w:rFonts w:ascii="Times New Roman" w:hAnsi="Times New Roman" w:cs="Times New Roman" w:eastAsia="Times New Roman" w:hint="default"/>
          <w:spacing w:val="-2"/>
        </w:rPr>
        <w:t>“</w:t>
      </w:r>
      <w:r>
        <w:rPr>
          <w:spacing w:val="-2"/>
        </w:rPr>
        <w:t>基于物联网的社区智能监测平台</w:t>
      </w:r>
      <w:r>
        <w:rPr>
          <w:rFonts w:ascii="Times New Roman" w:hAnsi="Times New Roman" w:cs="Times New Roman" w:eastAsia="Times New Roman" w:hint="default"/>
          <w:spacing w:val="-2"/>
        </w:rPr>
        <w:t>”</w:t>
      </w:r>
      <w:r>
        <w:rPr>
          <w:spacing w:val="-2"/>
        </w:rPr>
        <w:t>科学技术经费是根据广州市科技和信息化局、广州市财政局下发的《关于</w:t>
      </w:r>
      <w:r>
        <w:rPr/>
        <w:t> </w:t>
      </w:r>
      <w:r>
        <w:rPr>
          <w:spacing w:val="-2"/>
        </w:rPr>
        <w:t>下达</w:t>
      </w:r>
      <w:r>
        <w:rPr>
          <w:rFonts w:ascii="Times New Roman" w:hAnsi="Times New Roman" w:cs="Times New Roman" w:eastAsia="Times New Roman" w:hint="default"/>
          <w:spacing w:val="-2"/>
        </w:rPr>
        <w:t>2012</w:t>
      </w:r>
      <w:r>
        <w:rPr>
          <w:spacing w:val="-2"/>
        </w:rPr>
        <w:t>年第七批科学技术经费的通知》（穗科信字</w:t>
      </w:r>
      <w:r>
        <w:rPr>
          <w:rFonts w:ascii="Times New Roman" w:hAnsi="Times New Roman" w:cs="Times New Roman" w:eastAsia="Times New Roman" w:hint="default"/>
          <w:spacing w:val="-2"/>
        </w:rPr>
        <w:t>[2012]195</w:t>
      </w:r>
      <w:r>
        <w:rPr>
          <w:spacing w:val="-2"/>
        </w:rPr>
        <w:t>号）文件，对本公司基于物联网的社区智能检测平台</w:t>
      </w:r>
      <w:r>
        <w:rPr/>
        <w:t> </w:t>
      </w:r>
      <w:r>
        <w:rPr>
          <w:rFonts w:ascii="Times New Roman" w:hAnsi="Times New Roman" w:cs="Times New Roman" w:eastAsia="Times New Roman" w:hint="default"/>
        </w:rPr>
        <w:t>(</w:t>
      </w:r>
      <w:r>
        <w:rPr/>
        <w:t>项目编</w:t>
      </w:r>
      <w:r>
        <w:rPr>
          <w:spacing w:val="-64"/>
        </w:rPr>
        <w:t> </w:t>
      </w:r>
      <w:r>
        <w:rPr/>
        <w:t>号</w:t>
      </w:r>
      <w:r>
        <w:rPr>
          <w:rFonts w:ascii="Times New Roman" w:hAnsi="Times New Roman" w:cs="Times New Roman" w:eastAsia="Times New Roman" w:hint="default"/>
        </w:rPr>
        <w:t>2012J4300030)</w:t>
      </w:r>
      <w:r>
        <w:rPr>
          <w:rFonts w:ascii="Times New Roman" w:hAnsi="Times New Roman" w:cs="Times New Roman" w:eastAsia="Times New Roman" w:hint="default"/>
          <w:spacing w:val="10"/>
        </w:rPr>
        <w:t> </w:t>
      </w:r>
      <w:r>
        <w:rPr/>
        <w:t>科技攻关专项，给予发放科技经费</w:t>
      </w:r>
      <w:r>
        <w:rPr>
          <w:rFonts w:ascii="Times New Roman" w:hAnsi="Times New Roman" w:cs="Times New Roman" w:eastAsia="Times New Roman" w:hint="default"/>
        </w:rPr>
        <w:t>250,000.00</w:t>
      </w:r>
      <w:r>
        <w:rPr/>
        <w:t>元，本公司在</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日收到科技经费</w:t>
      </w:r>
      <w:r>
        <w:rPr>
          <w:rFonts w:ascii="Times New Roman" w:hAnsi="Times New Roman" w:cs="Times New Roman" w:eastAsia="Times New Roman" w:hint="default"/>
        </w:rPr>
        <w:t>250,000.00</w:t>
      </w:r>
      <w:r>
        <w:rPr/>
        <w:t>元。其中 计入营业外收入</w:t>
      </w:r>
      <w:r>
        <w:rPr>
          <w:rFonts w:ascii="Times New Roman" w:hAnsi="Times New Roman" w:cs="Times New Roman" w:eastAsia="Times New Roman" w:hint="default"/>
        </w:rPr>
        <w:t>170,000.00</w:t>
      </w:r>
      <w:r>
        <w:rPr/>
        <w:t>元，递延收益</w:t>
      </w:r>
      <w:r>
        <w:rPr>
          <w:rFonts w:ascii="Times New Roman" w:hAnsi="Times New Roman" w:cs="Times New Roman" w:eastAsia="Times New Roman" w:hint="default"/>
        </w:rPr>
        <w:t>80,000.00</w:t>
      </w:r>
      <w:r>
        <w:rPr/>
        <w:t>元。</w:t>
      </w:r>
    </w:p>
    <w:p>
      <w:pPr>
        <w:pStyle w:val="BodyText"/>
        <w:spacing w:line="451" w:lineRule="auto" w:before="43"/>
        <w:ind w:right="188" w:firstLine="274"/>
        <w:jc w:val="both"/>
      </w:pPr>
      <w:r>
        <w:rPr>
          <w:spacing w:val="-1"/>
        </w:rPr>
        <w:t>（</w:t>
      </w:r>
      <w:r>
        <w:rPr>
          <w:rFonts w:ascii="Times New Roman" w:hAnsi="Times New Roman" w:cs="Times New Roman" w:eastAsia="Times New Roman" w:hint="default"/>
          <w:spacing w:val="-1"/>
        </w:rPr>
        <w:t>8</w:t>
      </w:r>
      <w:r>
        <w:rPr>
          <w:spacing w:val="-1"/>
        </w:rPr>
        <w:t>）广州开发区科技和信息化局拨款</w:t>
      </w:r>
      <w:r>
        <w:rPr>
          <w:rFonts w:ascii="Times New Roman" w:hAnsi="Times New Roman" w:cs="Times New Roman" w:eastAsia="Times New Roman" w:hint="default"/>
          <w:spacing w:val="-1"/>
        </w:rPr>
        <w:t>“</w:t>
      </w:r>
      <w:r>
        <w:rPr>
          <w:spacing w:val="-1"/>
        </w:rPr>
        <w:t>社区安防工程</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基于物联网的社区智能监测平台</w:t>
      </w:r>
      <w:r>
        <w:rPr>
          <w:rFonts w:ascii="Times New Roman" w:hAnsi="Times New Roman" w:cs="Times New Roman" w:eastAsia="Times New Roman" w:hint="default"/>
          <w:spacing w:val="-1"/>
        </w:rPr>
        <w:t>”</w:t>
      </w:r>
      <w:r>
        <w:rPr>
          <w:spacing w:val="-1"/>
        </w:rPr>
        <w:t>科学技术经费是根据科技和信</w:t>
      </w:r>
      <w:r>
        <w:rPr/>
        <w:t> 息化局下发的《关于对广东安居宝数码科技股份有限公司市级科技技术项目资金配套的批复》（穗开科资</w:t>
      </w:r>
      <w:r>
        <w:rPr>
          <w:rFonts w:ascii="Times New Roman" w:hAnsi="Times New Roman" w:cs="Times New Roman" w:eastAsia="Times New Roman" w:hint="default"/>
        </w:rPr>
        <w:t>[2012]657</w:t>
      </w:r>
      <w:r>
        <w:rPr/>
        <w:t>号）文</w:t>
      </w:r>
      <w:r>
        <w:rPr>
          <w:spacing w:val="-28"/>
        </w:rPr>
        <w:t> </w:t>
      </w:r>
      <w:r>
        <w:rPr/>
        <w:t>件和（穗开科资</w:t>
      </w:r>
      <w:r>
        <w:rPr>
          <w:rFonts w:ascii="Times New Roman" w:hAnsi="Times New Roman" w:cs="Times New Roman" w:eastAsia="Times New Roman" w:hint="default"/>
        </w:rPr>
        <w:t>[2012]656</w:t>
      </w:r>
      <w:r>
        <w:rPr/>
        <w:t>号）文件，认定本公司符合广州市社区安防工程技术研究开发中心、基于物联网的社区职能检测</w:t>
      </w:r>
      <w:r>
        <w:rPr>
          <w:spacing w:val="-35"/>
        </w:rPr>
        <w:t> </w:t>
      </w:r>
      <w:r>
        <w:rPr>
          <w:spacing w:val="-35"/>
        </w:rPr>
      </w:r>
      <w:r>
        <w:rPr>
          <w:spacing w:val="-2"/>
        </w:rPr>
        <w:t>平台立项要求，分别给予发放科技发展资金</w:t>
      </w:r>
      <w:r>
        <w:rPr>
          <w:rFonts w:ascii="Times New Roman" w:hAnsi="Times New Roman" w:cs="Times New Roman" w:eastAsia="Times New Roman" w:hint="default"/>
          <w:spacing w:val="-2"/>
        </w:rPr>
        <w:t>125,000.00</w:t>
      </w:r>
      <w:r>
        <w:rPr>
          <w:spacing w:val="-2"/>
        </w:rPr>
        <w:t>元和</w:t>
      </w:r>
      <w:r>
        <w:rPr>
          <w:rFonts w:ascii="Times New Roman" w:hAnsi="Times New Roman" w:cs="Times New Roman" w:eastAsia="Times New Roman" w:hint="default"/>
          <w:spacing w:val="-2"/>
        </w:rPr>
        <w:t>75,000.00</w:t>
      </w:r>
      <w:r>
        <w:rPr>
          <w:spacing w:val="-2"/>
        </w:rPr>
        <w:t>元，合计</w:t>
      </w:r>
      <w:r>
        <w:rPr>
          <w:rFonts w:ascii="Times New Roman" w:hAnsi="Times New Roman" w:cs="Times New Roman" w:eastAsia="Times New Roman" w:hint="default"/>
          <w:spacing w:val="-2"/>
        </w:rPr>
        <w:t>200,000.00</w:t>
      </w:r>
      <w:r>
        <w:rPr>
          <w:spacing w:val="-2"/>
        </w:rPr>
        <w:t>元。本公司在</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15</w:t>
      </w:r>
      <w:r>
        <w:rPr>
          <w:spacing w:val="-2"/>
        </w:rPr>
        <w:t>日收到科</w:t>
      </w:r>
      <w:r>
        <w:rPr>
          <w:spacing w:val="-37"/>
        </w:rPr>
        <w:t> </w:t>
      </w:r>
      <w:r>
        <w:rPr>
          <w:spacing w:val="-37"/>
        </w:rPr>
      </w:r>
      <w:r>
        <w:rPr/>
        <w:t>技发展资金</w:t>
      </w:r>
      <w:r>
        <w:rPr>
          <w:rFonts w:ascii="Times New Roman" w:hAnsi="Times New Roman" w:cs="Times New Roman" w:eastAsia="Times New Roman" w:hint="default"/>
        </w:rPr>
        <w:t>,</w:t>
      </w:r>
      <w:r>
        <w:rPr/>
        <w:t>其中计入营业外收入</w:t>
      </w:r>
      <w:r>
        <w:rPr>
          <w:rFonts w:ascii="Times New Roman" w:hAnsi="Times New Roman" w:cs="Times New Roman" w:eastAsia="Times New Roman" w:hint="default"/>
        </w:rPr>
        <w:t>171,798.11</w:t>
      </w:r>
      <w:r>
        <w:rPr/>
        <w:t>元，递延收益</w:t>
      </w:r>
      <w:r>
        <w:rPr>
          <w:rFonts w:ascii="Times New Roman" w:hAnsi="Times New Roman" w:cs="Times New Roman" w:eastAsia="Times New Roman" w:hint="default"/>
        </w:rPr>
        <w:t>28,201.89</w:t>
      </w:r>
      <w:r>
        <w:rPr/>
        <w:t>元。</w:t>
      </w:r>
    </w:p>
    <w:p>
      <w:pPr>
        <w:spacing w:line="240" w:lineRule="auto" w:before="8"/>
        <w:rPr>
          <w:rFonts w:ascii="宋体" w:hAnsi="宋体" w:cs="宋体" w:eastAsia="宋体" w:hint="default"/>
          <w:sz w:val="18"/>
          <w:szCs w:val="18"/>
        </w:rPr>
      </w:pPr>
    </w:p>
    <w:p>
      <w:pPr>
        <w:pStyle w:val="Heading3"/>
        <w:spacing w:line="240" w:lineRule="auto"/>
        <w:ind w:right="88"/>
        <w:jc w:val="left"/>
        <w:rPr>
          <w:b w:val="0"/>
          <w:bCs w:val="0"/>
        </w:rPr>
      </w:pPr>
      <w:r>
        <w:rPr>
          <w:rFonts w:ascii="Times New Roman" w:hAnsi="Times New Roman" w:cs="Times New Roman" w:eastAsia="Times New Roman" w:hint="default"/>
        </w:rPr>
        <w:t>33</w:t>
      </w:r>
      <w:r>
        <w:rPr/>
        <w:t>、营业外支出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0"/>
        <w:gridCol w:w="2021"/>
        <w:gridCol w:w="1915"/>
        <w:gridCol w:w="1910"/>
      </w:tblGrid>
      <w:tr>
        <w:trPr>
          <w:trHeight w:val="401"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3" w:right="0"/>
              <w:jc w:val="left"/>
              <w:rPr>
                <w:rFonts w:ascii="宋体" w:hAnsi="宋体" w:cs="宋体" w:eastAsia="宋体" w:hint="default"/>
                <w:sz w:val="18"/>
                <w:szCs w:val="18"/>
              </w:rPr>
            </w:pPr>
            <w:r>
              <w:rPr>
                <w:rFonts w:ascii="宋体" w:hAnsi="宋体" w:cs="宋体" w:eastAsia="宋体" w:hint="default"/>
                <w:sz w:val="18"/>
                <w:szCs w:val="18"/>
              </w:rPr>
              <w:t>计入当期非经常性损益</w:t>
            </w:r>
          </w:p>
        </w:tc>
      </w:tr>
    </w:tbl>
    <w:p>
      <w:pPr>
        <w:spacing w:after="0" w:line="240" w:lineRule="auto"/>
        <w:jc w:val="left"/>
        <w:rPr>
          <w:rFonts w:ascii="宋体" w:hAnsi="宋体" w:cs="宋体" w:eastAsia="宋体" w:hint="default"/>
          <w:sz w:val="18"/>
          <w:szCs w:val="18"/>
        </w:rPr>
        <w:sectPr>
          <w:footerReference w:type="default" r:id="rId42"/>
          <w:pgSz w:w="11910" w:h="16840"/>
          <w:pgMar w:footer="1227" w:header="0" w:top="1100" w:bottom="1420" w:left="980" w:right="940"/>
          <w:pgNumType w:start="12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36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的金额</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6,046.58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43,327.45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6,046.58</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6,046.58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43,327.45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6,046.58</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其中：公益性捐赠支出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赞助费</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捐赠产品</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11,139.22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产品问题赔款</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4,900.00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21,352.72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4,499.00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21,352.72</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237,399.30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213,865.67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237,399.30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34</w:t>
      </w:r>
      <w:r>
        <w:rPr/>
        <w:t>、所得税费用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13,800,901.33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6,819,559.83</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-2,390,681.76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-754,546.48</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11,410,219.57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6,065,013.35</w:t>
            </w: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35</w:t>
      </w:r>
      <w:r>
        <w:rPr/>
        <w:t>、基本每股收益和稀释每股收益的计算过程</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870" w:right="7436"/>
        <w:jc w:val="left"/>
      </w:pPr>
      <w:r>
        <w:rPr/>
        <w:t>计算公式： </w:t>
      </w:r>
      <w:r>
        <w:rPr>
          <w:rFonts w:ascii="宋体" w:hAnsi="宋体" w:cs="宋体" w:eastAsia="宋体" w:hint="default"/>
        </w:rPr>
        <w:t>1</w:t>
      </w:r>
      <w:r>
        <w:rPr/>
        <w:t>、基本每股收益 基本每股收益=P0÷S</w:t>
      </w:r>
    </w:p>
    <w:p>
      <w:pPr>
        <w:pStyle w:val="BodyText"/>
        <w:spacing w:line="240" w:lineRule="auto" w:before="19"/>
        <w:ind w:left="870" w:right="0"/>
        <w:jc w:val="left"/>
        <w:rPr>
          <w:rFonts w:ascii="宋体" w:hAnsi="宋体" w:cs="宋体" w:eastAsia="宋体" w:hint="default"/>
        </w:rPr>
      </w:pPr>
      <w:r>
        <w:rPr>
          <w:rFonts w:ascii="宋体" w:hAnsi="宋体" w:cs="宋体" w:eastAsia="宋体" w:hint="default"/>
        </w:rPr>
        <w:t>S=</w:t>
      </w:r>
      <w:r>
        <w:rPr>
          <w:rFonts w:ascii="宋体" w:hAnsi="宋体" w:cs="宋体" w:eastAsia="宋体" w:hint="default"/>
          <w:spacing w:val="-8"/>
        </w:rPr>
        <w:t> </w:t>
      </w:r>
      <w:r>
        <w:rPr>
          <w:rFonts w:ascii="宋体" w:hAnsi="宋体" w:cs="宋体" w:eastAsia="宋体" w:hint="default"/>
        </w:rPr>
        <w:t>S0</w:t>
      </w:r>
      <w:r>
        <w:rPr/>
        <w:t>＋</w:t>
      </w:r>
      <w:r>
        <w:rPr>
          <w:rFonts w:ascii="宋体" w:hAnsi="宋体" w:cs="宋体" w:eastAsia="宋体" w:hint="default"/>
        </w:rPr>
        <w:t>S1</w:t>
      </w:r>
      <w:r>
        <w:rPr/>
        <w:t>＋Si×Mi÷M0–Sj×Mj÷M0–</w:t>
      </w:r>
      <w:r>
        <w:rPr>
          <w:rFonts w:ascii="宋体" w:hAnsi="宋体" w:cs="宋体" w:eastAsia="宋体" w:hint="default"/>
        </w:rPr>
        <w:t>Sk</w:t>
      </w:r>
    </w:p>
    <w:p>
      <w:pPr>
        <w:pStyle w:val="BodyText"/>
        <w:spacing w:line="316" w:lineRule="auto" w:before="76"/>
        <w:ind w:left="870" w:right="148"/>
        <w:jc w:val="both"/>
      </w:pPr>
      <w:r>
        <w:rPr/>
        <w:t>其中：</w:t>
      </w:r>
      <w:r>
        <w:rPr>
          <w:rFonts w:ascii="宋体" w:hAnsi="宋体" w:cs="宋体" w:eastAsia="宋体" w:hint="default"/>
        </w:rPr>
        <w:t>P0</w:t>
      </w:r>
      <w:r>
        <w:rPr/>
        <w:t>为归属于公司普通股股东的净利润或扣除非经常性损益后归属于普通股股东的净利润；</w:t>
      </w:r>
      <w:r>
        <w:rPr>
          <w:rFonts w:ascii="宋体" w:hAnsi="宋体" w:cs="宋体" w:eastAsia="宋体" w:hint="default"/>
        </w:rPr>
        <w:t>S</w:t>
      </w:r>
      <w:r>
        <w:rPr/>
        <w:t>为发行在外的普 </w:t>
      </w:r>
      <w:r>
        <w:rPr>
          <w:spacing w:val="-2"/>
        </w:rPr>
        <w:t>通股加权平均数；</w:t>
      </w:r>
      <w:r>
        <w:rPr>
          <w:rFonts w:ascii="宋体" w:hAnsi="宋体" w:cs="宋体" w:eastAsia="宋体" w:hint="default"/>
          <w:spacing w:val="-2"/>
        </w:rPr>
        <w:t>S0</w:t>
      </w:r>
      <w:r>
        <w:rPr>
          <w:spacing w:val="-2"/>
        </w:rPr>
        <w:t>为期初股份总数；</w:t>
      </w:r>
      <w:r>
        <w:rPr>
          <w:rFonts w:ascii="宋体" w:hAnsi="宋体" w:cs="宋体" w:eastAsia="宋体" w:hint="default"/>
          <w:spacing w:val="-2"/>
        </w:rPr>
        <w:t>S1</w:t>
      </w:r>
      <w:r>
        <w:rPr>
          <w:spacing w:val="-2"/>
        </w:rPr>
        <w:t>为报告期因公积金转增股本或股票股利分配等增加股份数；</w:t>
      </w:r>
      <w:r>
        <w:rPr>
          <w:rFonts w:ascii="宋体" w:hAnsi="宋体" w:cs="宋体" w:eastAsia="宋体" w:hint="default"/>
          <w:spacing w:val="-2"/>
        </w:rPr>
        <w:t>Si</w:t>
      </w:r>
      <w:r>
        <w:rPr>
          <w:spacing w:val="-2"/>
        </w:rPr>
        <w:t>为报告期因</w:t>
      </w:r>
      <w:r>
        <w:rPr>
          <w:spacing w:val="-64"/>
        </w:rPr>
        <w:t> </w:t>
      </w:r>
      <w:r>
        <w:rPr>
          <w:spacing w:val="-2"/>
        </w:rPr>
        <w:t>发行新股或债转股等增加股份数；</w:t>
      </w:r>
      <w:r>
        <w:rPr>
          <w:rFonts w:ascii="宋体" w:hAnsi="宋体" w:cs="宋体" w:eastAsia="宋体" w:hint="default"/>
          <w:spacing w:val="-2"/>
        </w:rPr>
        <w:t>Sj</w:t>
      </w:r>
      <w:r>
        <w:rPr>
          <w:spacing w:val="-2"/>
        </w:rPr>
        <w:t>为报告期因回购等减少股份数；</w:t>
      </w:r>
      <w:r>
        <w:rPr>
          <w:rFonts w:ascii="宋体" w:hAnsi="宋体" w:cs="宋体" w:eastAsia="宋体" w:hint="default"/>
          <w:spacing w:val="-2"/>
        </w:rPr>
        <w:t>Sk</w:t>
      </w:r>
      <w:r>
        <w:rPr>
          <w:spacing w:val="-2"/>
        </w:rPr>
        <w:t>为报告期缩股数；</w:t>
      </w:r>
      <w:r>
        <w:rPr>
          <w:rFonts w:ascii="宋体" w:hAnsi="宋体" w:cs="宋体" w:eastAsia="宋体" w:hint="default"/>
          <w:spacing w:val="-2"/>
        </w:rPr>
        <w:t>M0</w:t>
      </w:r>
      <w:r>
        <w:rPr>
          <w:spacing w:val="-2"/>
        </w:rPr>
        <w:t>报告期月份数；</w:t>
      </w:r>
      <w:r>
        <w:rPr>
          <w:rFonts w:ascii="宋体" w:hAnsi="宋体" w:cs="宋体" w:eastAsia="宋体" w:hint="default"/>
          <w:spacing w:val="-2"/>
        </w:rPr>
        <w:t>Mi</w:t>
      </w:r>
      <w:r>
        <w:rPr>
          <w:spacing w:val="-2"/>
        </w:rPr>
        <w:t>为增</w:t>
      </w:r>
      <w:r>
        <w:rPr>
          <w:spacing w:val="-64"/>
        </w:rPr>
        <w:t> </w:t>
      </w:r>
      <w:r>
        <w:rPr/>
        <w:t>加股份次月起至报告期期末的累计月数；</w:t>
      </w:r>
      <w:r>
        <w:rPr>
          <w:rFonts w:ascii="宋体" w:hAnsi="宋体" w:cs="宋体" w:eastAsia="宋体" w:hint="default"/>
        </w:rPr>
        <w:t>Mj</w:t>
      </w:r>
      <w:r>
        <w:rPr/>
        <w:t>为减少股份次月起至报告期期末的累计月数。</w:t>
      </w:r>
    </w:p>
    <w:p>
      <w:pPr>
        <w:spacing w:line="240" w:lineRule="auto" w:before="4"/>
        <w:rPr>
          <w:rFonts w:ascii="宋体" w:hAnsi="宋体" w:cs="宋体" w:eastAsia="宋体" w:hint="default"/>
          <w:sz w:val="25"/>
          <w:szCs w:val="25"/>
        </w:rPr>
      </w:pPr>
    </w:p>
    <w:p>
      <w:pPr>
        <w:pStyle w:val="BodyText"/>
        <w:spacing w:line="316" w:lineRule="auto"/>
        <w:ind w:left="870" w:right="0"/>
        <w:jc w:val="left"/>
        <w:rPr>
          <w:rFonts w:ascii="宋体" w:hAnsi="宋体" w:cs="宋体" w:eastAsia="宋体" w:hint="default"/>
        </w:rPr>
      </w:pPr>
      <w:r>
        <w:rPr>
          <w:rFonts w:ascii="宋体" w:hAnsi="宋体" w:cs="宋体" w:eastAsia="宋体" w:hint="default"/>
        </w:rPr>
        <w:t>2</w:t>
      </w:r>
      <w:r>
        <w:rPr/>
        <w:t>、稀释每股收益 </w:t>
      </w:r>
      <w:r>
        <w:rPr>
          <w:spacing w:val="-2"/>
        </w:rPr>
        <w:t>稀释每股收益</w:t>
      </w:r>
      <w:r>
        <w:rPr>
          <w:rFonts w:ascii="宋体" w:hAnsi="宋体" w:cs="宋体" w:eastAsia="宋体" w:hint="default"/>
          <w:spacing w:val="-2"/>
        </w:rPr>
        <w:t>=P1/(S0</w:t>
      </w:r>
      <w:r>
        <w:rPr>
          <w:spacing w:val="-2"/>
        </w:rPr>
        <w:t>＋</w:t>
      </w:r>
      <w:r>
        <w:rPr>
          <w:rFonts w:ascii="宋体" w:hAnsi="宋体" w:cs="宋体" w:eastAsia="宋体" w:hint="default"/>
          <w:spacing w:val="-2"/>
        </w:rPr>
        <w:t>S1</w:t>
      </w:r>
      <w:r>
        <w:rPr>
          <w:spacing w:val="-2"/>
        </w:rPr>
        <w:t>＋Si×Mi÷M0–Sj×Mj÷M0–</w:t>
      </w:r>
      <w:r>
        <w:rPr>
          <w:rFonts w:ascii="宋体" w:hAnsi="宋体" w:cs="宋体" w:eastAsia="宋体" w:hint="default"/>
          <w:spacing w:val="-2"/>
        </w:rPr>
        <w:t>Sk+</w:t>
      </w:r>
      <w:r>
        <w:rPr>
          <w:spacing w:val="-2"/>
        </w:rPr>
        <w:t>认股权证、股份期权、可转换债券等增加的普通股加权</w:t>
      </w:r>
      <w:r>
        <w:rPr>
          <w:spacing w:val="-55"/>
        </w:rPr>
        <w:t> </w:t>
      </w:r>
      <w:r>
        <w:rPr>
          <w:spacing w:val="-55"/>
        </w:rPr>
      </w:r>
      <w:r>
        <w:rPr/>
        <w:t>平均数</w:t>
      </w:r>
      <w:r>
        <w:rPr>
          <w:rFonts w:ascii="宋体" w:hAnsi="宋体" w:cs="宋体" w:eastAsia="宋体" w:hint="default"/>
        </w:rPr>
        <w:t>)</w:t>
      </w:r>
    </w:p>
    <w:p>
      <w:pPr>
        <w:spacing w:line="240" w:lineRule="auto" w:before="4"/>
        <w:rPr>
          <w:rFonts w:ascii="宋体" w:hAnsi="宋体" w:cs="宋体" w:eastAsia="宋体" w:hint="default"/>
          <w:sz w:val="25"/>
          <w:szCs w:val="25"/>
        </w:rPr>
      </w:pPr>
    </w:p>
    <w:p>
      <w:pPr>
        <w:pStyle w:val="BodyText"/>
        <w:spacing w:line="316" w:lineRule="auto"/>
        <w:ind w:right="151"/>
        <w:jc w:val="both"/>
      </w:pPr>
      <w:r>
        <w:rPr>
          <w:spacing w:val="-2"/>
        </w:rPr>
        <w:t>其中，</w:t>
      </w:r>
      <w:r>
        <w:rPr>
          <w:rFonts w:ascii="宋体" w:hAnsi="宋体" w:cs="宋体" w:eastAsia="宋体" w:hint="default"/>
          <w:spacing w:val="-2"/>
        </w:rPr>
        <w:t>P1</w:t>
      </w:r>
      <w:r>
        <w:rPr>
          <w:spacing w:val="-2"/>
        </w:rPr>
        <w:t>为归属于公司普通股股东的净利润或扣除非经常性损益后归属于公司普通股股东的净利润，并考虑稀释性潜在普通</w:t>
      </w:r>
      <w:r>
        <w:rPr>
          <w:spacing w:val="-62"/>
        </w:rPr>
        <w:t> </w:t>
      </w:r>
      <w:r>
        <w:rPr>
          <w:spacing w:val="-62"/>
        </w:rPr>
      </w:r>
      <w:r>
        <w:rPr>
          <w:spacing w:val="-2"/>
        </w:rPr>
        <w:t>股对其影响，按《企业会计准则》及有关规定进行调整。公司在计算稀释每股收益时，应考虑所有稀释性潜在普通股对归属</w:t>
      </w:r>
      <w:r>
        <w:rPr>
          <w:spacing w:val="-67"/>
        </w:rPr>
        <w:t> </w:t>
      </w:r>
      <w:r>
        <w:rPr>
          <w:spacing w:val="-67"/>
        </w:rPr>
      </w:r>
      <w:r>
        <w:rPr>
          <w:spacing w:val="-2"/>
        </w:rPr>
        <w:t>于公司普通股股东的净利润或扣除非经常性损益后归属于公司普通股股东的净利润和加权平均股数的影响，按照其稀释程度</w:t>
      </w:r>
      <w:r>
        <w:rPr>
          <w:spacing w:val="-64"/>
        </w:rPr>
        <w:t> </w:t>
      </w:r>
      <w:r>
        <w:rPr>
          <w:spacing w:val="-64"/>
        </w:rPr>
      </w:r>
      <w:r>
        <w:rPr/>
        <w:t>从大到小的顺序计入稀释每股收益，直至稀释每股收益达到最小值。</w:t>
      </w:r>
    </w:p>
    <w:p>
      <w:pPr>
        <w:pStyle w:val="BodyText"/>
        <w:spacing w:line="240" w:lineRule="auto" w:before="19"/>
        <w:ind w:left="870" w:right="0"/>
        <w:jc w:val="left"/>
      </w:pPr>
      <w:r>
        <w:rPr/>
        <w:t>计算过程：</w:t>
      </w:r>
    </w:p>
    <w:p>
      <w:pPr>
        <w:spacing w:after="0" w:line="240" w:lineRule="auto"/>
        <w:jc w:val="left"/>
        <w:sectPr>
          <w:pgSz w:w="11910" w:h="16840"/>
          <w:pgMar w:header="0" w:footer="1227" w:top="1100" w:bottom="1420" w:left="980" w:right="980"/>
        </w:sectPr>
      </w:pPr>
    </w:p>
    <w:p>
      <w:pPr>
        <w:spacing w:line="240" w:lineRule="auto" w:before="11"/>
        <w:rPr>
          <w:rFonts w:ascii="宋体" w:hAnsi="宋体" w:cs="宋体" w:eastAsia="宋体" w:hint="default"/>
          <w:sz w:val="21"/>
          <w:szCs w:val="21"/>
        </w:rPr>
      </w:pPr>
    </w:p>
    <w:p>
      <w:pPr>
        <w:pStyle w:val="BodyText"/>
        <w:spacing w:line="319" w:lineRule="auto" w:before="44"/>
        <w:ind w:left="870" w:right="956"/>
        <w:jc w:val="left"/>
      </w:pPr>
      <w:r>
        <w:rPr/>
        <w:t>（</w:t>
      </w:r>
      <w:r>
        <w:rPr>
          <w:rFonts w:ascii="宋体" w:hAnsi="宋体" w:cs="宋体" w:eastAsia="宋体" w:hint="default"/>
        </w:rPr>
        <w:t>1</w:t>
      </w:r>
      <w:r>
        <w:rPr/>
        <w:t>）基本每股收益 基本每股收益以归属于本公司普通股股东的合并净利润除以本公司发行在外普通股的加权平均数计算：</w:t>
      </w:r>
    </w:p>
    <w:tbl>
      <w:tblPr>
        <w:tblW w:w="0" w:type="auto"/>
        <w:jc w:val="left"/>
        <w:tblInd w:w="294" w:type="dxa"/>
        <w:tblLayout w:type="fixed"/>
        <w:tblCellMar>
          <w:top w:w="0" w:type="dxa"/>
          <w:left w:w="0" w:type="dxa"/>
          <w:bottom w:w="0" w:type="dxa"/>
          <w:right w:w="0" w:type="dxa"/>
        </w:tblCellMar>
        <w:tblLook w:val="01E0"/>
      </w:tblPr>
      <w:tblGrid>
        <w:gridCol w:w="5067"/>
        <w:gridCol w:w="2424"/>
        <w:gridCol w:w="2001"/>
      </w:tblGrid>
      <w:tr>
        <w:trPr>
          <w:trHeight w:val="389" w:hRule="exact"/>
        </w:trPr>
        <w:tc>
          <w:tcPr>
            <w:tcW w:w="5067"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424"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z w:val="18"/>
                <w:szCs w:val="18"/>
              </w:rPr>
              <w:t>目</w:t>
            </w:r>
          </w:p>
        </w:tc>
        <w:tc>
          <w:tcPr>
            <w:tcW w:w="2424"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418" w:right="0"/>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20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86" w:hRule="exact"/>
        </w:trPr>
        <w:tc>
          <w:tcPr>
            <w:tcW w:w="506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right="790"/>
              <w:jc w:val="right"/>
              <w:rPr>
                <w:rFonts w:ascii="宋体" w:hAnsi="宋体" w:cs="宋体" w:eastAsia="宋体" w:hint="default"/>
                <w:sz w:val="18"/>
                <w:szCs w:val="18"/>
              </w:rPr>
            </w:pPr>
            <w:r>
              <w:rPr>
                <w:rFonts w:ascii="宋体" w:hAnsi="宋体" w:cs="宋体" w:eastAsia="宋体" w:hint="default"/>
                <w:sz w:val="18"/>
                <w:szCs w:val="18"/>
              </w:rPr>
              <w:t>归属于本公司普通股股东的合并净利润</w:t>
            </w:r>
          </w:p>
        </w:tc>
        <w:tc>
          <w:tcPr>
            <w:tcW w:w="242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left="421" w:right="0"/>
              <w:jc w:val="center"/>
              <w:rPr>
                <w:rFonts w:ascii="宋体" w:hAnsi="宋体" w:cs="宋体" w:eastAsia="宋体" w:hint="default"/>
                <w:sz w:val="18"/>
                <w:szCs w:val="18"/>
              </w:rPr>
            </w:pPr>
            <w:r>
              <w:rPr>
                <w:rFonts w:ascii="宋体"/>
                <w:sz w:val="18"/>
              </w:rPr>
              <w:t>75,754,985.34</w:t>
            </w:r>
          </w:p>
        </w:tc>
        <w:tc>
          <w:tcPr>
            <w:tcW w:w="20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58,604,089.76</w:t>
            </w:r>
          </w:p>
        </w:tc>
      </w:tr>
      <w:tr>
        <w:trPr>
          <w:trHeight w:val="389" w:hRule="exact"/>
        </w:trPr>
        <w:tc>
          <w:tcPr>
            <w:tcW w:w="5067"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right="879"/>
              <w:jc w:val="right"/>
              <w:rPr>
                <w:rFonts w:ascii="宋体" w:hAnsi="宋体" w:cs="宋体" w:eastAsia="宋体" w:hint="default"/>
                <w:sz w:val="18"/>
                <w:szCs w:val="18"/>
              </w:rPr>
            </w:pPr>
            <w:r>
              <w:rPr>
                <w:rFonts w:ascii="宋体" w:hAnsi="宋体" w:cs="宋体" w:eastAsia="宋体" w:hint="default"/>
                <w:sz w:val="18"/>
                <w:szCs w:val="18"/>
              </w:rPr>
              <w:t>本公司发行在外普通股的加权平均数</w:t>
            </w:r>
          </w:p>
        </w:tc>
        <w:tc>
          <w:tcPr>
            <w:tcW w:w="2424"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421" w:right="0"/>
              <w:jc w:val="center"/>
              <w:rPr>
                <w:rFonts w:ascii="宋体" w:hAnsi="宋体" w:cs="宋体" w:eastAsia="宋体" w:hint="default"/>
                <w:sz w:val="18"/>
                <w:szCs w:val="18"/>
              </w:rPr>
            </w:pPr>
            <w:r>
              <w:rPr>
                <w:rFonts w:ascii="宋体"/>
                <w:sz w:val="18"/>
              </w:rPr>
              <w:t>180,000,000.00</w:t>
            </w:r>
          </w:p>
        </w:tc>
        <w:tc>
          <w:tcPr>
            <w:tcW w:w="20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180,000,000.00</w:t>
            </w:r>
          </w:p>
        </w:tc>
      </w:tr>
      <w:tr>
        <w:trPr>
          <w:trHeight w:val="389" w:hRule="exact"/>
        </w:trPr>
        <w:tc>
          <w:tcPr>
            <w:tcW w:w="5067"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1799"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2424"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419" w:right="0"/>
              <w:jc w:val="center"/>
              <w:rPr>
                <w:rFonts w:ascii="宋体" w:hAnsi="宋体" w:cs="宋体" w:eastAsia="宋体" w:hint="default"/>
                <w:sz w:val="18"/>
                <w:szCs w:val="18"/>
              </w:rPr>
            </w:pPr>
            <w:r>
              <w:rPr>
                <w:rFonts w:ascii="宋体"/>
                <w:sz w:val="18"/>
              </w:rPr>
              <w:t>0.42</w:t>
            </w:r>
          </w:p>
        </w:tc>
        <w:tc>
          <w:tcPr>
            <w:tcW w:w="20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0.33</w:t>
            </w:r>
          </w:p>
        </w:tc>
      </w:tr>
    </w:tbl>
    <w:p>
      <w:pPr>
        <w:spacing w:line="240" w:lineRule="auto" w:before="10"/>
        <w:rPr>
          <w:rFonts w:ascii="宋体" w:hAnsi="宋体" w:cs="宋体" w:eastAsia="宋体" w:hint="default"/>
          <w:sz w:val="21"/>
          <w:szCs w:val="21"/>
        </w:rPr>
      </w:pPr>
    </w:p>
    <w:p>
      <w:pPr>
        <w:pStyle w:val="BodyText"/>
        <w:spacing w:line="240" w:lineRule="auto" w:before="44"/>
        <w:ind w:left="887" w:right="0"/>
        <w:jc w:val="left"/>
      </w:pPr>
      <w:r>
        <w:rPr/>
        <w:t>普通股的加权平均数计算过程如下：</w:t>
      </w:r>
    </w:p>
    <w:p>
      <w:pPr>
        <w:spacing w:line="240" w:lineRule="auto" w:before="3"/>
        <w:rPr>
          <w:rFonts w:ascii="宋体" w:hAnsi="宋体" w:cs="宋体" w:eastAsia="宋体" w:hint="default"/>
          <w:sz w:val="5"/>
          <w:szCs w:val="5"/>
        </w:rPr>
      </w:pPr>
    </w:p>
    <w:tbl>
      <w:tblPr>
        <w:tblW w:w="0" w:type="auto"/>
        <w:jc w:val="left"/>
        <w:tblInd w:w="294" w:type="dxa"/>
        <w:tblLayout w:type="fixed"/>
        <w:tblCellMar>
          <w:top w:w="0" w:type="dxa"/>
          <w:left w:w="0" w:type="dxa"/>
          <w:bottom w:w="0" w:type="dxa"/>
          <w:right w:w="0" w:type="dxa"/>
        </w:tblCellMar>
        <w:tblLook w:val="01E0"/>
      </w:tblPr>
      <w:tblGrid>
        <w:gridCol w:w="4263"/>
        <w:gridCol w:w="2531"/>
        <w:gridCol w:w="2704"/>
      </w:tblGrid>
      <w:tr>
        <w:trPr>
          <w:trHeight w:val="362" w:hRule="exact"/>
        </w:trPr>
        <w:tc>
          <w:tcPr>
            <w:tcW w:w="4263"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494"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531"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162" w:right="0"/>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2704"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right="328"/>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2" w:hRule="exact"/>
        </w:trPr>
        <w:tc>
          <w:tcPr>
            <w:tcW w:w="4263"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494" w:right="0"/>
              <w:jc w:val="center"/>
              <w:rPr>
                <w:rFonts w:ascii="宋体" w:hAnsi="宋体" w:cs="宋体" w:eastAsia="宋体" w:hint="default"/>
                <w:sz w:val="18"/>
                <w:szCs w:val="18"/>
              </w:rPr>
            </w:pPr>
            <w:r>
              <w:rPr>
                <w:rFonts w:ascii="宋体" w:hAnsi="宋体" w:cs="宋体" w:eastAsia="宋体" w:hint="default"/>
                <w:sz w:val="18"/>
                <w:szCs w:val="18"/>
              </w:rPr>
              <w:t>年初已发行普通股股数</w:t>
            </w:r>
          </w:p>
        </w:tc>
        <w:tc>
          <w:tcPr>
            <w:tcW w:w="2531"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159" w:right="0"/>
              <w:jc w:val="center"/>
              <w:rPr>
                <w:rFonts w:ascii="宋体" w:hAnsi="宋体" w:cs="宋体" w:eastAsia="宋体" w:hint="default"/>
                <w:sz w:val="18"/>
                <w:szCs w:val="18"/>
              </w:rPr>
            </w:pPr>
            <w:r>
              <w:rPr>
                <w:rFonts w:ascii="宋体"/>
                <w:sz w:val="18"/>
              </w:rPr>
              <w:t>180,000,000.00</w:t>
            </w:r>
          </w:p>
        </w:tc>
        <w:tc>
          <w:tcPr>
            <w:tcW w:w="2704"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right="328"/>
              <w:jc w:val="center"/>
              <w:rPr>
                <w:rFonts w:ascii="宋体" w:hAnsi="宋体" w:cs="宋体" w:eastAsia="宋体" w:hint="default"/>
                <w:sz w:val="18"/>
                <w:szCs w:val="18"/>
              </w:rPr>
            </w:pPr>
            <w:r>
              <w:rPr>
                <w:rFonts w:ascii="宋体"/>
                <w:sz w:val="18"/>
              </w:rPr>
              <w:t>72,000,000.00</w:t>
            </w:r>
          </w:p>
        </w:tc>
      </w:tr>
      <w:tr>
        <w:trPr>
          <w:trHeight w:val="363" w:hRule="exact"/>
        </w:trPr>
        <w:tc>
          <w:tcPr>
            <w:tcW w:w="426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left="491" w:right="0"/>
              <w:jc w:val="center"/>
              <w:rPr>
                <w:rFonts w:ascii="宋体" w:hAnsi="宋体" w:cs="宋体" w:eastAsia="宋体" w:hint="default"/>
                <w:sz w:val="18"/>
                <w:szCs w:val="18"/>
              </w:rPr>
            </w:pPr>
            <w:r>
              <w:rPr>
                <w:rFonts w:ascii="宋体" w:hAnsi="宋体" w:cs="宋体" w:eastAsia="宋体" w:hint="default"/>
                <w:sz w:val="18"/>
                <w:szCs w:val="18"/>
              </w:rPr>
              <w:t>加：本期发行的普通股加权数</w:t>
            </w:r>
          </w:p>
        </w:tc>
        <w:tc>
          <w:tcPr>
            <w:tcW w:w="253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left="163" w:right="0"/>
              <w:jc w:val="center"/>
              <w:rPr>
                <w:rFonts w:ascii="宋体" w:hAnsi="宋体" w:cs="宋体" w:eastAsia="宋体" w:hint="default"/>
                <w:sz w:val="18"/>
                <w:szCs w:val="18"/>
              </w:rPr>
            </w:pPr>
            <w:r>
              <w:rPr>
                <w:rFonts w:ascii="宋体"/>
                <w:sz w:val="18"/>
              </w:rPr>
              <w:t>0.00</w:t>
            </w:r>
          </w:p>
        </w:tc>
        <w:tc>
          <w:tcPr>
            <w:tcW w:w="270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right="330"/>
              <w:jc w:val="center"/>
              <w:rPr>
                <w:rFonts w:ascii="宋体" w:hAnsi="宋体" w:cs="宋体" w:eastAsia="宋体" w:hint="default"/>
                <w:sz w:val="18"/>
                <w:szCs w:val="18"/>
              </w:rPr>
            </w:pPr>
            <w:r>
              <w:rPr>
                <w:rFonts w:ascii="宋体"/>
                <w:sz w:val="18"/>
              </w:rPr>
              <w:t>108,000,000.00</w:t>
            </w:r>
          </w:p>
        </w:tc>
      </w:tr>
      <w:tr>
        <w:trPr>
          <w:trHeight w:val="360" w:hRule="exact"/>
        </w:trPr>
        <w:tc>
          <w:tcPr>
            <w:tcW w:w="426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left="491" w:right="0"/>
              <w:jc w:val="center"/>
              <w:rPr>
                <w:rFonts w:ascii="宋体" w:hAnsi="宋体" w:cs="宋体" w:eastAsia="宋体" w:hint="default"/>
                <w:sz w:val="18"/>
                <w:szCs w:val="18"/>
              </w:rPr>
            </w:pPr>
            <w:r>
              <w:rPr>
                <w:rFonts w:ascii="宋体" w:hAnsi="宋体" w:cs="宋体" w:eastAsia="宋体" w:hint="default"/>
                <w:sz w:val="18"/>
                <w:szCs w:val="18"/>
              </w:rPr>
              <w:t>减：本期回购的普通股加权数</w:t>
            </w:r>
          </w:p>
        </w:tc>
        <w:tc>
          <w:tcPr>
            <w:tcW w:w="253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left="163" w:right="0"/>
              <w:jc w:val="center"/>
              <w:rPr>
                <w:rFonts w:ascii="宋体" w:hAnsi="宋体" w:cs="宋体" w:eastAsia="宋体" w:hint="default"/>
                <w:sz w:val="18"/>
                <w:szCs w:val="18"/>
              </w:rPr>
            </w:pPr>
            <w:r>
              <w:rPr>
                <w:rFonts w:ascii="宋体"/>
                <w:sz w:val="18"/>
              </w:rPr>
              <w:t>0.00</w:t>
            </w:r>
          </w:p>
        </w:tc>
        <w:tc>
          <w:tcPr>
            <w:tcW w:w="270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right="326"/>
              <w:jc w:val="center"/>
              <w:rPr>
                <w:rFonts w:ascii="宋体" w:hAnsi="宋体" w:cs="宋体" w:eastAsia="宋体" w:hint="default"/>
                <w:sz w:val="18"/>
                <w:szCs w:val="18"/>
              </w:rPr>
            </w:pPr>
            <w:r>
              <w:rPr>
                <w:rFonts w:ascii="宋体"/>
                <w:sz w:val="18"/>
              </w:rPr>
              <w:t>0.00</w:t>
            </w:r>
          </w:p>
        </w:tc>
      </w:tr>
      <w:tr>
        <w:trPr>
          <w:trHeight w:val="365" w:hRule="exact"/>
        </w:trPr>
        <w:tc>
          <w:tcPr>
            <w:tcW w:w="4263"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491" w:right="0"/>
              <w:jc w:val="center"/>
              <w:rPr>
                <w:rFonts w:ascii="宋体" w:hAnsi="宋体" w:cs="宋体" w:eastAsia="宋体" w:hint="default"/>
                <w:sz w:val="18"/>
                <w:szCs w:val="18"/>
              </w:rPr>
            </w:pPr>
            <w:r>
              <w:rPr>
                <w:rFonts w:ascii="宋体" w:hAnsi="宋体" w:cs="宋体" w:eastAsia="宋体" w:hint="default"/>
                <w:sz w:val="18"/>
                <w:szCs w:val="18"/>
              </w:rPr>
              <w:t>年末发行在外的普通股加权数</w:t>
            </w:r>
          </w:p>
        </w:tc>
        <w:tc>
          <w:tcPr>
            <w:tcW w:w="2531"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159" w:right="0"/>
              <w:jc w:val="center"/>
              <w:rPr>
                <w:rFonts w:ascii="宋体" w:hAnsi="宋体" w:cs="宋体" w:eastAsia="宋体" w:hint="default"/>
                <w:sz w:val="18"/>
                <w:szCs w:val="18"/>
              </w:rPr>
            </w:pPr>
            <w:r>
              <w:rPr>
                <w:rFonts w:ascii="宋体"/>
                <w:sz w:val="18"/>
              </w:rPr>
              <w:t>180,000,000.00</w:t>
            </w:r>
          </w:p>
        </w:tc>
        <w:tc>
          <w:tcPr>
            <w:tcW w:w="2704"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right="329"/>
              <w:jc w:val="center"/>
              <w:rPr>
                <w:rFonts w:ascii="宋体" w:hAnsi="宋体" w:cs="宋体" w:eastAsia="宋体" w:hint="default"/>
                <w:sz w:val="18"/>
                <w:szCs w:val="18"/>
              </w:rPr>
            </w:pPr>
            <w:r>
              <w:rPr>
                <w:rFonts w:ascii="宋体"/>
                <w:sz w:val="18"/>
              </w:rPr>
              <w:t>180,000,000.00</w:t>
            </w:r>
          </w:p>
        </w:tc>
      </w:tr>
    </w:tbl>
    <w:p>
      <w:pPr>
        <w:pStyle w:val="BodyText"/>
        <w:spacing w:line="316" w:lineRule="auto" w:before="8"/>
        <w:ind w:left="887" w:right="0"/>
        <w:jc w:val="left"/>
      </w:pPr>
      <w:r>
        <w:rPr/>
        <w:t>稀释每股收益 稀释每股收益以调整后的归属于本公司普通股股东的合并净利润除以调整后的本公司发行在外普通股的加权平均</w:t>
      </w:r>
      <w:r>
        <w:rPr>
          <w:spacing w:val="-21"/>
        </w:rPr>
        <w:t> </w:t>
      </w:r>
      <w:r>
        <w:rPr>
          <w:spacing w:val="-21"/>
        </w:rPr>
      </w:r>
      <w:r>
        <w:rPr/>
        <w:t>数计算：</w:t>
      </w:r>
    </w:p>
    <w:tbl>
      <w:tblPr>
        <w:tblW w:w="0" w:type="auto"/>
        <w:jc w:val="left"/>
        <w:tblInd w:w="152" w:type="dxa"/>
        <w:tblLayout w:type="fixed"/>
        <w:tblCellMar>
          <w:top w:w="0" w:type="dxa"/>
          <w:left w:w="0" w:type="dxa"/>
          <w:bottom w:w="0" w:type="dxa"/>
          <w:right w:w="0" w:type="dxa"/>
        </w:tblCellMar>
        <w:tblLook w:val="01E0"/>
      </w:tblPr>
      <w:tblGrid>
        <w:gridCol w:w="4692"/>
        <w:gridCol w:w="2193"/>
        <w:gridCol w:w="2756"/>
      </w:tblGrid>
      <w:tr>
        <w:trPr>
          <w:trHeight w:val="362" w:hRule="exact"/>
        </w:trPr>
        <w:tc>
          <w:tcPr>
            <w:tcW w:w="469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left="176"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19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right="190"/>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27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left="833"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0" w:hRule="exact"/>
        </w:trPr>
        <w:tc>
          <w:tcPr>
            <w:tcW w:w="469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right="366"/>
              <w:jc w:val="right"/>
              <w:rPr>
                <w:rFonts w:ascii="宋体" w:hAnsi="宋体" w:cs="宋体" w:eastAsia="宋体" w:hint="default"/>
                <w:sz w:val="18"/>
                <w:szCs w:val="18"/>
              </w:rPr>
            </w:pPr>
            <w:r>
              <w:rPr>
                <w:rFonts w:ascii="宋体" w:hAnsi="宋体" w:cs="宋体" w:eastAsia="宋体" w:hint="default"/>
                <w:sz w:val="18"/>
                <w:szCs w:val="18"/>
              </w:rPr>
              <w:t>归属于本公司普通股股东的合并净利润（稀释）</w:t>
            </w:r>
          </w:p>
        </w:tc>
        <w:tc>
          <w:tcPr>
            <w:tcW w:w="219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right="190"/>
              <w:jc w:val="center"/>
              <w:rPr>
                <w:rFonts w:ascii="宋体" w:hAnsi="宋体" w:cs="宋体" w:eastAsia="宋体" w:hint="default"/>
                <w:sz w:val="18"/>
                <w:szCs w:val="18"/>
              </w:rPr>
            </w:pPr>
            <w:r>
              <w:rPr>
                <w:rFonts w:ascii="宋体"/>
                <w:sz w:val="18"/>
              </w:rPr>
              <w:t>75,754,985.34</w:t>
            </w:r>
          </w:p>
        </w:tc>
        <w:tc>
          <w:tcPr>
            <w:tcW w:w="27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left="607" w:right="0"/>
              <w:jc w:val="left"/>
              <w:rPr>
                <w:rFonts w:ascii="宋体" w:hAnsi="宋体" w:cs="宋体" w:eastAsia="宋体" w:hint="default"/>
                <w:sz w:val="18"/>
                <w:szCs w:val="18"/>
              </w:rPr>
            </w:pPr>
            <w:r>
              <w:rPr>
                <w:rFonts w:ascii="宋体"/>
                <w:sz w:val="18"/>
              </w:rPr>
              <w:t>58,604,089.76</w:t>
            </w:r>
          </w:p>
        </w:tc>
      </w:tr>
      <w:tr>
        <w:trPr>
          <w:trHeight w:val="362" w:hRule="exact"/>
        </w:trPr>
        <w:tc>
          <w:tcPr>
            <w:tcW w:w="4692"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right="409"/>
              <w:jc w:val="right"/>
              <w:rPr>
                <w:rFonts w:ascii="宋体" w:hAnsi="宋体" w:cs="宋体" w:eastAsia="宋体" w:hint="default"/>
                <w:sz w:val="18"/>
                <w:szCs w:val="18"/>
              </w:rPr>
            </w:pPr>
            <w:r>
              <w:rPr>
                <w:rFonts w:ascii="宋体" w:hAnsi="宋体" w:cs="宋体" w:eastAsia="宋体" w:hint="default"/>
                <w:sz w:val="18"/>
                <w:szCs w:val="18"/>
              </w:rPr>
              <w:t>本公司发行在外普通股的加权平均数</w:t>
            </w:r>
            <w:r>
              <w:rPr>
                <w:rFonts w:ascii="宋体" w:hAnsi="宋体" w:cs="宋体" w:eastAsia="宋体" w:hint="default"/>
                <w:spacing w:val="1"/>
                <w:sz w:val="18"/>
                <w:szCs w:val="18"/>
              </w:rPr>
              <w:t> </w:t>
            </w:r>
            <w:r>
              <w:rPr>
                <w:rFonts w:ascii="宋体" w:hAnsi="宋体" w:cs="宋体" w:eastAsia="宋体" w:hint="default"/>
                <w:sz w:val="18"/>
                <w:szCs w:val="18"/>
              </w:rPr>
              <w:t>（稀释）</w:t>
            </w:r>
          </w:p>
        </w:tc>
        <w:tc>
          <w:tcPr>
            <w:tcW w:w="2193"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right="193"/>
              <w:jc w:val="center"/>
              <w:rPr>
                <w:rFonts w:ascii="宋体" w:hAnsi="宋体" w:cs="宋体" w:eastAsia="宋体" w:hint="default"/>
                <w:sz w:val="18"/>
                <w:szCs w:val="18"/>
              </w:rPr>
            </w:pPr>
            <w:r>
              <w:rPr>
                <w:rFonts w:ascii="宋体"/>
                <w:sz w:val="18"/>
              </w:rPr>
              <w:t>180,000,000.00</w:t>
            </w:r>
          </w:p>
        </w:tc>
        <w:tc>
          <w:tcPr>
            <w:tcW w:w="27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564" w:right="0"/>
              <w:jc w:val="left"/>
              <w:rPr>
                <w:rFonts w:ascii="宋体" w:hAnsi="宋体" w:cs="宋体" w:eastAsia="宋体" w:hint="default"/>
                <w:sz w:val="18"/>
                <w:szCs w:val="18"/>
              </w:rPr>
            </w:pPr>
            <w:r>
              <w:rPr>
                <w:rFonts w:ascii="宋体"/>
                <w:sz w:val="18"/>
              </w:rPr>
              <w:t>180,000,000.00</w:t>
            </w:r>
          </w:p>
        </w:tc>
      </w:tr>
      <w:tr>
        <w:trPr>
          <w:trHeight w:val="365" w:hRule="exact"/>
        </w:trPr>
        <w:tc>
          <w:tcPr>
            <w:tcW w:w="4692"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1488"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2193"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right="189"/>
              <w:jc w:val="center"/>
              <w:rPr>
                <w:rFonts w:ascii="宋体" w:hAnsi="宋体" w:cs="宋体" w:eastAsia="宋体" w:hint="default"/>
                <w:sz w:val="18"/>
                <w:szCs w:val="18"/>
              </w:rPr>
            </w:pPr>
            <w:r>
              <w:rPr>
                <w:rFonts w:ascii="宋体"/>
                <w:sz w:val="18"/>
              </w:rPr>
              <w:t>0.42</w:t>
            </w:r>
          </w:p>
        </w:tc>
        <w:tc>
          <w:tcPr>
            <w:tcW w:w="27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right="365"/>
              <w:jc w:val="center"/>
              <w:rPr>
                <w:rFonts w:ascii="宋体" w:hAnsi="宋体" w:cs="宋体" w:eastAsia="宋体" w:hint="default"/>
                <w:sz w:val="18"/>
                <w:szCs w:val="18"/>
              </w:rPr>
            </w:pPr>
            <w:r>
              <w:rPr>
                <w:rFonts w:ascii="宋体"/>
                <w:sz w:val="18"/>
              </w:rPr>
              <w:t>0.33</w:t>
            </w:r>
          </w:p>
        </w:tc>
      </w:tr>
    </w:tbl>
    <w:p>
      <w:pPr>
        <w:spacing w:line="240" w:lineRule="auto" w:before="12"/>
        <w:rPr>
          <w:rFonts w:ascii="宋体" w:hAnsi="宋体" w:cs="宋体" w:eastAsia="宋体" w:hint="default"/>
          <w:sz w:val="21"/>
          <w:szCs w:val="21"/>
        </w:rPr>
      </w:pPr>
    </w:p>
    <w:p>
      <w:pPr>
        <w:pStyle w:val="BodyText"/>
        <w:spacing w:line="240" w:lineRule="auto" w:before="44"/>
        <w:ind w:left="870" w:right="0"/>
        <w:jc w:val="left"/>
      </w:pPr>
      <w:r>
        <w:rPr/>
        <w:t>普通股的加权平均数（稀释）计算过程如下：</w:t>
      </w:r>
    </w:p>
    <w:p>
      <w:pPr>
        <w:spacing w:line="240" w:lineRule="auto" w:before="3"/>
        <w:rPr>
          <w:rFonts w:ascii="宋体" w:hAnsi="宋体" w:cs="宋体" w:eastAsia="宋体" w:hint="default"/>
          <w:sz w:val="5"/>
          <w:szCs w:val="5"/>
        </w:rPr>
      </w:pPr>
    </w:p>
    <w:tbl>
      <w:tblPr>
        <w:tblW w:w="0" w:type="auto"/>
        <w:jc w:val="left"/>
        <w:tblInd w:w="152" w:type="dxa"/>
        <w:tblLayout w:type="fixed"/>
        <w:tblCellMar>
          <w:top w:w="0" w:type="dxa"/>
          <w:left w:w="0" w:type="dxa"/>
          <w:bottom w:w="0" w:type="dxa"/>
          <w:right w:w="0" w:type="dxa"/>
        </w:tblCellMar>
        <w:tblLook w:val="01E0"/>
      </w:tblPr>
      <w:tblGrid>
        <w:gridCol w:w="4860"/>
        <w:gridCol w:w="2070"/>
        <w:gridCol w:w="2710"/>
      </w:tblGrid>
      <w:tr>
        <w:trPr>
          <w:trHeight w:val="360" w:hRule="exact"/>
        </w:trPr>
        <w:tc>
          <w:tcPr>
            <w:tcW w:w="48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left="32"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0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right="303"/>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271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right="335"/>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2" w:hRule="exact"/>
        </w:trPr>
        <w:tc>
          <w:tcPr>
            <w:tcW w:w="48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32" w:right="0"/>
              <w:jc w:val="center"/>
              <w:rPr>
                <w:rFonts w:ascii="宋体" w:hAnsi="宋体" w:cs="宋体" w:eastAsia="宋体" w:hint="default"/>
                <w:sz w:val="18"/>
                <w:szCs w:val="18"/>
              </w:rPr>
            </w:pPr>
            <w:r>
              <w:rPr>
                <w:rFonts w:ascii="宋体" w:hAnsi="宋体" w:cs="宋体" w:eastAsia="宋体" w:hint="default"/>
                <w:sz w:val="18"/>
                <w:szCs w:val="18"/>
              </w:rPr>
              <w:t>计算基本每股收益时年末发行在外的普通股加权平均数</w:t>
            </w:r>
          </w:p>
        </w:tc>
        <w:tc>
          <w:tcPr>
            <w:tcW w:w="20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right="301"/>
              <w:jc w:val="center"/>
              <w:rPr>
                <w:rFonts w:ascii="宋体" w:hAnsi="宋体" w:cs="宋体" w:eastAsia="宋体" w:hint="default"/>
                <w:sz w:val="18"/>
                <w:szCs w:val="18"/>
              </w:rPr>
            </w:pPr>
            <w:r>
              <w:rPr>
                <w:rFonts w:ascii="宋体"/>
                <w:sz w:val="18"/>
              </w:rPr>
              <w:t>180,000,000.00</w:t>
            </w:r>
          </w:p>
        </w:tc>
        <w:tc>
          <w:tcPr>
            <w:tcW w:w="2710"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right="334"/>
              <w:jc w:val="center"/>
              <w:rPr>
                <w:rFonts w:ascii="宋体" w:hAnsi="宋体" w:cs="宋体" w:eastAsia="宋体" w:hint="default"/>
                <w:sz w:val="18"/>
                <w:szCs w:val="18"/>
              </w:rPr>
            </w:pPr>
            <w:r>
              <w:rPr>
                <w:rFonts w:ascii="宋体"/>
                <w:sz w:val="18"/>
              </w:rPr>
              <w:t>180,000,000.00</w:t>
            </w:r>
          </w:p>
        </w:tc>
      </w:tr>
      <w:tr>
        <w:trPr>
          <w:trHeight w:val="362" w:hRule="exact"/>
        </w:trPr>
        <w:tc>
          <w:tcPr>
            <w:tcW w:w="48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31"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可转换债券的影响</w:t>
            </w:r>
            <w:r>
              <w:rPr>
                <w:rFonts w:ascii="宋体" w:hAnsi="宋体" w:cs="宋体" w:eastAsia="宋体" w:hint="default"/>
                <w:sz w:val="18"/>
                <w:szCs w:val="18"/>
              </w:rPr>
              <w:t>]</w:t>
            </w:r>
          </w:p>
        </w:tc>
        <w:tc>
          <w:tcPr>
            <w:tcW w:w="20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right="302"/>
              <w:jc w:val="center"/>
              <w:rPr>
                <w:rFonts w:ascii="宋体" w:hAnsi="宋体" w:cs="宋体" w:eastAsia="宋体" w:hint="default"/>
                <w:sz w:val="18"/>
                <w:szCs w:val="18"/>
              </w:rPr>
            </w:pPr>
            <w:r>
              <w:rPr>
                <w:rFonts w:ascii="宋体"/>
                <w:sz w:val="18"/>
              </w:rPr>
              <w:t>0.00</w:t>
            </w:r>
          </w:p>
        </w:tc>
        <w:tc>
          <w:tcPr>
            <w:tcW w:w="2710"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right="334"/>
              <w:jc w:val="center"/>
              <w:rPr>
                <w:rFonts w:ascii="宋体" w:hAnsi="宋体" w:cs="宋体" w:eastAsia="宋体" w:hint="default"/>
                <w:sz w:val="18"/>
                <w:szCs w:val="18"/>
              </w:rPr>
            </w:pPr>
            <w:r>
              <w:rPr>
                <w:rFonts w:ascii="宋体"/>
                <w:sz w:val="18"/>
              </w:rPr>
              <w:t>0.00</w:t>
            </w:r>
          </w:p>
        </w:tc>
      </w:tr>
      <w:tr>
        <w:trPr>
          <w:trHeight w:val="362" w:hRule="exact"/>
        </w:trPr>
        <w:tc>
          <w:tcPr>
            <w:tcW w:w="48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34"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股份期权的影响</w:t>
            </w:r>
            <w:r>
              <w:rPr>
                <w:rFonts w:ascii="宋体" w:hAnsi="宋体" w:cs="宋体" w:eastAsia="宋体" w:hint="default"/>
                <w:sz w:val="18"/>
                <w:szCs w:val="18"/>
              </w:rPr>
              <w:t>]</w:t>
            </w:r>
          </w:p>
        </w:tc>
        <w:tc>
          <w:tcPr>
            <w:tcW w:w="20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right="302"/>
              <w:jc w:val="center"/>
              <w:rPr>
                <w:rFonts w:ascii="宋体" w:hAnsi="宋体" w:cs="宋体" w:eastAsia="宋体" w:hint="default"/>
                <w:sz w:val="18"/>
                <w:szCs w:val="18"/>
              </w:rPr>
            </w:pPr>
            <w:r>
              <w:rPr>
                <w:rFonts w:ascii="宋体"/>
                <w:sz w:val="18"/>
              </w:rPr>
              <w:t>0.00</w:t>
            </w:r>
          </w:p>
        </w:tc>
        <w:tc>
          <w:tcPr>
            <w:tcW w:w="2710"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right="334"/>
              <w:jc w:val="center"/>
              <w:rPr>
                <w:rFonts w:ascii="宋体" w:hAnsi="宋体" w:cs="宋体" w:eastAsia="宋体" w:hint="default"/>
                <w:sz w:val="18"/>
                <w:szCs w:val="18"/>
              </w:rPr>
            </w:pPr>
            <w:r>
              <w:rPr>
                <w:rFonts w:ascii="宋体"/>
                <w:sz w:val="18"/>
              </w:rPr>
              <w:t>0.00</w:t>
            </w:r>
          </w:p>
        </w:tc>
      </w:tr>
      <w:tr>
        <w:trPr>
          <w:trHeight w:val="362" w:hRule="exact"/>
        </w:trPr>
        <w:tc>
          <w:tcPr>
            <w:tcW w:w="48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30" w:right="0"/>
              <w:jc w:val="center"/>
              <w:rPr>
                <w:rFonts w:ascii="宋体" w:hAnsi="宋体" w:cs="宋体" w:eastAsia="宋体" w:hint="default"/>
                <w:sz w:val="18"/>
                <w:szCs w:val="18"/>
              </w:rPr>
            </w:pPr>
            <w:r>
              <w:rPr>
                <w:rFonts w:ascii="宋体" w:hAnsi="宋体" w:cs="宋体" w:eastAsia="宋体" w:hint="default"/>
                <w:sz w:val="18"/>
                <w:szCs w:val="18"/>
              </w:rPr>
              <w:t>年末普通股的加权平均数（稀释）</w:t>
            </w:r>
          </w:p>
        </w:tc>
        <w:tc>
          <w:tcPr>
            <w:tcW w:w="20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right="301"/>
              <w:jc w:val="center"/>
              <w:rPr>
                <w:rFonts w:ascii="宋体" w:hAnsi="宋体" w:cs="宋体" w:eastAsia="宋体" w:hint="default"/>
                <w:sz w:val="18"/>
                <w:szCs w:val="18"/>
              </w:rPr>
            </w:pPr>
            <w:r>
              <w:rPr>
                <w:rFonts w:ascii="宋体"/>
                <w:sz w:val="18"/>
              </w:rPr>
              <w:t>180,000,000.00</w:t>
            </w:r>
          </w:p>
        </w:tc>
        <w:tc>
          <w:tcPr>
            <w:tcW w:w="2710"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right="334"/>
              <w:jc w:val="center"/>
              <w:rPr>
                <w:rFonts w:ascii="宋体" w:hAnsi="宋体" w:cs="宋体" w:eastAsia="宋体" w:hint="default"/>
                <w:sz w:val="18"/>
                <w:szCs w:val="18"/>
              </w:rPr>
            </w:pPr>
            <w:r>
              <w:rPr>
                <w:rFonts w:ascii="宋体"/>
                <w:sz w:val="18"/>
              </w:rPr>
              <w:t>180,000,000.00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36</w:t>
      </w:r>
      <w:r>
        <w:rPr/>
        <w:t>、现金流量表附注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赔款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4,467.83</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2,039,886.00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收回的投标保证金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6,732,177.40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8,211,172.23</w:t>
            </w:r>
            <w:r>
              <w:rPr>
                <w:rFonts w:ascii="Times New Roman"/>
                <w:sz w:val="18"/>
              </w:rPr>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18,634,094.32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100" w:bottom="1420" w:left="980" w:right="98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5585"/>
        <w:gridCol w:w="3985"/>
      </w:tblGrid>
      <w:tr>
        <w:trPr>
          <w:trHeight w:val="334" w:hRule="exact"/>
        </w:trPr>
        <w:tc>
          <w:tcPr>
            <w:tcW w:w="5585" w:type="dxa"/>
            <w:tcBorders>
              <w:top w:val="single" w:sz="6" w:space="0" w:color="000000"/>
              <w:left w:val="nil" w:sz="6" w:space="0" w:color="auto"/>
              <w:bottom w:val="single" w:sz="4" w:space="0" w:color="000000"/>
              <w:right w:val="nil" w:sz="6" w:space="0" w:color="auto"/>
            </w:tcBorders>
          </w:tcPr>
          <w:p>
            <w:pPr/>
          </w:p>
        </w:tc>
        <w:tc>
          <w:tcPr>
            <w:tcW w:w="3985" w:type="dxa"/>
            <w:tcBorders>
              <w:top w:val="single" w:sz="6" w:space="0" w:color="000000"/>
              <w:left w:val="nil" w:sz="6" w:space="0" w:color="auto"/>
              <w:bottom w:val="single" w:sz="4" w:space="0" w:color="000000"/>
              <w:right w:val="nil" w:sz="6" w:space="0" w:color="auto"/>
            </w:tcBorders>
          </w:tcPr>
          <w:p>
            <w:pPr/>
          </w:p>
        </w:tc>
      </w:tr>
      <w:tr>
        <w:trPr>
          <w:trHeight w:val="404"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35,621,797.78</w:t>
            </w:r>
          </w:p>
        </w:tc>
      </w:tr>
    </w:tbl>
    <w:p>
      <w:pPr>
        <w:spacing w:line="240" w:lineRule="auto" w:before="3"/>
        <w:rPr>
          <w:rFonts w:ascii="宋体" w:hAnsi="宋体" w:cs="宋体" w:eastAsia="宋体" w:hint="default"/>
          <w:sz w:val="19"/>
          <w:szCs w:val="19"/>
        </w:rPr>
      </w:pPr>
    </w:p>
    <w:p>
      <w:pPr>
        <w:pStyle w:val="Heading3"/>
        <w:spacing w:line="240" w:lineRule="auto" w:before="36"/>
        <w:ind w:left="112"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账户管理费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15,131.24</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手续费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114,151.48</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231,352.72</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支付的投标保证金及押金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4,360,785.29</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支付的管理费用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14,018,707.61</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支付的营业费用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38,974,827.25</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57,714,955.59</w:t>
            </w:r>
          </w:p>
        </w:tc>
      </w:tr>
    </w:tbl>
    <w:p>
      <w:pPr>
        <w:spacing w:line="240" w:lineRule="auto" w:before="3"/>
        <w:rPr>
          <w:rFonts w:ascii="宋体" w:hAnsi="宋体" w:cs="宋体" w:eastAsia="宋体" w:hint="default"/>
          <w:sz w:val="19"/>
          <w:szCs w:val="19"/>
        </w:rPr>
      </w:pPr>
    </w:p>
    <w:p>
      <w:pPr>
        <w:pStyle w:val="Heading3"/>
        <w:spacing w:line="240" w:lineRule="auto" w:before="36"/>
        <w:ind w:left="112" w:right="0"/>
        <w:jc w:val="left"/>
        <w:rPr>
          <w:b w:val="0"/>
          <w:bCs w:val="0"/>
        </w:rPr>
      </w:pPr>
      <w:r>
        <w:rPr/>
        <w:t>（</w:t>
      </w:r>
      <w:r>
        <w:rPr>
          <w:rFonts w:ascii="Times New Roman" w:hAnsi="Times New Roman" w:cs="Times New Roman" w:eastAsia="Times New Roman" w:hint="default"/>
        </w:rPr>
        <w:t>3</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377,472.45</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股东借款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9,300,000.00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9,677,472.45</w:t>
            </w:r>
          </w:p>
        </w:tc>
      </w:tr>
    </w:tbl>
    <w:p>
      <w:pPr>
        <w:spacing w:line="240" w:lineRule="auto" w:before="3"/>
        <w:rPr>
          <w:rFonts w:ascii="宋体" w:hAnsi="宋体" w:cs="宋体" w:eastAsia="宋体" w:hint="default"/>
          <w:sz w:val="19"/>
          <w:szCs w:val="19"/>
        </w:rPr>
      </w:pPr>
    </w:p>
    <w:p>
      <w:pPr>
        <w:pStyle w:val="Heading3"/>
        <w:spacing w:line="240" w:lineRule="auto" w:before="36"/>
        <w:ind w:left="112" w:right="0"/>
        <w:jc w:val="left"/>
        <w:rPr>
          <w:b w:val="0"/>
          <w:bCs w:val="0"/>
        </w:rPr>
      </w:pPr>
      <w:r>
        <w:rPr>
          <w:rFonts w:ascii="Times New Roman" w:hAnsi="Times New Roman" w:cs="Times New Roman" w:eastAsia="Times New Roman" w:hint="default"/>
        </w:rPr>
        <w:t>37</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2"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4368"/>
        <w:gridCol w:w="2534"/>
        <w:gridCol w:w="2657"/>
      </w:tblGrid>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75,331,802.57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58,549,641.92</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2,594,266.19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4,371,643.37</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5,348,090.47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2,421,630.66</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1,035,887.55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623,887.50</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573,771.23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6,046.58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43,327.45</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060" w:bottom="142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48,176.06</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-2,390,681.76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-754,546.48</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-27,543,141.03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-14,801,115.68</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-27,584,651.86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-27,670,134.23</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38,423,493.39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21,739,082.45</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65,794,883.33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44,571,593.02</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822,919,864.41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857,694,773.20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857,694,773.20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925,530,641.32</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-34,774,908.79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-67,835,868.12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822,919,864.41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857,694,773.20</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202,591.36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42,569.53</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822,717,273.05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857,652,203.67</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61"/>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461"/>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822,919,864.41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857,694,773.20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38</w:t>
      </w:r>
      <w:r>
        <w:rPr/>
        <w:t>、所有者权益变动表项目注释</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0" w:firstLine="360"/>
        <w:jc w:val="left"/>
      </w:pPr>
      <w:r>
        <w:rPr/>
        <w:t>对上年年初余额进行调整的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项目资本公积及未分配利润的调整金额分别为</w:t>
      </w:r>
      <w:r>
        <w:rPr>
          <w:rFonts w:ascii="Times New Roman" w:hAnsi="Times New Roman" w:cs="Times New Roman" w:eastAsia="Times New Roman" w:hint="default"/>
        </w:rPr>
        <w:t>35,396,339.72</w:t>
      </w:r>
      <w:r>
        <w:rPr/>
        <w:t>元及</w:t>
      </w:r>
      <w:r>
        <w:rPr>
          <w:rFonts w:ascii="Times New Roman" w:hAnsi="Times New Roman" w:cs="Times New Roman" w:eastAsia="Times New Roman" w:hint="default"/>
        </w:rPr>
        <w:t>-1,695,378.61</w:t>
      </w:r>
      <w:r>
        <w:rPr/>
        <w:t>元。上 </w:t>
      </w:r>
      <w:r>
        <w:rPr>
          <w:spacing w:val="-2"/>
        </w:rPr>
        <w:t>述调整事项是由同一控制下企业合并产生的追溯调整事项。按照企业会计准则的相关规定，在编制比较报表时，视同该项合</w:t>
      </w:r>
    </w:p>
    <w:p>
      <w:pPr>
        <w:spacing w:after="0" w:line="300" w:lineRule="auto"/>
        <w:jc w:val="left"/>
        <w:sectPr>
          <w:pgSz w:w="11910" w:h="16840"/>
          <w:pgMar w:header="0" w:footer="1227" w:top="1060" w:bottom="1420" w:left="980" w:right="980"/>
        </w:sectPr>
      </w:pPr>
    </w:p>
    <w:p>
      <w:pPr>
        <w:spacing w:line="240" w:lineRule="auto" w:before="9"/>
        <w:rPr>
          <w:rFonts w:ascii="宋体" w:hAnsi="宋体" w:cs="宋体" w:eastAsia="宋体" w:hint="default"/>
          <w:sz w:val="25"/>
          <w:szCs w:val="25"/>
        </w:rPr>
      </w:pPr>
    </w:p>
    <w:p>
      <w:pPr>
        <w:pStyle w:val="BodyText"/>
        <w:spacing w:line="309" w:lineRule="auto" w:before="44"/>
        <w:ind w:right="151"/>
        <w:jc w:val="both"/>
      </w:pPr>
      <w:r>
        <w:rPr>
          <w:spacing w:val="-2"/>
        </w:rPr>
        <w:t>并在以前期间即已发生。将被合并方广州市德居安电子科技有限公司的有关资产、负债在抵销内部交易的影响后并入合并财</w:t>
      </w:r>
      <w:r>
        <w:rPr>
          <w:spacing w:val="-64"/>
        </w:rPr>
        <w:t> </w:t>
      </w:r>
      <w:r>
        <w:rPr>
          <w:spacing w:val="-64"/>
        </w:rPr>
      </w:r>
      <w:r>
        <w:rPr>
          <w:spacing w:val="-2"/>
        </w:rPr>
        <w:t>务报表，同时增加合并资产负债表中所有者权益项下的资本公积并对对于广州市德居安电子科技有限公司在</w:t>
      </w:r>
      <w:r>
        <w:rPr>
          <w:rFonts w:ascii="Times New Roman" w:hAnsi="Times New Roman" w:cs="Times New Roman" w:eastAsia="Times New Roman" w:hint="default"/>
          <w:spacing w:val="-2"/>
        </w:rPr>
        <w:t>2011</w:t>
      </w:r>
      <w:r>
        <w:rPr>
          <w:spacing w:val="-2"/>
        </w:rPr>
        <w:t>年以前实现</w:t>
      </w:r>
      <w:r>
        <w:rPr>
          <w:spacing w:val="-62"/>
        </w:rPr>
        <w:t> </w:t>
      </w:r>
      <w:r>
        <w:rPr>
          <w:spacing w:val="-62"/>
        </w:rPr>
      </w:r>
      <w:r>
        <w:rPr/>
        <w:t>的留存收益中归属于本公司的部分，自资本公积转入留存收益。</w:t>
      </w:r>
    </w:p>
    <w:p>
      <w:pPr>
        <w:spacing w:line="240" w:lineRule="auto" w:before="3"/>
        <w:rPr>
          <w:rFonts w:ascii="宋体" w:hAnsi="宋体" w:cs="宋体" w:eastAsia="宋体" w:hint="default"/>
          <w:sz w:val="21"/>
          <w:szCs w:val="21"/>
        </w:rPr>
      </w:pPr>
    </w:p>
    <w:p>
      <w:pPr>
        <w:pStyle w:val="Heading2"/>
        <w:spacing w:line="240" w:lineRule="auto"/>
        <w:ind w:right="0"/>
        <w:jc w:val="both"/>
        <w:rPr>
          <w:b w:val="0"/>
          <w:bCs w:val="0"/>
        </w:rPr>
      </w:pPr>
      <w:r>
        <w:rPr/>
        <w:t>八、关联方及关联交易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73"/>
        <w:gridCol w:w="869"/>
        <w:gridCol w:w="871"/>
        <w:gridCol w:w="869"/>
        <w:gridCol w:w="871"/>
        <w:gridCol w:w="869"/>
        <w:gridCol w:w="871"/>
        <w:gridCol w:w="869"/>
        <w:gridCol w:w="872"/>
        <w:gridCol w:w="869"/>
        <w:gridCol w:w="862"/>
      </w:tblGrid>
      <w:tr>
        <w:trPr>
          <w:trHeight w:val="1337" w:hRule="exact"/>
        </w:trPr>
        <w:tc>
          <w:tcPr>
            <w:tcW w:w="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3" w:right="-5" w:hanging="181"/>
              <w:jc w:val="left"/>
              <w:rPr>
                <w:rFonts w:ascii="宋体" w:hAnsi="宋体" w:cs="宋体" w:eastAsia="宋体" w:hint="default"/>
                <w:sz w:val="18"/>
                <w:szCs w:val="18"/>
              </w:rPr>
            </w:pPr>
            <w:r>
              <w:rPr>
                <w:rFonts w:ascii="宋体" w:hAnsi="宋体" w:cs="宋体" w:eastAsia="宋体" w:hint="default"/>
                <w:spacing w:val="23"/>
                <w:sz w:val="18"/>
                <w:szCs w:val="18"/>
              </w:rPr>
              <w:t>控股股东</w:t>
            </w:r>
            <w:r>
              <w:rPr>
                <w:rFonts w:ascii="宋体" w:hAnsi="宋体" w:cs="宋体" w:eastAsia="宋体" w:hint="default"/>
                <w:spacing w:val="-59"/>
                <w:sz w:val="18"/>
                <w:szCs w:val="18"/>
              </w:rPr>
              <w:t> </w:t>
            </w:r>
            <w:r>
              <w:rPr>
                <w:rFonts w:ascii="宋体" w:hAnsi="宋体" w:cs="宋体" w:eastAsia="宋体" w:hint="default"/>
                <w:sz w:val="18"/>
                <w:szCs w:val="18"/>
              </w:rPr>
              <w:t>名称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0" w:right="71"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控股股东 对本企业 的持股比 例</w:t>
            </w:r>
            <w:r>
              <w:rPr>
                <w:rFonts w:ascii="Times New Roman" w:hAnsi="Times New Roman" w:cs="Times New Roman" w:eastAsia="Times New Roman"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70"/>
              <w:jc w:val="both"/>
              <w:rPr>
                <w:rFonts w:ascii="Times New Roman" w:hAnsi="Times New Roman" w:cs="Times New Roman" w:eastAsia="Times New Roman" w:hint="default"/>
                <w:sz w:val="18"/>
                <w:szCs w:val="18"/>
              </w:rPr>
            </w:pPr>
            <w:r>
              <w:rPr>
                <w:rFonts w:ascii="宋体" w:hAnsi="宋体" w:cs="宋体" w:eastAsia="宋体" w:hint="default"/>
                <w:sz w:val="18"/>
                <w:szCs w:val="18"/>
              </w:rPr>
              <w:t>控股股东 对本企业 的表决权 比例</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559" w:hRule="exact"/>
        </w:trPr>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39.03%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39.03%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单位：万</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811"/>
        <w:gridCol w:w="853"/>
        <w:gridCol w:w="1207"/>
      </w:tblGrid>
      <w:tr>
        <w:trPr>
          <w:trHeight w:val="715"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9" w:right="59" w:hanging="138"/>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表决权比 例</w:t>
            </w:r>
            <w:r>
              <w:rPr>
                <w:rFonts w:ascii="Times New Roman" w:hAnsi="Times New Roman" w:cs="Times New Roman" w:eastAsia="Times New Roman" w:hint="default"/>
                <w:sz w:val="18"/>
                <w:szCs w:val="18"/>
              </w:rPr>
              <w:t>(%)</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96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22"/>
              <w:jc w:val="both"/>
              <w:rPr>
                <w:rFonts w:ascii="宋体" w:hAnsi="宋体" w:cs="宋体" w:eastAsia="宋体" w:hint="default"/>
                <w:sz w:val="18"/>
                <w:szCs w:val="18"/>
              </w:rPr>
            </w:pPr>
            <w:r>
              <w:rPr>
                <w:rFonts w:ascii="宋体" w:hAnsi="宋体" w:cs="宋体" w:eastAsia="宋体" w:hint="default"/>
                <w:sz w:val="18"/>
                <w:szCs w:val="18"/>
              </w:rPr>
              <w:t>广东安居宝 智能控制系 统有限公司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内资企业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广东省广州 市广州经济 技术开发区 科学城起云 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号二栋</w:t>
            </w:r>
          </w:p>
          <w:p>
            <w:pPr>
              <w:pStyle w:val="TableParagraph"/>
              <w:spacing w:line="248" w:lineRule="exact"/>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23" w:right="21"/>
              <w:jc w:val="left"/>
              <w:rPr>
                <w:rFonts w:ascii="宋体" w:hAnsi="宋体" w:cs="宋体" w:eastAsia="宋体" w:hint="default"/>
                <w:sz w:val="18"/>
                <w:szCs w:val="18"/>
              </w:rPr>
            </w:pPr>
            <w:r>
              <w:rPr>
                <w:rFonts w:ascii="宋体" w:hAnsi="宋体" w:cs="宋体" w:eastAsia="宋体" w:hint="default"/>
                <w:sz w:val="18"/>
                <w:szCs w:val="18"/>
              </w:rPr>
              <w:t>其他电子设 备制造业类</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1,050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58566272-X</w:t>
            </w:r>
          </w:p>
        </w:tc>
      </w:tr>
      <w:tr>
        <w:trPr>
          <w:trHeight w:val="165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2"/>
              <w:jc w:val="both"/>
              <w:rPr>
                <w:rFonts w:ascii="宋体" w:hAnsi="宋体" w:cs="宋体" w:eastAsia="宋体" w:hint="default"/>
                <w:sz w:val="18"/>
                <w:szCs w:val="18"/>
              </w:rPr>
            </w:pPr>
            <w:r>
              <w:rPr>
                <w:rFonts w:ascii="宋体" w:hAnsi="宋体" w:cs="宋体" w:eastAsia="宋体" w:hint="default"/>
                <w:sz w:val="18"/>
                <w:szCs w:val="18"/>
              </w:rPr>
              <w:t>广东安居宝 光电传输科 技有限公司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内资企业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广州高新技 术产业开发 区科学城起 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w:t>
            </w:r>
          </w:p>
          <w:p>
            <w:pPr>
              <w:pStyle w:val="TableParagraph"/>
              <w:spacing w:line="248" w:lineRule="exact"/>
              <w:ind w:left="24" w:right="0"/>
              <w:jc w:val="both"/>
              <w:rPr>
                <w:rFonts w:ascii="宋体" w:hAnsi="宋体" w:cs="宋体" w:eastAsia="宋体" w:hint="default"/>
                <w:sz w:val="18"/>
                <w:szCs w:val="18"/>
              </w:rPr>
            </w:pPr>
            <w:r>
              <w:rPr>
                <w:rFonts w:ascii="宋体" w:hAnsi="宋体" w:cs="宋体" w:eastAsia="宋体" w:hint="default"/>
                <w:sz w:val="18"/>
                <w:szCs w:val="18"/>
              </w:rPr>
              <w:t>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59615760-6</w:t>
            </w:r>
          </w:p>
        </w:tc>
      </w:tr>
      <w:tr>
        <w:trPr>
          <w:trHeight w:val="164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2"/>
              <w:jc w:val="both"/>
              <w:rPr>
                <w:rFonts w:ascii="宋体" w:hAnsi="宋体" w:cs="宋体" w:eastAsia="宋体" w:hint="default"/>
                <w:sz w:val="18"/>
                <w:szCs w:val="18"/>
              </w:rPr>
            </w:pPr>
            <w:r>
              <w:rPr>
                <w:rFonts w:ascii="宋体" w:hAnsi="宋体" w:cs="宋体" w:eastAsia="宋体" w:hint="default"/>
                <w:sz w:val="18"/>
                <w:szCs w:val="18"/>
              </w:rPr>
              <w:t>广州市德居 安电子科技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内资企业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广州高新技 术产业开发 区科学城起 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 编一栋</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3,539.63</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67183159-3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、本企业的其他关联方情况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687"/>
        <w:gridCol w:w="2693"/>
        <w:gridCol w:w="3190"/>
      </w:tblGrid>
      <w:tr>
        <w:trPr>
          <w:trHeight w:val="401"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1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德居安科技有限公司（</w:t>
            </w:r>
            <w:r>
              <w:rPr>
                <w:rFonts w:ascii="Times New Roman" w:hAnsi="Times New Roman" w:cs="Times New Roman" w:eastAsia="Times New Roman" w:hint="default"/>
                <w:sz w:val="18"/>
                <w:szCs w:val="18"/>
              </w:rPr>
              <w:t>D-JA</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TECHNOLOGY</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最终同一实际控制人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0" w:footer="1227" w:top="1060" w:bottom="142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687"/>
        <w:gridCol w:w="2693"/>
        <w:gridCol w:w="3190"/>
      </w:tblGrid>
      <w:tr>
        <w:trPr>
          <w:trHeight w:val="36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w:t>
            </w:r>
            <w:r>
              <w:rPr>
                <w:rFonts w:ascii="宋体" w:hAnsi="宋体" w:cs="宋体" w:eastAsia="宋体" w:hint="default"/>
                <w:sz w:val="18"/>
                <w:szCs w:val="18"/>
              </w:rPr>
              <w:t>，</w:t>
            </w: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r>
              <w:rPr>
                <w:rFonts w:ascii="Times New Roman" w:hAnsi="Times New Roman" w:cs="Times New Roman" w:eastAsia="Times New Roman" w:hint="default"/>
                <w:sz w:val="18"/>
                <w:szCs w:val="18"/>
              </w:rPr>
              <w:t>HK</w:t>
            </w:r>
            <w:r>
              <w:rPr>
                <w:rFonts w:ascii="宋体" w:hAnsi="宋体" w:cs="宋体" w:eastAsia="宋体" w:hint="default"/>
                <w:sz w:val="18"/>
                <w:szCs w:val="18"/>
              </w:rPr>
              <w:t>）</w:t>
            </w: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p>
        </w:tc>
        <w:tc>
          <w:tcPr>
            <w:tcW w:w="26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广州市高堡仕智能科技有限公司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对子公司存在重大影响的股东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69517132-3</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、关联方交易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）存在控制关系且已纳入本公司合并报表范围的子公司，其相互间交易及母子公司交易已作抵销。</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）关联交易情况</w:t>
      </w:r>
      <w:r>
        <w:rPr>
          <w:b w:val="0"/>
          <w:bCs w:val="0"/>
        </w:rPr>
      </w:r>
    </w:p>
    <w:p>
      <w:pPr>
        <w:spacing w:line="240" w:lineRule="auto" w:before="13"/>
        <w:rPr>
          <w:rFonts w:ascii="宋体" w:hAnsi="宋体" w:cs="宋体" w:eastAsia="宋体" w:hint="default"/>
          <w:b/>
          <w:bCs/>
          <w:sz w:val="31"/>
          <w:szCs w:val="31"/>
        </w:rPr>
      </w:pPr>
    </w:p>
    <w:p>
      <w:pPr>
        <w:pStyle w:val="Heading5"/>
        <w:spacing w:line="240" w:lineRule="auto"/>
        <w:ind w:right="0"/>
        <w:jc w:val="left"/>
        <w:rPr>
          <w:b w:val="0"/>
          <w:bCs w:val="0"/>
        </w:rPr>
      </w:pPr>
      <w:r>
        <w:rPr/>
        <w:pict>
          <v:group style="position:absolute;margin-left:303.589996pt;margin-top:29.95174pt;width:222.45pt;height:1.1pt;mso-position-horizontal-relative:page;mso-position-vertical-relative:paragraph;z-index:-759472" coordorigin="6072,599" coordsize="4449,22">
            <v:group style="position:absolute;left:6083;top:610;width:1599;height:2" coordorigin="6083,610" coordsize="1599,2">
              <v:shape style="position:absolute;left:6083;top:610;width:1599;height:2" coordorigin="6083,610" coordsize="1599,0" path="m6083,610l7681,610e" filled="false" stroked="true" strokeweight="1.08pt" strokecolor="#000000">
                <v:path arrowok="t"/>
              </v:shape>
            </v:group>
            <v:group style="position:absolute;left:7681;top:610;width:22;height:2" coordorigin="7681,610" coordsize="22,2">
              <v:shape style="position:absolute;left:7681;top:610;width:22;height:2" coordorigin="7681,610" coordsize="22,0" path="m7681,610l7703,610e" filled="false" stroked="true" strokeweight="1.08pt" strokecolor="#000000">
                <v:path arrowok="t"/>
              </v:shape>
            </v:group>
            <v:group style="position:absolute;left:7703;top:610;width:932;height:2" coordorigin="7703,610" coordsize="932,2">
              <v:shape style="position:absolute;left:7703;top:610;width:932;height:2" coordorigin="7703,610" coordsize="932,0" path="m7703,610l8634,610e" filled="false" stroked="true" strokeweight="1.08pt" strokecolor="#000000">
                <v:path arrowok="t"/>
              </v:shape>
            </v:group>
            <v:group style="position:absolute;left:8634;top:610;width:22;height:2" coordorigin="8634,610" coordsize="22,2">
              <v:shape style="position:absolute;left:8634;top:610;width:22;height:2" coordorigin="8634,610" coordsize="22,0" path="m8634,610l8656,610e" filled="false" stroked="true" strokeweight="1.08pt" strokecolor="#000000">
                <v:path arrowok="t"/>
              </v:shape>
            </v:group>
            <v:group style="position:absolute;left:8656;top:610;width:750;height:2" coordorigin="8656,610" coordsize="750,2">
              <v:shape style="position:absolute;left:8656;top:610;width:750;height:2" coordorigin="8656,610" coordsize="750,0" path="m8656,610l9405,610e" filled="false" stroked="true" strokeweight="1.08pt" strokecolor="#000000">
                <v:path arrowok="t"/>
              </v:shape>
            </v:group>
            <v:group style="position:absolute;left:9405;top:610;width:22;height:2" coordorigin="9405,610" coordsize="22,2">
              <v:shape style="position:absolute;left:9405;top:610;width:22;height:2" coordorigin="9405,610" coordsize="22,0" path="m9405,610l9427,610e" filled="false" stroked="true" strokeweight="1.08pt" strokecolor="#000000">
                <v:path arrowok="t"/>
              </v:shape>
            </v:group>
            <v:group style="position:absolute;left:9427;top:610;width:1083;height:2" coordorigin="9427,610" coordsize="1083,2">
              <v:shape style="position:absolute;left:9427;top:610;width:1083;height:2" coordorigin="9427,610" coordsize="1083,0" path="m9427,610l10509,610e" filled="false" stroked="true" strokeweight="1.08pt" strokecolor="#000000">
                <v:path arrowok="t"/>
              </v:shape>
            </v:group>
            <w10:wrap type="none"/>
          </v:group>
        </w:pict>
      </w:r>
      <w:r>
        <w:rPr>
          <w:rFonts w:ascii="宋体" w:hAnsi="宋体" w:cs="宋体" w:eastAsia="宋体" w:hint="default"/>
        </w:rPr>
        <w:t>A</w:t>
      </w:r>
      <w:r>
        <w:rPr/>
        <w:t>、出售商品</w:t>
      </w:r>
      <w:r>
        <w:rPr>
          <w:rFonts w:ascii="宋体" w:hAnsi="宋体" w:cs="宋体" w:eastAsia="宋体" w:hint="default"/>
        </w:rPr>
        <w:t>/</w:t>
      </w:r>
      <w:r>
        <w:rPr/>
        <w:t>提供劳务情况</w:t>
      </w:r>
      <w:r>
        <w:rPr>
          <w:b w:val="0"/>
          <w:bCs w:val="0"/>
        </w:rPr>
      </w:r>
    </w:p>
    <w:p>
      <w:pPr>
        <w:spacing w:line="240" w:lineRule="auto" w:before="4"/>
        <w:rPr>
          <w:rFonts w:ascii="宋体" w:hAnsi="宋体" w:cs="宋体" w:eastAsia="宋体" w:hint="default"/>
          <w:b/>
          <w:bCs/>
          <w:sz w:val="2"/>
          <w:szCs w:val="2"/>
        </w:rPr>
      </w:pPr>
    </w:p>
    <w:tbl>
      <w:tblPr>
        <w:tblW w:w="0" w:type="auto"/>
        <w:jc w:val="left"/>
        <w:tblInd w:w="138" w:type="dxa"/>
        <w:tblLayout w:type="fixed"/>
        <w:tblCellMar>
          <w:top w:w="0" w:type="dxa"/>
          <w:left w:w="0" w:type="dxa"/>
          <w:bottom w:w="0" w:type="dxa"/>
          <w:right w:w="0" w:type="dxa"/>
        </w:tblCellMar>
        <w:tblLook w:val="01E0"/>
      </w:tblPr>
      <w:tblGrid>
        <w:gridCol w:w="2421"/>
        <w:gridCol w:w="1198"/>
        <w:gridCol w:w="1428"/>
        <w:gridCol w:w="1590"/>
        <w:gridCol w:w="876"/>
        <w:gridCol w:w="745"/>
        <w:gridCol w:w="1133"/>
      </w:tblGrid>
      <w:tr>
        <w:trPr>
          <w:trHeight w:val="249" w:hRule="exact"/>
        </w:trPr>
        <w:tc>
          <w:tcPr>
            <w:tcW w:w="2421" w:type="dxa"/>
            <w:tcBorders>
              <w:top w:val="single" w:sz="9" w:space="0" w:color="000000"/>
              <w:left w:val="nil" w:sz="6" w:space="0" w:color="auto"/>
              <w:bottom w:val="nil" w:sz="6" w:space="0" w:color="auto"/>
              <w:right w:val="nil" w:sz="6" w:space="0" w:color="auto"/>
            </w:tcBorders>
          </w:tcPr>
          <w:p>
            <w:pPr/>
          </w:p>
        </w:tc>
        <w:tc>
          <w:tcPr>
            <w:tcW w:w="1198" w:type="dxa"/>
            <w:tcBorders>
              <w:top w:val="single" w:sz="9" w:space="0" w:color="000000"/>
              <w:left w:val="nil" w:sz="6" w:space="0" w:color="auto"/>
              <w:bottom w:val="nil" w:sz="6" w:space="0" w:color="auto"/>
              <w:right w:val="nil" w:sz="6" w:space="0" w:color="auto"/>
            </w:tcBorders>
          </w:tcPr>
          <w:p>
            <w:pPr/>
          </w:p>
        </w:tc>
        <w:tc>
          <w:tcPr>
            <w:tcW w:w="1428" w:type="dxa"/>
            <w:tcBorders>
              <w:top w:val="single" w:sz="9" w:space="0" w:color="000000"/>
              <w:left w:val="nil" w:sz="6" w:space="0" w:color="auto"/>
              <w:bottom w:val="nil" w:sz="6" w:space="0" w:color="auto"/>
              <w:right w:val="nil" w:sz="6" w:space="0" w:color="auto"/>
            </w:tcBorders>
          </w:tcPr>
          <w:p>
            <w:pPr/>
          </w:p>
        </w:tc>
        <w:tc>
          <w:tcPr>
            <w:tcW w:w="1590" w:type="dxa"/>
            <w:tcBorders>
              <w:top w:val="single" w:sz="9" w:space="0" w:color="000000"/>
              <w:left w:val="nil" w:sz="6" w:space="0" w:color="auto"/>
              <w:bottom w:val="nil" w:sz="6" w:space="0" w:color="auto"/>
              <w:right w:val="nil" w:sz="6" w:space="0" w:color="auto"/>
            </w:tcBorders>
          </w:tcPr>
          <w:p>
            <w:pPr>
              <w:pStyle w:val="TableParagraph"/>
              <w:spacing w:line="240" w:lineRule="auto" w:before="8"/>
              <w:ind w:left="834"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876" w:type="dxa"/>
            <w:tcBorders>
              <w:top w:val="single" w:sz="9" w:space="0" w:color="000000"/>
              <w:left w:val="nil" w:sz="6" w:space="0" w:color="auto"/>
              <w:bottom w:val="nil" w:sz="6" w:space="0" w:color="auto"/>
              <w:right w:val="nil" w:sz="6" w:space="0" w:color="auto"/>
            </w:tcBorders>
          </w:tcPr>
          <w:p>
            <w:pPr/>
          </w:p>
        </w:tc>
        <w:tc>
          <w:tcPr>
            <w:tcW w:w="1877" w:type="dxa"/>
            <w:gridSpan w:val="2"/>
            <w:tcBorders>
              <w:top w:val="single" w:sz="9" w:space="0" w:color="000000"/>
              <w:left w:val="nil" w:sz="6" w:space="0" w:color="auto"/>
              <w:bottom w:val="nil" w:sz="6" w:space="0" w:color="auto"/>
              <w:right w:val="nil" w:sz="6" w:space="0" w:color="auto"/>
            </w:tcBorders>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79" w:hRule="exact"/>
        </w:trPr>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98" w:type="dxa"/>
            <w:vMerge w:val="restart"/>
            <w:tcBorders>
              <w:top w:val="nil" w:sz="6" w:space="0" w:color="auto"/>
              <w:left w:val="nil" w:sz="6" w:space="0" w:color="auto"/>
              <w:right w:val="nil" w:sz="6" w:space="0" w:color="auto"/>
            </w:tcBorders>
          </w:tcPr>
          <w:p>
            <w:pPr>
              <w:pStyle w:val="TableParagraph"/>
              <w:spacing w:line="319" w:lineRule="auto" w:before="94"/>
              <w:ind w:left="518" w:right="138" w:hanging="361"/>
              <w:jc w:val="left"/>
              <w:rPr>
                <w:rFonts w:ascii="宋体" w:hAnsi="宋体" w:cs="宋体" w:eastAsia="宋体" w:hint="default"/>
                <w:sz w:val="18"/>
                <w:szCs w:val="18"/>
              </w:rPr>
            </w:pPr>
            <w:r>
              <w:rPr>
                <w:rFonts w:ascii="宋体" w:hAnsi="宋体" w:cs="宋体" w:eastAsia="宋体" w:hint="default"/>
                <w:sz w:val="18"/>
                <w:szCs w:val="18"/>
              </w:rPr>
              <w:t>关联交易内 容</w:t>
            </w:r>
          </w:p>
        </w:tc>
        <w:tc>
          <w:tcPr>
            <w:tcW w:w="1428" w:type="dxa"/>
            <w:vMerge w:val="restart"/>
            <w:tcBorders>
              <w:top w:val="nil" w:sz="6" w:space="0" w:color="auto"/>
              <w:left w:val="nil" w:sz="6" w:space="0" w:color="auto"/>
              <w:right w:val="nil" w:sz="6" w:space="0" w:color="auto"/>
            </w:tcBorders>
          </w:tcPr>
          <w:p>
            <w:pPr>
              <w:pStyle w:val="TableParagraph"/>
              <w:spacing w:line="174" w:lineRule="exact"/>
              <w:ind w:left="140" w:right="0"/>
              <w:jc w:val="left"/>
              <w:rPr>
                <w:rFonts w:ascii="宋体" w:hAnsi="宋体" w:cs="宋体" w:eastAsia="宋体" w:hint="default"/>
                <w:sz w:val="18"/>
                <w:szCs w:val="18"/>
              </w:rPr>
            </w:pPr>
            <w:r>
              <w:rPr>
                <w:rFonts w:ascii="宋体" w:hAnsi="宋体" w:cs="宋体" w:eastAsia="宋体" w:hint="default"/>
                <w:sz w:val="18"/>
                <w:szCs w:val="18"/>
              </w:rPr>
              <w:t>关联交易定价</w:t>
            </w:r>
          </w:p>
          <w:p>
            <w:pPr>
              <w:pStyle w:val="TableParagraph"/>
              <w:spacing w:line="316" w:lineRule="auto" w:before="77"/>
              <w:ind w:left="591" w:right="205" w:hanging="452"/>
              <w:jc w:val="left"/>
              <w:rPr>
                <w:rFonts w:ascii="宋体" w:hAnsi="宋体" w:cs="宋体" w:eastAsia="宋体" w:hint="default"/>
                <w:sz w:val="18"/>
                <w:szCs w:val="18"/>
              </w:rPr>
            </w:pPr>
            <w:r>
              <w:rPr>
                <w:rFonts w:ascii="宋体" w:hAnsi="宋体" w:cs="宋体" w:eastAsia="宋体" w:hint="default"/>
                <w:sz w:val="18"/>
                <w:szCs w:val="18"/>
              </w:rPr>
              <w:t>方式及决策程 序</w:t>
            </w:r>
          </w:p>
        </w:tc>
        <w:tc>
          <w:tcPr>
            <w:tcW w:w="1590" w:type="dxa"/>
            <w:tcBorders>
              <w:top w:val="nil" w:sz="6" w:space="0" w:color="auto"/>
              <w:left w:val="nil" w:sz="6" w:space="0" w:color="auto"/>
              <w:bottom w:val="nil" w:sz="6" w:space="0" w:color="auto"/>
              <w:right w:val="nil" w:sz="6" w:space="0" w:color="auto"/>
            </w:tcBorders>
          </w:tcPr>
          <w:p>
            <w:pPr/>
          </w:p>
        </w:tc>
        <w:tc>
          <w:tcPr>
            <w:tcW w:w="876" w:type="dxa"/>
            <w:vMerge w:val="restart"/>
            <w:tcBorders>
              <w:top w:val="nil" w:sz="6" w:space="0" w:color="auto"/>
              <w:left w:val="nil" w:sz="6" w:space="0" w:color="auto"/>
              <w:right w:val="nil" w:sz="6" w:space="0" w:color="auto"/>
            </w:tcBorders>
          </w:tcPr>
          <w:p>
            <w:pPr>
              <w:pStyle w:val="TableParagraph"/>
              <w:spacing w:line="340" w:lineRule="auto" w:before="104"/>
              <w:ind w:left="43" w:right="11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占同类交 易比例 </w:t>
            </w:r>
            <w:r>
              <w:rPr>
                <w:rFonts w:ascii="Times New Roman" w:hAnsi="Times New Roman" w:cs="Times New Roman" w:eastAsia="Times New Roman" w:hint="default"/>
                <w:sz w:val="18"/>
                <w:szCs w:val="18"/>
              </w:rPr>
              <w:t>(%)</w:t>
            </w:r>
          </w:p>
        </w:tc>
        <w:tc>
          <w:tcPr>
            <w:tcW w:w="745" w:type="dxa"/>
            <w:tcBorders>
              <w:top w:val="nil" w:sz="6" w:space="0" w:color="auto"/>
              <w:left w:val="nil" w:sz="6" w:space="0" w:color="auto"/>
              <w:bottom w:val="nil" w:sz="6" w:space="0" w:color="auto"/>
              <w:right w:val="nil" w:sz="6" w:space="0" w:color="auto"/>
            </w:tcBorders>
          </w:tcPr>
          <w:p>
            <w:pPr/>
          </w:p>
        </w:tc>
        <w:tc>
          <w:tcPr>
            <w:tcW w:w="1133" w:type="dxa"/>
            <w:vMerge w:val="restart"/>
            <w:tcBorders>
              <w:top w:val="nil" w:sz="6" w:space="0" w:color="auto"/>
              <w:left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316" w:lineRule="auto"/>
              <w:ind w:left="175" w:right="146"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占同类交 易比例</w:t>
            </w:r>
            <w:r>
              <w:rPr>
                <w:rFonts w:ascii="Times New Roman" w:hAnsi="Times New Roman" w:cs="Times New Roman" w:eastAsia="Times New Roman" w:hint="default"/>
                <w:sz w:val="18"/>
                <w:szCs w:val="18"/>
              </w:rPr>
              <w:t>(%)</w:t>
            </w:r>
          </w:p>
        </w:tc>
      </w:tr>
      <w:tr>
        <w:trPr>
          <w:trHeight w:val="564" w:hRule="exact"/>
        </w:trPr>
        <w:tc>
          <w:tcPr>
            <w:tcW w:w="2421" w:type="dxa"/>
            <w:tcBorders>
              <w:top w:val="nil" w:sz="6" w:space="0" w:color="auto"/>
              <w:left w:val="nil" w:sz="6" w:space="0" w:color="auto"/>
              <w:bottom w:val="single" w:sz="9" w:space="0" w:color="000000"/>
              <w:right w:val="nil" w:sz="6" w:space="0" w:color="auto"/>
            </w:tcBorders>
          </w:tcPr>
          <w:p>
            <w:pPr/>
          </w:p>
        </w:tc>
        <w:tc>
          <w:tcPr>
            <w:tcW w:w="1198" w:type="dxa"/>
            <w:vMerge/>
            <w:tcBorders>
              <w:left w:val="nil" w:sz="6" w:space="0" w:color="auto"/>
              <w:bottom w:val="single" w:sz="9" w:space="0" w:color="000000"/>
              <w:right w:val="nil" w:sz="6" w:space="0" w:color="auto"/>
            </w:tcBorders>
          </w:tcPr>
          <w:p>
            <w:pPr/>
          </w:p>
        </w:tc>
        <w:tc>
          <w:tcPr>
            <w:tcW w:w="1428" w:type="dxa"/>
            <w:vMerge/>
            <w:tcBorders>
              <w:left w:val="nil" w:sz="6" w:space="0" w:color="auto"/>
              <w:bottom w:val="single" w:sz="9" w:space="0" w:color="000000"/>
              <w:right w:val="nil" w:sz="6" w:space="0" w:color="auto"/>
            </w:tcBorders>
          </w:tcPr>
          <w:p>
            <w:pPr/>
          </w:p>
        </w:tc>
        <w:tc>
          <w:tcPr>
            <w:tcW w:w="1590" w:type="dxa"/>
            <w:tcBorders>
              <w:top w:val="nil" w:sz="6" w:space="0" w:color="auto"/>
              <w:left w:val="nil" w:sz="6" w:space="0" w:color="auto"/>
              <w:bottom w:val="single" w:sz="9" w:space="0" w:color="000000"/>
              <w:right w:val="nil" w:sz="6" w:space="0" w:color="auto"/>
            </w:tcBorders>
          </w:tcPr>
          <w:p>
            <w:pPr>
              <w:pStyle w:val="TableParagraph"/>
              <w:spacing w:line="173" w:lineRule="exact"/>
              <w:ind w:right="150"/>
              <w:jc w:val="center"/>
              <w:rPr>
                <w:rFonts w:ascii="宋体" w:hAnsi="宋体" w:cs="宋体" w:eastAsia="宋体" w:hint="default"/>
                <w:sz w:val="18"/>
                <w:szCs w:val="18"/>
              </w:rPr>
            </w:pPr>
            <w:r>
              <w:rPr>
                <w:rFonts w:ascii="宋体" w:hAnsi="宋体" w:cs="宋体" w:eastAsia="宋体" w:hint="default"/>
                <w:sz w:val="18"/>
                <w:szCs w:val="18"/>
              </w:rPr>
              <w:t>金额</w:t>
            </w:r>
          </w:p>
        </w:tc>
        <w:tc>
          <w:tcPr>
            <w:tcW w:w="876" w:type="dxa"/>
            <w:vMerge/>
            <w:tcBorders>
              <w:left w:val="nil" w:sz="6" w:space="0" w:color="auto"/>
              <w:bottom w:val="single" w:sz="9" w:space="0" w:color="000000"/>
              <w:right w:val="nil" w:sz="6" w:space="0" w:color="auto"/>
            </w:tcBorders>
          </w:tcPr>
          <w:p>
            <w:pPr/>
          </w:p>
        </w:tc>
        <w:tc>
          <w:tcPr>
            <w:tcW w:w="745" w:type="dxa"/>
            <w:tcBorders>
              <w:top w:val="nil" w:sz="6" w:space="0" w:color="auto"/>
              <w:left w:val="nil" w:sz="6" w:space="0" w:color="auto"/>
              <w:bottom w:val="single" w:sz="9" w:space="0" w:color="000000"/>
              <w:right w:val="nil" w:sz="6" w:space="0" w:color="auto"/>
            </w:tcBorders>
          </w:tcPr>
          <w:p>
            <w:pPr>
              <w:pStyle w:val="TableParagraph"/>
              <w:spacing w:line="173" w:lineRule="exact"/>
              <w:ind w:left="20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33" w:type="dxa"/>
            <w:vMerge/>
            <w:tcBorders>
              <w:left w:val="nil" w:sz="6" w:space="0" w:color="auto"/>
              <w:bottom w:val="single" w:sz="9" w:space="0" w:color="000000"/>
              <w:right w:val="nil" w:sz="6" w:space="0" w:color="auto"/>
            </w:tcBorders>
          </w:tcPr>
          <w:p>
            <w:pPr/>
          </w:p>
        </w:tc>
      </w:tr>
      <w:tr>
        <w:trPr>
          <w:trHeight w:val="648" w:hRule="exact"/>
        </w:trPr>
        <w:tc>
          <w:tcPr>
            <w:tcW w:w="2421" w:type="dxa"/>
            <w:tcBorders>
              <w:top w:val="single" w:sz="9" w:space="0" w:color="000000"/>
              <w:left w:val="nil" w:sz="6" w:space="0" w:color="auto"/>
              <w:bottom w:val="single" w:sz="9" w:space="0" w:color="000000"/>
              <w:right w:val="nil" w:sz="6" w:space="0" w:color="auto"/>
            </w:tcBorders>
          </w:tcPr>
          <w:p>
            <w:pPr>
              <w:pStyle w:val="TableParagraph"/>
              <w:spacing w:line="316" w:lineRule="auto" w:before="8"/>
              <w:ind w:left="122" w:right="109"/>
              <w:jc w:val="left"/>
              <w:rPr>
                <w:rFonts w:ascii="宋体" w:hAnsi="宋体" w:cs="宋体" w:eastAsia="宋体" w:hint="default"/>
                <w:sz w:val="18"/>
                <w:szCs w:val="18"/>
              </w:rPr>
            </w:pPr>
            <w:r>
              <w:rPr>
                <w:rFonts w:ascii="宋体" w:hAnsi="宋体" w:cs="宋体" w:eastAsia="宋体" w:hint="default"/>
                <w:sz w:val="18"/>
                <w:szCs w:val="18"/>
              </w:rPr>
              <w:t>广州市高堡仕智能科技有限</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公司</w:t>
            </w:r>
          </w:p>
        </w:tc>
        <w:tc>
          <w:tcPr>
            <w:tcW w:w="1198" w:type="dxa"/>
            <w:tcBorders>
              <w:top w:val="single" w:sz="9" w:space="0" w:color="000000"/>
              <w:left w:val="nil" w:sz="6" w:space="0" w:color="auto"/>
              <w:bottom w:val="single" w:sz="9" w:space="0" w:color="000000"/>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1428" w:type="dxa"/>
            <w:tcBorders>
              <w:top w:val="single" w:sz="9" w:space="0" w:color="000000"/>
              <w:left w:val="nil" w:sz="6" w:space="0" w:color="auto"/>
              <w:bottom w:val="single" w:sz="9" w:space="0" w:color="000000"/>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0" w:type="dxa"/>
            <w:tcBorders>
              <w:top w:val="single" w:sz="9" w:space="0" w:color="000000"/>
              <w:left w:val="nil" w:sz="6" w:space="0" w:color="auto"/>
              <w:bottom w:val="single" w:sz="9"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1,498,231.12</w:t>
            </w:r>
          </w:p>
        </w:tc>
        <w:tc>
          <w:tcPr>
            <w:tcW w:w="876" w:type="dxa"/>
            <w:tcBorders>
              <w:top w:val="single" w:sz="9" w:space="0" w:color="000000"/>
              <w:left w:val="nil" w:sz="6" w:space="0" w:color="auto"/>
              <w:bottom w:val="single" w:sz="9"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0.41%</w:t>
            </w:r>
          </w:p>
        </w:tc>
        <w:tc>
          <w:tcPr>
            <w:tcW w:w="745" w:type="dxa"/>
            <w:tcBorders>
              <w:top w:val="single" w:sz="9" w:space="0" w:color="000000"/>
              <w:left w:val="nil" w:sz="6" w:space="0" w:color="auto"/>
              <w:bottom w:val="single" w:sz="9"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0.00</w:t>
            </w:r>
          </w:p>
        </w:tc>
        <w:tc>
          <w:tcPr>
            <w:tcW w:w="1133" w:type="dxa"/>
            <w:tcBorders>
              <w:top w:val="single" w:sz="9" w:space="0" w:color="000000"/>
              <w:left w:val="nil" w:sz="6" w:space="0" w:color="auto"/>
              <w:bottom w:val="single" w:sz="9"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r>
    </w:tbl>
    <w:p>
      <w:pPr>
        <w:spacing w:line="240" w:lineRule="auto" w:before="9"/>
        <w:rPr>
          <w:rFonts w:ascii="宋体" w:hAnsi="宋体" w:cs="宋体" w:eastAsia="宋体" w:hint="default"/>
          <w:b/>
          <w:bCs/>
          <w:sz w:val="29"/>
          <w:szCs w:val="29"/>
        </w:rPr>
      </w:pPr>
    </w:p>
    <w:p>
      <w:pPr>
        <w:pStyle w:val="Heading5"/>
        <w:spacing w:line="240" w:lineRule="auto" w:before="44"/>
        <w:ind w:right="0"/>
        <w:jc w:val="left"/>
        <w:rPr>
          <w:b w:val="0"/>
          <w:bCs w:val="0"/>
        </w:rPr>
      </w:pPr>
      <w:r>
        <w:rPr/>
        <w:pict>
          <v:group style="position:absolute;margin-left:307.309998pt;margin-top:32.151718pt;width:222.45pt;height:1.1pt;mso-position-horizontal-relative:page;mso-position-vertical-relative:paragraph;z-index:-759448" coordorigin="6146,643" coordsize="4449,22">
            <v:group style="position:absolute;left:6157;top:654;width:1446;height:2" coordorigin="6157,654" coordsize="1446,2">
              <v:shape style="position:absolute;left:6157;top:654;width:1446;height:2" coordorigin="6157,654" coordsize="1446,0" path="m6157,654l7602,654e" filled="false" stroked="true" strokeweight="1.08pt" strokecolor="#000000">
                <v:path arrowok="t"/>
              </v:shape>
            </v:group>
            <v:group style="position:absolute;left:7602;top:654;width:22;height:2" coordorigin="7602,654" coordsize="22,2">
              <v:shape style="position:absolute;left:7602;top:654;width:22;height:2" coordorigin="7602,654" coordsize="22,0" path="m7602,654l7624,654e" filled="false" stroked="true" strokeweight="1.08pt" strokecolor="#000000">
                <v:path arrowok="t"/>
              </v:shape>
            </v:group>
            <v:group style="position:absolute;left:7624;top:654;width:1090;height:2" coordorigin="7624,654" coordsize="1090,2">
              <v:shape style="position:absolute;left:7624;top:654;width:1090;height:2" coordorigin="7624,654" coordsize="1090,0" path="m7624,654l8713,654e" filled="false" stroked="true" strokeweight="1.08pt" strokecolor="#000000">
                <v:path arrowok="t"/>
              </v:shape>
            </v:group>
            <v:group style="position:absolute;left:8713;top:654;width:22;height:2" coordorigin="8713,654" coordsize="22,2">
              <v:shape style="position:absolute;left:8713;top:654;width:22;height:2" coordorigin="8713,654" coordsize="22,0" path="m8713,654l8735,654e" filled="false" stroked="true" strokeweight="1.08pt" strokecolor="#000000">
                <v:path arrowok="t"/>
              </v:shape>
            </v:group>
            <v:group style="position:absolute;left:8735;top:654;width:771;height:2" coordorigin="8735,654" coordsize="771,2">
              <v:shape style="position:absolute;left:8735;top:654;width:771;height:2" coordorigin="8735,654" coordsize="771,0" path="m8735,654l9506,654e" filled="false" stroked="true" strokeweight="1.08pt" strokecolor="#000000">
                <v:path arrowok="t"/>
              </v:shape>
            </v:group>
            <v:group style="position:absolute;left:9506;top:654;width:22;height:2" coordorigin="9506,654" coordsize="22,2">
              <v:shape style="position:absolute;left:9506;top:654;width:22;height:2" coordorigin="9506,654" coordsize="22,0" path="m9506,654l9528,654e" filled="false" stroked="true" strokeweight="1.08pt" strokecolor="#000000">
                <v:path arrowok="t"/>
              </v:shape>
            </v:group>
            <v:group style="position:absolute;left:9528;top:654;width:1056;height:2" coordorigin="9528,654" coordsize="1056,2">
              <v:shape style="position:absolute;left:9528;top:654;width:1056;height:2" coordorigin="9528,654" coordsize="1056,0" path="m9528,654l10584,654e" filled="false" stroked="true" strokeweight="1.08pt" strokecolor="#000000">
                <v:path arrowok="t"/>
              </v:shape>
            </v:group>
            <w10:wrap type="none"/>
          </v:group>
        </w:pict>
      </w:r>
      <w:r>
        <w:rPr>
          <w:rFonts w:ascii="宋体" w:hAnsi="宋体" w:cs="宋体" w:eastAsia="宋体" w:hint="default"/>
        </w:rPr>
        <w:t>B</w:t>
      </w:r>
      <w:r>
        <w:rPr/>
        <w:t>、购买无形资产情况</w:t>
      </w:r>
      <w:r>
        <w:rPr>
          <w:b w:val="0"/>
          <w:bCs w:val="0"/>
        </w:rPr>
      </w:r>
    </w:p>
    <w:p>
      <w:pPr>
        <w:spacing w:line="240" w:lineRule="auto" w:before="4"/>
        <w:rPr>
          <w:rFonts w:ascii="宋体" w:hAnsi="宋体" w:cs="宋体" w:eastAsia="宋体" w:hint="default"/>
          <w:b/>
          <w:bCs/>
          <w:sz w:val="2"/>
          <w:szCs w:val="2"/>
        </w:rPr>
      </w:pPr>
    </w:p>
    <w:tbl>
      <w:tblPr>
        <w:tblW w:w="0" w:type="auto"/>
        <w:jc w:val="left"/>
        <w:tblInd w:w="138" w:type="dxa"/>
        <w:tblLayout w:type="fixed"/>
        <w:tblCellMar>
          <w:top w:w="0" w:type="dxa"/>
          <w:left w:w="0" w:type="dxa"/>
          <w:bottom w:w="0" w:type="dxa"/>
          <w:right w:w="0" w:type="dxa"/>
        </w:tblCellMar>
        <w:tblLook w:val="01E0"/>
      </w:tblPr>
      <w:tblGrid>
        <w:gridCol w:w="2503"/>
        <w:gridCol w:w="1232"/>
        <w:gridCol w:w="1296"/>
        <w:gridCol w:w="1311"/>
        <w:gridCol w:w="1232"/>
        <w:gridCol w:w="773"/>
        <w:gridCol w:w="1118"/>
      </w:tblGrid>
      <w:tr>
        <w:trPr>
          <w:trHeight w:val="249" w:hRule="exact"/>
        </w:trPr>
        <w:tc>
          <w:tcPr>
            <w:tcW w:w="2503" w:type="dxa"/>
            <w:tcBorders>
              <w:top w:val="single" w:sz="9" w:space="0" w:color="000000"/>
              <w:left w:val="nil" w:sz="6" w:space="0" w:color="auto"/>
              <w:bottom w:val="nil" w:sz="6" w:space="0" w:color="auto"/>
              <w:right w:val="nil" w:sz="6" w:space="0" w:color="auto"/>
            </w:tcBorders>
          </w:tcPr>
          <w:p>
            <w:pPr/>
          </w:p>
        </w:tc>
        <w:tc>
          <w:tcPr>
            <w:tcW w:w="1232" w:type="dxa"/>
            <w:tcBorders>
              <w:top w:val="single" w:sz="9" w:space="0" w:color="000000"/>
              <w:left w:val="nil" w:sz="6" w:space="0" w:color="auto"/>
              <w:bottom w:val="nil" w:sz="6" w:space="0" w:color="auto"/>
              <w:right w:val="nil" w:sz="6" w:space="0" w:color="auto"/>
            </w:tcBorders>
          </w:tcPr>
          <w:p>
            <w:pPr/>
          </w:p>
        </w:tc>
        <w:tc>
          <w:tcPr>
            <w:tcW w:w="1296" w:type="dxa"/>
            <w:vMerge w:val="restart"/>
            <w:tcBorders>
              <w:top w:val="single" w:sz="9" w:space="0" w:color="000000"/>
              <w:left w:val="nil" w:sz="6" w:space="0" w:color="auto"/>
              <w:right w:val="nil" w:sz="6" w:space="0" w:color="auto"/>
            </w:tcBorders>
          </w:tcPr>
          <w:p>
            <w:pPr>
              <w:pStyle w:val="TableParagraph"/>
              <w:spacing w:line="316" w:lineRule="auto" w:before="20"/>
              <w:ind w:left="101" w:right="113"/>
              <w:jc w:val="center"/>
              <w:rPr>
                <w:rFonts w:ascii="宋体" w:hAnsi="宋体" w:cs="宋体" w:eastAsia="宋体" w:hint="default"/>
                <w:sz w:val="18"/>
                <w:szCs w:val="18"/>
              </w:rPr>
            </w:pPr>
            <w:r>
              <w:rPr>
                <w:rFonts w:ascii="宋体" w:hAnsi="宋体" w:cs="宋体" w:eastAsia="宋体" w:hint="default"/>
                <w:sz w:val="18"/>
                <w:szCs w:val="18"/>
              </w:rPr>
              <w:t>关联交易定价 方式及决策程 序</w:t>
            </w:r>
          </w:p>
        </w:tc>
        <w:tc>
          <w:tcPr>
            <w:tcW w:w="2542" w:type="dxa"/>
            <w:gridSpan w:val="2"/>
            <w:tcBorders>
              <w:top w:val="single" w:sz="9" w:space="0" w:color="000000"/>
              <w:left w:val="nil" w:sz="6" w:space="0" w:color="auto"/>
              <w:bottom w:val="nil" w:sz="6" w:space="0" w:color="auto"/>
              <w:right w:val="nil" w:sz="6" w:space="0" w:color="auto"/>
            </w:tcBorders>
          </w:tcPr>
          <w:p>
            <w:pPr>
              <w:pStyle w:val="TableParagraph"/>
              <w:spacing w:line="240" w:lineRule="auto" w:before="8"/>
              <w:ind w:left="26" w:right="0"/>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1892" w:type="dxa"/>
            <w:gridSpan w:val="2"/>
            <w:tcBorders>
              <w:top w:val="single" w:sz="9" w:space="0" w:color="000000"/>
              <w:left w:val="nil" w:sz="6" w:space="0" w:color="auto"/>
              <w:bottom w:val="nil" w:sz="6" w:space="0" w:color="auto"/>
              <w:right w:val="nil" w:sz="6" w:space="0" w:color="auto"/>
            </w:tcBorders>
          </w:tcPr>
          <w:p>
            <w:pPr>
              <w:pStyle w:val="TableParagraph"/>
              <w:spacing w:line="240" w:lineRule="auto" w:before="8"/>
              <w:ind w:left="595"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24" w:hRule="exact"/>
        </w:trPr>
        <w:tc>
          <w:tcPr>
            <w:tcW w:w="250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4"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32" w:type="dxa"/>
            <w:vMerge w:val="restart"/>
            <w:tcBorders>
              <w:top w:val="nil" w:sz="6" w:space="0" w:color="auto"/>
              <w:left w:val="nil" w:sz="6" w:space="0" w:color="auto"/>
              <w:right w:val="nil" w:sz="6" w:space="0" w:color="auto"/>
            </w:tcBorders>
          </w:tcPr>
          <w:p>
            <w:pPr>
              <w:pStyle w:val="TableParagraph"/>
              <w:spacing w:line="174" w:lineRule="exact"/>
              <w:ind w:right="17"/>
              <w:jc w:val="center"/>
              <w:rPr>
                <w:rFonts w:ascii="宋体" w:hAnsi="宋体" w:cs="宋体" w:eastAsia="宋体" w:hint="default"/>
                <w:sz w:val="18"/>
                <w:szCs w:val="18"/>
              </w:rPr>
            </w:pPr>
            <w:r>
              <w:rPr>
                <w:rFonts w:ascii="宋体" w:hAnsi="宋体" w:cs="宋体" w:eastAsia="宋体" w:hint="default"/>
                <w:sz w:val="18"/>
                <w:szCs w:val="18"/>
              </w:rPr>
              <w:t>关联交易内</w:t>
            </w:r>
          </w:p>
          <w:p>
            <w:pPr>
              <w:pStyle w:val="TableParagraph"/>
              <w:spacing w:line="240" w:lineRule="auto" w:before="76"/>
              <w:ind w:right="16"/>
              <w:jc w:val="center"/>
              <w:rPr>
                <w:rFonts w:ascii="宋体" w:hAnsi="宋体" w:cs="宋体" w:eastAsia="宋体" w:hint="default"/>
                <w:sz w:val="18"/>
                <w:szCs w:val="18"/>
              </w:rPr>
            </w:pPr>
            <w:r>
              <w:rPr>
                <w:rFonts w:ascii="宋体" w:hAnsi="宋体" w:cs="宋体" w:eastAsia="宋体" w:hint="default"/>
                <w:sz w:val="18"/>
                <w:szCs w:val="18"/>
              </w:rPr>
              <w:t>容</w:t>
            </w:r>
          </w:p>
        </w:tc>
        <w:tc>
          <w:tcPr>
            <w:tcW w:w="1296" w:type="dxa"/>
            <w:vMerge/>
            <w:tcBorders>
              <w:left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1232" w:type="dxa"/>
            <w:vMerge w:val="restart"/>
            <w:tcBorders>
              <w:top w:val="nil" w:sz="6" w:space="0" w:color="auto"/>
              <w:left w:val="nil" w:sz="6" w:space="0" w:color="auto"/>
              <w:right w:val="nil" w:sz="6" w:space="0" w:color="auto"/>
            </w:tcBorders>
          </w:tcPr>
          <w:p>
            <w:pPr>
              <w:pStyle w:val="TableParagraph"/>
              <w:spacing w:line="316" w:lineRule="auto" w:before="106"/>
              <w:ind w:left="292" w:right="127"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占同类交 易比例</w:t>
            </w:r>
            <w:r>
              <w:rPr>
                <w:rFonts w:ascii="Times New Roman" w:hAnsi="Times New Roman" w:cs="Times New Roman" w:eastAsia="Times New Roman" w:hint="default"/>
                <w:sz w:val="18"/>
                <w:szCs w:val="18"/>
              </w:rPr>
              <w:t>(%)</w:t>
            </w:r>
          </w:p>
        </w:tc>
        <w:tc>
          <w:tcPr>
            <w:tcW w:w="773" w:type="dxa"/>
            <w:tcBorders>
              <w:top w:val="nil" w:sz="6" w:space="0" w:color="auto"/>
              <w:left w:val="nil" w:sz="6" w:space="0" w:color="auto"/>
              <w:bottom w:val="nil" w:sz="6" w:space="0" w:color="auto"/>
              <w:right w:val="nil" w:sz="6" w:space="0" w:color="auto"/>
            </w:tcBorders>
          </w:tcPr>
          <w:p>
            <w:pPr/>
          </w:p>
        </w:tc>
        <w:tc>
          <w:tcPr>
            <w:tcW w:w="1118" w:type="dxa"/>
            <w:vMerge w:val="restart"/>
            <w:tcBorders>
              <w:top w:val="nil" w:sz="6" w:space="0" w:color="auto"/>
              <w:left w:val="nil" w:sz="6" w:space="0" w:color="auto"/>
              <w:right w:val="nil" w:sz="6" w:space="0" w:color="auto"/>
            </w:tcBorders>
          </w:tcPr>
          <w:p>
            <w:pPr>
              <w:pStyle w:val="TableParagraph"/>
              <w:spacing w:line="316" w:lineRule="auto" w:before="106"/>
              <w:ind w:left="175" w:right="132"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占同类交 易比例</w:t>
            </w:r>
            <w:r>
              <w:rPr>
                <w:rFonts w:ascii="Times New Roman" w:hAnsi="Times New Roman" w:cs="Times New Roman" w:eastAsia="Times New Roman" w:hint="default"/>
                <w:sz w:val="18"/>
                <w:szCs w:val="18"/>
              </w:rPr>
              <w:t>(%)</w:t>
            </w:r>
          </w:p>
        </w:tc>
      </w:tr>
      <w:tr>
        <w:trPr>
          <w:trHeight w:val="409" w:hRule="exact"/>
        </w:trPr>
        <w:tc>
          <w:tcPr>
            <w:tcW w:w="2503" w:type="dxa"/>
            <w:tcBorders>
              <w:top w:val="nil" w:sz="6" w:space="0" w:color="auto"/>
              <w:left w:val="nil" w:sz="6" w:space="0" w:color="auto"/>
              <w:bottom w:val="single" w:sz="9" w:space="0" w:color="000000"/>
              <w:right w:val="nil" w:sz="6" w:space="0" w:color="auto"/>
            </w:tcBorders>
          </w:tcPr>
          <w:p>
            <w:pPr/>
          </w:p>
        </w:tc>
        <w:tc>
          <w:tcPr>
            <w:tcW w:w="1232" w:type="dxa"/>
            <w:vMerge/>
            <w:tcBorders>
              <w:left w:val="nil" w:sz="6" w:space="0" w:color="auto"/>
              <w:bottom w:val="single" w:sz="9" w:space="0" w:color="000000"/>
              <w:right w:val="nil" w:sz="6" w:space="0" w:color="auto"/>
            </w:tcBorders>
          </w:tcPr>
          <w:p>
            <w:pPr/>
          </w:p>
        </w:tc>
        <w:tc>
          <w:tcPr>
            <w:tcW w:w="1296" w:type="dxa"/>
            <w:vMerge/>
            <w:tcBorders>
              <w:left w:val="nil" w:sz="6" w:space="0" w:color="auto"/>
              <w:bottom w:val="single" w:sz="9" w:space="0" w:color="000000"/>
              <w:right w:val="nil" w:sz="6" w:space="0" w:color="auto"/>
            </w:tcBorders>
          </w:tcPr>
          <w:p>
            <w:pPr/>
          </w:p>
        </w:tc>
        <w:tc>
          <w:tcPr>
            <w:tcW w:w="1311" w:type="dxa"/>
            <w:tcBorders>
              <w:top w:val="nil" w:sz="6" w:space="0" w:color="auto"/>
              <w:left w:val="nil" w:sz="6" w:space="0" w:color="auto"/>
              <w:bottom w:val="single" w:sz="9" w:space="0" w:color="000000"/>
              <w:right w:val="nil" w:sz="6" w:space="0" w:color="auto"/>
            </w:tcBorders>
          </w:tcPr>
          <w:p>
            <w:pPr>
              <w:pStyle w:val="TableParagraph"/>
              <w:spacing w:line="174" w:lineRule="exact"/>
              <w:ind w:left="54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32" w:type="dxa"/>
            <w:vMerge/>
            <w:tcBorders>
              <w:left w:val="nil" w:sz="6" w:space="0" w:color="auto"/>
              <w:bottom w:val="single" w:sz="9" w:space="0" w:color="000000"/>
              <w:right w:val="nil" w:sz="6" w:space="0" w:color="auto"/>
            </w:tcBorders>
          </w:tcPr>
          <w:p>
            <w:pPr/>
          </w:p>
        </w:tc>
        <w:tc>
          <w:tcPr>
            <w:tcW w:w="773" w:type="dxa"/>
            <w:tcBorders>
              <w:top w:val="nil" w:sz="6" w:space="0" w:color="auto"/>
              <w:left w:val="nil" w:sz="6" w:space="0" w:color="auto"/>
              <w:bottom w:val="single" w:sz="9" w:space="0" w:color="000000"/>
              <w:right w:val="nil" w:sz="6" w:space="0" w:color="auto"/>
            </w:tcBorders>
          </w:tcPr>
          <w:p>
            <w:pPr>
              <w:pStyle w:val="TableParagraph"/>
              <w:spacing w:line="174" w:lineRule="exact"/>
              <w:ind w:left="23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18" w:type="dxa"/>
            <w:vMerge/>
            <w:tcBorders>
              <w:left w:val="nil" w:sz="6" w:space="0" w:color="auto"/>
              <w:bottom w:val="single" w:sz="9" w:space="0" w:color="000000"/>
              <w:right w:val="nil" w:sz="6" w:space="0" w:color="auto"/>
            </w:tcBorders>
          </w:tcPr>
          <w:p>
            <w:pPr/>
          </w:p>
        </w:tc>
      </w:tr>
      <w:tr>
        <w:trPr>
          <w:trHeight w:val="646" w:hRule="exact"/>
        </w:trPr>
        <w:tc>
          <w:tcPr>
            <w:tcW w:w="2503" w:type="dxa"/>
            <w:tcBorders>
              <w:top w:val="single" w:sz="9" w:space="0" w:color="000000"/>
              <w:left w:val="nil" w:sz="6" w:space="0" w:color="auto"/>
              <w:bottom w:val="single" w:sz="9" w:space="0" w:color="000000"/>
              <w:right w:val="nil" w:sz="6" w:space="0" w:color="auto"/>
            </w:tcBorders>
          </w:tcPr>
          <w:p>
            <w:pPr>
              <w:pStyle w:val="TableParagraph"/>
              <w:spacing w:line="316" w:lineRule="auto" w:before="8"/>
              <w:ind w:left="122" w:right="108"/>
              <w:jc w:val="left"/>
              <w:rPr>
                <w:rFonts w:ascii="宋体" w:hAnsi="宋体" w:cs="宋体" w:eastAsia="宋体" w:hint="default"/>
                <w:sz w:val="18"/>
                <w:szCs w:val="18"/>
              </w:rPr>
            </w:pPr>
            <w:r>
              <w:rPr>
                <w:rFonts w:ascii="宋体" w:hAnsi="宋体" w:cs="宋体" w:eastAsia="宋体" w:hint="default"/>
                <w:spacing w:val="8"/>
                <w:sz w:val="18"/>
                <w:szCs w:val="18"/>
              </w:rPr>
              <w:t>广州市高堡仕智能科技有限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p>
        </w:tc>
        <w:tc>
          <w:tcPr>
            <w:tcW w:w="1232" w:type="dxa"/>
            <w:tcBorders>
              <w:top w:val="single" w:sz="9" w:space="0" w:color="000000"/>
              <w:left w:val="nil" w:sz="6" w:space="0" w:color="auto"/>
              <w:bottom w:val="single" w:sz="9" w:space="0" w:color="000000"/>
              <w:right w:val="nil" w:sz="6" w:space="0" w:color="auto"/>
            </w:tcBorders>
          </w:tcPr>
          <w:p>
            <w:pPr>
              <w:pStyle w:val="TableParagraph"/>
              <w:spacing w:line="316" w:lineRule="auto" w:before="8"/>
              <w:ind w:left="110" w:right="99"/>
              <w:jc w:val="left"/>
              <w:rPr>
                <w:rFonts w:ascii="宋体" w:hAnsi="宋体" w:cs="宋体" w:eastAsia="宋体" w:hint="default"/>
                <w:sz w:val="18"/>
                <w:szCs w:val="18"/>
              </w:rPr>
            </w:pPr>
            <w:r>
              <w:rPr>
                <w:rFonts w:ascii="宋体" w:hAnsi="宋体" w:cs="宋体" w:eastAsia="宋体" w:hint="default"/>
                <w:spacing w:val="19"/>
                <w:sz w:val="18"/>
                <w:szCs w:val="18"/>
              </w:rPr>
              <w:t>购买无形资</w:t>
            </w:r>
            <w:r>
              <w:rPr>
                <w:rFonts w:ascii="宋体" w:hAnsi="宋体" w:cs="宋体" w:eastAsia="宋体" w:hint="default"/>
                <w:spacing w:val="-66"/>
                <w:sz w:val="18"/>
                <w:szCs w:val="18"/>
              </w:rPr>
              <w:t> </w:t>
            </w:r>
            <w:r>
              <w:rPr>
                <w:rFonts w:ascii="宋体" w:hAnsi="宋体" w:cs="宋体" w:eastAsia="宋体" w:hint="default"/>
                <w:sz w:val="18"/>
                <w:szCs w:val="18"/>
              </w:rPr>
              <w:t>产</w:t>
            </w:r>
          </w:p>
        </w:tc>
        <w:tc>
          <w:tcPr>
            <w:tcW w:w="1296" w:type="dxa"/>
            <w:tcBorders>
              <w:top w:val="single" w:sz="9" w:space="0" w:color="000000"/>
              <w:left w:val="nil" w:sz="6" w:space="0" w:color="auto"/>
              <w:bottom w:val="single" w:sz="9" w:space="0" w:color="000000"/>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311" w:type="dxa"/>
            <w:tcBorders>
              <w:top w:val="single" w:sz="9" w:space="0" w:color="000000"/>
              <w:left w:val="nil" w:sz="6" w:space="0" w:color="auto"/>
              <w:bottom w:val="single" w:sz="9"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3,393,000.00</w:t>
            </w:r>
          </w:p>
        </w:tc>
        <w:tc>
          <w:tcPr>
            <w:tcW w:w="1232" w:type="dxa"/>
            <w:tcBorders>
              <w:top w:val="single" w:sz="9" w:space="0" w:color="000000"/>
              <w:left w:val="nil" w:sz="6" w:space="0" w:color="auto"/>
              <w:bottom w:val="single" w:sz="9"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100.00%</w:t>
            </w:r>
          </w:p>
        </w:tc>
        <w:tc>
          <w:tcPr>
            <w:tcW w:w="773" w:type="dxa"/>
            <w:tcBorders>
              <w:top w:val="single" w:sz="9" w:space="0" w:color="000000"/>
              <w:left w:val="nil" w:sz="6" w:space="0" w:color="auto"/>
              <w:bottom w:val="single" w:sz="9"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0.00</w:t>
            </w:r>
          </w:p>
        </w:tc>
        <w:tc>
          <w:tcPr>
            <w:tcW w:w="1118" w:type="dxa"/>
            <w:tcBorders>
              <w:top w:val="single" w:sz="9" w:space="0" w:color="000000"/>
              <w:left w:val="nil" w:sz="6" w:space="0" w:color="auto"/>
              <w:bottom w:val="single" w:sz="9"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0.00%</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spacing w:line="405" w:lineRule="auto" w:before="44"/>
        <w:ind w:left="424" w:right="0" w:hanging="272"/>
        <w:jc w:val="left"/>
        <w:rPr>
          <w:rFonts w:ascii="宋体" w:hAnsi="宋体" w:cs="宋体" w:eastAsia="宋体" w:hint="default"/>
          <w:sz w:val="18"/>
          <w:szCs w:val="18"/>
        </w:rPr>
      </w:pPr>
      <w:r>
        <w:rPr>
          <w:rFonts w:ascii="宋体" w:hAnsi="宋体" w:cs="宋体" w:eastAsia="宋体" w:hint="default"/>
          <w:b/>
          <w:bCs/>
          <w:sz w:val="18"/>
          <w:szCs w:val="18"/>
        </w:rPr>
        <w:t>C</w:t>
      </w:r>
      <w:r>
        <w:rPr>
          <w:rFonts w:ascii="宋体" w:hAnsi="宋体" w:cs="宋体" w:eastAsia="宋体" w:hint="default"/>
          <w:b/>
          <w:bCs/>
          <w:sz w:val="18"/>
          <w:szCs w:val="18"/>
        </w:rPr>
        <w:t>、关联方资产转让、债务重组情况。</w:t>
      </w:r>
      <w:r>
        <w:rPr>
          <w:rFonts w:ascii="宋体" w:hAnsi="宋体" w:cs="宋体" w:eastAsia="宋体" w:hint="default"/>
          <w:b/>
          <w:bCs/>
          <w:w w:val="99"/>
          <w:sz w:val="18"/>
          <w:szCs w:val="18"/>
        </w:rPr>
        <w:t> </w:t>
      </w:r>
      <w:r>
        <w:rPr>
          <w:rFonts w:ascii="宋体" w:hAnsi="宋体" w:cs="宋体" w:eastAsia="宋体" w:hint="default"/>
          <w:spacing w:val="-2"/>
          <w:sz w:val="18"/>
          <w:szCs w:val="18"/>
        </w:rPr>
        <w:t>本公司以</w:t>
      </w:r>
      <w:r>
        <w:rPr>
          <w:rFonts w:ascii="宋体" w:hAnsi="宋体" w:cs="宋体" w:eastAsia="宋体" w:hint="default"/>
          <w:spacing w:val="-2"/>
          <w:sz w:val="18"/>
          <w:szCs w:val="18"/>
        </w:rPr>
        <w:t>2012</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28</w:t>
      </w:r>
      <w:r>
        <w:rPr>
          <w:rFonts w:ascii="宋体" w:hAnsi="宋体" w:cs="宋体" w:eastAsia="宋体" w:hint="default"/>
          <w:spacing w:val="-2"/>
          <w:sz w:val="18"/>
          <w:szCs w:val="18"/>
        </w:rPr>
        <w:t>日为合并日，以人民币</w:t>
      </w:r>
      <w:r>
        <w:rPr>
          <w:rFonts w:ascii="宋体" w:hAnsi="宋体" w:cs="宋体" w:eastAsia="宋体" w:hint="default"/>
          <w:spacing w:val="-2"/>
          <w:sz w:val="18"/>
          <w:szCs w:val="18"/>
        </w:rPr>
        <w:t>56,632,368.63</w:t>
      </w:r>
      <w:r>
        <w:rPr>
          <w:rFonts w:ascii="宋体" w:hAnsi="宋体" w:cs="宋体" w:eastAsia="宋体" w:hint="default"/>
          <w:spacing w:val="-2"/>
          <w:sz w:val="18"/>
          <w:szCs w:val="18"/>
        </w:rPr>
        <w:t>元作为合并成本，取得广州市德居安电子科技有限公司</w:t>
      </w:r>
      <w:r>
        <w:rPr>
          <w:rFonts w:ascii="宋体" w:hAnsi="宋体" w:cs="宋体" w:eastAsia="宋体" w:hint="default"/>
          <w:spacing w:val="-2"/>
          <w:sz w:val="18"/>
          <w:szCs w:val="18"/>
        </w:rPr>
        <w:t>100%</w:t>
      </w:r>
    </w:p>
    <w:p>
      <w:pPr>
        <w:pStyle w:val="BodyText"/>
        <w:spacing w:line="240" w:lineRule="auto" w:before="41"/>
        <w:ind w:right="0"/>
        <w:jc w:val="left"/>
      </w:pPr>
      <w:r>
        <w:rPr/>
        <w:t>的股权。详见附注四（四）。</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）其他关联交易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5" w:right="0"/>
        <w:jc w:val="left"/>
      </w:pPr>
      <w:r>
        <w:rPr>
          <w:rFonts w:ascii="宋体" w:hAnsi="宋体" w:cs="宋体" w:eastAsia="宋体" w:hint="default"/>
        </w:rPr>
        <w:t>1</w:t>
      </w:r>
      <w:r>
        <w:rPr/>
        <w:t>、本公司股东张波为本公司的全资子广州市德居安电子科技有限公司向中国农业银行的固定资产长期借款人民币</w:t>
      </w:r>
    </w:p>
    <w:p>
      <w:pPr>
        <w:pStyle w:val="BodyText"/>
        <w:spacing w:line="240" w:lineRule="auto" w:before="76"/>
        <w:ind w:right="0"/>
        <w:jc w:val="left"/>
      </w:pPr>
      <w:r>
        <w:rPr>
          <w:rFonts w:ascii="宋体" w:hAnsi="宋体" w:cs="宋体" w:eastAsia="宋体" w:hint="default"/>
        </w:rPr>
        <w:t>10,660,000.00</w:t>
      </w:r>
      <w:r>
        <w:rPr/>
        <w:t>元提供连带责任保证。截止</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日，广州市德居安电子科技有限公司已全部偿还上述借款。</w:t>
      </w:r>
    </w:p>
    <w:p>
      <w:pPr>
        <w:pStyle w:val="BodyText"/>
        <w:spacing w:line="240" w:lineRule="auto" w:before="76"/>
        <w:ind w:left="515" w:right="0"/>
        <w:jc w:val="left"/>
      </w:pPr>
      <w:r>
        <w:rPr>
          <w:rFonts w:ascii="宋体" w:hAnsi="宋体" w:cs="宋体" w:eastAsia="宋体" w:hint="default"/>
        </w:rPr>
        <w:t>2</w:t>
      </w:r>
      <w:r>
        <w:rPr/>
        <w:t>、关键管理人员薪酬</w:t>
      </w:r>
    </w:p>
    <w:p>
      <w:pPr>
        <w:spacing w:line="240" w:lineRule="auto" w:before="3"/>
        <w:rPr>
          <w:rFonts w:ascii="宋体" w:hAnsi="宋体" w:cs="宋体" w:eastAsia="宋体" w:hint="default"/>
          <w:sz w:val="5"/>
          <w:szCs w:val="5"/>
        </w:rPr>
      </w:pPr>
    </w:p>
    <w:tbl>
      <w:tblPr>
        <w:tblW w:w="0" w:type="auto"/>
        <w:jc w:val="left"/>
        <w:tblInd w:w="152" w:type="dxa"/>
        <w:tblLayout w:type="fixed"/>
        <w:tblCellMar>
          <w:top w:w="0" w:type="dxa"/>
          <w:left w:w="0" w:type="dxa"/>
          <w:bottom w:w="0" w:type="dxa"/>
          <w:right w:w="0" w:type="dxa"/>
        </w:tblCellMar>
        <w:tblLook w:val="01E0"/>
      </w:tblPr>
      <w:tblGrid>
        <w:gridCol w:w="3926"/>
        <w:gridCol w:w="2579"/>
        <w:gridCol w:w="2912"/>
      </w:tblGrid>
      <w:tr>
        <w:trPr>
          <w:trHeight w:val="427" w:hRule="exact"/>
        </w:trPr>
        <w:tc>
          <w:tcPr>
            <w:tcW w:w="3926"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822"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579"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831"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9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667"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30" w:hRule="exact"/>
        </w:trPr>
        <w:tc>
          <w:tcPr>
            <w:tcW w:w="3926"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822" w:right="0"/>
              <w:jc w:val="center"/>
              <w:rPr>
                <w:rFonts w:ascii="宋体" w:hAnsi="宋体" w:cs="宋体" w:eastAsia="宋体" w:hint="default"/>
                <w:sz w:val="18"/>
                <w:szCs w:val="18"/>
              </w:rPr>
            </w:pPr>
            <w:r>
              <w:rPr>
                <w:rFonts w:ascii="宋体" w:hAnsi="宋体" w:cs="宋体" w:eastAsia="宋体" w:hint="default"/>
                <w:sz w:val="18"/>
                <w:szCs w:val="18"/>
              </w:rPr>
              <w:t>关键管理人员报酬</w:t>
            </w:r>
          </w:p>
        </w:tc>
        <w:tc>
          <w:tcPr>
            <w:tcW w:w="2579"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831" w:right="0"/>
              <w:jc w:val="left"/>
              <w:rPr>
                <w:rFonts w:ascii="宋体" w:hAnsi="宋体" w:cs="宋体" w:eastAsia="宋体" w:hint="default"/>
                <w:sz w:val="18"/>
                <w:szCs w:val="18"/>
              </w:rPr>
            </w:pPr>
            <w:r>
              <w:rPr>
                <w:rFonts w:ascii="宋体"/>
                <w:sz w:val="18"/>
              </w:rPr>
              <w:t>2,516,647.23</w:t>
            </w:r>
          </w:p>
        </w:tc>
        <w:tc>
          <w:tcPr>
            <w:tcW w:w="29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758" w:right="0"/>
              <w:jc w:val="left"/>
              <w:rPr>
                <w:rFonts w:ascii="宋体" w:hAnsi="宋体" w:cs="宋体" w:eastAsia="宋体" w:hint="default"/>
                <w:sz w:val="18"/>
                <w:szCs w:val="18"/>
              </w:rPr>
            </w:pPr>
            <w:r>
              <w:rPr>
                <w:rFonts w:ascii="宋体"/>
                <w:sz w:val="18"/>
              </w:rPr>
              <w:t>1,641,838.22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上市公司应收关联方款项</w:t>
      </w:r>
    </w:p>
    <w:p>
      <w:pPr>
        <w:pStyle w:val="BodyText"/>
        <w:spacing w:line="240" w:lineRule="auto" w:before="117"/>
        <w:ind w:left="0" w:right="151"/>
        <w:jc w:val="right"/>
      </w:pPr>
      <w:r>
        <w:rPr/>
        <w:t>单位：</w:t>
      </w:r>
      <w:r>
        <w:rPr>
          <w:spacing w:val="1"/>
        </w:rPr>
        <w:t> </w:t>
      </w:r>
      <w:r>
        <w:rPr/>
        <w:t>元</w:t>
      </w:r>
    </w:p>
    <w:p>
      <w:pPr>
        <w:spacing w:after="0" w:line="240" w:lineRule="auto"/>
        <w:jc w:val="right"/>
        <w:sectPr>
          <w:pgSz w:w="11910" w:h="16840"/>
          <w:pgMar w:header="0" w:footer="1227" w:top="1060" w:bottom="142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060"/>
        <w:gridCol w:w="1666"/>
        <w:gridCol w:w="1462"/>
        <w:gridCol w:w="1462"/>
        <w:gridCol w:w="1460"/>
        <w:gridCol w:w="1459"/>
      </w:tblGrid>
      <w:tr>
        <w:trPr>
          <w:trHeight w:val="402" w:hRule="exact"/>
        </w:trPr>
        <w:tc>
          <w:tcPr>
            <w:tcW w:w="2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2060" w:type="dxa"/>
            <w:vMerge/>
            <w:tcBorders>
              <w:left w:val="single" w:sz="4" w:space="0" w:color="000000"/>
              <w:bottom w:val="single" w:sz="4" w:space="0" w:color="000000"/>
              <w:right w:val="single" w:sz="4" w:space="0" w:color="000000"/>
            </w:tcBorders>
            <w:shd w:val="clear" w:color="auto" w:fill="D2D2D2"/>
          </w:tcPr>
          <w:p>
            <w:pPr/>
          </w:p>
        </w:tc>
        <w:tc>
          <w:tcPr>
            <w:tcW w:w="1666"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广州市高堡仕智能 科技有限公司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7" w:right="0"/>
              <w:jc w:val="left"/>
              <w:rPr>
                <w:rFonts w:ascii="Times New Roman" w:hAnsi="Times New Roman" w:cs="Times New Roman" w:eastAsia="Times New Roman" w:hint="default"/>
                <w:sz w:val="18"/>
                <w:szCs w:val="18"/>
              </w:rPr>
            </w:pPr>
            <w:r>
              <w:rPr>
                <w:rFonts w:ascii="Times New Roman"/>
                <w:sz w:val="18"/>
              </w:rPr>
              <w:t>87,179.00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5" w:right="0"/>
              <w:jc w:val="left"/>
              <w:rPr>
                <w:rFonts w:ascii="Times New Roman" w:hAnsi="Times New Roman" w:cs="Times New Roman" w:eastAsia="Times New Roman" w:hint="default"/>
                <w:sz w:val="18"/>
                <w:szCs w:val="18"/>
              </w:rPr>
            </w:pPr>
            <w:r>
              <w:rPr>
                <w:rFonts w:ascii="Times New Roman"/>
                <w:sz w:val="18"/>
              </w:rPr>
              <w:t>871.79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上市公司应付关联方款项</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7"/>
        <w:gridCol w:w="3546"/>
        <w:gridCol w:w="1639"/>
        <w:gridCol w:w="2259"/>
      </w:tblGrid>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6"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03" w:hRule="exact"/>
        </w:trPr>
        <w:tc>
          <w:tcPr>
            <w:tcW w:w="21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26,800,000.00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17,500,000.00</w:t>
            </w:r>
          </w:p>
        </w:tc>
      </w:tr>
      <w:tr>
        <w:trPr>
          <w:trHeight w:val="713" w:hRule="exact"/>
        </w:trPr>
        <w:tc>
          <w:tcPr>
            <w:tcW w:w="2127" w:type="dxa"/>
            <w:vMerge/>
            <w:tcBorders>
              <w:left w:val="single" w:sz="4" w:space="0" w:color="000000"/>
              <w:bottom w:val="single" w:sz="4" w:space="0" w:color="000000"/>
              <w:right w:val="single" w:sz="4" w:space="0" w:color="000000"/>
            </w:tcBorders>
          </w:tcPr>
          <w:p>
            <w:pP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德居安科技有限公司（</w:t>
            </w:r>
            <w:r>
              <w:rPr>
                <w:rFonts w:ascii="Times New Roman" w:hAnsi="Times New Roman" w:cs="Times New Roman" w:eastAsia="Times New Roman" w:hint="default"/>
                <w:sz w:val="18"/>
                <w:szCs w:val="18"/>
              </w:rPr>
              <w:t>D-JA</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TECHNOLOGY</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CO.</w:t>
            </w:r>
            <w:r>
              <w:rPr>
                <w:rFonts w:ascii="宋体" w:hAnsi="宋体" w:cs="宋体" w:eastAsia="宋体" w:hint="default"/>
                <w:sz w:val="18"/>
                <w:szCs w:val="18"/>
              </w:rPr>
              <w:t>，</w:t>
            </w: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r>
              <w:rPr>
                <w:rFonts w:ascii="Times New Roman" w:hAnsi="Times New Roman" w:cs="Times New Roman" w:eastAsia="Times New Roman" w:hint="default"/>
                <w:sz w:val="18"/>
                <w:szCs w:val="18"/>
              </w:rPr>
              <w:t>HK</w:t>
            </w:r>
            <w:r>
              <w:rPr>
                <w:rFonts w:ascii="宋体" w:hAnsi="宋体" w:cs="宋体" w:eastAsia="宋体" w:hint="default"/>
                <w:sz w:val="18"/>
                <w:szCs w:val="18"/>
              </w:rPr>
              <w:t>）</w:t>
            </w: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54,480,467.72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九、或有事项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报告期内，公司无或有事项。</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十、承诺事项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3" w:right="0"/>
        <w:jc w:val="left"/>
      </w:pPr>
      <w:r>
        <w:rPr/>
        <w:t>抵押资产情况</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679"/>
        <w:gridCol w:w="2554"/>
        <w:gridCol w:w="2237"/>
      </w:tblGrid>
      <w:tr>
        <w:trPr>
          <w:trHeight w:val="382"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2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资产名称</w:t>
            </w:r>
            <w:r>
              <w:rPr>
                <w:rFonts w:ascii="宋体" w:hAnsi="宋体" w:cs="宋体" w:eastAsia="宋体" w:hint="default"/>
                <w:sz w:val="18"/>
                <w:szCs w:val="18"/>
              </w:rPr>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2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资产原值</w:t>
            </w:r>
            <w:r>
              <w:rPr>
                <w:rFonts w:ascii="宋体" w:hAnsi="宋体" w:cs="宋体" w:eastAsia="宋体" w:hint="default"/>
                <w:sz w:val="18"/>
                <w:szCs w:val="18"/>
              </w:rPr>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18"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账面净值</w:t>
            </w:r>
            <w:r>
              <w:rPr>
                <w:rFonts w:ascii="宋体" w:hAnsi="宋体" w:cs="宋体" w:eastAsia="宋体" w:hint="default"/>
                <w:sz w:val="18"/>
                <w:szCs w:val="18"/>
              </w:rPr>
            </w:r>
          </w:p>
        </w:tc>
      </w:tr>
      <w:tr>
        <w:trPr>
          <w:trHeight w:val="382"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850" w:right="0"/>
              <w:jc w:val="left"/>
              <w:rPr>
                <w:rFonts w:ascii="宋体" w:hAnsi="宋体" w:cs="宋体" w:eastAsia="宋体" w:hint="default"/>
                <w:sz w:val="18"/>
                <w:szCs w:val="18"/>
              </w:rPr>
            </w:pPr>
            <w:r>
              <w:rPr>
                <w:rFonts w:ascii="宋体" w:hAnsi="宋体" w:cs="宋体" w:eastAsia="宋体" w:hint="default"/>
                <w:sz w:val="18"/>
                <w:szCs w:val="18"/>
              </w:rPr>
              <w:t>厂房（广州开发区科学城起云路</w:t>
            </w:r>
            <w:r>
              <w:rPr>
                <w:rFonts w:ascii="宋体" w:hAnsi="宋体" w:cs="宋体" w:eastAsia="宋体" w:hint="default"/>
                <w:sz w:val="18"/>
                <w:szCs w:val="18"/>
              </w:rPr>
              <w:t>8</w:t>
            </w:r>
            <w:r>
              <w:rPr>
                <w:rFonts w:ascii="宋体" w:hAnsi="宋体" w:cs="宋体" w:eastAsia="宋体" w:hint="default"/>
                <w:sz w:val="18"/>
                <w:szCs w:val="18"/>
              </w:rPr>
              <w:t>号）</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22" w:right="0"/>
              <w:jc w:val="center"/>
              <w:rPr>
                <w:rFonts w:ascii="宋体" w:hAnsi="宋体" w:cs="宋体" w:eastAsia="宋体" w:hint="default"/>
                <w:sz w:val="18"/>
                <w:szCs w:val="18"/>
              </w:rPr>
            </w:pPr>
            <w:r>
              <w:rPr>
                <w:rFonts w:ascii="宋体"/>
                <w:sz w:val="18"/>
              </w:rPr>
              <w:t>29,608,250.00</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18" w:right="0"/>
              <w:jc w:val="center"/>
              <w:rPr>
                <w:rFonts w:ascii="宋体" w:hAnsi="宋体" w:cs="宋体" w:eastAsia="宋体" w:hint="default"/>
                <w:sz w:val="18"/>
                <w:szCs w:val="18"/>
              </w:rPr>
            </w:pPr>
            <w:r>
              <w:rPr>
                <w:rFonts w:ascii="宋体"/>
                <w:sz w:val="18"/>
              </w:rPr>
              <w:t>29,191,541.30</w:t>
            </w:r>
          </w:p>
        </w:tc>
      </w:tr>
      <w:tr>
        <w:trPr>
          <w:trHeight w:val="384"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1" w:right="0"/>
              <w:jc w:val="left"/>
              <w:rPr>
                <w:rFonts w:ascii="宋体" w:hAnsi="宋体" w:cs="宋体" w:eastAsia="宋体" w:hint="default"/>
                <w:sz w:val="18"/>
                <w:szCs w:val="18"/>
              </w:rPr>
            </w:pPr>
            <w:r>
              <w:rPr>
                <w:rFonts w:ascii="宋体" w:hAnsi="宋体" w:cs="宋体" w:eastAsia="宋体" w:hint="default"/>
                <w:sz w:val="18"/>
                <w:szCs w:val="18"/>
              </w:rPr>
              <w:t>在建工程（广州开发区科学城起云路</w:t>
            </w:r>
            <w:r>
              <w:rPr>
                <w:rFonts w:ascii="宋体" w:hAnsi="宋体" w:cs="宋体" w:eastAsia="宋体" w:hint="default"/>
                <w:sz w:val="18"/>
                <w:szCs w:val="18"/>
              </w:rPr>
              <w:t>8</w:t>
            </w:r>
            <w:r>
              <w:rPr>
                <w:rFonts w:ascii="宋体" w:hAnsi="宋体" w:cs="宋体" w:eastAsia="宋体" w:hint="default"/>
                <w:sz w:val="18"/>
                <w:szCs w:val="18"/>
              </w:rPr>
              <w:t>号研发用厂房）</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2" w:right="0"/>
              <w:jc w:val="center"/>
              <w:rPr>
                <w:rFonts w:ascii="宋体" w:hAnsi="宋体" w:cs="宋体" w:eastAsia="宋体" w:hint="default"/>
                <w:sz w:val="18"/>
                <w:szCs w:val="18"/>
              </w:rPr>
            </w:pPr>
            <w:r>
              <w:rPr>
                <w:rFonts w:ascii="宋体"/>
                <w:sz w:val="18"/>
              </w:rPr>
              <w:t>49,857,754.86</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18" w:right="0"/>
              <w:jc w:val="center"/>
              <w:rPr>
                <w:rFonts w:ascii="宋体" w:hAnsi="宋体" w:cs="宋体" w:eastAsia="宋体" w:hint="default"/>
                <w:sz w:val="18"/>
                <w:szCs w:val="18"/>
              </w:rPr>
            </w:pPr>
            <w:r>
              <w:rPr>
                <w:rFonts w:ascii="宋体"/>
                <w:sz w:val="18"/>
              </w:rPr>
              <w:t>49,857,754.86</w:t>
            </w:r>
          </w:p>
        </w:tc>
      </w:tr>
    </w:tbl>
    <w:p>
      <w:pPr>
        <w:pStyle w:val="BodyText"/>
        <w:spacing w:line="316" w:lineRule="auto" w:before="8"/>
        <w:ind w:right="146" w:firstLine="362"/>
        <w:jc w:val="both"/>
      </w:pPr>
      <w:r>
        <w:rPr>
          <w:spacing w:val="10"/>
        </w:rPr>
        <w:t>本公司子公司广州市德居安电子科技有限公司以该公司厂房（广州开发区科学城起云路</w:t>
      </w:r>
      <w:r>
        <w:rPr>
          <w:spacing w:val="-70"/>
        </w:rPr>
        <w:t> </w:t>
      </w:r>
      <w:r>
        <w:rPr>
          <w:rFonts w:ascii="宋体" w:hAnsi="宋体" w:cs="宋体" w:eastAsia="宋体" w:hint="default"/>
          <w:spacing w:val="9"/>
        </w:rPr>
        <w:t>8</w:t>
      </w:r>
      <w:r>
        <w:rPr>
          <w:spacing w:val="9"/>
        </w:rPr>
        <w:t>号，粤房地权证穗字第</w:t>
      </w:r>
      <w:r>
        <w:rPr/>
        <w:t> </w:t>
      </w:r>
      <w:r>
        <w:rPr>
          <w:rFonts w:ascii="宋体" w:hAnsi="宋体" w:cs="宋体" w:eastAsia="宋体" w:hint="default"/>
        </w:rPr>
        <w:t>0550001521</w:t>
      </w:r>
      <w:r>
        <w:rPr/>
        <w:t>号，粤房地权证穗字第</w:t>
      </w:r>
      <w:r>
        <w:rPr>
          <w:rFonts w:ascii="宋体" w:hAnsi="宋体" w:cs="宋体" w:eastAsia="宋体" w:hint="default"/>
        </w:rPr>
        <w:t>0550001522</w:t>
      </w:r>
      <w:r>
        <w:rPr/>
        <w:t>号），评估价值为</w:t>
      </w:r>
      <w:r>
        <w:rPr>
          <w:rFonts w:ascii="宋体" w:hAnsi="宋体" w:cs="宋体" w:eastAsia="宋体" w:hint="default"/>
        </w:rPr>
        <w:t>6,653.06</w:t>
      </w:r>
      <w:r>
        <w:rPr/>
        <w:t>万元，在建工程（广州开发区科学城起云路</w:t>
      </w:r>
      <w:r>
        <w:rPr>
          <w:rFonts w:ascii="宋体" w:hAnsi="宋体" w:cs="宋体" w:eastAsia="宋体" w:hint="default"/>
        </w:rPr>
        <w:t>8</w:t>
      </w:r>
      <w:r>
        <w:rPr/>
        <w:t>号研</w:t>
      </w:r>
      <w:r>
        <w:rPr>
          <w:spacing w:val="-87"/>
        </w:rPr>
        <w:t> </w:t>
      </w:r>
      <w:r>
        <w:rPr>
          <w:spacing w:val="-2"/>
        </w:rPr>
        <w:t>发用厂房），作价</w:t>
      </w:r>
      <w:r>
        <w:rPr>
          <w:rFonts w:ascii="宋体" w:hAnsi="宋体" w:cs="宋体" w:eastAsia="宋体" w:hint="default"/>
          <w:spacing w:val="-2"/>
        </w:rPr>
        <w:t>3,200.00</w:t>
      </w:r>
      <w:r>
        <w:rPr>
          <w:spacing w:val="-2"/>
        </w:rPr>
        <w:t>万元，以上述厂房作为最高限额为</w:t>
      </w:r>
      <w:r>
        <w:rPr>
          <w:rFonts w:ascii="宋体" w:hAnsi="宋体" w:cs="宋体" w:eastAsia="宋体" w:hint="default"/>
          <w:spacing w:val="-2"/>
        </w:rPr>
        <w:t>3,200.00</w:t>
      </w:r>
      <w:r>
        <w:rPr>
          <w:spacing w:val="-2"/>
        </w:rPr>
        <w:t>万元的固定资产长期借款的抵押物，本年末该抵押借</w:t>
      </w:r>
      <w:r>
        <w:rPr>
          <w:spacing w:val="-54"/>
        </w:rPr>
        <w:t> </w:t>
      </w:r>
      <w:r>
        <w:rPr>
          <w:spacing w:val="-54"/>
        </w:rPr>
      </w:r>
      <w:r>
        <w:rPr/>
        <w:t>款已全部偿还，截止</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日尚未完成房产证抵押注销登记。</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十一、资产负债表日后事项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、资产负债表日后利润分配情况说明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36,000,000.00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36,000,000.00</w:t>
            </w:r>
          </w:p>
        </w:tc>
      </w:tr>
    </w:tbl>
    <w:p>
      <w:pPr>
        <w:spacing w:line="240" w:lineRule="auto" w:before="12"/>
        <w:rPr>
          <w:rFonts w:ascii="宋体" w:hAnsi="宋体" w:cs="宋体" w:eastAsia="宋体" w:hint="default"/>
          <w:sz w:val="6"/>
          <w:szCs w:val="6"/>
        </w:rPr>
      </w:pPr>
    </w:p>
    <w:p>
      <w:pPr>
        <w:pStyle w:val="BodyText"/>
        <w:spacing w:line="405" w:lineRule="auto" w:before="44"/>
        <w:ind w:right="0"/>
        <w:jc w:val="left"/>
      </w:pPr>
      <w:r>
        <w:rPr>
          <w:spacing w:val="-2"/>
        </w:rPr>
        <w:t>根据本公司于</w:t>
      </w:r>
      <w:r>
        <w:rPr>
          <w:rFonts w:ascii="宋体" w:hAnsi="宋体" w:cs="宋体" w:eastAsia="宋体" w:hint="default"/>
          <w:spacing w:val="-2"/>
        </w:rPr>
        <w:t>2013</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19</w:t>
      </w:r>
      <w:r>
        <w:rPr>
          <w:spacing w:val="-2"/>
        </w:rPr>
        <w:t>日通过的第二届董事会第十二次会议决议，公司拟以</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日的总股本</w:t>
      </w:r>
      <w:r>
        <w:rPr>
          <w:rFonts w:ascii="宋体" w:hAnsi="宋体" w:cs="宋体" w:eastAsia="宋体" w:hint="default"/>
          <w:spacing w:val="-2"/>
        </w:rPr>
        <w:t>180,000,000</w:t>
      </w:r>
      <w:r>
        <w:rPr>
          <w:spacing w:val="-2"/>
        </w:rPr>
        <w:t>股为基</w:t>
      </w:r>
      <w:r>
        <w:rPr>
          <w:spacing w:val="-44"/>
        </w:rPr>
        <w:t> </w:t>
      </w:r>
      <w:r>
        <w:rPr/>
        <w:t>数，每</w:t>
      </w:r>
      <w:r>
        <w:rPr>
          <w:rFonts w:ascii="宋体" w:hAnsi="宋体" w:cs="宋体" w:eastAsia="宋体" w:hint="default"/>
        </w:rPr>
        <w:t>10</w:t>
      </w:r>
      <w:r>
        <w:rPr/>
        <w:t>股派发现金红利</w:t>
      </w:r>
      <w:r>
        <w:rPr>
          <w:rFonts w:ascii="宋体" w:hAnsi="宋体" w:cs="宋体" w:eastAsia="宋体" w:hint="default"/>
        </w:rPr>
        <w:t>2</w:t>
      </w:r>
      <w:r>
        <w:rPr/>
        <w:t>元（含税），共计派发现金股利</w:t>
      </w:r>
      <w:r>
        <w:rPr>
          <w:rFonts w:ascii="宋体" w:hAnsi="宋体" w:cs="宋体" w:eastAsia="宋体" w:hint="default"/>
        </w:rPr>
        <w:t>36,000,000</w:t>
      </w:r>
      <w:r>
        <w:rPr/>
        <w:t>元。上述分配方案尚待</w:t>
      </w:r>
      <w:r>
        <w:rPr>
          <w:rFonts w:ascii="宋体" w:hAnsi="宋体" w:cs="宋体" w:eastAsia="宋体" w:hint="default"/>
        </w:rPr>
        <w:t>2012</w:t>
      </w:r>
      <w:r>
        <w:rPr/>
        <w:t>年度股东大会批准。</w:t>
      </w:r>
    </w:p>
    <w:p>
      <w:pPr>
        <w:spacing w:after="0" w:line="405" w:lineRule="auto"/>
        <w:jc w:val="left"/>
        <w:sectPr>
          <w:pgSz w:w="11910" w:h="16840"/>
          <w:pgMar w:header="0" w:footer="1227" w:top="1060" w:bottom="142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54" w:firstLine="360"/>
        <w:jc w:val="both"/>
      </w:pP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14</w:t>
      </w:r>
      <w:r>
        <w:rPr/>
        <w:t>日，公司第二届董事会第十次会议审议通过了《关于使用部分超募资金增资控股广东奥迪安监控技术有限 公司的议案》，同意公司使用</w:t>
      </w:r>
      <w:r>
        <w:rPr>
          <w:rFonts w:ascii="宋体" w:hAnsi="宋体" w:cs="宋体" w:eastAsia="宋体" w:hint="default"/>
        </w:rPr>
        <w:t>1800</w:t>
      </w:r>
      <w:r>
        <w:rPr/>
        <w:t>万元的超募资金向广东奥迪安监控技术有限公司增资并取得</w:t>
      </w:r>
      <w:r>
        <w:rPr>
          <w:rFonts w:ascii="宋体" w:hAnsi="宋体" w:cs="宋体" w:eastAsia="宋体" w:hint="default"/>
        </w:rPr>
        <w:t>60%</w:t>
      </w:r>
      <w:r>
        <w:rPr/>
        <w:t>的控股权，与其原股东共</w:t>
      </w:r>
      <w:r>
        <w:rPr>
          <w:spacing w:val="-86"/>
        </w:rPr>
        <w:t> </w:t>
      </w:r>
      <w:r>
        <w:rPr/>
        <w:t>同开展在平安城市建设领域的合作。</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十二、其他重要事项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报告期发生企业合并的详细情况，见本附注四。</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十三、母公司财务报表主要项目注释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193"/>
        <w:gridCol w:w="533"/>
        <w:gridCol w:w="1327"/>
        <w:gridCol w:w="665"/>
        <w:gridCol w:w="1195"/>
        <w:gridCol w:w="665"/>
        <w:gridCol w:w="1328"/>
        <w:gridCol w:w="665"/>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00000"/>
              <w:right w:val="single" w:sz="4" w:space="0" w:color="000000"/>
            </w:tcBorders>
            <w:shd w:val="clear" w:color="auto" w:fill="D2D2D2"/>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按账龄组合计提坏账准 备的应收账款</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71,814,686.33</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4,045,363.65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53,980,656.21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3,026,924.91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5.61%</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center"/>
              <w:rPr>
                <w:rFonts w:ascii="Times New Roman" w:hAnsi="Times New Roman" w:cs="Times New Roman" w:eastAsia="Times New Roman" w:hint="default"/>
                <w:sz w:val="18"/>
                <w:szCs w:val="18"/>
              </w:rPr>
            </w:pPr>
            <w:r>
              <w:rPr>
                <w:rFonts w:ascii="Times New Roman"/>
                <w:sz w:val="18"/>
              </w:rPr>
              <w:t>71,814,686.33</w:t>
            </w:r>
          </w:p>
        </w:tc>
        <w:tc>
          <w:tcPr>
            <w:tcW w:w="53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4,045,363.65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center"/>
              <w:rPr>
                <w:rFonts w:ascii="Times New Roman" w:hAnsi="Times New Roman" w:cs="Times New Roman" w:eastAsia="Times New Roman" w:hint="default"/>
                <w:sz w:val="18"/>
                <w:szCs w:val="18"/>
              </w:rPr>
            </w:pPr>
            <w:r>
              <w:rPr>
                <w:rFonts w:ascii="Times New Roman"/>
                <w:sz w:val="18"/>
              </w:rPr>
              <w:t>53,980,656.21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3,026,924.91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5.61%</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71,814,686.33</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4,045,363.65</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53,980,656.21</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3,026,924.91</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0" w:footer="1227" w:top="1060" w:bottom="1420" w:left="980" w:right="980"/>
        </w:sectPr>
      </w:pPr>
    </w:p>
    <w:p>
      <w:pPr>
        <w:pStyle w:val="BodyText"/>
        <w:spacing w:line="357" w:lineRule="auto" w:before="49"/>
        <w:ind w:right="-20"/>
        <w:jc w:val="left"/>
      </w:pPr>
      <w:r>
        <w:rPr/>
        <w:t>应收账款种类的说明 期末单项金额重大并单项计提坏账准备的应收账款</w:t>
      </w:r>
    </w:p>
    <w:p>
      <w:pPr>
        <w:pStyle w:val="BodyText"/>
        <w:spacing w:line="338" w:lineRule="auto" w:before="2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880" w:bottom="280" w:left="980" w:right="980"/>
          <w:cols w:num="2" w:equalWidth="0">
            <w:col w:w="4113" w:space="4716"/>
            <w:col w:w="112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995"/>
        <w:gridCol w:w="662"/>
        <w:gridCol w:w="1462"/>
        <w:gridCol w:w="2126"/>
        <w:gridCol w:w="665"/>
        <w:gridCol w:w="1594"/>
      </w:tblGrid>
      <w:tr>
        <w:trPr>
          <w:trHeight w:val="403"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47"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65" w:type="dxa"/>
            <w:vMerge/>
            <w:tcBorders>
              <w:left w:val="single" w:sz="4" w:space="0" w:color="000000"/>
              <w:right w:val="single" w:sz="4" w:space="0" w:color="000000"/>
            </w:tcBorders>
            <w:shd w:val="clear" w:color="auto" w:fill="D2D2D2"/>
          </w:tcPr>
          <w:p>
            <w:pPr/>
          </w:p>
        </w:tc>
        <w:tc>
          <w:tcPr>
            <w:tcW w:w="26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00000"/>
              <w:bottom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880" w:bottom="2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5"/>
        <w:gridCol w:w="1995"/>
        <w:gridCol w:w="662"/>
        <w:gridCol w:w="1462"/>
        <w:gridCol w:w="2126"/>
        <w:gridCol w:w="665"/>
        <w:gridCol w:w="1594"/>
      </w:tblGrid>
      <w:tr>
        <w:trPr>
          <w:trHeight w:val="71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 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59,677,293.99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83.1%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596,772.93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40,162,234.87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401,622.35</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7,614,860.86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4" w:right="0"/>
              <w:jc w:val="center"/>
              <w:rPr>
                <w:rFonts w:ascii="Times New Roman" w:hAnsi="Times New Roman" w:cs="Times New Roman" w:eastAsia="Times New Roman" w:hint="default"/>
                <w:sz w:val="18"/>
                <w:szCs w:val="18"/>
              </w:rPr>
            </w:pPr>
            <w:r>
              <w:rPr>
                <w:rFonts w:ascii="Times New Roman"/>
                <w:sz w:val="18"/>
              </w:rPr>
              <w:t>10.6%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761,486.09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8,444,491.77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844,449.18</w:t>
            </w:r>
          </w:p>
        </w:tc>
      </w:tr>
      <w:tr>
        <w:trPr>
          <w:trHeight w:val="401"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2,622,038.36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center"/>
              <w:rPr>
                <w:rFonts w:ascii="Times New Roman" w:hAnsi="Times New Roman" w:cs="Times New Roman" w:eastAsia="Times New Roman" w:hint="default"/>
                <w:sz w:val="18"/>
                <w:szCs w:val="18"/>
              </w:rPr>
            </w:pPr>
            <w:r>
              <w:rPr>
                <w:rFonts w:ascii="Times New Roman"/>
                <w:sz w:val="18"/>
              </w:rPr>
              <w:t>3.65%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786,611.51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5,132,965.98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1,539,889.79</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1,900,493.12</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4" w:right="0"/>
              <w:jc w:val="center"/>
              <w:rPr>
                <w:rFonts w:ascii="Times New Roman" w:hAnsi="Times New Roman" w:cs="Times New Roman" w:eastAsia="Times New Roman" w:hint="default"/>
                <w:sz w:val="18"/>
                <w:szCs w:val="18"/>
              </w:rPr>
            </w:pPr>
            <w:r>
              <w:rPr>
                <w:rFonts w:ascii="Times New Roman"/>
                <w:sz w:val="18"/>
              </w:rPr>
              <w:t>2.65%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1,900,493.12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240,963.59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240,963.59</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71,814,686.33</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4,045,363.65</w:t>
            </w:r>
          </w:p>
        </w:tc>
        <w:tc>
          <w:tcPr>
            <w:tcW w:w="212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pacing w:val="-1"/>
                <w:sz w:val="18"/>
              </w:rPr>
              <w:t>53,980,656.21</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3,026,924.91</w:t>
            </w:r>
          </w:p>
        </w:tc>
      </w:tr>
    </w:tbl>
    <w:p>
      <w:pPr>
        <w:pStyle w:val="BodyText"/>
        <w:spacing w:line="240" w:lineRule="auto" w:before="49"/>
        <w:ind w:right="0"/>
        <w:jc w:val="left"/>
      </w:pPr>
      <w:r>
        <w:rPr/>
        <w:t>组合中，采用余额百分比法计提坏账准备的应收账款</w:t>
      </w:r>
    </w:p>
    <w:p>
      <w:pPr>
        <w:pStyle w:val="BodyText"/>
        <w:spacing w:line="340" w:lineRule="auto" w:before="115"/>
        <w:ind w:right="5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40" w:lineRule="auto" w:before="39"/>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）本报告期无转回或收回的应收账款情况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）本报告期内无实际核销的应收账款情况。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）本报告期应收账款中无持有公司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1,320,045.65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1,211,513.00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1.69%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1,190,648.84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1,089,569.97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1.52%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1,078,878.00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5,890,655.46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8.21%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）报告期内无应收关联方账款情况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）以应收款项为标的资产进行资产证券化的，需简要说明相关交易安排</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本报告期内未将应收款项为标的进行证券化。</w:t>
      </w:r>
    </w:p>
    <w:p>
      <w:pPr>
        <w:spacing w:after="0" w:line="240" w:lineRule="auto"/>
        <w:jc w:val="left"/>
        <w:sectPr>
          <w:pgSz w:w="11910" w:h="16840"/>
          <w:pgMar w:header="0" w:footer="1227" w:top="1060" w:bottom="142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70"/>
        <w:gridCol w:w="1455"/>
        <w:gridCol w:w="528"/>
        <w:gridCol w:w="1320"/>
        <w:gridCol w:w="528"/>
        <w:gridCol w:w="1322"/>
        <w:gridCol w:w="529"/>
        <w:gridCol w:w="1190"/>
        <w:gridCol w:w="526"/>
      </w:tblGrid>
      <w:tr>
        <w:trPr>
          <w:trHeight w:val="401" w:hRule="exact"/>
        </w:trPr>
        <w:tc>
          <w:tcPr>
            <w:tcW w:w="21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170" w:type="dxa"/>
            <w:vMerge/>
            <w:tcBorders>
              <w:left w:val="single" w:sz="4" w:space="0" w:color="000000"/>
              <w:right w:val="single" w:sz="4" w:space="0" w:color="000000"/>
            </w:tcBorders>
            <w:shd w:val="clear" w:color="auto" w:fill="D2D2D2"/>
          </w:tcPr>
          <w:p>
            <w:pP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2170" w:type="dxa"/>
            <w:vMerge/>
            <w:tcBorders>
              <w:left w:val="single" w:sz="4"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3"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4"/>
              <w:jc w:val="left"/>
              <w:rPr>
                <w:rFonts w:ascii="宋体" w:hAnsi="宋体" w:cs="宋体" w:eastAsia="宋体" w:hint="default"/>
                <w:sz w:val="18"/>
                <w:szCs w:val="18"/>
              </w:rPr>
            </w:pPr>
            <w:r>
              <w:rPr>
                <w:rFonts w:ascii="宋体" w:hAnsi="宋体" w:cs="宋体" w:eastAsia="宋体" w:hint="default"/>
                <w:sz w:val="18"/>
                <w:szCs w:val="18"/>
              </w:rPr>
              <w:t>按账龄组合计提坏账准备 的其他应收款</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15,657,872.71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453,563.33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3,415,912.24</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289,504.37</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8.48%</w:t>
            </w:r>
          </w:p>
        </w:tc>
      </w:tr>
      <w:tr>
        <w:trPr>
          <w:trHeight w:val="403"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15,657,872.71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453,563.33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3,415,912.24</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289,504.37</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8.48%</w:t>
            </w:r>
          </w:p>
        </w:tc>
      </w:tr>
      <w:tr>
        <w:trPr>
          <w:trHeight w:val="401"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15,657,872.71</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453,563.33</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3,415,912.24</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289,504.37</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0" w:footer="1227" w:top="1060" w:bottom="1420" w:left="980" w:right="980"/>
        </w:sectPr>
      </w:pPr>
    </w:p>
    <w:p>
      <w:pPr>
        <w:pStyle w:val="BodyText"/>
        <w:spacing w:line="360" w:lineRule="auto" w:before="49"/>
        <w:ind w:right="-20"/>
        <w:jc w:val="left"/>
      </w:pPr>
      <w:r>
        <w:rPr/>
        <w:t>其他应收款种类的说明 期末单项金额重大并单项计提坏账准备的其他应收款</w:t>
      </w:r>
    </w:p>
    <w:p>
      <w:pPr>
        <w:pStyle w:val="BodyText"/>
        <w:spacing w:line="340" w:lineRule="auto" w:before="2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w:t>
      </w:r>
      <w:r>
        <w:rPr>
          <w:spacing w:val="1"/>
        </w:rPr>
        <w:t> </w:t>
      </w:r>
      <w:r>
        <w:rPr/>
        <w:t>元</w:t>
      </w:r>
    </w:p>
    <w:p>
      <w:pPr>
        <w:spacing w:after="0" w:line="240" w:lineRule="auto"/>
        <w:jc w:val="left"/>
        <w:sectPr>
          <w:type w:val="continuous"/>
          <w:pgSz w:w="11910" w:h="16840"/>
          <w:pgMar w:top="880" w:bottom="28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50"/>
        <w:gridCol w:w="1805"/>
        <w:gridCol w:w="651"/>
        <w:gridCol w:w="1606"/>
        <w:gridCol w:w="1862"/>
        <w:gridCol w:w="660"/>
        <w:gridCol w:w="1725"/>
      </w:tblGrid>
      <w:tr>
        <w:trPr>
          <w:trHeight w:val="404" w:hRule="exact"/>
        </w:trPr>
        <w:tc>
          <w:tcPr>
            <w:tcW w:w="1250" w:type="dxa"/>
            <w:vMerge w:val="restart"/>
            <w:tcBorders>
              <w:top w:val="single" w:sz="4" w:space="0" w:color="000000"/>
              <w:left w:val="single" w:sz="4" w:space="0" w:color="000000"/>
              <w:right w:val="single" w:sz="4" w:space="0" w:color="000000"/>
            </w:tcBorders>
            <w:shd w:val="clear" w:color="auto" w:fill="D2D2D2"/>
          </w:tcPr>
          <w:p>
            <w:pPr/>
          </w:p>
        </w:tc>
        <w:tc>
          <w:tcPr>
            <w:tcW w:w="40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250" w:type="dxa"/>
            <w:vMerge/>
            <w:tcBorders>
              <w:left w:val="single" w:sz="4" w:space="0" w:color="000000"/>
              <w:bottom w:val="nil" w:sz="6" w:space="0" w:color="auto"/>
              <w:right w:val="single" w:sz="4" w:space="0" w:color="000000"/>
            </w:tcBorders>
            <w:shd w:val="clear" w:color="auto" w:fill="D2D2D2"/>
          </w:tcPr>
          <w:p>
            <w:pPr/>
          </w:p>
        </w:tc>
        <w:tc>
          <w:tcPr>
            <w:tcW w:w="24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06" w:type="dxa"/>
            <w:vMerge w:val="restart"/>
            <w:tcBorders>
              <w:top w:val="single" w:sz="4" w:space="0" w:color="000000"/>
              <w:left w:val="single" w:sz="4" w:space="0" w:color="000000"/>
              <w:right w:val="single" w:sz="4" w:space="0" w:color="000000"/>
            </w:tcBorders>
            <w:shd w:val="clear" w:color="auto" w:fill="D2D2D2"/>
          </w:tcPr>
          <w:p>
            <w:pPr/>
          </w:p>
        </w:tc>
        <w:tc>
          <w:tcPr>
            <w:tcW w:w="25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5" w:type="dxa"/>
            <w:vMerge w:val="restart"/>
            <w:tcBorders>
              <w:top w:val="single" w:sz="4" w:space="0" w:color="000000"/>
              <w:left w:val="single" w:sz="4" w:space="0" w:color="000000"/>
              <w:right w:val="single" w:sz="4" w:space="0" w:color="000000"/>
            </w:tcBorders>
            <w:shd w:val="clear" w:color="auto" w:fill="D2D2D2"/>
          </w:tcPr>
          <w:p>
            <w:pPr/>
          </w:p>
        </w:tc>
      </w:tr>
      <w:tr>
        <w:trPr>
          <w:trHeight w:val="222" w:hRule="exact"/>
        </w:trPr>
        <w:tc>
          <w:tcPr>
            <w:tcW w:w="12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2456" w:type="dxa"/>
            <w:gridSpan w:val="2"/>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nil" w:sz="6" w:space="0" w:color="auto"/>
              <w:right w:val="single" w:sz="4" w:space="0" w:color="000000"/>
            </w:tcBorders>
            <w:shd w:val="clear" w:color="auto" w:fill="D2D2D2"/>
          </w:tcPr>
          <w:p>
            <w:pPr/>
          </w:p>
        </w:tc>
        <w:tc>
          <w:tcPr>
            <w:tcW w:w="2522" w:type="dxa"/>
            <w:gridSpan w:val="2"/>
            <w:vMerge/>
            <w:tcBorders>
              <w:left w:val="single" w:sz="4" w:space="0" w:color="000000"/>
              <w:bottom w:val="single" w:sz="4" w:space="0" w:color="000000"/>
              <w:right w:val="single" w:sz="4" w:space="0" w:color="000000"/>
            </w:tcBorders>
            <w:shd w:val="clear" w:color="auto" w:fill="D2D2D2"/>
          </w:tcPr>
          <w:p>
            <w:pPr/>
          </w:p>
        </w:tc>
        <w:tc>
          <w:tcPr>
            <w:tcW w:w="1725"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250" w:type="dxa"/>
            <w:vMerge/>
            <w:tcBorders>
              <w:left w:val="single" w:sz="4" w:space="0" w:color="000000"/>
              <w:bottom w:val="single" w:sz="4" w:space="0" w:color="FFFFFF"/>
              <w:right w:val="single" w:sz="4" w:space="0" w:color="000000"/>
            </w:tcBorders>
            <w:shd w:val="clear" w:color="auto" w:fill="D2D2D2"/>
          </w:tcPr>
          <w:p>
            <w:pPr/>
          </w:p>
        </w:tc>
        <w:tc>
          <w:tcPr>
            <w:tcW w:w="180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5" w:right="0"/>
              <w:jc w:val="left"/>
              <w:rPr>
                <w:rFonts w:ascii="Times New Roman" w:hAnsi="Times New Roman" w:cs="Times New Roman" w:eastAsia="Times New Roman" w:hint="default"/>
                <w:sz w:val="18"/>
                <w:szCs w:val="18"/>
              </w:rPr>
            </w:pPr>
            <w:r>
              <w:rPr>
                <w:rFonts w:ascii="Times New Roman"/>
                <w:sz w:val="18"/>
              </w:rPr>
              <w:t>(%)</w:t>
            </w:r>
          </w:p>
        </w:tc>
        <w:tc>
          <w:tcPr>
            <w:tcW w:w="16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4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8" w:right="0"/>
              <w:jc w:val="left"/>
              <w:rPr>
                <w:rFonts w:ascii="Times New Roman" w:hAnsi="Times New Roman" w:cs="Times New Roman" w:eastAsia="Times New Roman" w:hint="default"/>
                <w:sz w:val="18"/>
                <w:szCs w:val="18"/>
              </w:rPr>
            </w:pPr>
            <w:r>
              <w:rPr>
                <w:rFonts w:ascii="Times New Roman"/>
                <w:sz w:val="18"/>
              </w:rPr>
              <w:t>(%)</w:t>
            </w:r>
          </w:p>
        </w:tc>
        <w:tc>
          <w:tcPr>
            <w:tcW w:w="17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4" w:hRule="exact"/>
        </w:trPr>
        <w:tc>
          <w:tcPr>
            <w:tcW w:w="1250" w:type="dxa"/>
            <w:vMerge w:val="restart"/>
            <w:tcBorders>
              <w:top w:val="single" w:sz="4" w:space="0" w:color="FFFFFF"/>
              <w:left w:val="single" w:sz="4" w:space="0" w:color="000000"/>
              <w:right w:val="single" w:sz="4" w:space="0" w:color="000000"/>
            </w:tcBorders>
            <w:shd w:val="clear" w:color="auto" w:fill="D2D2D2"/>
          </w:tcPr>
          <w:p>
            <w:pPr/>
          </w:p>
        </w:tc>
        <w:tc>
          <w:tcPr>
            <w:tcW w:w="180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1" w:type="dxa"/>
            <w:vMerge/>
            <w:tcBorders>
              <w:left w:val="single" w:sz="4" w:space="0" w:color="000000"/>
              <w:right w:val="single" w:sz="4" w:space="0" w:color="000000"/>
            </w:tcBorders>
            <w:shd w:val="clear" w:color="auto" w:fill="D2D2D2"/>
          </w:tcPr>
          <w:p>
            <w:pPr/>
          </w:p>
        </w:tc>
        <w:tc>
          <w:tcPr>
            <w:tcW w:w="1606" w:type="dxa"/>
            <w:vMerge/>
            <w:tcBorders>
              <w:left w:val="single" w:sz="4" w:space="0" w:color="000000"/>
              <w:bottom w:val="nil" w:sz="6" w:space="0" w:color="auto"/>
              <w:right w:val="single" w:sz="4" w:space="0" w:color="000000"/>
            </w:tcBorders>
            <w:shd w:val="clear" w:color="auto" w:fill="D2D2D2"/>
          </w:tcPr>
          <w:p>
            <w:pPr/>
          </w:p>
        </w:tc>
        <w:tc>
          <w:tcPr>
            <w:tcW w:w="18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660" w:type="dxa"/>
            <w:vMerge/>
            <w:tcBorders>
              <w:left w:val="single" w:sz="4" w:space="0" w:color="000000"/>
              <w:right w:val="single" w:sz="4" w:space="0" w:color="000000"/>
            </w:tcBorders>
            <w:shd w:val="clear" w:color="auto" w:fill="D2D2D2"/>
          </w:tcPr>
          <w:p>
            <w:pPr/>
          </w:p>
        </w:tc>
        <w:tc>
          <w:tcPr>
            <w:tcW w:w="1725"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50" w:type="dxa"/>
            <w:vMerge/>
            <w:tcBorders>
              <w:left w:val="single" w:sz="4" w:space="0" w:color="000000"/>
              <w:right w:val="single" w:sz="4" w:space="0" w:color="000000"/>
            </w:tcBorders>
            <w:shd w:val="clear" w:color="auto" w:fill="D2D2D2"/>
          </w:tcPr>
          <w:p>
            <w:pPr/>
          </w:p>
        </w:tc>
        <w:tc>
          <w:tcPr>
            <w:tcW w:w="1805" w:type="dxa"/>
            <w:vMerge/>
            <w:tcBorders>
              <w:left w:val="single" w:sz="4" w:space="0" w:color="000000"/>
              <w:bottom w:val="nil" w:sz="6" w:space="0" w:color="auto"/>
              <w:right w:val="single" w:sz="4" w:space="0" w:color="000000"/>
            </w:tcBorders>
            <w:shd w:val="clear" w:color="auto" w:fill="D2D2D2"/>
          </w:tcPr>
          <w:p>
            <w:pPr/>
          </w:p>
        </w:tc>
        <w:tc>
          <w:tcPr>
            <w:tcW w:w="651" w:type="dxa"/>
            <w:vMerge/>
            <w:tcBorders>
              <w:left w:val="single" w:sz="4" w:space="0" w:color="000000"/>
              <w:right w:val="single" w:sz="4" w:space="0" w:color="000000"/>
            </w:tcBorders>
            <w:shd w:val="clear" w:color="auto" w:fill="D2D2D2"/>
          </w:tcPr>
          <w:p>
            <w:pPr/>
          </w:p>
        </w:tc>
        <w:tc>
          <w:tcPr>
            <w:tcW w:w="1606" w:type="dxa"/>
            <w:vMerge w:val="restart"/>
            <w:tcBorders>
              <w:top w:val="nil" w:sz="6" w:space="0" w:color="auto"/>
              <w:left w:val="single" w:sz="4" w:space="0" w:color="000000"/>
              <w:right w:val="single" w:sz="4" w:space="0" w:color="000000"/>
            </w:tcBorders>
            <w:shd w:val="clear" w:color="auto" w:fill="D2D2D2"/>
          </w:tcPr>
          <w:p>
            <w:pPr/>
          </w:p>
        </w:tc>
        <w:tc>
          <w:tcPr>
            <w:tcW w:w="1862"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c>
          <w:tcPr>
            <w:tcW w:w="1725"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250"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c>
          <w:tcPr>
            <w:tcW w:w="1725" w:type="dxa"/>
            <w:vMerge/>
            <w:tcBorders>
              <w:left w:val="single" w:sz="4" w:space="0" w:color="000000"/>
              <w:bottom w:val="single" w:sz="4" w:space="0" w:color="000000"/>
              <w:right w:val="single" w:sz="4" w:space="0" w:color="000000"/>
            </w:tcBorders>
            <w:shd w:val="clear" w:color="auto" w:fill="D2D2D2"/>
          </w:tcPr>
          <w:p>
            <w:pPr/>
          </w:p>
        </w:tc>
      </w:tr>
      <w:tr>
        <w:trPr>
          <w:trHeight w:val="391"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8"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14,431,204.71</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92.16%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26,538.53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2,704,787.24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79.18%</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27,047.87</w:t>
            </w:r>
          </w:p>
        </w:tc>
      </w:tr>
      <w:tr>
        <w:trPr>
          <w:trHeight w:val="403"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708,748.00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4.53%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70,874.80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412,405.00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12.07%</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41,240.50</w:t>
            </w:r>
          </w:p>
        </w:tc>
      </w:tr>
      <w:tr>
        <w:trPr>
          <w:trHeight w:val="401"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231,100.00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1.48%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69,330.00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110,720.00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33,216.00</w:t>
            </w:r>
          </w:p>
        </w:tc>
      </w:tr>
      <w:tr>
        <w:trPr>
          <w:trHeight w:val="404"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286,820.00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1.83%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286,820.00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188,000.00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188,000.00</w:t>
            </w:r>
          </w:p>
        </w:tc>
      </w:tr>
      <w:tr>
        <w:trPr>
          <w:trHeight w:val="401"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15,657,872.71</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453,563.33</w:t>
            </w:r>
          </w:p>
        </w:tc>
        <w:tc>
          <w:tcPr>
            <w:tcW w:w="18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3,415,912.24</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7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289,504.37</w:t>
            </w:r>
          </w:p>
        </w:tc>
      </w:tr>
    </w:tbl>
    <w:p>
      <w:pPr>
        <w:pStyle w:val="BodyText"/>
        <w:spacing w:line="240" w:lineRule="auto" w:before="49"/>
        <w:ind w:right="0"/>
        <w:jc w:val="left"/>
      </w:pPr>
      <w:r>
        <w:rPr/>
        <w:t>组合中，采用余额百分比法计提坏账准备的其他应收款</w:t>
      </w:r>
    </w:p>
    <w:p>
      <w:pPr>
        <w:pStyle w:val="BodyText"/>
        <w:spacing w:line="338" w:lineRule="auto" w:before="117"/>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40" w:lineRule="auto" w:before="43"/>
        <w:ind w:right="5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880" w:bottom="2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）本报告期无转回或收回的其他应收款情况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）本报告期没有实际核销的其他应收款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）本报告期其他应收款中无持有公司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）其他应收款金额前五名单位情况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10,709,000.00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68.39%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1,068,352.00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外单位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外单位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387,008.00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外单位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13,194,360.00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84.26%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10,709,000.00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68.39%</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1,068,352.00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6.82%</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11,777,352.00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75.21%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8</w:t>
      </w:r>
      <w:r>
        <w:rPr/>
        <w:t>）以其他应收款项为标的资产进行资产证券化的，需简要说明相关交易安排</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本报告期内未将其他应收款为标的进行证券化。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7"/>
        <w:gridCol w:w="799"/>
        <w:gridCol w:w="797"/>
        <w:gridCol w:w="799"/>
        <w:gridCol w:w="797"/>
        <w:gridCol w:w="800"/>
        <w:gridCol w:w="797"/>
        <w:gridCol w:w="799"/>
        <w:gridCol w:w="797"/>
        <w:gridCol w:w="799"/>
        <w:gridCol w:w="797"/>
      </w:tblGrid>
      <w:tr>
        <w:trPr>
          <w:trHeight w:val="1961"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301"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bl>
    <w:p>
      <w:pPr>
        <w:spacing w:after="0" w:line="314" w:lineRule="auto"/>
        <w:jc w:val="left"/>
        <w:rPr>
          <w:rFonts w:ascii="宋体" w:hAnsi="宋体" w:cs="宋体" w:eastAsia="宋体" w:hint="default"/>
          <w:sz w:val="18"/>
          <w:szCs w:val="18"/>
        </w:rPr>
        <w:sectPr>
          <w:pgSz w:w="11910" w:h="16840"/>
          <w:pgMar w:header="0" w:footer="1227" w:top="1060" w:bottom="142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广州市德 居安电子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56,632,36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33,489,06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33,489,06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3.37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广东安居 宝智能控 制系统有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7,350,000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7,350,000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7,350,000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广东安居 宝光电传 输科技有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93,982,36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7,350,000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63,489,06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70,839,06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3.37</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right="0"/>
        <w:jc w:val="left"/>
      </w:pPr>
      <w:r>
        <w:rPr/>
        <w:t>本年未发现以明显高于账面价值的价格出售长期股权投资的情况</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356,651,951.75</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253,094,445.08</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61,500.50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122,452.12</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356,713,452.25</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253,216,897.20</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185,252,125.98</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132,451,992.24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356,651,951.75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185,252,125.98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253,094,445.08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132,451,992.24</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356,651,951.75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185,252,125.98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253,094,445.08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132,451,992.24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0"/>
        <w:gridCol w:w="1863"/>
        <w:gridCol w:w="1860"/>
        <w:gridCol w:w="1861"/>
        <w:gridCol w:w="1726"/>
      </w:tblGrid>
      <w:tr>
        <w:trPr>
          <w:trHeight w:val="403" w:hRule="exact"/>
        </w:trPr>
        <w:tc>
          <w:tcPr>
            <w:tcW w:w="2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0"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bl>
    <w:p>
      <w:pPr>
        <w:spacing w:after="0" w:line="240" w:lineRule="auto"/>
        <w:jc w:val="left"/>
        <w:rPr>
          <w:rFonts w:ascii="宋体" w:hAnsi="宋体" w:cs="宋体" w:eastAsia="宋体" w:hint="default"/>
          <w:sz w:val="18"/>
          <w:szCs w:val="18"/>
        </w:rPr>
        <w:sectPr>
          <w:pgSz w:w="11910" w:h="16840"/>
          <w:pgMar w:header="0" w:footer="1227" w:top="1060" w:bottom="142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楼宇对讲系统</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324,831,064.32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168,668,247.53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232,103,950.04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124,332,300.05</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智能家居系统</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18,076,487.02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8,782,092.16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12,887,120.50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5,343,202.37</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停车场系统</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4,652,678.46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3,027,859.05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9,091,721.95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4,773,927.24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8,103,374.54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2,776,489.82</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356,651,951.75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185,252,125.98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253,094,445.08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132,451,992.24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45,353,308.37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25,250,501.70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30,996,883.75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16,843,888.69</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53,764,170.24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31,424,702.13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27,354,654.04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16,027,913.64</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106,116,859.75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49,805,510.95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86,957,990.25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45,160,056.70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66,556,616.28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35,691,761.90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48,023,005.67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24,053,213.54</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24,372,353.42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12,531,857.24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15,509,764.40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7,901,237.39</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13,628,759.38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7,049,141.27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9,182,026.39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5,013,611.44</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46,859,884.31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23,498,650.79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35,070,120.58</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17,452,070.84</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356,651,951.75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185,252,125.98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253,094,445.08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132,451,992.24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2922"/>
        <w:gridCol w:w="1865"/>
      </w:tblGrid>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4" w:right="24"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8,603,828.90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3,239,383.28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2,610,596.53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2,609,650.05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2,558,329.05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19,621,787.81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53"/>
        <w:gridCol w:w="2258"/>
        <w:gridCol w:w="2247"/>
      </w:tblGrid>
      <w:tr>
        <w:trPr>
          <w:trHeight w:val="403" w:hRule="exact"/>
        </w:trPr>
        <w:tc>
          <w:tcPr>
            <w:tcW w:w="5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5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1227" w:top="1060" w:bottom="142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76,575,416.83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59,424,338.04</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2,569,664.59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4,338,742.66</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4,853,336.90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2,421,630.66</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482,056.90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391,264.59</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571,500.00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2" w:right="11"/>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8"/>
                <w:sz w:val="18"/>
                <w:szCs w:val="18"/>
              </w:rPr>
              <w:t> </w:t>
            </w:r>
            <w:r>
              <w:rPr>
                <w:rFonts w:ascii="宋体" w:hAnsi="宋体" w:cs="宋体" w:eastAsia="宋体" w:hint="default"/>
                <w:sz w:val="18"/>
                <w:szCs w:val="18"/>
              </w:rPr>
              <w:t>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6,046.58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43,327.45</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48,176.06</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-1,989,329.02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-727,217.99</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-21,540,403.63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-14,801,115.68</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-29,790,806.65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-25,173,997.30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27,093,526.96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21,855,404.61</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58,831,009.46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47,850,553.10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76" w:right="0"/>
              <w:jc w:val="left"/>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76" w:right="0"/>
              <w:jc w:val="left"/>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795,261,228.49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846,674,660.06</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846,674,660.06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917,259,083.50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-51,413,431.57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-70,584,423.44</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十四、补充资料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1"/>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529"/>
        <w:gridCol w:w="2177"/>
        <w:gridCol w:w="1915"/>
        <w:gridCol w:w="1937"/>
      </w:tblGrid>
      <w:tr>
        <w:trPr>
          <w:trHeight w:val="184" w:hRule="exact"/>
        </w:trPr>
        <w:tc>
          <w:tcPr>
            <w:tcW w:w="3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3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529"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4"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22" w:space="0" w:color="D2D2D2"/>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0.42</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8"/>
                <w:szCs w:val="18"/>
              </w:rPr>
            </w:pPr>
            <w:r>
              <w:rPr>
                <w:rFonts w:ascii="Times New Roman"/>
                <w:spacing w:val="-1"/>
                <w:sz w:val="18"/>
              </w:rPr>
              <w:t>0.42</w:t>
            </w:r>
          </w:p>
        </w:tc>
      </w:tr>
      <w:tr>
        <w:trPr>
          <w:trHeight w:val="715"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7" w:top="1060" w:bottom="142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9"/>
        <w:rPr>
          <w:rFonts w:ascii="宋体" w:hAnsi="宋体" w:cs="宋体" w:eastAsia="宋体" w:hint="default"/>
          <w:b/>
          <w:bCs/>
          <w:sz w:val="25"/>
          <w:szCs w:val="25"/>
        </w:rPr>
      </w:pPr>
    </w:p>
    <w:tbl>
      <w:tblPr>
        <w:tblW w:w="0" w:type="auto"/>
        <w:jc w:val="left"/>
        <w:tblInd w:w="152" w:type="dxa"/>
        <w:tblLayout w:type="fixed"/>
        <w:tblCellMar>
          <w:top w:w="0" w:type="dxa"/>
          <w:left w:w="0" w:type="dxa"/>
          <w:bottom w:w="0" w:type="dxa"/>
          <w:right w:w="0" w:type="dxa"/>
        </w:tblCellMar>
        <w:tblLook w:val="01E0"/>
      </w:tblPr>
      <w:tblGrid>
        <w:gridCol w:w="1265"/>
        <w:gridCol w:w="2083"/>
        <w:gridCol w:w="2194"/>
        <w:gridCol w:w="1149"/>
        <w:gridCol w:w="2930"/>
      </w:tblGrid>
      <w:tr>
        <w:trPr>
          <w:trHeight w:val="365" w:hRule="exact"/>
        </w:trPr>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left="264"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20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right="69"/>
              <w:jc w:val="right"/>
              <w:rPr>
                <w:rFonts w:ascii="宋体" w:hAnsi="宋体" w:cs="宋体" w:eastAsia="宋体" w:hint="default"/>
                <w:sz w:val="18"/>
                <w:szCs w:val="18"/>
              </w:rPr>
            </w:pPr>
            <w:r>
              <w:rPr>
                <w:rFonts w:ascii="宋体" w:hAnsi="宋体" w:cs="宋体" w:eastAsia="宋体" w:hint="default"/>
                <w:sz w:val="18"/>
                <w:szCs w:val="18"/>
              </w:rPr>
              <w:t>年末余额（或本期金额）</w:t>
            </w:r>
          </w:p>
        </w:tc>
        <w:tc>
          <w:tcPr>
            <w:tcW w:w="21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right="182"/>
              <w:jc w:val="right"/>
              <w:rPr>
                <w:rFonts w:ascii="宋体" w:hAnsi="宋体" w:cs="宋体" w:eastAsia="宋体" w:hint="default"/>
                <w:sz w:val="18"/>
                <w:szCs w:val="18"/>
              </w:rPr>
            </w:pPr>
            <w:r>
              <w:rPr>
                <w:rFonts w:ascii="宋体" w:hAnsi="宋体" w:cs="宋体" w:eastAsia="宋体" w:hint="default"/>
                <w:sz w:val="18"/>
                <w:szCs w:val="18"/>
              </w:rPr>
              <w:t>年初余额（或上期金额）</w:t>
            </w:r>
          </w:p>
        </w:tc>
        <w:tc>
          <w:tcPr>
            <w:tcW w:w="11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left="144" w:right="0"/>
              <w:jc w:val="left"/>
              <w:rPr>
                <w:rFonts w:ascii="宋体" w:hAnsi="宋体" w:cs="宋体" w:eastAsia="宋体" w:hint="default"/>
                <w:sz w:val="18"/>
                <w:szCs w:val="18"/>
              </w:rPr>
            </w:pPr>
            <w:r>
              <w:rPr>
                <w:rFonts w:ascii="宋体" w:hAnsi="宋体" w:cs="宋体" w:eastAsia="宋体" w:hint="default"/>
                <w:sz w:val="18"/>
                <w:szCs w:val="18"/>
              </w:rPr>
              <w:t>变动比率</w:t>
            </w:r>
          </w:p>
        </w:tc>
        <w:tc>
          <w:tcPr>
            <w:tcW w:w="293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684" w:hRule="exact"/>
        </w:trPr>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0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30"/>
              <w:jc w:val="right"/>
              <w:rPr>
                <w:rFonts w:ascii="Times New Roman" w:hAnsi="Times New Roman" w:cs="Times New Roman" w:eastAsia="Times New Roman" w:hint="default"/>
                <w:sz w:val="18"/>
                <w:szCs w:val="18"/>
              </w:rPr>
            </w:pPr>
            <w:r>
              <w:rPr>
                <w:rFonts w:ascii="Times New Roman"/>
                <w:spacing w:val="-1"/>
                <w:sz w:val="18"/>
              </w:rPr>
              <w:t>4,626,831.19</w:t>
            </w:r>
          </w:p>
        </w:tc>
        <w:tc>
          <w:tcPr>
            <w:tcW w:w="21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143"/>
              <w:jc w:val="right"/>
              <w:rPr>
                <w:rFonts w:ascii="Times New Roman" w:hAnsi="Times New Roman" w:cs="Times New Roman" w:eastAsia="Times New Roman" w:hint="default"/>
                <w:sz w:val="18"/>
                <w:szCs w:val="18"/>
              </w:rPr>
            </w:pPr>
            <w:r>
              <w:rPr>
                <w:rFonts w:ascii="Times New Roman"/>
                <w:spacing w:val="-1"/>
                <w:sz w:val="18"/>
              </w:rPr>
              <w:t>1,936,160.00</w:t>
            </w:r>
          </w:p>
        </w:tc>
        <w:tc>
          <w:tcPr>
            <w:tcW w:w="11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z w:val="18"/>
              </w:rPr>
              <w:t>139%</w:t>
            </w:r>
          </w:p>
        </w:tc>
        <w:tc>
          <w:tcPr>
            <w:tcW w:w="2930" w:type="dxa"/>
            <w:tcBorders>
              <w:top w:val="single" w:sz="12" w:space="0" w:color="000000"/>
              <w:left w:val="nil" w:sz="6" w:space="0" w:color="auto"/>
              <w:bottom w:val="single" w:sz="12" w:space="0" w:color="000000"/>
              <w:right w:val="nil" w:sz="6" w:space="0" w:color="auto"/>
            </w:tcBorders>
          </w:tcPr>
          <w:p>
            <w:pPr>
              <w:pStyle w:val="TableParagraph"/>
              <w:spacing w:line="316" w:lineRule="auto" w:before="20"/>
              <w:ind w:left="8" w:right="3"/>
              <w:jc w:val="left"/>
              <w:rPr>
                <w:rFonts w:ascii="宋体" w:hAnsi="宋体" w:cs="宋体" w:eastAsia="宋体" w:hint="default"/>
                <w:sz w:val="18"/>
                <w:szCs w:val="18"/>
              </w:rPr>
            </w:pPr>
            <w:r>
              <w:rPr>
                <w:rFonts w:ascii="宋体" w:hAnsi="宋体" w:cs="宋体" w:eastAsia="宋体" w:hint="default"/>
                <w:sz w:val="18"/>
                <w:szCs w:val="18"/>
              </w:rPr>
              <w:t>本年收到银行承兑汇票增加，年末未</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到期</w:t>
            </w:r>
          </w:p>
        </w:tc>
      </w:tr>
      <w:tr>
        <w:trPr>
          <w:trHeight w:val="682" w:hRule="exact"/>
        </w:trPr>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left="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60"/>
              <w:ind w:right="30"/>
              <w:jc w:val="right"/>
              <w:rPr>
                <w:rFonts w:ascii="Times New Roman" w:hAnsi="Times New Roman" w:cs="Times New Roman" w:eastAsia="Times New Roman" w:hint="default"/>
                <w:sz w:val="18"/>
                <w:szCs w:val="18"/>
              </w:rPr>
            </w:pPr>
            <w:r>
              <w:rPr>
                <w:rFonts w:ascii="Times New Roman"/>
                <w:spacing w:val="-1"/>
                <w:sz w:val="18"/>
              </w:rPr>
              <w:t>68,596,971.85</w:t>
            </w:r>
          </w:p>
        </w:tc>
        <w:tc>
          <w:tcPr>
            <w:tcW w:w="21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0"/>
              <w:ind w:right="143"/>
              <w:jc w:val="right"/>
              <w:rPr>
                <w:rFonts w:ascii="Times New Roman" w:hAnsi="Times New Roman" w:cs="Times New Roman" w:eastAsia="Times New Roman" w:hint="default"/>
                <w:sz w:val="18"/>
                <w:szCs w:val="18"/>
              </w:rPr>
            </w:pPr>
            <w:r>
              <w:rPr>
                <w:rFonts w:ascii="Times New Roman"/>
                <w:spacing w:val="-1"/>
                <w:sz w:val="18"/>
              </w:rPr>
              <w:t>50,953,731.30</w:t>
            </w:r>
          </w:p>
        </w:tc>
        <w:tc>
          <w:tcPr>
            <w:tcW w:w="11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35%</w:t>
            </w:r>
          </w:p>
        </w:tc>
        <w:tc>
          <w:tcPr>
            <w:tcW w:w="293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left="8" w:right="0"/>
              <w:jc w:val="left"/>
              <w:rPr>
                <w:rFonts w:ascii="宋体" w:hAnsi="宋体" w:cs="宋体" w:eastAsia="宋体" w:hint="default"/>
                <w:sz w:val="18"/>
                <w:szCs w:val="18"/>
              </w:rPr>
            </w:pPr>
            <w:r>
              <w:rPr>
                <w:rFonts w:ascii="宋体" w:hAnsi="宋体" w:cs="宋体" w:eastAsia="宋体" w:hint="default"/>
                <w:sz w:val="18"/>
                <w:szCs w:val="18"/>
              </w:rPr>
              <w:t>本年收入增加，应收账款相应增加</w:t>
            </w:r>
          </w:p>
        </w:tc>
      </w:tr>
      <w:tr>
        <w:trPr>
          <w:trHeight w:val="367" w:hRule="exact"/>
        </w:trPr>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60"/>
              <w:ind w:right="30"/>
              <w:jc w:val="right"/>
              <w:rPr>
                <w:rFonts w:ascii="Times New Roman" w:hAnsi="Times New Roman" w:cs="Times New Roman" w:eastAsia="Times New Roman" w:hint="default"/>
                <w:sz w:val="18"/>
                <w:szCs w:val="18"/>
              </w:rPr>
            </w:pPr>
            <w:r>
              <w:rPr>
                <w:rFonts w:ascii="Times New Roman"/>
                <w:spacing w:val="-1"/>
                <w:sz w:val="18"/>
              </w:rPr>
              <w:t>3,993,404.53</w:t>
            </w:r>
          </w:p>
        </w:tc>
        <w:tc>
          <w:tcPr>
            <w:tcW w:w="21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0"/>
              <w:ind w:right="143"/>
              <w:jc w:val="right"/>
              <w:rPr>
                <w:rFonts w:ascii="Times New Roman" w:hAnsi="Times New Roman" w:cs="Times New Roman" w:eastAsia="Times New Roman" w:hint="default"/>
                <w:sz w:val="18"/>
                <w:szCs w:val="18"/>
              </w:rPr>
            </w:pPr>
            <w:r>
              <w:rPr>
                <w:rFonts w:ascii="Times New Roman"/>
                <w:spacing w:val="-1"/>
                <w:sz w:val="18"/>
              </w:rPr>
              <w:t>6,016,576.21</w:t>
            </w:r>
          </w:p>
        </w:tc>
        <w:tc>
          <w:tcPr>
            <w:tcW w:w="11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-34%</w:t>
            </w:r>
          </w:p>
        </w:tc>
        <w:tc>
          <w:tcPr>
            <w:tcW w:w="293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left="8" w:right="0"/>
              <w:jc w:val="left"/>
              <w:rPr>
                <w:rFonts w:ascii="宋体" w:hAnsi="宋体" w:cs="宋体" w:eastAsia="宋体" w:hint="default"/>
                <w:sz w:val="18"/>
                <w:szCs w:val="18"/>
              </w:rPr>
            </w:pPr>
            <w:r>
              <w:rPr>
                <w:rFonts w:ascii="宋体" w:hAnsi="宋体" w:cs="宋体" w:eastAsia="宋体" w:hint="default"/>
                <w:sz w:val="18"/>
                <w:szCs w:val="18"/>
              </w:rPr>
              <w:t>本年收回履约保证金</w:t>
            </w:r>
            <w:r>
              <w:rPr>
                <w:rFonts w:ascii="Times New Roman" w:hAnsi="Times New Roman" w:cs="Times New Roman" w:eastAsia="Times New Roman" w:hint="default"/>
                <w:sz w:val="18"/>
                <w:szCs w:val="18"/>
              </w:rPr>
              <w:t>242</w:t>
            </w:r>
            <w:r>
              <w:rPr>
                <w:rFonts w:ascii="宋体" w:hAnsi="宋体" w:cs="宋体" w:eastAsia="宋体" w:hint="default"/>
                <w:sz w:val="18"/>
                <w:szCs w:val="18"/>
              </w:rPr>
              <w:t>万元</w:t>
            </w:r>
          </w:p>
        </w:tc>
      </w:tr>
      <w:tr>
        <w:trPr>
          <w:trHeight w:val="998" w:hRule="exact"/>
        </w:trPr>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left="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0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60"/>
              <w:ind w:right="30"/>
              <w:jc w:val="right"/>
              <w:rPr>
                <w:rFonts w:ascii="Times New Roman" w:hAnsi="Times New Roman" w:cs="Times New Roman" w:eastAsia="Times New Roman" w:hint="default"/>
                <w:sz w:val="18"/>
                <w:szCs w:val="18"/>
              </w:rPr>
            </w:pPr>
            <w:r>
              <w:rPr>
                <w:rFonts w:ascii="Times New Roman"/>
                <w:spacing w:val="-1"/>
                <w:sz w:val="18"/>
              </w:rPr>
              <w:t>84,479,794.29</w:t>
            </w:r>
          </w:p>
        </w:tc>
        <w:tc>
          <w:tcPr>
            <w:tcW w:w="21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0"/>
              <w:ind w:right="143"/>
              <w:jc w:val="right"/>
              <w:rPr>
                <w:rFonts w:ascii="Times New Roman" w:hAnsi="Times New Roman" w:cs="Times New Roman" w:eastAsia="Times New Roman" w:hint="default"/>
                <w:sz w:val="18"/>
                <w:szCs w:val="18"/>
              </w:rPr>
            </w:pPr>
            <w:r>
              <w:rPr>
                <w:rFonts w:ascii="Times New Roman"/>
                <w:spacing w:val="-1"/>
                <w:sz w:val="18"/>
              </w:rPr>
              <w:t>58,323,820.15</w:t>
            </w:r>
          </w:p>
        </w:tc>
        <w:tc>
          <w:tcPr>
            <w:tcW w:w="11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45%</w:t>
            </w:r>
          </w:p>
        </w:tc>
        <w:tc>
          <w:tcPr>
            <w:tcW w:w="2930" w:type="dxa"/>
            <w:tcBorders>
              <w:top w:val="single" w:sz="12" w:space="0" w:color="000000"/>
              <w:left w:val="nil" w:sz="6" w:space="0" w:color="auto"/>
              <w:bottom w:val="single" w:sz="12" w:space="0" w:color="000000"/>
              <w:right w:val="nil" w:sz="6" w:space="0" w:color="auto"/>
            </w:tcBorders>
          </w:tcPr>
          <w:p>
            <w:pPr>
              <w:pStyle w:val="TableParagraph"/>
              <w:spacing w:line="316" w:lineRule="auto" w:before="17"/>
              <w:ind w:left="8" w:right="3"/>
              <w:jc w:val="left"/>
              <w:rPr>
                <w:rFonts w:ascii="宋体" w:hAnsi="宋体" w:cs="宋体" w:eastAsia="宋体" w:hint="default"/>
                <w:sz w:val="18"/>
                <w:szCs w:val="18"/>
              </w:rPr>
            </w:pPr>
            <w:r>
              <w:rPr>
                <w:rFonts w:ascii="宋体" w:hAnsi="宋体" w:cs="宋体" w:eastAsia="宋体" w:hint="default"/>
                <w:sz w:val="18"/>
                <w:szCs w:val="18"/>
              </w:rPr>
              <w:t>产品品种增加，库存备货量增加；另</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外年底销售上升，相应备货增加</w:t>
            </w:r>
          </w:p>
        </w:tc>
      </w:tr>
      <w:tr>
        <w:trPr>
          <w:trHeight w:val="682" w:hRule="exact"/>
        </w:trPr>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0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63"/>
              <w:ind w:right="28"/>
              <w:jc w:val="right"/>
              <w:rPr>
                <w:rFonts w:ascii="Times New Roman" w:hAnsi="Times New Roman" w:cs="Times New Roman" w:eastAsia="Times New Roman" w:hint="default"/>
                <w:sz w:val="18"/>
                <w:szCs w:val="18"/>
              </w:rPr>
            </w:pPr>
            <w:r>
              <w:rPr>
                <w:rFonts w:ascii="Times New Roman"/>
                <w:spacing w:val="-1"/>
                <w:sz w:val="18"/>
              </w:rPr>
              <w:t>139,369,603.43</w:t>
            </w:r>
          </w:p>
        </w:tc>
        <w:tc>
          <w:tcPr>
            <w:tcW w:w="21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3"/>
              <w:ind w:right="143"/>
              <w:jc w:val="right"/>
              <w:rPr>
                <w:rFonts w:ascii="Times New Roman" w:hAnsi="Times New Roman" w:cs="Times New Roman" w:eastAsia="Times New Roman" w:hint="default"/>
                <w:sz w:val="18"/>
                <w:szCs w:val="18"/>
              </w:rPr>
            </w:pPr>
            <w:r>
              <w:rPr>
                <w:rFonts w:ascii="Times New Roman"/>
                <w:spacing w:val="-1"/>
                <w:sz w:val="18"/>
              </w:rPr>
              <w:t>34,787,397.48</w:t>
            </w:r>
          </w:p>
        </w:tc>
        <w:tc>
          <w:tcPr>
            <w:tcW w:w="11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63"/>
              <w:ind w:right="6"/>
              <w:jc w:val="right"/>
              <w:rPr>
                <w:rFonts w:ascii="Times New Roman" w:hAnsi="Times New Roman" w:cs="Times New Roman" w:eastAsia="Times New Roman" w:hint="default"/>
                <w:sz w:val="18"/>
                <w:szCs w:val="18"/>
              </w:rPr>
            </w:pPr>
            <w:r>
              <w:rPr>
                <w:rFonts w:ascii="Times New Roman"/>
                <w:sz w:val="18"/>
              </w:rPr>
              <w:t>301%</w:t>
            </w:r>
          </w:p>
        </w:tc>
        <w:tc>
          <w:tcPr>
            <w:tcW w:w="2930" w:type="dxa"/>
            <w:tcBorders>
              <w:top w:val="single" w:sz="12" w:space="0" w:color="000000"/>
              <w:left w:val="nil" w:sz="6" w:space="0" w:color="auto"/>
              <w:bottom w:val="single" w:sz="12" w:space="0" w:color="000000"/>
              <w:right w:val="nil" w:sz="6" w:space="0" w:color="auto"/>
            </w:tcBorders>
          </w:tcPr>
          <w:p>
            <w:pPr>
              <w:pStyle w:val="TableParagraph"/>
              <w:spacing w:line="300" w:lineRule="auto" w:before="20"/>
              <w:ind w:left="8" w:right="2"/>
              <w:jc w:val="left"/>
              <w:rPr>
                <w:rFonts w:ascii="宋体" w:hAnsi="宋体" w:cs="宋体" w:eastAsia="宋体" w:hint="default"/>
                <w:sz w:val="18"/>
                <w:szCs w:val="18"/>
              </w:rPr>
            </w:pPr>
            <w:r>
              <w:rPr>
                <w:rFonts w:ascii="宋体" w:hAnsi="宋体" w:cs="宋体" w:eastAsia="宋体" w:hint="default"/>
                <w:spacing w:val="9"/>
                <w:sz w:val="18"/>
                <w:szCs w:val="18"/>
              </w:rPr>
              <w:t>本年在建工程转固定资产约</w:t>
            </w:r>
            <w:r>
              <w:rPr>
                <w:rFonts w:ascii="Times New Roman" w:hAnsi="Times New Roman" w:cs="Times New Roman" w:eastAsia="Times New Roman" w:hint="default"/>
                <w:spacing w:val="9"/>
                <w:sz w:val="18"/>
                <w:szCs w:val="18"/>
              </w:rPr>
              <w:t>8,158</w:t>
            </w:r>
            <w:r>
              <w:rPr>
                <w:rFonts w:ascii="宋体" w:hAnsi="宋体" w:cs="宋体" w:eastAsia="宋体" w:hint="default"/>
                <w:spacing w:val="9"/>
                <w:sz w:val="18"/>
                <w:szCs w:val="18"/>
              </w:rPr>
              <w:t>万</w:t>
            </w:r>
            <w:r>
              <w:rPr>
                <w:rFonts w:ascii="宋体" w:hAnsi="宋体" w:cs="宋体" w:eastAsia="宋体" w:hint="default"/>
                <w:sz w:val="18"/>
                <w:szCs w:val="18"/>
              </w:rPr>
              <w:t> 元</w:t>
            </w:r>
          </w:p>
        </w:tc>
      </w:tr>
      <w:tr>
        <w:trPr>
          <w:trHeight w:val="682" w:hRule="exact"/>
        </w:trPr>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0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30"/>
              <w:jc w:val="right"/>
              <w:rPr>
                <w:rFonts w:ascii="Times New Roman" w:hAnsi="Times New Roman" w:cs="Times New Roman" w:eastAsia="Times New Roman" w:hint="default"/>
                <w:sz w:val="18"/>
                <w:szCs w:val="18"/>
              </w:rPr>
            </w:pPr>
            <w:r>
              <w:rPr>
                <w:rFonts w:ascii="Times New Roman"/>
                <w:spacing w:val="-1"/>
                <w:sz w:val="18"/>
              </w:rPr>
              <w:t>50,973,360.86</w:t>
            </w:r>
          </w:p>
        </w:tc>
        <w:tc>
          <w:tcPr>
            <w:tcW w:w="21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143"/>
              <w:jc w:val="right"/>
              <w:rPr>
                <w:rFonts w:ascii="Times New Roman" w:hAnsi="Times New Roman" w:cs="Times New Roman" w:eastAsia="Times New Roman" w:hint="default"/>
                <w:sz w:val="18"/>
                <w:szCs w:val="18"/>
              </w:rPr>
            </w:pPr>
            <w:r>
              <w:rPr>
                <w:rFonts w:ascii="Times New Roman"/>
                <w:spacing w:val="-1"/>
                <w:sz w:val="18"/>
              </w:rPr>
              <w:t>97,244,262.70</w:t>
            </w:r>
          </w:p>
        </w:tc>
        <w:tc>
          <w:tcPr>
            <w:tcW w:w="11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z w:val="18"/>
              </w:rPr>
              <w:t>-48%</w:t>
            </w:r>
          </w:p>
        </w:tc>
        <w:tc>
          <w:tcPr>
            <w:tcW w:w="2930" w:type="dxa"/>
            <w:tcBorders>
              <w:top w:val="single" w:sz="12" w:space="0" w:color="000000"/>
              <w:left w:val="nil" w:sz="6" w:space="0" w:color="auto"/>
              <w:bottom w:val="single" w:sz="12" w:space="0" w:color="000000"/>
              <w:right w:val="nil" w:sz="6" w:space="0" w:color="auto"/>
            </w:tcBorders>
          </w:tcPr>
          <w:p>
            <w:pPr>
              <w:pStyle w:val="TableParagraph"/>
              <w:spacing w:line="300" w:lineRule="auto" w:before="20"/>
              <w:ind w:left="8" w:right="2"/>
              <w:jc w:val="left"/>
              <w:rPr>
                <w:rFonts w:ascii="宋体" w:hAnsi="宋体" w:cs="宋体" w:eastAsia="宋体" w:hint="default"/>
                <w:sz w:val="18"/>
                <w:szCs w:val="18"/>
              </w:rPr>
            </w:pPr>
            <w:r>
              <w:rPr>
                <w:rFonts w:ascii="宋体" w:hAnsi="宋体" w:cs="宋体" w:eastAsia="宋体" w:hint="default"/>
                <w:spacing w:val="9"/>
                <w:sz w:val="18"/>
                <w:szCs w:val="18"/>
              </w:rPr>
              <w:t>本年在建工程转固定资产约</w:t>
            </w:r>
            <w:r>
              <w:rPr>
                <w:rFonts w:ascii="Times New Roman" w:hAnsi="Times New Roman" w:cs="Times New Roman" w:eastAsia="Times New Roman" w:hint="default"/>
                <w:spacing w:val="9"/>
                <w:sz w:val="18"/>
                <w:szCs w:val="18"/>
              </w:rPr>
              <w:t>8,158</w:t>
            </w:r>
            <w:r>
              <w:rPr>
                <w:rFonts w:ascii="宋体" w:hAnsi="宋体" w:cs="宋体" w:eastAsia="宋体" w:hint="default"/>
                <w:spacing w:val="9"/>
                <w:sz w:val="18"/>
                <w:szCs w:val="18"/>
              </w:rPr>
              <w:t>万</w:t>
            </w:r>
            <w:r>
              <w:rPr>
                <w:rFonts w:ascii="宋体" w:hAnsi="宋体" w:cs="宋体" w:eastAsia="宋体" w:hint="default"/>
                <w:sz w:val="18"/>
                <w:szCs w:val="18"/>
              </w:rPr>
              <w:t> 元</w:t>
            </w:r>
          </w:p>
        </w:tc>
      </w:tr>
      <w:tr>
        <w:trPr>
          <w:trHeight w:val="682" w:hRule="exact"/>
        </w:trPr>
        <w:tc>
          <w:tcPr>
            <w:tcW w:w="1265" w:type="dxa"/>
            <w:tcBorders>
              <w:top w:val="single" w:sz="12" w:space="0" w:color="000000"/>
              <w:left w:val="nil" w:sz="6" w:space="0" w:color="auto"/>
              <w:bottom w:val="single" w:sz="12" w:space="0" w:color="000000"/>
              <w:right w:val="single" w:sz="4" w:space="0" w:color="FFFFFF"/>
            </w:tcBorders>
          </w:tcPr>
          <w:p>
            <w:pPr>
              <w:pStyle w:val="TableParagraph"/>
              <w:spacing w:line="316" w:lineRule="auto" w:before="20"/>
              <w:ind w:left="12" w:right="-5"/>
              <w:jc w:val="left"/>
              <w:rPr>
                <w:rFonts w:ascii="宋体" w:hAnsi="宋体" w:cs="宋体" w:eastAsia="宋体" w:hint="default"/>
                <w:sz w:val="18"/>
                <w:szCs w:val="18"/>
              </w:rPr>
            </w:pPr>
            <w:r>
              <w:rPr>
                <w:rFonts w:ascii="宋体" w:hAnsi="宋体" w:cs="宋体" w:eastAsia="宋体" w:hint="default"/>
                <w:spacing w:val="23"/>
                <w:sz w:val="18"/>
                <w:szCs w:val="18"/>
              </w:rPr>
              <w:t>递延所得税资</w:t>
            </w:r>
            <w:r>
              <w:rPr>
                <w:rFonts w:ascii="宋体" w:hAnsi="宋体" w:cs="宋体" w:eastAsia="宋体" w:hint="default"/>
                <w:spacing w:val="-62"/>
                <w:sz w:val="18"/>
                <w:szCs w:val="18"/>
              </w:rPr>
              <w:t> </w:t>
            </w:r>
            <w:r>
              <w:rPr>
                <w:rFonts w:ascii="宋体" w:hAnsi="宋体" w:cs="宋体" w:eastAsia="宋体" w:hint="default"/>
                <w:sz w:val="18"/>
                <w:szCs w:val="18"/>
              </w:rPr>
              <w:t>产</w:t>
            </w:r>
          </w:p>
        </w:tc>
        <w:tc>
          <w:tcPr>
            <w:tcW w:w="2083" w:type="dxa"/>
            <w:tcBorders>
              <w:top w:val="single" w:sz="12" w:space="0" w:color="000000"/>
              <w:left w:val="single" w:sz="4" w:space="0" w:color="FFFFFF"/>
              <w:bottom w:val="single" w:sz="12" w:space="0" w:color="000000"/>
              <w:right w:val="nil" w:sz="6" w:space="0" w:color="auto"/>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4,870,020.39</w:t>
            </w:r>
          </w:p>
        </w:tc>
        <w:tc>
          <w:tcPr>
            <w:tcW w:w="21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143"/>
              <w:jc w:val="right"/>
              <w:rPr>
                <w:rFonts w:ascii="Times New Roman" w:hAnsi="Times New Roman" w:cs="Times New Roman" w:eastAsia="Times New Roman" w:hint="default"/>
                <w:sz w:val="18"/>
                <w:szCs w:val="18"/>
              </w:rPr>
            </w:pPr>
            <w:r>
              <w:rPr>
                <w:rFonts w:ascii="Times New Roman"/>
                <w:spacing w:val="-1"/>
                <w:sz w:val="18"/>
              </w:rPr>
              <w:t>2,479,338.63</w:t>
            </w:r>
          </w:p>
        </w:tc>
        <w:tc>
          <w:tcPr>
            <w:tcW w:w="11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z w:val="18"/>
              </w:rPr>
              <w:t>96%</w:t>
            </w:r>
          </w:p>
        </w:tc>
        <w:tc>
          <w:tcPr>
            <w:tcW w:w="2930" w:type="dxa"/>
            <w:tcBorders>
              <w:top w:val="single" w:sz="12" w:space="0" w:color="000000"/>
              <w:left w:val="nil" w:sz="6" w:space="0" w:color="auto"/>
              <w:bottom w:val="single" w:sz="12" w:space="0" w:color="000000"/>
              <w:right w:val="nil" w:sz="6" w:space="0" w:color="auto"/>
            </w:tcBorders>
          </w:tcPr>
          <w:p>
            <w:pPr>
              <w:pStyle w:val="TableParagraph"/>
              <w:spacing w:line="316" w:lineRule="auto" w:before="20"/>
              <w:ind w:left="8" w:right="3"/>
              <w:jc w:val="left"/>
              <w:rPr>
                <w:rFonts w:ascii="宋体" w:hAnsi="宋体" w:cs="宋体" w:eastAsia="宋体" w:hint="default"/>
                <w:sz w:val="18"/>
                <w:szCs w:val="18"/>
              </w:rPr>
            </w:pPr>
            <w:r>
              <w:rPr>
                <w:rFonts w:ascii="宋体" w:hAnsi="宋体" w:cs="宋体" w:eastAsia="宋体" w:hint="default"/>
                <w:sz w:val="18"/>
                <w:szCs w:val="18"/>
              </w:rPr>
              <w:t>资产减值损失、未支付的职工薪酬和</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递延收益余额增加</w:t>
            </w:r>
          </w:p>
        </w:tc>
      </w:tr>
      <w:tr>
        <w:trPr>
          <w:trHeight w:val="367" w:hRule="exact"/>
        </w:trPr>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30"/>
              <w:jc w:val="right"/>
              <w:rPr>
                <w:rFonts w:ascii="Times New Roman" w:hAnsi="Times New Roman" w:cs="Times New Roman" w:eastAsia="Times New Roman" w:hint="default"/>
                <w:sz w:val="18"/>
                <w:szCs w:val="18"/>
              </w:rPr>
            </w:pPr>
            <w:r>
              <w:rPr>
                <w:rFonts w:ascii="Times New Roman"/>
                <w:spacing w:val="-1"/>
                <w:sz w:val="18"/>
              </w:rPr>
              <w:t>52,664,225.84</w:t>
            </w:r>
          </w:p>
        </w:tc>
        <w:tc>
          <w:tcPr>
            <w:tcW w:w="21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143"/>
              <w:jc w:val="right"/>
              <w:rPr>
                <w:rFonts w:ascii="Times New Roman" w:hAnsi="Times New Roman" w:cs="Times New Roman" w:eastAsia="Times New Roman" w:hint="default"/>
                <w:sz w:val="18"/>
                <w:szCs w:val="18"/>
              </w:rPr>
            </w:pPr>
            <w:r>
              <w:rPr>
                <w:rFonts w:ascii="Times New Roman"/>
                <w:spacing w:val="-1"/>
                <w:sz w:val="18"/>
              </w:rPr>
              <w:t>39,996,815.17</w:t>
            </w:r>
          </w:p>
        </w:tc>
        <w:tc>
          <w:tcPr>
            <w:tcW w:w="11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z w:val="18"/>
              </w:rPr>
              <w:t>32%</w:t>
            </w:r>
          </w:p>
        </w:tc>
        <w:tc>
          <w:tcPr>
            <w:tcW w:w="2930"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sz w:val="18"/>
                <w:szCs w:val="18"/>
              </w:rPr>
              <w:t>年末销售上升，采购备料增加</w:t>
            </w:r>
          </w:p>
        </w:tc>
      </w:tr>
      <w:tr>
        <w:trPr>
          <w:trHeight w:val="684" w:hRule="exact"/>
        </w:trPr>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0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30"/>
              <w:jc w:val="right"/>
              <w:rPr>
                <w:rFonts w:ascii="Times New Roman" w:hAnsi="Times New Roman" w:cs="Times New Roman" w:eastAsia="Times New Roman" w:hint="default"/>
                <w:sz w:val="18"/>
                <w:szCs w:val="18"/>
              </w:rPr>
            </w:pPr>
            <w:r>
              <w:rPr>
                <w:rFonts w:ascii="Times New Roman"/>
                <w:spacing w:val="-1"/>
                <w:sz w:val="18"/>
              </w:rPr>
              <w:t>23,874,396.85</w:t>
            </w:r>
          </w:p>
        </w:tc>
        <w:tc>
          <w:tcPr>
            <w:tcW w:w="21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143"/>
              <w:jc w:val="right"/>
              <w:rPr>
                <w:rFonts w:ascii="Times New Roman" w:hAnsi="Times New Roman" w:cs="Times New Roman" w:eastAsia="Times New Roman" w:hint="default"/>
                <w:sz w:val="18"/>
                <w:szCs w:val="18"/>
              </w:rPr>
            </w:pPr>
            <w:r>
              <w:rPr>
                <w:rFonts w:ascii="Times New Roman"/>
                <w:spacing w:val="-1"/>
                <w:sz w:val="18"/>
              </w:rPr>
              <w:t>10,394,469.28</w:t>
            </w:r>
          </w:p>
        </w:tc>
        <w:tc>
          <w:tcPr>
            <w:tcW w:w="11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z w:val="18"/>
              </w:rPr>
              <w:t>130%</w:t>
            </w:r>
          </w:p>
        </w:tc>
        <w:tc>
          <w:tcPr>
            <w:tcW w:w="2930" w:type="dxa"/>
            <w:tcBorders>
              <w:top w:val="single" w:sz="12" w:space="0" w:color="000000"/>
              <w:left w:val="nil" w:sz="6" w:space="0" w:color="auto"/>
              <w:bottom w:val="single" w:sz="12" w:space="0" w:color="000000"/>
              <w:right w:val="nil" w:sz="6" w:space="0" w:color="auto"/>
            </w:tcBorders>
          </w:tcPr>
          <w:p>
            <w:pPr>
              <w:pStyle w:val="TableParagraph"/>
              <w:spacing w:line="316" w:lineRule="auto" w:before="20"/>
              <w:ind w:left="8" w:right="3"/>
              <w:jc w:val="left"/>
              <w:rPr>
                <w:rFonts w:ascii="宋体" w:hAnsi="宋体" w:cs="宋体" w:eastAsia="宋体" w:hint="default"/>
                <w:sz w:val="18"/>
                <w:szCs w:val="18"/>
              </w:rPr>
            </w:pPr>
            <w:r>
              <w:rPr>
                <w:rFonts w:ascii="宋体" w:hAnsi="宋体" w:cs="宋体" w:eastAsia="宋体" w:hint="default"/>
                <w:sz w:val="18"/>
                <w:szCs w:val="18"/>
              </w:rPr>
              <w:t>本年销售增加，为控制坏账风险，预</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收账款增加</w:t>
            </w:r>
          </w:p>
        </w:tc>
      </w:tr>
      <w:tr>
        <w:trPr>
          <w:trHeight w:val="365" w:hRule="exact"/>
        </w:trPr>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0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60"/>
              <w:ind w:right="30"/>
              <w:jc w:val="right"/>
              <w:rPr>
                <w:rFonts w:ascii="Times New Roman" w:hAnsi="Times New Roman" w:cs="Times New Roman" w:eastAsia="Times New Roman" w:hint="default"/>
                <w:sz w:val="18"/>
                <w:szCs w:val="18"/>
              </w:rPr>
            </w:pPr>
            <w:r>
              <w:rPr>
                <w:rFonts w:ascii="Times New Roman"/>
                <w:spacing w:val="-1"/>
                <w:sz w:val="18"/>
              </w:rPr>
              <w:t>12,339,979.70</w:t>
            </w:r>
          </w:p>
        </w:tc>
        <w:tc>
          <w:tcPr>
            <w:tcW w:w="21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0"/>
              <w:ind w:right="143"/>
              <w:jc w:val="right"/>
              <w:rPr>
                <w:rFonts w:ascii="Times New Roman" w:hAnsi="Times New Roman" w:cs="Times New Roman" w:eastAsia="Times New Roman" w:hint="default"/>
                <w:sz w:val="18"/>
                <w:szCs w:val="18"/>
              </w:rPr>
            </w:pPr>
            <w:r>
              <w:rPr>
                <w:rFonts w:ascii="Times New Roman"/>
                <w:spacing w:val="-1"/>
                <w:sz w:val="18"/>
              </w:rPr>
              <w:t>9,097,714.68</w:t>
            </w:r>
          </w:p>
        </w:tc>
        <w:tc>
          <w:tcPr>
            <w:tcW w:w="11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36%</w:t>
            </w:r>
          </w:p>
        </w:tc>
        <w:tc>
          <w:tcPr>
            <w:tcW w:w="293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left="8" w:right="0"/>
              <w:jc w:val="left"/>
              <w:rPr>
                <w:rFonts w:ascii="宋体" w:hAnsi="宋体" w:cs="宋体" w:eastAsia="宋体" w:hint="default"/>
                <w:sz w:val="18"/>
                <w:szCs w:val="18"/>
              </w:rPr>
            </w:pPr>
            <w:r>
              <w:rPr>
                <w:rFonts w:ascii="宋体" w:hAnsi="宋体" w:cs="宋体" w:eastAsia="宋体" w:hint="default"/>
                <w:sz w:val="18"/>
                <w:szCs w:val="18"/>
              </w:rPr>
              <w:t>调薪以及激励奖金提高</w:t>
            </w:r>
          </w:p>
        </w:tc>
      </w:tr>
      <w:tr>
        <w:trPr>
          <w:trHeight w:val="368" w:hRule="exact"/>
        </w:trPr>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0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9,650,719.56</w:t>
            </w:r>
          </w:p>
        </w:tc>
        <w:tc>
          <w:tcPr>
            <w:tcW w:w="21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143"/>
              <w:jc w:val="right"/>
              <w:rPr>
                <w:rFonts w:ascii="Times New Roman" w:hAnsi="Times New Roman" w:cs="Times New Roman" w:eastAsia="Times New Roman" w:hint="default"/>
                <w:sz w:val="18"/>
                <w:szCs w:val="18"/>
              </w:rPr>
            </w:pPr>
            <w:r>
              <w:rPr>
                <w:rFonts w:ascii="Times New Roman"/>
                <w:spacing w:val="-1"/>
                <w:sz w:val="18"/>
              </w:rPr>
              <w:t>5,078,797.94</w:t>
            </w:r>
          </w:p>
        </w:tc>
        <w:tc>
          <w:tcPr>
            <w:tcW w:w="11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z w:val="18"/>
              </w:rPr>
              <w:t>90%</w:t>
            </w:r>
          </w:p>
        </w:tc>
        <w:tc>
          <w:tcPr>
            <w:tcW w:w="2930"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sz w:val="18"/>
                <w:szCs w:val="18"/>
              </w:rPr>
              <w:t>本年利润增加，应交所得税增加</w:t>
            </w:r>
          </w:p>
        </w:tc>
      </w:tr>
      <w:tr>
        <w:trPr>
          <w:trHeight w:val="367" w:hRule="exact"/>
        </w:trPr>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30"/>
              <w:jc w:val="right"/>
              <w:rPr>
                <w:rFonts w:ascii="Times New Roman" w:hAnsi="Times New Roman" w:cs="Times New Roman" w:eastAsia="Times New Roman" w:hint="default"/>
                <w:sz w:val="18"/>
                <w:szCs w:val="18"/>
              </w:rPr>
            </w:pPr>
            <w:r>
              <w:rPr>
                <w:rFonts w:ascii="Times New Roman"/>
                <w:spacing w:val="-1"/>
                <w:sz w:val="18"/>
              </w:rPr>
              <w:t>109,233,695.95</w:t>
            </w:r>
          </w:p>
        </w:tc>
        <w:tc>
          <w:tcPr>
            <w:tcW w:w="21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143"/>
              <w:jc w:val="right"/>
              <w:rPr>
                <w:rFonts w:ascii="Times New Roman" w:hAnsi="Times New Roman" w:cs="Times New Roman" w:eastAsia="Times New Roman" w:hint="default"/>
                <w:sz w:val="18"/>
                <w:szCs w:val="18"/>
              </w:rPr>
            </w:pPr>
            <w:r>
              <w:rPr>
                <w:rFonts w:ascii="Times New Roman"/>
                <w:spacing w:val="-1"/>
                <w:sz w:val="18"/>
              </w:rPr>
              <w:t>35,022,874.73</w:t>
            </w:r>
          </w:p>
        </w:tc>
        <w:tc>
          <w:tcPr>
            <w:tcW w:w="11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z w:val="18"/>
              </w:rPr>
              <w:t>212%</w:t>
            </w:r>
          </w:p>
        </w:tc>
        <w:tc>
          <w:tcPr>
            <w:tcW w:w="2930"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sz w:val="18"/>
                <w:szCs w:val="18"/>
              </w:rPr>
              <w:t>收购德居安股权转让款银行未达</w:t>
            </w:r>
          </w:p>
        </w:tc>
      </w:tr>
      <w:tr>
        <w:trPr>
          <w:trHeight w:val="682" w:hRule="exact"/>
        </w:trPr>
        <w:tc>
          <w:tcPr>
            <w:tcW w:w="1265" w:type="dxa"/>
            <w:tcBorders>
              <w:top w:val="single" w:sz="12" w:space="0" w:color="000000"/>
              <w:left w:val="nil" w:sz="6" w:space="0" w:color="auto"/>
              <w:bottom w:val="single" w:sz="12" w:space="0" w:color="000000"/>
              <w:right w:val="single" w:sz="4" w:space="0" w:color="FFFFFF"/>
            </w:tcBorders>
          </w:tcPr>
          <w:p>
            <w:pPr>
              <w:pStyle w:val="TableParagraph"/>
              <w:spacing w:line="316" w:lineRule="auto" w:before="20"/>
              <w:ind w:left="12" w:right="-5"/>
              <w:jc w:val="left"/>
              <w:rPr>
                <w:rFonts w:ascii="宋体" w:hAnsi="宋体" w:cs="宋体" w:eastAsia="宋体" w:hint="default"/>
                <w:sz w:val="18"/>
                <w:szCs w:val="18"/>
              </w:rPr>
            </w:pPr>
            <w:r>
              <w:rPr>
                <w:rFonts w:ascii="宋体" w:hAnsi="宋体" w:cs="宋体" w:eastAsia="宋体" w:hint="default"/>
                <w:spacing w:val="23"/>
                <w:sz w:val="18"/>
                <w:szCs w:val="18"/>
              </w:rPr>
              <w:t>其他非流动负</w:t>
            </w:r>
            <w:r>
              <w:rPr>
                <w:rFonts w:ascii="宋体" w:hAnsi="宋体" w:cs="宋体" w:eastAsia="宋体" w:hint="default"/>
                <w:spacing w:val="-62"/>
                <w:sz w:val="18"/>
                <w:szCs w:val="18"/>
              </w:rPr>
              <w:t> </w:t>
            </w:r>
            <w:r>
              <w:rPr>
                <w:rFonts w:ascii="宋体" w:hAnsi="宋体" w:cs="宋体" w:eastAsia="宋体" w:hint="default"/>
                <w:sz w:val="18"/>
                <w:szCs w:val="18"/>
              </w:rPr>
              <w:t>债</w:t>
            </w:r>
          </w:p>
        </w:tc>
        <w:tc>
          <w:tcPr>
            <w:tcW w:w="2083" w:type="dxa"/>
            <w:tcBorders>
              <w:top w:val="single" w:sz="12" w:space="0" w:color="000000"/>
              <w:left w:val="single" w:sz="4" w:space="0" w:color="FFFFFF"/>
              <w:bottom w:val="single" w:sz="12" w:space="0" w:color="000000"/>
              <w:right w:val="nil" w:sz="6" w:space="0" w:color="auto"/>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5,404,802.78</w:t>
            </w:r>
          </w:p>
        </w:tc>
        <w:tc>
          <w:tcPr>
            <w:tcW w:w="21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143"/>
              <w:jc w:val="right"/>
              <w:rPr>
                <w:rFonts w:ascii="Times New Roman" w:hAnsi="Times New Roman" w:cs="Times New Roman" w:eastAsia="Times New Roman" w:hint="default"/>
                <w:sz w:val="18"/>
                <w:szCs w:val="18"/>
              </w:rPr>
            </w:pPr>
            <w:r>
              <w:rPr>
                <w:rFonts w:ascii="Times New Roman"/>
                <w:spacing w:val="-1"/>
                <w:sz w:val="18"/>
              </w:rPr>
              <w:t>706,595.00</w:t>
            </w:r>
          </w:p>
        </w:tc>
        <w:tc>
          <w:tcPr>
            <w:tcW w:w="11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z w:val="18"/>
              </w:rPr>
              <w:t>665%</w:t>
            </w:r>
          </w:p>
        </w:tc>
        <w:tc>
          <w:tcPr>
            <w:tcW w:w="2930" w:type="dxa"/>
            <w:tcBorders>
              <w:top w:val="single" w:sz="12" w:space="0" w:color="000000"/>
              <w:left w:val="nil" w:sz="6" w:space="0" w:color="auto"/>
              <w:bottom w:val="single" w:sz="12" w:space="0" w:color="000000"/>
              <w:right w:val="nil" w:sz="6" w:space="0" w:color="auto"/>
            </w:tcBorders>
          </w:tcPr>
          <w:p>
            <w:pPr>
              <w:pStyle w:val="TableParagraph"/>
              <w:spacing w:line="316" w:lineRule="auto" w:before="20"/>
              <w:ind w:left="8" w:right="3"/>
              <w:jc w:val="left"/>
              <w:rPr>
                <w:rFonts w:ascii="宋体" w:hAnsi="宋体" w:cs="宋体" w:eastAsia="宋体" w:hint="default"/>
                <w:sz w:val="18"/>
                <w:szCs w:val="18"/>
              </w:rPr>
            </w:pPr>
            <w:r>
              <w:rPr>
                <w:rFonts w:ascii="宋体" w:hAnsi="宋体" w:cs="宋体" w:eastAsia="宋体" w:hint="default"/>
                <w:sz w:val="18"/>
                <w:szCs w:val="18"/>
              </w:rPr>
              <w:t>本年年末收到政府补助，本期使用较</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少，递延收益余额增加</w:t>
            </w:r>
          </w:p>
        </w:tc>
      </w:tr>
      <w:tr>
        <w:trPr>
          <w:trHeight w:val="684" w:hRule="exact"/>
        </w:trPr>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0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25,059,041.37</w:t>
            </w:r>
          </w:p>
        </w:tc>
        <w:tc>
          <w:tcPr>
            <w:tcW w:w="21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143"/>
              <w:jc w:val="right"/>
              <w:rPr>
                <w:rFonts w:ascii="Times New Roman" w:hAnsi="Times New Roman" w:cs="Times New Roman" w:eastAsia="Times New Roman" w:hint="default"/>
                <w:sz w:val="18"/>
                <w:szCs w:val="18"/>
              </w:rPr>
            </w:pPr>
            <w:r>
              <w:rPr>
                <w:rFonts w:ascii="Times New Roman"/>
                <w:spacing w:val="-1"/>
                <w:sz w:val="18"/>
              </w:rPr>
              <w:t>17,401,499.69</w:t>
            </w:r>
          </w:p>
        </w:tc>
        <w:tc>
          <w:tcPr>
            <w:tcW w:w="11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z w:val="18"/>
              </w:rPr>
              <w:t>44%</w:t>
            </w:r>
          </w:p>
        </w:tc>
        <w:tc>
          <w:tcPr>
            <w:tcW w:w="2930"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sz w:val="18"/>
                <w:szCs w:val="18"/>
              </w:rPr>
              <w:t>母公司按净利润的</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提取盈余公积</w:t>
            </w:r>
          </w:p>
        </w:tc>
      </w:tr>
      <w:tr>
        <w:trPr>
          <w:trHeight w:val="367" w:hRule="exact"/>
        </w:trPr>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0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60"/>
              <w:ind w:right="30"/>
              <w:jc w:val="right"/>
              <w:rPr>
                <w:rFonts w:ascii="Times New Roman" w:hAnsi="Times New Roman" w:cs="Times New Roman" w:eastAsia="Times New Roman" w:hint="default"/>
                <w:sz w:val="18"/>
                <w:szCs w:val="18"/>
              </w:rPr>
            </w:pPr>
            <w:r>
              <w:rPr>
                <w:rFonts w:ascii="Times New Roman"/>
                <w:spacing w:val="-1"/>
                <w:sz w:val="18"/>
              </w:rPr>
              <w:t>363,242,031.26</w:t>
            </w:r>
          </w:p>
        </w:tc>
        <w:tc>
          <w:tcPr>
            <w:tcW w:w="21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0"/>
              <w:ind w:right="143"/>
              <w:jc w:val="right"/>
              <w:rPr>
                <w:rFonts w:ascii="Times New Roman" w:hAnsi="Times New Roman" w:cs="Times New Roman" w:eastAsia="Times New Roman" w:hint="default"/>
                <w:sz w:val="18"/>
                <w:szCs w:val="18"/>
              </w:rPr>
            </w:pPr>
            <w:r>
              <w:rPr>
                <w:rFonts w:ascii="Times New Roman"/>
                <w:spacing w:val="-1"/>
                <w:sz w:val="18"/>
              </w:rPr>
              <w:t>253,216,897.20</w:t>
            </w:r>
          </w:p>
        </w:tc>
        <w:tc>
          <w:tcPr>
            <w:tcW w:w="11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43%</w:t>
            </w:r>
          </w:p>
        </w:tc>
        <w:tc>
          <w:tcPr>
            <w:tcW w:w="293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left="8" w:right="0"/>
              <w:jc w:val="left"/>
              <w:rPr>
                <w:rFonts w:ascii="宋体" w:hAnsi="宋体" w:cs="宋体" w:eastAsia="宋体" w:hint="default"/>
                <w:sz w:val="18"/>
                <w:szCs w:val="18"/>
              </w:rPr>
            </w:pPr>
            <w:r>
              <w:rPr>
                <w:rFonts w:ascii="宋体" w:hAnsi="宋体" w:cs="宋体" w:eastAsia="宋体" w:hint="default"/>
                <w:sz w:val="18"/>
                <w:szCs w:val="18"/>
              </w:rPr>
              <w:t>楼宇对讲系统销量增加所致</w:t>
            </w:r>
          </w:p>
        </w:tc>
      </w:tr>
      <w:tr>
        <w:trPr>
          <w:trHeight w:val="365" w:hRule="exact"/>
        </w:trPr>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0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60"/>
              <w:ind w:right="30"/>
              <w:jc w:val="right"/>
              <w:rPr>
                <w:rFonts w:ascii="Times New Roman" w:hAnsi="Times New Roman" w:cs="Times New Roman" w:eastAsia="Times New Roman" w:hint="default"/>
                <w:sz w:val="18"/>
                <w:szCs w:val="18"/>
              </w:rPr>
            </w:pPr>
            <w:r>
              <w:rPr>
                <w:rFonts w:ascii="Times New Roman"/>
                <w:spacing w:val="-1"/>
                <w:sz w:val="18"/>
              </w:rPr>
              <w:t>189,216,360.14</w:t>
            </w:r>
          </w:p>
        </w:tc>
        <w:tc>
          <w:tcPr>
            <w:tcW w:w="21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0"/>
              <w:ind w:right="143"/>
              <w:jc w:val="right"/>
              <w:rPr>
                <w:rFonts w:ascii="Times New Roman" w:hAnsi="Times New Roman" w:cs="Times New Roman" w:eastAsia="Times New Roman" w:hint="default"/>
                <w:sz w:val="18"/>
                <w:szCs w:val="18"/>
              </w:rPr>
            </w:pPr>
            <w:r>
              <w:rPr>
                <w:rFonts w:ascii="Times New Roman"/>
                <w:spacing w:val="-1"/>
                <w:sz w:val="18"/>
              </w:rPr>
              <w:t>132,451,992.24</w:t>
            </w:r>
          </w:p>
        </w:tc>
        <w:tc>
          <w:tcPr>
            <w:tcW w:w="11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43%</w:t>
            </w:r>
          </w:p>
        </w:tc>
        <w:tc>
          <w:tcPr>
            <w:tcW w:w="293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left="8" w:right="0"/>
              <w:jc w:val="left"/>
              <w:rPr>
                <w:rFonts w:ascii="宋体" w:hAnsi="宋体" w:cs="宋体" w:eastAsia="宋体" w:hint="default"/>
                <w:sz w:val="18"/>
                <w:szCs w:val="18"/>
              </w:rPr>
            </w:pPr>
            <w:r>
              <w:rPr>
                <w:rFonts w:ascii="宋体" w:hAnsi="宋体" w:cs="宋体" w:eastAsia="宋体" w:hint="default"/>
                <w:sz w:val="18"/>
                <w:szCs w:val="18"/>
              </w:rPr>
              <w:t>楼宇对讲系统销量增加所致</w:t>
            </w:r>
          </w:p>
        </w:tc>
      </w:tr>
      <w:tr>
        <w:trPr>
          <w:trHeight w:val="674" w:hRule="exact"/>
        </w:trPr>
        <w:tc>
          <w:tcPr>
            <w:tcW w:w="1265" w:type="dxa"/>
            <w:tcBorders>
              <w:top w:val="single" w:sz="12" w:space="0" w:color="000000"/>
              <w:left w:val="nil" w:sz="6" w:space="0" w:color="auto"/>
              <w:bottom w:val="single" w:sz="12" w:space="0" w:color="000000"/>
              <w:right w:val="single" w:sz="4" w:space="0" w:color="FFFFFF"/>
            </w:tcBorders>
          </w:tcPr>
          <w:p>
            <w:pPr>
              <w:pStyle w:val="TableParagraph"/>
              <w:spacing w:line="316" w:lineRule="auto" w:before="20"/>
              <w:ind w:left="12" w:right="-5"/>
              <w:jc w:val="left"/>
              <w:rPr>
                <w:rFonts w:ascii="宋体" w:hAnsi="宋体" w:cs="宋体" w:eastAsia="宋体" w:hint="default"/>
                <w:sz w:val="18"/>
                <w:szCs w:val="18"/>
              </w:rPr>
            </w:pPr>
            <w:r>
              <w:rPr>
                <w:rFonts w:ascii="宋体" w:hAnsi="宋体" w:cs="宋体" w:eastAsia="宋体" w:hint="default"/>
                <w:spacing w:val="23"/>
                <w:sz w:val="18"/>
                <w:szCs w:val="18"/>
              </w:rPr>
              <w:t>营业税金及附</w:t>
            </w:r>
            <w:r>
              <w:rPr>
                <w:rFonts w:ascii="宋体" w:hAnsi="宋体" w:cs="宋体" w:eastAsia="宋体" w:hint="default"/>
                <w:spacing w:val="-62"/>
                <w:sz w:val="18"/>
                <w:szCs w:val="18"/>
              </w:rPr>
              <w:t> </w:t>
            </w:r>
            <w:r>
              <w:rPr>
                <w:rFonts w:ascii="宋体" w:hAnsi="宋体" w:cs="宋体" w:eastAsia="宋体" w:hint="default"/>
                <w:sz w:val="18"/>
                <w:szCs w:val="18"/>
              </w:rPr>
              <w:t>加</w:t>
            </w:r>
          </w:p>
        </w:tc>
        <w:tc>
          <w:tcPr>
            <w:tcW w:w="2083" w:type="dxa"/>
            <w:tcBorders>
              <w:top w:val="single" w:sz="12" w:space="0" w:color="000000"/>
              <w:left w:val="single" w:sz="4" w:space="0" w:color="FFFFFF"/>
              <w:bottom w:val="single" w:sz="12" w:space="0" w:color="000000"/>
              <w:right w:val="nil" w:sz="6" w:space="0" w:color="auto"/>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3,541,149.95</w:t>
            </w:r>
          </w:p>
        </w:tc>
        <w:tc>
          <w:tcPr>
            <w:tcW w:w="21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143"/>
              <w:jc w:val="right"/>
              <w:rPr>
                <w:rFonts w:ascii="Times New Roman" w:hAnsi="Times New Roman" w:cs="Times New Roman" w:eastAsia="Times New Roman" w:hint="default"/>
                <w:sz w:val="18"/>
                <w:szCs w:val="18"/>
              </w:rPr>
            </w:pPr>
            <w:r>
              <w:rPr>
                <w:rFonts w:ascii="Times New Roman"/>
                <w:spacing w:val="-1"/>
                <w:sz w:val="18"/>
              </w:rPr>
              <w:t>2,557,808.46</w:t>
            </w:r>
          </w:p>
        </w:tc>
        <w:tc>
          <w:tcPr>
            <w:tcW w:w="11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z w:val="18"/>
              </w:rPr>
              <w:t>38%</w:t>
            </w:r>
          </w:p>
        </w:tc>
        <w:tc>
          <w:tcPr>
            <w:tcW w:w="2930"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sz w:val="18"/>
                <w:szCs w:val="18"/>
              </w:rPr>
              <w:t>营业收入增加所致</w:t>
            </w:r>
          </w:p>
        </w:tc>
      </w:tr>
      <w:tr>
        <w:trPr>
          <w:trHeight w:val="363" w:hRule="exact"/>
        </w:trPr>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0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30"/>
              <w:jc w:val="right"/>
              <w:rPr>
                <w:rFonts w:ascii="Times New Roman" w:hAnsi="Times New Roman" w:cs="Times New Roman" w:eastAsia="Times New Roman" w:hint="default"/>
                <w:sz w:val="18"/>
                <w:szCs w:val="18"/>
              </w:rPr>
            </w:pPr>
            <w:r>
              <w:rPr>
                <w:rFonts w:ascii="Times New Roman"/>
                <w:spacing w:val="-1"/>
                <w:sz w:val="18"/>
              </w:rPr>
              <w:t>63,689,910.59</w:t>
            </w:r>
          </w:p>
        </w:tc>
        <w:tc>
          <w:tcPr>
            <w:tcW w:w="21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143"/>
              <w:jc w:val="right"/>
              <w:rPr>
                <w:rFonts w:ascii="Times New Roman" w:hAnsi="Times New Roman" w:cs="Times New Roman" w:eastAsia="Times New Roman" w:hint="default"/>
                <w:sz w:val="18"/>
                <w:szCs w:val="18"/>
              </w:rPr>
            </w:pPr>
            <w:r>
              <w:rPr>
                <w:rFonts w:ascii="Times New Roman"/>
                <w:spacing w:val="-1"/>
                <w:sz w:val="18"/>
              </w:rPr>
              <w:t>49,022,257.86</w:t>
            </w:r>
          </w:p>
        </w:tc>
        <w:tc>
          <w:tcPr>
            <w:tcW w:w="11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z w:val="18"/>
              </w:rPr>
              <w:t>30%</w:t>
            </w:r>
          </w:p>
        </w:tc>
        <w:tc>
          <w:tcPr>
            <w:tcW w:w="2930"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sz w:val="18"/>
                <w:szCs w:val="18"/>
              </w:rPr>
              <w:t>营业收入增加，相关销售费用增加</w:t>
            </w:r>
          </w:p>
        </w:tc>
      </w:tr>
      <w:tr>
        <w:trPr>
          <w:trHeight w:val="674" w:hRule="exact"/>
        </w:trPr>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8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0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57,491,489.41</w:t>
            </w:r>
          </w:p>
        </w:tc>
        <w:tc>
          <w:tcPr>
            <w:tcW w:w="21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143"/>
              <w:jc w:val="right"/>
              <w:rPr>
                <w:rFonts w:ascii="Times New Roman" w:hAnsi="Times New Roman" w:cs="Times New Roman" w:eastAsia="Times New Roman" w:hint="default"/>
                <w:sz w:val="18"/>
                <w:szCs w:val="18"/>
              </w:rPr>
            </w:pPr>
            <w:r>
              <w:rPr>
                <w:rFonts w:ascii="Times New Roman"/>
                <w:spacing w:val="-1"/>
                <w:sz w:val="18"/>
              </w:rPr>
              <w:t>38,408,012.10</w:t>
            </w:r>
          </w:p>
        </w:tc>
        <w:tc>
          <w:tcPr>
            <w:tcW w:w="11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z w:val="18"/>
              </w:rPr>
              <w:t>50%</w:t>
            </w:r>
          </w:p>
        </w:tc>
        <w:tc>
          <w:tcPr>
            <w:tcW w:w="2930" w:type="dxa"/>
            <w:tcBorders>
              <w:top w:val="single" w:sz="12" w:space="0" w:color="000000"/>
              <w:left w:val="nil" w:sz="6" w:space="0" w:color="auto"/>
              <w:bottom w:val="single" w:sz="12" w:space="0" w:color="000000"/>
              <w:right w:val="nil" w:sz="6" w:space="0" w:color="auto"/>
            </w:tcBorders>
          </w:tcPr>
          <w:p>
            <w:pPr>
              <w:pStyle w:val="TableParagraph"/>
              <w:spacing w:line="316" w:lineRule="auto" w:before="20"/>
              <w:ind w:left="8" w:right="3"/>
              <w:jc w:val="left"/>
              <w:rPr>
                <w:rFonts w:ascii="宋体" w:hAnsi="宋体" w:cs="宋体" w:eastAsia="宋体" w:hint="default"/>
                <w:sz w:val="18"/>
                <w:szCs w:val="18"/>
              </w:rPr>
            </w:pPr>
            <w:r>
              <w:rPr>
                <w:rFonts w:ascii="宋体" w:hAnsi="宋体" w:cs="宋体" w:eastAsia="宋体" w:hint="default"/>
                <w:sz w:val="18"/>
                <w:szCs w:val="18"/>
              </w:rPr>
              <w:t>本年人工福利费用增加，办公费用、</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研发费用增加</w:t>
            </w:r>
          </w:p>
        </w:tc>
      </w:tr>
      <w:tr>
        <w:trPr>
          <w:trHeight w:val="362" w:hRule="exact"/>
        </w:trPr>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0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2,594,266.19</w:t>
            </w:r>
          </w:p>
        </w:tc>
        <w:tc>
          <w:tcPr>
            <w:tcW w:w="21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142"/>
              <w:jc w:val="right"/>
              <w:rPr>
                <w:rFonts w:ascii="Times New Roman" w:hAnsi="Times New Roman" w:cs="Times New Roman" w:eastAsia="Times New Roman" w:hint="default"/>
                <w:sz w:val="18"/>
                <w:szCs w:val="18"/>
              </w:rPr>
            </w:pPr>
            <w:r>
              <w:rPr>
                <w:rFonts w:ascii="Times New Roman"/>
                <w:spacing w:val="-1"/>
                <w:sz w:val="18"/>
              </w:rPr>
              <w:t>4,371,643.37</w:t>
            </w:r>
          </w:p>
        </w:tc>
        <w:tc>
          <w:tcPr>
            <w:tcW w:w="11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z w:val="18"/>
              </w:rPr>
              <w:t>-41%</w:t>
            </w:r>
          </w:p>
        </w:tc>
        <w:tc>
          <w:tcPr>
            <w:tcW w:w="2930"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sz w:val="18"/>
                <w:szCs w:val="18"/>
              </w:rPr>
              <w:t>各项资产减值计提较上年减少</w:t>
            </w:r>
          </w:p>
        </w:tc>
      </w:tr>
      <w:tr>
        <w:trPr>
          <w:trHeight w:val="362" w:hRule="exact"/>
        </w:trPr>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0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60"/>
              <w:ind w:right="28"/>
              <w:jc w:val="right"/>
              <w:rPr>
                <w:rFonts w:ascii="Times New Roman" w:hAnsi="Times New Roman" w:cs="Times New Roman" w:eastAsia="Times New Roman" w:hint="default"/>
                <w:sz w:val="18"/>
                <w:szCs w:val="18"/>
              </w:rPr>
            </w:pPr>
            <w:r>
              <w:rPr>
                <w:rFonts w:ascii="Times New Roman"/>
                <w:spacing w:val="-1"/>
                <w:sz w:val="18"/>
              </w:rPr>
              <w:t>11,410,219.57</w:t>
            </w:r>
          </w:p>
        </w:tc>
        <w:tc>
          <w:tcPr>
            <w:tcW w:w="21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0"/>
              <w:ind w:right="143"/>
              <w:jc w:val="right"/>
              <w:rPr>
                <w:rFonts w:ascii="Times New Roman" w:hAnsi="Times New Roman" w:cs="Times New Roman" w:eastAsia="Times New Roman" w:hint="default"/>
                <w:sz w:val="18"/>
                <w:szCs w:val="18"/>
              </w:rPr>
            </w:pPr>
            <w:r>
              <w:rPr>
                <w:rFonts w:ascii="Times New Roman"/>
                <w:spacing w:val="-1"/>
                <w:sz w:val="18"/>
              </w:rPr>
              <w:t>6,065,013.35</w:t>
            </w:r>
          </w:p>
        </w:tc>
        <w:tc>
          <w:tcPr>
            <w:tcW w:w="11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88%</w:t>
            </w:r>
          </w:p>
        </w:tc>
        <w:tc>
          <w:tcPr>
            <w:tcW w:w="293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left="8" w:right="0"/>
              <w:jc w:val="left"/>
              <w:rPr>
                <w:rFonts w:ascii="宋体" w:hAnsi="宋体" w:cs="宋体" w:eastAsia="宋体" w:hint="default"/>
                <w:sz w:val="18"/>
                <w:szCs w:val="18"/>
              </w:rPr>
            </w:pPr>
            <w:r>
              <w:rPr>
                <w:rFonts w:ascii="宋体" w:hAnsi="宋体" w:cs="宋体" w:eastAsia="宋体" w:hint="default"/>
                <w:sz w:val="18"/>
                <w:szCs w:val="18"/>
              </w:rPr>
              <w:t>本年利润增加，所得税费用增加</w:t>
            </w:r>
          </w:p>
        </w:tc>
      </w:tr>
    </w:tbl>
    <w:p>
      <w:pPr>
        <w:spacing w:after="0" w:line="240" w:lineRule="auto"/>
        <w:jc w:val="left"/>
        <w:rPr>
          <w:rFonts w:ascii="宋体" w:hAnsi="宋体" w:cs="宋体" w:eastAsia="宋体" w:hint="default"/>
          <w:sz w:val="18"/>
          <w:szCs w:val="18"/>
        </w:rPr>
        <w:sectPr>
          <w:pgSz w:w="11910" w:h="16840"/>
          <w:pgMar w:header="0" w:footer="1227" w:top="1060" w:bottom="142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right="2242"/>
        <w:jc w:val="center"/>
        <w:rPr>
          <w:b w:val="0"/>
          <w:bCs w:val="0"/>
        </w:rPr>
      </w:pPr>
      <w:bookmarkStart w:name="_TOC_250000" w:id="10"/>
      <w:r>
        <w:rPr/>
        <w:t>第十节</w:t>
      </w:r>
      <w:r>
        <w:rPr>
          <w:spacing w:val="-6"/>
        </w:rPr>
        <w:t> </w:t>
      </w:r>
      <w:r>
        <w:rPr/>
        <w:t>备查文件目录</w:t>
      </w:r>
      <w:bookmarkEnd w:id="10"/>
      <w:r>
        <w:rPr>
          <w:b w:val="0"/>
          <w:bCs w:val="0"/>
        </w:rPr>
      </w:r>
    </w:p>
    <w:p>
      <w:pPr>
        <w:spacing w:line="240" w:lineRule="auto" w:before="10"/>
        <w:rPr>
          <w:rFonts w:ascii="宋体" w:hAnsi="宋体" w:cs="宋体" w:eastAsia="宋体" w:hint="default"/>
          <w:b/>
          <w:bCs/>
          <w:sz w:val="46"/>
          <w:szCs w:val="46"/>
        </w:rPr>
      </w:pPr>
    </w:p>
    <w:p>
      <w:pPr>
        <w:pStyle w:val="Heading4"/>
        <w:spacing w:line="398" w:lineRule="auto"/>
        <w:ind w:right="0"/>
        <w:jc w:val="left"/>
      </w:pPr>
      <w:r>
        <w:rPr/>
        <w:t>一、经公司法定代表人张波先生签名的</w:t>
      </w:r>
      <w:r>
        <w:rPr>
          <w:rFonts w:ascii="Times New Roman" w:hAnsi="Times New Roman" w:cs="Times New Roman" w:eastAsia="Times New Roman" w:hint="default"/>
        </w:rPr>
        <w:t>2012</w:t>
      </w:r>
      <w:r>
        <w:rPr/>
        <w:t>年年度报告文本。</w:t>
      </w:r>
      <w:r>
        <w:rPr>
          <w:w w:val="100"/>
        </w:rPr>
        <w:t> </w:t>
      </w:r>
      <w:r>
        <w:rPr>
          <w:spacing w:val="-2"/>
        </w:rPr>
        <w:t>二、载有公司法定代表人张波先生、主管会计工作负责人黄光明先生、会计机构负责人吴若顺先生签名并</w:t>
      </w:r>
      <w:r>
        <w:rPr>
          <w:spacing w:val="-43"/>
        </w:rPr>
        <w:t> </w:t>
      </w:r>
      <w:r>
        <w:rPr>
          <w:spacing w:val="-43"/>
        </w:rPr>
      </w:r>
      <w:r>
        <w:rPr/>
        <w:t>盖章的财务报告文本。</w:t>
      </w:r>
    </w:p>
    <w:p>
      <w:pPr>
        <w:pStyle w:val="Heading4"/>
        <w:spacing w:line="408" w:lineRule="auto" w:before="54"/>
        <w:ind w:right="0"/>
        <w:jc w:val="left"/>
      </w:pPr>
      <w:r>
        <w:rPr/>
        <w:t>三、载有会计师事务所盖章、注册会计师签名并盖章的审计报告原件。</w:t>
      </w:r>
      <w:r>
        <w:rPr>
          <w:w w:val="100"/>
        </w:rPr>
        <w:t> </w:t>
      </w:r>
      <w:r>
        <w:rPr>
          <w:spacing w:val="-2"/>
        </w:rPr>
        <w:t>四、报告期内在中国证监会指定网站上公开披露过的所有公司文件的正本及公告的原稿。</w:t>
      </w:r>
      <w:r>
        <w:rPr>
          <w:spacing w:val="-31"/>
        </w:rPr>
        <w:t> </w:t>
      </w:r>
      <w:r>
        <w:rPr>
          <w:spacing w:val="-31"/>
        </w:rPr>
      </w:r>
      <w:r>
        <w:rPr/>
        <w:t>五、其他有关资料。</w:t>
      </w:r>
    </w:p>
    <w:p>
      <w:pPr>
        <w:pStyle w:val="Heading4"/>
        <w:spacing w:line="240" w:lineRule="auto" w:before="46"/>
        <w:ind w:right="0"/>
        <w:jc w:val="left"/>
      </w:pPr>
      <w:r>
        <w:rPr/>
        <w:t>以上备查文件的备置地点：公司董事会办公室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3"/>
        <w:spacing w:line="240" w:lineRule="auto"/>
        <w:ind w:left="6547" w:right="0"/>
        <w:jc w:val="left"/>
        <w:rPr>
          <w:b w:val="0"/>
          <w:bCs w:val="0"/>
        </w:rPr>
      </w:pPr>
      <w:r>
        <w:rPr/>
        <w:t>广东安居宝数码科技股份有限公司</w:t>
      </w:r>
      <w:r>
        <w:rPr>
          <w:b w:val="0"/>
          <w:bCs w:val="0"/>
        </w:rPr>
      </w:r>
    </w:p>
    <w:p>
      <w:pPr>
        <w:spacing w:line="240" w:lineRule="auto" w:before="10"/>
        <w:rPr>
          <w:rFonts w:ascii="宋体" w:hAnsi="宋体" w:cs="宋体" w:eastAsia="宋体" w:hint="default"/>
          <w:b/>
          <w:bCs/>
          <w:sz w:val="14"/>
          <w:szCs w:val="14"/>
        </w:rPr>
      </w:pPr>
    </w:p>
    <w:p>
      <w:pPr>
        <w:pStyle w:val="Heading3"/>
        <w:spacing w:line="240" w:lineRule="auto"/>
        <w:ind w:left="0" w:right="754"/>
        <w:jc w:val="right"/>
        <w:rPr>
          <w:b w:val="0"/>
          <w:bCs w:val="0"/>
        </w:rPr>
      </w:pPr>
      <w:r>
        <w:rPr/>
        <w:t>法定代表人：张波</w:t>
      </w:r>
      <w:r>
        <w:rPr>
          <w:b w:val="0"/>
          <w:bCs w:val="0"/>
        </w:rPr>
      </w:r>
    </w:p>
    <w:p>
      <w:pPr>
        <w:spacing w:line="240" w:lineRule="auto" w:before="10"/>
        <w:rPr>
          <w:rFonts w:ascii="宋体" w:hAnsi="宋体" w:cs="宋体" w:eastAsia="宋体" w:hint="default"/>
          <w:b/>
          <w:bCs/>
          <w:sz w:val="14"/>
          <w:szCs w:val="14"/>
        </w:rPr>
      </w:pPr>
    </w:p>
    <w:p>
      <w:pPr>
        <w:pStyle w:val="Heading3"/>
        <w:spacing w:line="240" w:lineRule="auto"/>
        <w:ind w:left="0" w:right="895"/>
        <w:jc w:val="right"/>
        <w:rPr>
          <w:b w:val="0"/>
          <w:bCs w:val="0"/>
        </w:rPr>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23</w:t>
      </w:r>
      <w:r>
        <w:rPr>
          <w:spacing w:val="-1"/>
        </w:rPr>
        <w:t>日</w:t>
      </w:r>
      <w:r>
        <w:rPr>
          <w:b w:val="0"/>
          <w:bCs w:val="0"/>
          <w:spacing w:val="-1"/>
        </w:rPr>
      </w:r>
    </w:p>
    <w:sectPr>
      <w:pgSz w:w="11910" w:h="16840"/>
      <w:pgMar w:header="0" w:footer="1227" w:top="1060" w:bottom="142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69995pt;margin-top:769.573914pt;width:8.5pt;height:11pt;mso-position-horizontal-relative:page;mso-position-vertical-relative:page;z-index:-7602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9.573914pt;width:13.15pt;height:11pt;mso-position-horizontal-relative:page;mso-position-vertical-relative:page;z-index:-7599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51</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9.573914pt;width:13.15pt;height:11pt;mso-position-horizontal-relative:page;mso-position-vertical-relative:page;z-index:-7599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63</w:t>
                </w:r>
                <w:r>
                  <w:rPr/>
                  <w:fldChar w:fldCharType="end"/>
                </w:r>
                <w:r>
                  <w:rPr>
                    <w:rFonts w:ascii="Times New Roman"/>
                    <w:spacing w:val="1"/>
                  </w:rPr>
                </w:r>
                <w:r>
                  <w:rPr>
                    <w:rFonts w:ascii="Times New Roman"/>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012pt;margin-top:522.973938pt;width:13.15pt;height:11pt;mso-position-horizontal-relative:page;mso-position-vertical-relative:page;z-index:-7598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71</w:t>
                </w:r>
                <w:r>
                  <w:rPr/>
                  <w:fldChar w:fldCharType="end"/>
                </w:r>
                <w:r>
                  <w:rPr>
                    <w:rFonts w:ascii="Times New Roman"/>
                    <w:spacing w:val="1"/>
                  </w:rPr>
                </w:r>
                <w:r>
                  <w:rPr>
                    <w:rFonts w:ascii="Times New Roman"/>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9.573914pt;width:13.15pt;height:11pt;mso-position-horizontal-relative:page;mso-position-vertical-relative:page;z-index:-7597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78</w:t>
                </w:r>
                <w:r>
                  <w:rPr/>
                  <w:fldChar w:fldCharType="end"/>
                </w:r>
                <w:r>
                  <w:rPr>
                    <w:rFonts w:ascii="Times New Roman"/>
                    <w:spacing w:val="1"/>
                  </w:rPr>
                </w:r>
                <w:r>
                  <w:rPr>
                    <w:rFonts w:ascii="Times New Roman"/>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9.573914pt;width:13.15pt;height:11pt;mso-position-horizontal-relative:page;mso-position-vertical-relative:page;z-index:-7597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84</w:t>
                </w:r>
                <w:r>
                  <w:rPr/>
                  <w:fldChar w:fldCharType="end"/>
                </w:r>
                <w:r>
                  <w:rPr>
                    <w:rFonts w:ascii="Times New Roman"/>
                    <w:spacing w:val="1"/>
                  </w:rPr>
                </w:r>
                <w:r>
                  <w:rPr>
                    <w:rFonts w:ascii="Times New Roman"/>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69.573914pt;width:15.7pt;height:11pt;mso-position-horizontal-relative:page;mso-position-vertical-relative:page;z-index:-7597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69.573914pt;width:17.7pt;height:11pt;mso-position-horizontal-relative:page;mso-position-vertical-relative:page;z-index:-7597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69.573914pt;width:17.3pt;height:11pt;mso-position-horizontal-relative:page;mso-position-vertical-relative:page;z-index:-7596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69.573914pt;width:17.3pt;height:11pt;mso-position-horizontal-relative:page;mso-position-vertical-relative:page;z-index:-7596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69.573914pt;width:17.7pt;height:11pt;mso-position-horizontal-relative:page;mso-position-vertical-relative:page;z-index:-7596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9.573914pt;width:13.15pt;height:11pt;mso-position-horizontal-relative:page;mso-position-vertical-relative:page;z-index:-7602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012pt;margin-top:522.973938pt;width:13.15pt;height:11pt;mso-position-horizontal-relative:page;mso-position-vertical-relative:page;z-index:-7601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24</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9.573914pt;width:13.15pt;height:11pt;mso-position-horizontal-relative:page;mso-position-vertical-relative:page;z-index:-7600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28</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012pt;margin-top:522.973938pt;width:13.15pt;height:11pt;mso-position-horizontal-relative:page;mso-position-vertical-relative:page;z-index:-7600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9.573914pt;width:13.15pt;height:11pt;mso-position-horizontal-relative:page;mso-position-vertical-relative:page;z-index:-7599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43</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9.573914pt;width:13.15pt;height:11pt;mso-position-horizontal-relative:page;mso-position-vertical-relative:page;z-index:-7599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44</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76028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26.070007pt;margin-top:42.865608pt;width:213.75pt;height:11.5pt;mso-position-horizontal-relative:page;mso-position-vertical-relative:page;z-index:-760264"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29993pt;margin-top:42.865631pt;width:213.75pt;height:11.5pt;mso-position-horizontal-relative:page;mso-position-vertical-relative:page;z-index:-760192"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76014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760120"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29993pt;margin-top:42.865631pt;width:213.75pt;height:11.5pt;mso-position-horizontal-relative:page;mso-position-vertical-relative:page;z-index:-760072"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76002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760000"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29993pt;margin-top:42.865631pt;width:213.75pt;height:11.5pt;mso-position-horizontal-relative:page;mso-position-vertical-relative:page;z-index:-759880"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75983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759808"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3"/>
      <w:ind w:left="152"/>
    </w:pPr>
    <w:rPr>
      <w:rFonts w:ascii="宋体" w:hAnsi="宋体" w:eastAsia="宋体"/>
      <w:sz w:val="18"/>
      <w:szCs w:val="1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24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152"/>
      <w:outlineLvl w:val="4"/>
    </w:pPr>
    <w:rPr>
      <w:rFonts w:ascii="宋体" w:hAnsi="宋体" w:eastAsia="宋体"/>
      <w:sz w:val="21"/>
      <w:szCs w:val="21"/>
    </w:rPr>
  </w:style>
  <w:style w:styleId="Heading5" w:type="paragraph">
    <w:name w:val="Heading 5"/>
    <w:basedOn w:val="Normal"/>
    <w:uiPriority w:val="1"/>
    <w:qFormat/>
    <w:pPr>
      <w:ind w:left="152"/>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anjubao.com/" TargetMode="External"/><Relationship Id="rId9" Type="http://schemas.openxmlformats.org/officeDocument/2006/relationships/hyperlink" Target="mailto:anjubao@anjubao.net" TargetMode="External"/><Relationship Id="rId10" Type="http://schemas.openxmlformats.org/officeDocument/2006/relationships/hyperlink" Target="mailto:huangwn@anjubao.net" TargetMode="External"/><Relationship Id="rId11" Type="http://schemas.openxmlformats.org/officeDocument/2006/relationships/hyperlink" Target="mailto:weiming_l@anjubao.net" TargetMode="External"/><Relationship Id="rId12" Type="http://schemas.openxmlformats.org/officeDocument/2006/relationships/hyperlink" Target="http://www.cninfo.com.cn/"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hyperlink" Target="file://localhost/D:/u23433" TargetMode="External"/><Relationship Id="rId17" Type="http://schemas.openxmlformats.org/officeDocument/2006/relationships/header" Target="header3.xml"/><Relationship Id="rId18" Type="http://schemas.openxmlformats.org/officeDocument/2006/relationships/footer" Target="footer4.xml"/><Relationship Id="rId19" Type="http://schemas.openxmlformats.org/officeDocument/2006/relationships/header" Target="header4.xml"/><Relationship Id="rId20" Type="http://schemas.openxmlformats.org/officeDocument/2006/relationships/footer" Target="footer5.xml"/><Relationship Id="rId21" Type="http://schemas.openxmlformats.org/officeDocument/2006/relationships/header" Target="header5.xml"/><Relationship Id="rId22" Type="http://schemas.openxmlformats.org/officeDocument/2006/relationships/footer" Target="footer6.xml"/><Relationship Id="rId23" Type="http://schemas.openxmlformats.org/officeDocument/2006/relationships/header" Target="header6.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image" Target="media/image2.jpeg"/><Relationship Id="rId27" Type="http://schemas.openxmlformats.org/officeDocument/2006/relationships/header" Target="header7.xml"/><Relationship Id="rId28" Type="http://schemas.openxmlformats.org/officeDocument/2006/relationships/footer" Target="footer9.xml"/><Relationship Id="rId29" Type="http://schemas.openxmlformats.org/officeDocument/2006/relationships/footer" Target="footer10.xml"/><Relationship Id="rId30" Type="http://schemas.openxmlformats.org/officeDocument/2006/relationships/footer" Target="footer11.xml"/><Relationship Id="rId31" Type="http://schemas.openxmlformats.org/officeDocument/2006/relationships/header" Target="header8.xml"/><Relationship Id="rId32" Type="http://schemas.openxmlformats.org/officeDocument/2006/relationships/footer" Target="footer12.xml"/><Relationship Id="rId33" Type="http://schemas.openxmlformats.org/officeDocument/2006/relationships/header" Target="header9.xml"/><Relationship Id="rId34" Type="http://schemas.openxmlformats.org/officeDocument/2006/relationships/footer" Target="footer13.xml"/><Relationship Id="rId35" Type="http://schemas.openxmlformats.org/officeDocument/2006/relationships/footer" Target="footer14.xml"/><Relationship Id="rId36" Type="http://schemas.openxmlformats.org/officeDocument/2006/relationships/footer" Target="footer15.xml"/><Relationship Id="rId37" Type="http://schemas.openxmlformats.org/officeDocument/2006/relationships/footer" Target="footer16.xml"/><Relationship Id="rId38" Type="http://schemas.openxmlformats.org/officeDocument/2006/relationships/footer" Target="footer17.xml"/><Relationship Id="rId39" Type="http://schemas.openxmlformats.org/officeDocument/2006/relationships/header" Target="header10.xml"/><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footer" Target="foot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2020-05-04T01:55:26Z</dcterms:created>
  <dcterms:modified xsi:type="dcterms:W3CDTF">2020-05-04T01:55:26Z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2013-04-22T00:00:00Z</vt:filetime>
  </property>
  <property fmtid="{D5CDD505-2E9C-101B-9397-08002B2CF9AE}" pid="3" name="Creator">
    <vt:lpwstr>Microsoft® Office Word 2007</vt:lpwstr>
  </property>
  <property fmtid="{D5CDD505-2E9C-101B-9397-08002B2CF9AE}" pid="4" name="LastSaved">
    <vt:filetime>2020-05-03T00:00:00Z</vt:filetime>
  </property>
</Properties>
</file>