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56.899994pt;margin-top:35.999985pt;width:90pt;height:10.300003pt;mso-position-horizontal-relative:page;mso-position-vertical-relative:page;z-index:0" type="#_x0000_t75" stroked="false">
            <v:imagedata r:id="rId7"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spacing w:line="539" w:lineRule="exact" w:before="0"/>
        <w:ind w:left="0" w:right="1" w:firstLine="0"/>
        <w:jc w:val="center"/>
        <w:rPr>
          <w:rFonts w:ascii="宋体" w:hAnsi="宋体" w:cs="宋体" w:eastAsia="宋体" w:hint="default"/>
          <w:sz w:val="44"/>
          <w:szCs w:val="44"/>
        </w:rPr>
      </w:pPr>
      <w:r>
        <w:rPr/>
        <w:pict>
          <v:group style="position:absolute;margin-left:55.200001pt;margin-top:-89.908127pt;width:484.9pt;height:.1pt;mso-position-horizontal-relative:page;mso-position-vertical-relative:paragraph;z-index:1048" coordorigin="1104,-1798" coordsize="9698,2">
            <v:shape style="position:absolute;left:1104;top:-1798;width:9698;height:2" coordorigin="1104,-1798" coordsize="9698,0" path="m1104,-1798l10802,-1798e" filled="false" stroked="true" strokeweight=".72pt" strokecolor="#000000">
              <v:path arrowok="t"/>
            </v:shape>
            <w10:wrap type="none"/>
          </v:group>
        </w:pict>
      </w:r>
      <w:r>
        <w:rPr>
          <w:rFonts w:ascii="宋体" w:hAnsi="宋体" w:cs="宋体" w:eastAsia="宋体" w:hint="default"/>
          <w:b/>
          <w:bCs/>
          <w:sz w:val="44"/>
          <w:szCs w:val="44"/>
        </w:rPr>
        <w:t>北京东方国信科技股份有限公司</w:t>
      </w:r>
      <w:r>
        <w:rPr>
          <w:rFonts w:ascii="宋体" w:hAnsi="宋体" w:cs="宋体" w:eastAsia="宋体" w:hint="default"/>
          <w:sz w:val="44"/>
          <w:szCs w:val="44"/>
        </w:rPr>
      </w:r>
    </w:p>
    <w:p>
      <w:pPr>
        <w:spacing w:before="394"/>
        <w:ind w:left="0" w:right="4"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2012</w:t>
      </w:r>
      <w:r>
        <w:rPr>
          <w:rFonts w:ascii="Times New Roman" w:hAnsi="Times New Roman" w:cs="Times New Roman" w:eastAsia="Times New Roman" w:hint="default"/>
          <w:b/>
          <w:bCs/>
          <w:spacing w:val="-6"/>
          <w:sz w:val="44"/>
          <w:szCs w:val="44"/>
        </w:rPr>
        <w:t> </w:t>
      </w:r>
      <w:r>
        <w:rPr>
          <w:rFonts w:ascii="宋体" w:hAnsi="宋体" w:cs="宋体" w:eastAsia="宋体" w:hint="default"/>
          <w:b/>
          <w:bCs/>
          <w:sz w:val="44"/>
          <w:szCs w:val="44"/>
        </w:rPr>
        <w:t>年度报告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line="915" w:lineRule="exact"/>
        <w:ind w:left="1435" w:right="0" w:firstLine="0"/>
        <w:rPr>
          <w:rFonts w:ascii="宋体" w:hAnsi="宋体" w:cs="宋体" w:eastAsia="宋体" w:hint="default"/>
          <w:sz w:val="20"/>
          <w:szCs w:val="20"/>
        </w:rPr>
      </w:pPr>
      <w:r>
        <w:rPr>
          <w:rFonts w:ascii="宋体" w:hAnsi="宋体" w:cs="宋体" w:eastAsia="宋体" w:hint="default"/>
          <w:position w:val="-17"/>
          <w:sz w:val="20"/>
          <w:szCs w:val="20"/>
        </w:rPr>
        <w:drawing>
          <wp:inline distT="0" distB="0" distL="0" distR="0">
            <wp:extent cx="4782185" cy="5810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8" cstate="print"/>
                    <a:stretch>
                      <a:fillRect/>
                    </a:stretch>
                  </pic:blipFill>
                  <pic:spPr>
                    <a:xfrm>
                      <a:off x="0" y="0"/>
                      <a:ext cx="4782185" cy="581025"/>
                    </a:xfrm>
                    <a:prstGeom prst="rect">
                      <a:avLst/>
                    </a:prstGeom>
                  </pic:spPr>
                </pic:pic>
              </a:graphicData>
            </a:graphic>
          </wp:inline>
        </w:drawing>
      </w:r>
      <w:r>
        <w:rPr>
          <w:rFonts w:ascii="宋体" w:hAnsi="宋体" w:cs="宋体" w:eastAsia="宋体" w:hint="default"/>
          <w:position w:val="-17"/>
          <w:sz w:val="20"/>
          <w:szCs w:val="20"/>
        </w:rPr>
      </w:r>
    </w:p>
    <w:p>
      <w:pPr>
        <w:spacing w:line="240" w:lineRule="auto" w:before="6"/>
        <w:rPr>
          <w:rFonts w:ascii="宋体" w:hAnsi="宋体" w:cs="宋体" w:eastAsia="宋体" w:hint="default"/>
          <w:b/>
          <w:bCs/>
          <w:sz w:val="58"/>
          <w:szCs w:val="58"/>
        </w:rPr>
      </w:pPr>
    </w:p>
    <w:p>
      <w:pPr>
        <w:spacing w:before="0"/>
        <w:ind w:left="6461" w:right="0" w:firstLine="0"/>
        <w:jc w:val="left"/>
        <w:rPr>
          <w:rFonts w:ascii="方正姚体" w:hAnsi="方正姚体" w:cs="方正姚体" w:eastAsia="方正姚体" w:hint="default"/>
          <w:sz w:val="28"/>
          <w:szCs w:val="28"/>
        </w:rPr>
      </w:pPr>
      <w:r>
        <w:rPr>
          <w:rFonts w:ascii="Times New Roman" w:hAnsi="Times New Roman" w:cs="Times New Roman" w:eastAsia="Times New Roman" w:hint="default"/>
          <w:b/>
          <w:bCs/>
          <w:sz w:val="32"/>
          <w:szCs w:val="32"/>
        </w:rPr>
        <w:t>—</w:t>
      </w:r>
      <w:r>
        <w:rPr>
          <w:rFonts w:ascii="方正姚体" w:hAnsi="方正姚体" w:cs="方正姚体" w:eastAsia="方正姚体" w:hint="default"/>
          <w:b/>
          <w:bCs/>
          <w:sz w:val="28"/>
          <w:szCs w:val="28"/>
        </w:rPr>
        <w:t>让数据改变工作与生活</w:t>
      </w:r>
      <w:r>
        <w:rPr>
          <w:rFonts w:ascii="方正姚体" w:hAnsi="方正姚体" w:cs="方正姚体" w:eastAsia="方正姚体" w:hint="default"/>
          <w:sz w:val="28"/>
          <w:szCs w:val="28"/>
        </w:rPr>
      </w:r>
    </w:p>
    <w:p>
      <w:pPr>
        <w:spacing w:line="240" w:lineRule="auto" w:before="0"/>
        <w:rPr>
          <w:rFonts w:ascii="方正姚体" w:hAnsi="方正姚体" w:cs="方正姚体" w:eastAsia="方正姚体" w:hint="default"/>
          <w:b/>
          <w:bCs/>
          <w:sz w:val="32"/>
          <w:szCs w:val="32"/>
        </w:rPr>
      </w:pPr>
    </w:p>
    <w:p>
      <w:pPr>
        <w:spacing w:line="240" w:lineRule="auto" w:before="0"/>
        <w:rPr>
          <w:rFonts w:ascii="方正姚体" w:hAnsi="方正姚体" w:cs="方正姚体" w:eastAsia="方正姚体" w:hint="default"/>
          <w:b/>
          <w:bCs/>
          <w:sz w:val="32"/>
          <w:szCs w:val="32"/>
        </w:rPr>
      </w:pPr>
    </w:p>
    <w:p>
      <w:pPr>
        <w:spacing w:line="240" w:lineRule="auto" w:before="0"/>
        <w:rPr>
          <w:rFonts w:ascii="方正姚体" w:hAnsi="方正姚体" w:cs="方正姚体" w:eastAsia="方正姚体" w:hint="default"/>
          <w:b/>
          <w:bCs/>
          <w:sz w:val="32"/>
          <w:szCs w:val="32"/>
        </w:rPr>
      </w:pPr>
    </w:p>
    <w:p>
      <w:pPr>
        <w:spacing w:line="240" w:lineRule="auto" w:before="0"/>
        <w:rPr>
          <w:rFonts w:ascii="方正姚体" w:hAnsi="方正姚体" w:cs="方正姚体" w:eastAsia="方正姚体" w:hint="default"/>
          <w:b/>
          <w:bCs/>
          <w:sz w:val="32"/>
          <w:szCs w:val="32"/>
        </w:rPr>
      </w:pPr>
    </w:p>
    <w:p>
      <w:pPr>
        <w:spacing w:line="240" w:lineRule="auto" w:before="0"/>
        <w:rPr>
          <w:rFonts w:ascii="方正姚体" w:hAnsi="方正姚体" w:cs="方正姚体" w:eastAsia="方正姚体" w:hint="default"/>
          <w:b/>
          <w:bCs/>
          <w:sz w:val="32"/>
          <w:szCs w:val="32"/>
        </w:rPr>
      </w:pPr>
    </w:p>
    <w:p>
      <w:pPr>
        <w:spacing w:line="240" w:lineRule="auto" w:before="0"/>
        <w:rPr>
          <w:rFonts w:ascii="方正姚体" w:hAnsi="方正姚体" w:cs="方正姚体" w:eastAsia="方正姚体" w:hint="default"/>
          <w:b/>
          <w:bCs/>
          <w:sz w:val="32"/>
          <w:szCs w:val="32"/>
        </w:rPr>
      </w:pPr>
    </w:p>
    <w:p>
      <w:pPr>
        <w:spacing w:line="240" w:lineRule="auto" w:before="0"/>
        <w:rPr>
          <w:rFonts w:ascii="方正姚体" w:hAnsi="方正姚体" w:cs="方正姚体" w:eastAsia="方正姚体" w:hint="default"/>
          <w:b/>
          <w:bCs/>
          <w:sz w:val="32"/>
          <w:szCs w:val="32"/>
        </w:rPr>
      </w:pPr>
    </w:p>
    <w:p>
      <w:pPr>
        <w:spacing w:line="240" w:lineRule="auto" w:before="0"/>
        <w:rPr>
          <w:rFonts w:ascii="方正姚体" w:hAnsi="方正姚体" w:cs="方正姚体" w:eastAsia="方正姚体" w:hint="default"/>
          <w:b/>
          <w:bCs/>
          <w:sz w:val="32"/>
          <w:szCs w:val="32"/>
        </w:rPr>
      </w:pPr>
    </w:p>
    <w:p>
      <w:pPr>
        <w:spacing w:line="240" w:lineRule="auto" w:before="0"/>
        <w:rPr>
          <w:rFonts w:ascii="方正姚体" w:hAnsi="方正姚体" w:cs="方正姚体" w:eastAsia="方正姚体" w:hint="default"/>
          <w:b/>
          <w:bCs/>
          <w:sz w:val="32"/>
          <w:szCs w:val="32"/>
        </w:rPr>
      </w:pPr>
    </w:p>
    <w:p>
      <w:pPr>
        <w:spacing w:line="240" w:lineRule="auto" w:before="15"/>
        <w:rPr>
          <w:rFonts w:ascii="方正姚体" w:hAnsi="方正姚体" w:cs="方正姚体" w:eastAsia="方正姚体" w:hint="default"/>
          <w:b/>
          <w:bCs/>
          <w:sz w:val="36"/>
          <w:szCs w:val="36"/>
        </w:rPr>
      </w:pPr>
    </w:p>
    <w:p>
      <w:pPr>
        <w:spacing w:before="0"/>
        <w:ind w:left="0" w:right="2" w:firstLine="0"/>
        <w:jc w:val="center"/>
        <w:rPr>
          <w:rFonts w:ascii="宋体" w:hAnsi="宋体" w:cs="宋体" w:eastAsia="宋体" w:hint="default"/>
          <w:sz w:val="36"/>
          <w:szCs w:val="36"/>
        </w:rPr>
      </w:pPr>
      <w:r>
        <w:rPr>
          <w:rFonts w:ascii="宋体" w:hAnsi="宋体" w:cs="宋体" w:eastAsia="宋体" w:hint="default"/>
          <w:b/>
          <w:bCs/>
          <w:sz w:val="36"/>
          <w:szCs w:val="36"/>
        </w:rPr>
        <w:t>二〇一三年四月</w:t>
      </w:r>
      <w:r>
        <w:rPr>
          <w:rFonts w:ascii="宋体" w:hAnsi="宋体" w:cs="宋体" w:eastAsia="宋体" w:hint="default"/>
          <w:sz w:val="36"/>
          <w:szCs w:val="36"/>
        </w:rPr>
      </w:r>
    </w:p>
    <w:p>
      <w:pPr>
        <w:spacing w:after="0"/>
        <w:jc w:val="center"/>
        <w:rPr>
          <w:rFonts w:ascii="宋体" w:hAnsi="宋体" w:cs="宋体" w:eastAsia="宋体" w:hint="default"/>
          <w:sz w:val="36"/>
          <w:szCs w:val="36"/>
        </w:rPr>
        <w:sectPr>
          <w:headerReference w:type="default" r:id="rId5"/>
          <w:footerReference w:type="default" r:id="rId6"/>
          <w:type w:val="continuous"/>
          <w:pgSz w:w="11910" w:h="16840"/>
          <w:pgMar w:header="772" w:footer="1006" w:top="1080" w:bottom="1200" w:left="980" w:right="980"/>
        </w:sectPr>
      </w:pPr>
    </w:p>
    <w:p>
      <w:pPr>
        <w:spacing w:line="240" w:lineRule="auto" w:before="11"/>
        <w:rPr>
          <w:rFonts w:ascii="宋体" w:hAnsi="宋体" w:cs="宋体" w:eastAsia="宋体" w:hint="default"/>
          <w:b/>
          <w:bCs/>
          <w:sz w:val="2"/>
          <w:szCs w:val="2"/>
        </w:rPr>
      </w:pPr>
      <w:r>
        <w:rPr/>
        <w:pict>
          <v:shape style="position:absolute;margin-left:56.899994pt;margin-top:42.599976pt;width:90pt;height:10.300003pt;mso-position-horizontal-relative:page;mso-position-vertical-relative:page;z-index:1096" type="#_x0000_t75" stroked="false">
            <v:imagedata r:id="rId8" o:titl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Heading1"/>
        <w:spacing w:line="240" w:lineRule="auto"/>
        <w:ind w:left="2803" w:right="0"/>
        <w:jc w:val="left"/>
        <w:rPr>
          <w:b w:val="0"/>
          <w:bCs w:val="0"/>
        </w:rPr>
      </w:pPr>
      <w:bookmarkStart w:name="_TOC_250009"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398" w:lineRule="auto" w:before="215"/>
        <w:ind w:left="152" w:right="153" w:firstLine="559"/>
        <w:jc w:val="both"/>
        <w:rPr>
          <w:rFonts w:ascii="宋体" w:hAnsi="宋体" w:cs="宋体" w:eastAsia="宋体" w:hint="default"/>
          <w:sz w:val="28"/>
          <w:szCs w:val="28"/>
        </w:rPr>
      </w:pPr>
      <w:r>
        <w:rPr>
          <w:rFonts w:ascii="Times New Roman" w:hAnsi="Times New Roman" w:cs="Times New Roman" w:eastAsia="Times New Roman" w:hint="default"/>
          <w:spacing w:val="-2"/>
          <w:sz w:val="28"/>
          <w:szCs w:val="28"/>
        </w:rPr>
        <w:t>1</w:t>
      </w:r>
      <w:r>
        <w:rPr>
          <w:rFonts w:ascii="宋体" w:hAnsi="宋体" w:cs="宋体" w:eastAsia="宋体" w:hint="default"/>
          <w:spacing w:val="-2"/>
          <w:sz w:val="28"/>
          <w:szCs w:val="28"/>
        </w:rPr>
        <w:t>、本公司董事会、监事会及董事、监事、高级管理人员保证本报告所载资</w:t>
      </w:r>
      <w:r>
        <w:rPr>
          <w:rFonts w:ascii="宋体" w:hAnsi="宋体" w:cs="宋体" w:eastAsia="宋体" w:hint="default"/>
          <w:w w:val="100"/>
          <w:sz w:val="28"/>
          <w:szCs w:val="28"/>
        </w:rPr>
        <w:t> </w:t>
      </w:r>
      <w:r>
        <w:rPr>
          <w:rFonts w:ascii="宋体" w:hAnsi="宋体" w:cs="宋体" w:eastAsia="宋体" w:hint="default"/>
          <w:spacing w:val="2"/>
          <w:sz w:val="28"/>
          <w:szCs w:val="28"/>
        </w:rPr>
        <w:t>料不存在任何虚假记载、误导性陈述或者重大遗漏，并对其内容的真实性、准</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确性和完整性承担个别及连带责任。</w:t>
      </w:r>
    </w:p>
    <w:p>
      <w:pPr>
        <w:spacing w:before="173"/>
        <w:ind w:left="712"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、所有董事均已出席了审议本报告的董事会会议。</w:t>
      </w:r>
    </w:p>
    <w:p>
      <w:pPr>
        <w:spacing w:line="240" w:lineRule="auto" w:before="11"/>
        <w:rPr>
          <w:rFonts w:ascii="宋体" w:hAnsi="宋体" w:cs="宋体" w:eastAsia="宋体" w:hint="default"/>
          <w:sz w:val="25"/>
          <w:szCs w:val="25"/>
        </w:rPr>
      </w:pPr>
    </w:p>
    <w:p>
      <w:pPr>
        <w:spacing w:line="386" w:lineRule="auto" w:before="0"/>
        <w:ind w:left="152" w:right="153" w:firstLine="559"/>
        <w:jc w:val="both"/>
        <w:rPr>
          <w:rFonts w:ascii="宋体" w:hAnsi="宋体" w:cs="宋体" w:eastAsia="宋体" w:hint="default"/>
          <w:sz w:val="28"/>
          <w:szCs w:val="28"/>
        </w:rPr>
      </w:pPr>
      <w:r>
        <w:rPr>
          <w:rFonts w:ascii="Times New Roman" w:hAnsi="Times New Roman" w:cs="Times New Roman" w:eastAsia="Times New Roman" w:hint="default"/>
          <w:spacing w:val="-5"/>
          <w:sz w:val="28"/>
          <w:szCs w:val="28"/>
        </w:rPr>
        <w:t>3</w:t>
      </w:r>
      <w:r>
        <w:rPr>
          <w:rFonts w:ascii="宋体" w:hAnsi="宋体" w:cs="宋体" w:eastAsia="宋体" w:hint="default"/>
          <w:spacing w:val="-5"/>
          <w:sz w:val="28"/>
          <w:szCs w:val="28"/>
        </w:rPr>
        <w:t>、公司负责人管连平、主管会计工作负责人陈桂霞及会计机构负责人</w:t>
      </w:r>
      <w:r>
        <w:rPr>
          <w:rFonts w:ascii="Times New Roman" w:hAnsi="Times New Roman" w:cs="Times New Roman" w:eastAsia="Times New Roman" w:hint="default"/>
          <w:spacing w:val="-5"/>
          <w:sz w:val="28"/>
          <w:szCs w:val="28"/>
        </w:rPr>
        <w:t>(</w:t>
      </w:r>
      <w:r>
        <w:rPr>
          <w:rFonts w:ascii="宋体" w:hAnsi="宋体" w:cs="宋体" w:eastAsia="宋体" w:hint="default"/>
          <w:spacing w:val="-5"/>
          <w:sz w:val="28"/>
          <w:szCs w:val="28"/>
        </w:rPr>
        <w:t>会计</w:t>
      </w:r>
      <w:r>
        <w:rPr>
          <w:rFonts w:ascii="宋体" w:hAnsi="宋体" w:cs="宋体" w:eastAsia="宋体" w:hint="default"/>
          <w:spacing w:val="-3"/>
          <w:w w:val="100"/>
          <w:sz w:val="28"/>
          <w:szCs w:val="28"/>
        </w:rPr>
        <w:t> </w:t>
      </w:r>
      <w:r>
        <w:rPr>
          <w:rFonts w:ascii="宋体" w:hAnsi="宋体" w:cs="宋体" w:eastAsia="宋体" w:hint="default"/>
          <w:sz w:val="28"/>
          <w:szCs w:val="28"/>
        </w:rPr>
        <w:t>主管人员</w:t>
      </w:r>
      <w:r>
        <w:rPr>
          <w:rFonts w:ascii="Times New Roman" w:hAnsi="Times New Roman" w:cs="Times New Roman" w:eastAsia="Times New Roman" w:hint="default"/>
          <w:sz w:val="28"/>
          <w:szCs w:val="28"/>
        </w:rPr>
        <w:t>)</w:t>
      </w:r>
      <w:r>
        <w:rPr>
          <w:rFonts w:ascii="宋体" w:hAnsi="宋体" w:cs="宋体" w:eastAsia="宋体" w:hint="default"/>
          <w:sz w:val="28"/>
          <w:szCs w:val="28"/>
        </w:rPr>
        <w:t>姜海青声明：保证年度报告中财务报告的真实、准确、完整。</w:t>
      </w:r>
    </w:p>
    <w:p>
      <w:pPr>
        <w:spacing w:line="398" w:lineRule="auto" w:before="145"/>
        <w:ind w:left="152" w:right="153" w:firstLine="559"/>
        <w:jc w:val="both"/>
        <w:rPr>
          <w:rFonts w:ascii="宋体" w:hAnsi="宋体" w:cs="宋体" w:eastAsia="宋体" w:hint="default"/>
          <w:sz w:val="28"/>
          <w:szCs w:val="28"/>
        </w:rPr>
      </w:pPr>
      <w:r>
        <w:rPr>
          <w:rFonts w:ascii="Times New Roman" w:hAnsi="Times New Roman" w:cs="Times New Roman" w:eastAsia="Times New Roman" w:hint="default"/>
          <w:spacing w:val="-2"/>
          <w:sz w:val="28"/>
          <w:szCs w:val="28"/>
        </w:rPr>
        <w:t>4</w:t>
      </w:r>
      <w:r>
        <w:rPr>
          <w:rFonts w:ascii="宋体" w:hAnsi="宋体" w:cs="宋体" w:eastAsia="宋体" w:hint="default"/>
          <w:spacing w:val="-2"/>
          <w:sz w:val="28"/>
          <w:szCs w:val="28"/>
        </w:rPr>
        <w:t>、本报告中如有涉及未来的计划、业绩预测等方面的内容，均不构成本公</w:t>
      </w:r>
      <w:r>
        <w:rPr>
          <w:rFonts w:ascii="宋体" w:hAnsi="宋体" w:cs="宋体" w:eastAsia="宋体" w:hint="default"/>
          <w:w w:val="100"/>
          <w:sz w:val="28"/>
          <w:szCs w:val="28"/>
        </w:rPr>
        <w:t> </w:t>
      </w:r>
      <w:r>
        <w:rPr>
          <w:rFonts w:ascii="宋体" w:hAnsi="宋体" w:cs="宋体" w:eastAsia="宋体" w:hint="default"/>
          <w:spacing w:val="2"/>
          <w:sz w:val="28"/>
          <w:szCs w:val="28"/>
        </w:rPr>
        <w:t>司对任何投资者及相关人士的承诺，投资者及相关人士均应对此保持足够的风</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险认识，并且应当理解计划、预测与承诺之间的差异。</w:t>
      </w:r>
    </w:p>
    <w:p>
      <w:pPr>
        <w:spacing w:after="0" w:line="398" w:lineRule="auto"/>
        <w:jc w:val="both"/>
        <w:rPr>
          <w:rFonts w:ascii="宋体" w:hAnsi="宋体" w:cs="宋体" w:eastAsia="宋体" w:hint="default"/>
          <w:sz w:val="28"/>
          <w:szCs w:val="28"/>
        </w:rPr>
        <w:sectPr>
          <w:footerReference w:type="default" r:id="rId9"/>
          <w:pgSz w:w="11910" w:h="16840"/>
          <w:pgMar w:footer="1006" w:header="772" w:top="1080" w:bottom="1200" w:left="980" w:right="980"/>
          <w:pgNumType w:start="2"/>
        </w:sectPr>
      </w:pPr>
    </w:p>
    <w:p>
      <w:pPr>
        <w:spacing w:line="240" w:lineRule="auto" w:before="11"/>
        <w:rPr>
          <w:rFonts w:ascii="宋体" w:hAnsi="宋体" w:cs="宋体" w:eastAsia="宋体" w:hint="default"/>
          <w:sz w:val="2"/>
          <w:szCs w:val="2"/>
        </w:rPr>
      </w:pPr>
      <w:r>
        <w:rPr/>
        <w:pict>
          <v:shape style="position:absolute;margin-left:56.899994pt;margin-top:42.599976pt;width:90pt;height:10.300003pt;mso-position-horizontal-relative:page;mso-position-vertical-relative:page;z-index:1144" type="#_x0000_t75" stroked="false">
            <v:imagedata r:id="rId8" o:titl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tabs>
          <w:tab w:pos="724"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4" w:val="right" w:leader="dot"/>
            </w:tabs>
            <w:spacing w:line="240" w:lineRule="auto" w:before="695"/>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TOC_250008">
            <w:r>
              <w:rPr/>
              <w:t>第二节</w:t>
            </w:r>
            <w:r>
              <w:rPr>
                <w:spacing w:val="-1"/>
              </w:rPr>
              <w:t> </w:t>
            </w:r>
            <w:r>
              <w:rPr/>
              <w:t>公司基本情况简介</w:t>
            </w:r>
            <w:r>
              <w:rPr>
                <w:rFonts w:ascii="Times New Roman" w:hAnsi="Times New Roman" w:cs="Times New Roman" w:eastAsia="Times New Roman" w:hint="default"/>
              </w:rPr>
              <w:tab/>
              <w:t>7</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TOC_250007">
            <w:r>
              <w:rPr/>
              <w:t>第三节</w:t>
            </w:r>
            <w:r>
              <w:rPr>
                <w:spacing w:val="-1"/>
              </w:rPr>
              <w:t> </w:t>
            </w:r>
            <w:r>
              <w:rPr/>
              <w:t>会计数据和财务指标摘要</w:t>
            </w:r>
            <w:r>
              <w:rPr>
                <w:rFonts w:ascii="Times New Roman" w:hAnsi="Times New Roman" w:cs="Times New Roman" w:eastAsia="Times New Roman" w:hint="default"/>
              </w:rPr>
              <w:tab/>
              <w:t>9</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6">
            <w:r>
              <w:rPr/>
              <w:t>第四节</w:t>
            </w:r>
            <w:r>
              <w:rPr>
                <w:spacing w:val="-1"/>
              </w:rPr>
              <w:t> </w:t>
            </w:r>
            <w:r>
              <w:rPr/>
              <w:t>董事会报告</w:t>
            </w:r>
            <w:r>
              <w:rPr>
                <w:rFonts w:ascii="Times New Roman" w:hAnsi="Times New Roman" w:cs="Times New Roman" w:eastAsia="Times New Roman" w:hint="default"/>
              </w:rPr>
              <w:tab/>
              <w:t>13</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5">
            <w:r>
              <w:rPr/>
              <w:t>第五节</w:t>
            </w:r>
            <w:r>
              <w:rPr>
                <w:spacing w:val="-1"/>
              </w:rPr>
              <w:t> </w:t>
            </w:r>
            <w:r>
              <w:rPr/>
              <w:t>重要事项</w:t>
            </w:r>
            <w:r>
              <w:rPr>
                <w:rFonts w:ascii="Times New Roman" w:hAnsi="Times New Roman" w:cs="Times New Roman" w:eastAsia="Times New Roman" w:hint="default"/>
              </w:rPr>
              <w:tab/>
              <w:t>38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t>51</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t>58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2">
            <w:r>
              <w:rPr/>
              <w:t>第八节</w:t>
            </w:r>
            <w:r>
              <w:rPr>
                <w:spacing w:val="-1"/>
              </w:rPr>
              <w:t> </w:t>
            </w:r>
            <w:r>
              <w:rPr/>
              <w:t>公司治理</w:t>
            </w:r>
            <w:r>
              <w:rPr>
                <w:rFonts w:ascii="Times New Roman" w:hAnsi="Times New Roman" w:cs="Times New Roman" w:eastAsia="Times New Roman" w:hint="default"/>
              </w:rPr>
              <w:tab/>
              <w:t>65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1">
            <w:r>
              <w:rPr/>
              <w:t>第九节</w:t>
            </w:r>
            <w:r>
              <w:rPr>
                <w:spacing w:val="-1"/>
              </w:rPr>
              <w:t> </w:t>
            </w:r>
            <w:r>
              <w:rPr/>
              <w:t>财务报告</w:t>
            </w:r>
            <w:r>
              <w:rPr>
                <w:rFonts w:ascii="Times New Roman" w:hAnsi="Times New Roman" w:cs="Times New Roman" w:eastAsia="Times New Roman" w:hint="default"/>
              </w:rPr>
              <w:tab/>
              <w:t>69</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TOC_250000">
            <w:r>
              <w:rPr/>
              <w:t>第十节</w:t>
            </w:r>
            <w:r>
              <w:rPr>
                <w:spacing w:val="-1"/>
              </w:rPr>
              <w:t> </w:t>
            </w:r>
            <w:r>
              <w:rPr/>
              <w:t>备查文件目录</w:t>
            </w:r>
            <w:r>
              <w:rPr>
                <w:rFonts w:ascii="Times New Roman" w:hAnsi="Times New Roman" w:cs="Times New Roman" w:eastAsia="Times New Roman" w:hint="default"/>
              </w:rPr>
              <w:tab/>
              <w:t>172</w:t>
            </w:r>
          </w:hyperlink>
        </w:p>
        <w:p>
          <w:pPr/>
          <w:r>
            <w:fldChar w:fldCharType="end"/>
          </w:r>
        </w:p>
      </w:sdtContent>
    </w:sdt>
    <w:p>
      <w:pPr>
        <w:spacing w:after="0"/>
        <w:sectPr>
          <w:pgSz w:w="11910" w:h="16840"/>
          <w:pgMar w:header="772" w:footer="1006" w:top="1080" w:bottom="1200" w:left="980" w:right="980"/>
        </w:sectPr>
      </w:pPr>
    </w:p>
    <w:p>
      <w:pPr>
        <w:tabs>
          <w:tab w:pos="724" w:val="left" w:leader="none"/>
        </w:tabs>
        <w:spacing w:before="689"/>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释</w:t>
        <w:tab/>
      </w:r>
      <w:r>
        <w:rPr>
          <w:rFonts w:ascii="宋体" w:hAnsi="宋体" w:cs="宋体" w:eastAsia="宋体" w:hint="default"/>
          <w:b/>
          <w:bCs/>
          <w:sz w:val="36"/>
          <w:szCs w:val="36"/>
        </w:rPr>
        <w:t>义</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3539"/>
        <w:gridCol w:w="596"/>
        <w:gridCol w:w="5436"/>
      </w:tblGrid>
      <w:tr>
        <w:trPr>
          <w:trHeight w:val="403" w:hRule="exact"/>
        </w:trPr>
        <w:tc>
          <w:tcPr>
            <w:tcW w:w="3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中国证券业监督管理委员会</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北京市科委</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公司、本公司、母公司</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w:t>
            </w:r>
          </w:p>
        </w:tc>
      </w:tr>
      <w:tr>
        <w:trPr>
          <w:trHeight w:val="404"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公司股票在深圳证券交易所挂牌交易</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本次公开发行的每股面值人民币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元的人民币普通股</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招股说明书</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北京东方国信科技股份有限公司首次公开发行股票招股说明书</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报告期、本年度</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保荐人</w:t>
            </w:r>
            <w:r>
              <w:rPr>
                <w:rFonts w:ascii="Times New Roman" w:hAnsi="Times New Roman" w:cs="Times New Roman" w:eastAsia="Times New Roman" w:hint="default"/>
                <w:sz w:val="18"/>
                <w:szCs w:val="18"/>
              </w:rPr>
              <w:t>(</w:t>
            </w:r>
            <w:r>
              <w:rPr>
                <w:rFonts w:ascii="宋体" w:hAnsi="宋体" w:cs="宋体" w:eastAsia="宋体" w:hint="default"/>
                <w:sz w:val="18"/>
                <w:szCs w:val="18"/>
              </w:rPr>
              <w:t>主承销商</w:t>
            </w:r>
            <w:r>
              <w:rPr>
                <w:rFonts w:ascii="Times New Roman" w:hAnsi="Times New Roman" w:cs="Times New Roman" w:eastAsia="Times New Roman" w:hint="default"/>
                <w:sz w:val="18"/>
                <w:szCs w:val="18"/>
              </w:rPr>
              <w:t>)</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北京兴华会计师事务所有限责任公司</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北京东方国信科技股份有限公司股东大会</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北京东方国信科技股份有限公司董事会</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北京东方国信科技股份有限公司监事会</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东方国信有限</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北京东方国信电子有限公司，本公司前身</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仁邦翰威</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北京仁邦翰威投资咨询有限公司</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仁邦时代</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北京仁邦时代投资咨询有限公司</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东华信通</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北京东华信通信息技术有限公司</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国信天津、天津子公司</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东方国信（天津）科技有限公司</w:t>
            </w:r>
          </w:p>
        </w:tc>
      </w:tr>
      <w:tr>
        <w:trPr>
          <w:trHeight w:val="404"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国信吉林、吉林子公司</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吉林省东方国信科技有限公司</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国信成都、四川子公司</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成都东方国信科技有限公司</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国信新世纪、北京子公司</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北京国信新世纪科技有限公司</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微软</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Microsoft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，全球最大的计算机软件提供商</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IBM</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国际商业机器公司，全球领先的信息技术和业务解决方案提供商</w:t>
            </w:r>
          </w:p>
        </w:tc>
      </w:tr>
      <w:tr>
        <w:trPr>
          <w:trHeight w:val="40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Oracle</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美国 </w:t>
            </w:r>
            <w:r>
              <w:rPr>
                <w:rFonts w:ascii="Times New Roman" w:hAnsi="Times New Roman" w:cs="Times New Roman" w:eastAsia="Times New Roman" w:hint="default"/>
                <w:sz w:val="18"/>
                <w:szCs w:val="18"/>
              </w:rPr>
              <w:t>Oracle</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公司，全球领先的信息管理软件及服务提供商</w:t>
            </w:r>
          </w:p>
        </w:tc>
      </w:tr>
      <w:tr>
        <w:trPr>
          <w:trHeight w:val="40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SAP</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公司，总部位于德国，全球领先的企业管理软件提供商</w:t>
            </w:r>
          </w:p>
        </w:tc>
      </w:tr>
    </w:tbl>
    <w:p>
      <w:pPr>
        <w:spacing w:after="0" w:line="240" w:lineRule="auto"/>
        <w:jc w:val="left"/>
        <w:rPr>
          <w:rFonts w:ascii="宋体" w:hAnsi="宋体" w:cs="宋体" w:eastAsia="宋体" w:hint="default"/>
          <w:sz w:val="18"/>
          <w:szCs w:val="18"/>
        </w:rPr>
        <w:sectPr>
          <w:pgSz w:w="11910" w:h="16840"/>
          <w:pgMar w:header="772" w:footer="1006" w:top="1080" w:bottom="1200" w:left="980" w:right="980"/>
        </w:sectPr>
      </w:pPr>
    </w:p>
    <w:p>
      <w:pPr>
        <w:spacing w:line="240" w:lineRule="auto" w:before="0"/>
        <w:rPr>
          <w:rFonts w:ascii="宋体" w:hAnsi="宋体" w:cs="宋体" w:eastAsia="宋体" w:hint="default"/>
          <w:b/>
          <w:bCs/>
          <w:sz w:val="20"/>
          <w:szCs w:val="20"/>
        </w:rPr>
      </w:pPr>
      <w:r>
        <w:rPr/>
        <w:pict>
          <v:shape style="position:absolute;margin-left:58.080002pt;margin-top:71.999985pt;width:479.3pt;height:687.6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7"/>
                    <w:gridCol w:w="619"/>
                    <w:gridCol w:w="5425"/>
                  </w:tblGrid>
                  <w:tr>
                    <w:trPr>
                      <w:trHeight w:val="71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二次开发</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为满足客户需要，在通用软件、平台的基础上，利用通用软件、平台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提供的应用程序编程接口进行的软件开发</w:t>
                        </w:r>
                      </w:p>
                    </w:tc>
                  </w:tr>
                  <w:tr>
                    <w:trPr>
                      <w:trHeight w:val="715"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工作流</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将工作流程中的具体工作单元组织在一起的逻辑和规则，在计算机中</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以恰当的模型进行表示并对其实施计算</w:t>
                        </w:r>
                      </w:p>
                    </w:tc>
                  </w:tr>
                  <w:tr>
                    <w:trPr>
                      <w:trHeight w:val="1025"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即席查询</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支持用户进行自由信息查询、获取的软件系统；即席查询一般提供语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义层、图形化界面，以使不具备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背景的用户能够设计自己的查询 需求</w:t>
                        </w:r>
                      </w:p>
                    </w:tc>
                  </w:tr>
                  <w:tr>
                    <w:trPr>
                      <w:trHeight w:val="1027"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
                          <w:jc w:val="both"/>
                          <w:rPr>
                            <w:rFonts w:ascii="宋体" w:hAnsi="宋体" w:cs="宋体" w:eastAsia="宋体" w:hint="default"/>
                            <w:sz w:val="18"/>
                            <w:szCs w:val="18"/>
                          </w:rPr>
                        </w:pPr>
                        <w:r>
                          <w:rPr>
                            <w:rFonts w:ascii="宋体" w:hAnsi="宋体" w:cs="宋体" w:eastAsia="宋体" w:hint="default"/>
                            <w:spacing w:val="-2"/>
                            <w:sz w:val="18"/>
                            <w:szCs w:val="18"/>
                          </w:rPr>
                          <w:t>为解决企业运营、信息化建设中某一方面的问题而提供的方案，包括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整体路线、功能架构、技术架构、产品组合、应用设计、定制开发、 部署方案等</w:t>
                        </w:r>
                      </w:p>
                    </w:tc>
                  </w:tr>
                  <w:tr>
                    <w:trPr>
                      <w:trHeight w:val="71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经营分析系统</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
                          <w:jc w:val="left"/>
                          <w:rPr>
                            <w:rFonts w:ascii="宋体" w:hAnsi="宋体" w:cs="宋体" w:eastAsia="宋体" w:hint="default"/>
                            <w:sz w:val="18"/>
                            <w:szCs w:val="18"/>
                          </w:rPr>
                        </w:pPr>
                        <w:r>
                          <w:rPr>
                            <w:rFonts w:ascii="宋体" w:hAnsi="宋体" w:cs="宋体" w:eastAsia="宋体" w:hint="default"/>
                            <w:sz w:val="18"/>
                            <w:szCs w:val="18"/>
                          </w:rPr>
                          <w:t>电信行业的一类商业智能应用系统，支持企业各级人员的信息获取、 业务分析、决策支持等需求</w:t>
                        </w:r>
                      </w:p>
                    </w:tc>
                  </w:tr>
                  <w:tr>
                    <w:trPr>
                      <w:trHeight w:val="1651"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全业务</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9"/>
                          <w:jc w:val="left"/>
                          <w:rPr>
                            <w:rFonts w:ascii="宋体" w:hAnsi="宋体" w:cs="宋体" w:eastAsia="宋体" w:hint="default"/>
                            <w:sz w:val="18"/>
                            <w:szCs w:val="18"/>
                          </w:rPr>
                        </w:pPr>
                        <w:r>
                          <w:rPr>
                            <w:rFonts w:ascii="宋体" w:hAnsi="宋体" w:cs="宋体" w:eastAsia="宋体" w:hint="default"/>
                            <w:spacing w:val="-2"/>
                            <w:sz w:val="18"/>
                            <w:szCs w:val="18"/>
                          </w:rPr>
                          <w:t>电信业发展的方向，即电信运营商突破以前仅能提供单一通信方式和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有限通信内容的局限，转向为用户提供包括有线通信、无线通信的全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部通信方式和语音、数据、视频等多种通信内容的全业务通信服务； 电信运营商向全业务运营的转型，要求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支撑系统具备全业务支撑 能力</w:t>
                        </w:r>
                      </w:p>
                    </w:tc>
                  </w:tr>
                  <w:tr>
                    <w:trPr>
                      <w:trHeight w:val="71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商业智能应用软件</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采用数据仓库、数据统计、挖掘及信息表现技术，支持企业的信息获</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取、分析、共享、决策支持等需求的应用软件</w:t>
                        </w:r>
                      </w:p>
                    </w:tc>
                  </w:tr>
                  <w:tr>
                    <w:trPr>
                      <w:trHeight w:val="715"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数据孤岛</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企业的各个信息系统内的数据相互孤立，无法有效联合使用，造成企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业数据资源的浪费、数据不一致等问题</w:t>
                        </w:r>
                      </w:p>
                    </w:tc>
                  </w:tr>
                  <w:tr>
                    <w:trPr>
                      <w:trHeight w:val="1337"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数据挖掘模型</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将数据挖掘技术应用到具体的业务问题，对之建模、求解、验证，反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复迭代后得到的有效的数学模型；数据挖掘模型支持企业对业务问题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进行深层次分析、规律发现，并可对未来相同或相似的业务问题提供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预测功能</w:t>
                        </w:r>
                      </w:p>
                    </w:tc>
                  </w:tr>
                  <w:tr>
                    <w:trPr>
                      <w:trHeight w:val="1027"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数据质量</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数据的正确性、一致性、定义明晰性等一系列衡量数据可用性的度量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的集合；数据质量直接影响数据应用的成本和效果；在企业业务复杂</w:t>
                        </w:r>
                        <w:r>
                          <w:rPr>
                            <w:rFonts w:ascii="宋体" w:hAnsi="宋体" w:cs="宋体" w:eastAsia="宋体" w:hint="default"/>
                            <w:sz w:val="18"/>
                            <w:szCs w:val="18"/>
                          </w:rPr>
                          <w:t> 数据量巨大的情况下，数据质量尤为重要</w:t>
                        </w:r>
                      </w:p>
                    </w:tc>
                  </w:tr>
                  <w:tr>
                    <w:trPr>
                      <w:trHeight w:val="1025"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维系挽留</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电信运营商对用户进行个性化服务，以提高用户感知度、忠诚度、降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低客户流失率的一系列客户关系管理活动；相应的，对这一系列客户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关系管理活动提供支撑的软件系统称为维系挽留系统</w:t>
                        </w:r>
                      </w:p>
                    </w:tc>
                  </w:tr>
                  <w:tr>
                    <w:trPr>
                      <w:trHeight w:val="1340"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语义层</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软件系统中业务元数据与技术元数据之间的映射，业务元数据是用户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可以理解和使用的元素，技术元数据是软件用以驱动底层实现的元 </w:t>
                        </w:r>
                        <w:r>
                          <w:rPr>
                            <w:rFonts w:ascii="宋体" w:hAnsi="宋体" w:cs="宋体" w:eastAsia="宋体" w:hint="default"/>
                            <w:spacing w:val="-2"/>
                            <w:sz w:val="18"/>
                            <w:szCs w:val="18"/>
                          </w:rPr>
                          <w:t>素；语义层使用户可以直接表达业务需求，使软件能够以自动化的方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式更加灵活、快捷的实现用户的需求</w:t>
                        </w:r>
                      </w:p>
                    </w:tc>
                  </w:tr>
                  <w:tr>
                    <w:trPr>
                      <w:trHeight w:val="1337"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元数据</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
                          <w:jc w:val="left"/>
                          <w:rPr>
                            <w:rFonts w:ascii="宋体" w:hAnsi="宋体" w:cs="宋体" w:eastAsia="宋体" w:hint="default"/>
                            <w:sz w:val="18"/>
                            <w:szCs w:val="18"/>
                          </w:rPr>
                        </w:pPr>
                        <w:r>
                          <w:rPr>
                            <w:rFonts w:ascii="宋体" w:hAnsi="宋体" w:cs="宋体" w:eastAsia="宋体" w:hint="default"/>
                            <w:spacing w:val="-2"/>
                            <w:sz w:val="18"/>
                            <w:szCs w:val="18"/>
                          </w:rPr>
                          <w:t>在数据仓库体系中，用来描述数据及其环境的数据集合；元数据的作</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用是使其陈述的对象具有自描述性，使这些对象更易于应用和管理； </w:t>
                        </w:r>
                        <w:r>
                          <w:rPr>
                            <w:rFonts w:ascii="宋体" w:hAnsi="宋体" w:cs="宋体" w:eastAsia="宋体" w:hint="default"/>
                            <w:spacing w:val="-4"/>
                            <w:sz w:val="18"/>
                            <w:szCs w:val="18"/>
                          </w:rPr>
                          <w:t>元数据的分类方法很多，按描述对象的种类不同，可分为技术元数据</w:t>
                        </w:r>
                        <w:r>
                          <w:rPr>
                            <w:rFonts w:ascii="宋体" w:hAnsi="宋体" w:cs="宋体" w:eastAsia="宋体" w:hint="default"/>
                            <w:sz w:val="18"/>
                            <w:szCs w:val="18"/>
                          </w:rPr>
                          <w:t> 业务元数据等</w:t>
                        </w:r>
                      </w:p>
                    </w:tc>
                  </w:tr>
                  <w:tr>
                    <w:trPr>
                      <w:trHeight w:val="40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IT</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 technology</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的英文缩写，即信息技术</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pStyle w:val="BodyText"/>
        <w:spacing w:line="240" w:lineRule="auto" w:before="44"/>
        <w:ind w:left="0" w:right="12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44"/>
        <w:ind w:left="0" w:right="123"/>
        <w:jc w:val="right"/>
      </w:pPr>
      <w:r>
        <w:rPr/>
        <w:t>、</w:t>
      </w:r>
    </w:p>
    <w:p>
      <w:pPr>
        <w:spacing w:after="0" w:line="240" w:lineRule="auto"/>
        <w:jc w:val="right"/>
        <w:sectPr>
          <w:pgSz w:w="11910" w:h="16840"/>
          <w:pgMar w:header="772" w:footer="1006" w:top="108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0" w:right="125"/>
        <w:jc w:val="right"/>
      </w:pPr>
      <w:r>
        <w:rPr/>
        <w:pict>
          <v:shape style="position:absolute;margin-left:58.080002pt;margin-top:-18.548296pt;width:479.3pt;height:560.4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7"/>
                    <w:gridCol w:w="619"/>
                    <w:gridCol w:w="5425"/>
                  </w:tblGrid>
                  <w:tr>
                    <w:trPr>
                      <w:trHeight w:val="1025"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w:t>
                        </w:r>
                        <w:r>
                          <w:rPr>
                            <w:rFonts w:ascii="宋体" w:hAnsi="宋体" w:cs="宋体" w:eastAsia="宋体" w:hint="default"/>
                            <w:sz w:val="18"/>
                            <w:szCs w:val="18"/>
                          </w:rPr>
                          <w:t>商业智能</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Business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intelligence </w:t>
                        </w:r>
                        <w:r>
                          <w:rPr>
                            <w:rFonts w:ascii="宋体" w:hAnsi="宋体" w:cs="宋体" w:eastAsia="宋体" w:hint="default"/>
                            <w:spacing w:val="-4"/>
                            <w:sz w:val="18"/>
                            <w:szCs w:val="18"/>
                          </w:rPr>
                          <w:t>的英文缩写，即商业智能；商业智能指从数</w:t>
                        </w:r>
                        <w:r>
                          <w:rPr>
                            <w:rFonts w:ascii="宋体" w:hAnsi="宋体" w:cs="宋体" w:eastAsia="宋体" w:hint="default"/>
                            <w:sz w:val="18"/>
                            <w:szCs w:val="18"/>
                          </w:rPr>
                          <w:t> </w:t>
                        </w:r>
                        <w:r>
                          <w:rPr>
                            <w:rFonts w:ascii="宋体" w:hAnsi="宋体" w:cs="宋体" w:eastAsia="宋体" w:hint="default"/>
                            <w:spacing w:val="-5"/>
                            <w:sz w:val="18"/>
                            <w:szCs w:val="18"/>
                          </w:rPr>
                          <w:t>据中发现有价值的规律、模式，将数据转化为知识，支持企业的决策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营销、服务的一系列软件、技术、方法的集合</w:t>
                        </w:r>
                      </w:p>
                    </w:tc>
                  </w:tr>
                  <w:tr>
                    <w:trPr>
                      <w:trHeight w:val="1027"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CRM</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 management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的英文缩写，即客户关系管理，指 企业采取的一系列用以提升客户满意度，从而提高企业竞争力的营 销、销售及服务手段</w:t>
                        </w:r>
                      </w:p>
                    </w:tc>
                  </w:tr>
                  <w:tr>
                    <w:trPr>
                      <w:trHeight w:val="1025"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DM/</w:t>
                        </w:r>
                        <w:r>
                          <w:rPr>
                            <w:rFonts w:ascii="宋体" w:hAnsi="宋体" w:cs="宋体" w:eastAsia="宋体" w:hint="default"/>
                            <w:sz w:val="18"/>
                            <w:szCs w:val="18"/>
                          </w:rPr>
                          <w:t>数据挖掘</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DM </w:t>
                        </w: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Data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mining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的英文缩写，即数据挖掘；数据挖掘综合利用人 </w:t>
                        </w:r>
                        <w:r>
                          <w:rPr>
                            <w:rFonts w:ascii="宋体" w:hAnsi="宋体" w:cs="宋体" w:eastAsia="宋体" w:hint="default"/>
                            <w:spacing w:val="-2"/>
                            <w:sz w:val="18"/>
                            <w:szCs w:val="18"/>
                          </w:rPr>
                          <w:t>工智能、机器学习等领域的知识和技术，采用非平凡的过程从大量数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据中获取有效的、新颖的、潜在有用的、最终可理解的模式</w:t>
                        </w:r>
                      </w:p>
                    </w:tc>
                  </w:tr>
                  <w:tr>
                    <w:trPr>
                      <w:trHeight w:val="1028"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w:t>
                        </w:r>
                        <w:r>
                          <w:rPr>
                            <w:rFonts w:ascii="宋体" w:hAnsi="宋体" w:cs="宋体" w:eastAsia="宋体" w:hint="default"/>
                            <w:sz w:val="18"/>
                            <w:szCs w:val="18"/>
                          </w:rPr>
                          <w:t>数据仓库</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DW</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Data warehouse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的英文缩写，即数据仓库；数据仓库是一个面 </w:t>
                        </w:r>
                        <w:r>
                          <w:rPr>
                            <w:rFonts w:ascii="宋体" w:hAnsi="宋体" w:cs="宋体" w:eastAsia="宋体" w:hint="default"/>
                            <w:spacing w:val="-2"/>
                            <w:sz w:val="18"/>
                            <w:szCs w:val="18"/>
                          </w:rPr>
                          <w:t>向主题的、集成的、相对稳定的、反映时变的数据集合；数据仓库用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于支持上层的商业智能应用、数据挖掘等典型的商业智能活动</w:t>
                        </w:r>
                      </w:p>
                    </w:tc>
                  </w:tr>
                  <w:tr>
                    <w:trPr>
                      <w:trHeight w:val="1025"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ERP</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Enterprise resource planning</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的英文缩写，即企业资源计划，针对企业 </w:t>
                        </w:r>
                        <w:r>
                          <w:rPr>
                            <w:rFonts w:ascii="宋体" w:hAnsi="宋体" w:cs="宋体" w:eastAsia="宋体" w:hint="default"/>
                            <w:spacing w:val="-2"/>
                            <w:sz w:val="18"/>
                            <w:szCs w:val="18"/>
                          </w:rPr>
                          <w:t>的物质资源、人力资源、财务资源、信息资源等提供集成一体化的管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理支持</w:t>
                        </w:r>
                      </w:p>
                    </w:tc>
                  </w:tr>
                  <w:tr>
                    <w:trPr>
                      <w:trHeight w:val="1339"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ETL</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Extract, transform, load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的英文缩写，即数据抽取、转换和加载；</w:t>
                        </w:r>
                        <w:r>
                          <w:rPr>
                            <w:rFonts w:ascii="Times New Roman" w:hAnsi="Times New Roman" w:cs="Times New Roman" w:eastAsia="Times New Roman" w:hint="default"/>
                            <w:sz w:val="18"/>
                            <w:szCs w:val="18"/>
                          </w:rPr>
                          <w:t>ETL </w:t>
                        </w:r>
                        <w:r>
                          <w:rPr>
                            <w:rFonts w:ascii="宋体" w:hAnsi="宋体" w:cs="宋体" w:eastAsia="宋体" w:hint="default"/>
                            <w:spacing w:val="-2"/>
                            <w:sz w:val="18"/>
                            <w:szCs w:val="18"/>
                          </w:rPr>
                          <w:t>是数据仓库构建、运转过程中的重要环节，负责将分布的、异构数据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源中的数据抽取到临时中间层进行清洗、转换、集成，最后加载到数</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据仓库中</w:t>
                        </w:r>
                      </w:p>
                    </w:tc>
                  </w:tr>
                  <w:tr>
                    <w:trPr>
                      <w:trHeight w:val="71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OLAP</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 analytical processing</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的英文缩写，即联机分析处理，指一类为 业务分析处理提供支持、管理功能的软件系统</w:t>
                        </w:r>
                      </w:p>
                    </w:tc>
                  </w:tr>
                  <w:tr>
                    <w:trPr>
                      <w:trHeight w:val="1340"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基础设施的交付和使用模式，指通过网络以按需、易扩展的方式</w:t>
                        </w:r>
                        <w:r>
                          <w:rPr>
                            <w:rFonts w:ascii="宋体" w:hAnsi="宋体" w:cs="宋体" w:eastAsia="宋体" w:hint="default"/>
                            <w:w w:val="99"/>
                            <w:sz w:val="18"/>
                            <w:szCs w:val="18"/>
                          </w:rPr>
                          <w:t> </w:t>
                        </w:r>
                        <w:r>
                          <w:rPr>
                            <w:rFonts w:ascii="宋体" w:hAnsi="宋体" w:cs="宋体" w:eastAsia="宋体" w:hint="default"/>
                            <w:spacing w:val="-2"/>
                            <w:sz w:val="18"/>
                            <w:szCs w:val="18"/>
                          </w:rPr>
                          <w:t>获得所需的资源，具有超大规模、虚拟化、可靠安全等独特功效，其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基本原理是通过使计算分布在大量的分布式计算机上，而非本地计算</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机或远程服务器中，企业数据中心的运行将更与互联网相似</w:t>
                        </w:r>
                      </w:p>
                    </w:tc>
                  </w:tr>
                  <w:tr>
                    <w:trPr>
                      <w:trHeight w:val="1337"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非结构化数据</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
                          <w:jc w:val="both"/>
                          <w:rPr>
                            <w:rFonts w:ascii="宋体" w:hAnsi="宋体" w:cs="宋体" w:eastAsia="宋体" w:hint="default"/>
                            <w:sz w:val="18"/>
                            <w:szCs w:val="18"/>
                          </w:rPr>
                        </w:pPr>
                        <w:r>
                          <w:rPr>
                            <w:rFonts w:ascii="宋体" w:hAnsi="宋体" w:cs="宋体" w:eastAsia="宋体" w:hint="default"/>
                            <w:spacing w:val="-2"/>
                            <w:sz w:val="18"/>
                            <w:szCs w:val="18"/>
                          </w:rPr>
                          <w:t>相对于结构化数据（即行数据，存储在数据库里，可以用二维表结构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来逻辑表达实现的数据）而言，不方便用数据库二维逻辑表来表现的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数据即称为非结构化数据，包括所有格式的办公文档、文本、图片、 </w:t>
                        </w:r>
                        <w:r>
                          <w:rPr>
                            <w:rFonts w:ascii="Times New Roman" w:hAnsi="Times New Roman" w:cs="Times New Roman" w:eastAsia="Times New Roman" w:hint="default"/>
                            <w:sz w:val="18"/>
                            <w:szCs w:val="18"/>
                          </w:rPr>
                          <w:t>XML</w:t>
                        </w:r>
                        <w:r>
                          <w:rPr>
                            <w:rFonts w:ascii="宋体" w:hAnsi="宋体" w:cs="宋体" w:eastAsia="宋体" w:hint="default"/>
                            <w:sz w:val="18"/>
                            <w:szCs w:val="18"/>
                          </w:rPr>
                          <w:t>、</w:t>
                        </w:r>
                        <w:r>
                          <w:rPr>
                            <w:rFonts w:ascii="Times New Roman" w:hAnsi="Times New Roman" w:cs="Times New Roman" w:eastAsia="Times New Roman" w:hint="default"/>
                            <w:sz w:val="18"/>
                            <w:szCs w:val="18"/>
                          </w:rPr>
                          <w:t>HTML</w:t>
                        </w:r>
                        <w:r>
                          <w:rPr>
                            <w:rFonts w:ascii="宋体" w:hAnsi="宋体" w:cs="宋体" w:eastAsia="宋体" w:hint="default"/>
                            <w:sz w:val="18"/>
                            <w:szCs w:val="18"/>
                          </w:rPr>
                          <w:t>、各类报表、图像和音频</w:t>
                        </w:r>
                        <w:r>
                          <w:rPr>
                            <w:rFonts w:ascii="Times New Roman" w:hAnsi="Times New Roman" w:cs="Times New Roman" w:eastAsia="Times New Roman" w:hint="default"/>
                            <w:sz w:val="18"/>
                            <w:szCs w:val="18"/>
                          </w:rPr>
                          <w:t>/</w:t>
                        </w:r>
                        <w:r>
                          <w:rPr>
                            <w:rFonts w:ascii="宋体" w:hAnsi="宋体" w:cs="宋体" w:eastAsia="宋体" w:hint="default"/>
                            <w:sz w:val="18"/>
                            <w:szCs w:val="18"/>
                          </w:rPr>
                          <w:t>视频信息等</w:t>
                        </w:r>
                      </w:p>
                    </w:tc>
                  </w:tr>
                  <w:tr>
                    <w:trPr>
                      <w:trHeight w:val="1340"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指的是所涉及的资料量规模巨大到无法透过目前主流软件工具，在合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理时间内达到撷取、管理、处理、并整理成为帮助企业经营决策更积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极目的的资讯。</w:t>
                        </w:r>
                        <w:r>
                          <w:rPr>
                            <w:rFonts w:ascii="宋体" w:hAnsi="宋体" w:cs="宋体" w:eastAsia="宋体" w:hint="default"/>
                            <w:spacing w:val="1"/>
                            <w:sz w:val="18"/>
                            <w:szCs w:val="18"/>
                          </w:rPr>
                          <w:t> </w:t>
                        </w:r>
                        <w:r>
                          <w:rPr>
                            <w:rFonts w:ascii="宋体" w:hAnsi="宋体" w:cs="宋体" w:eastAsia="宋体" w:hint="default"/>
                            <w:sz w:val="18"/>
                            <w:szCs w:val="18"/>
                          </w:rPr>
                          <w:t>大数据具有：数据体量巨大，类型繁多，价值密度</w:t>
                        </w:r>
                        <w:r>
                          <w:rPr>
                            <w:rFonts w:ascii="宋体" w:hAnsi="宋体" w:cs="宋体" w:eastAsia="宋体" w:hint="default"/>
                            <w:sz w:val="18"/>
                            <w:szCs w:val="18"/>
                          </w:rPr>
                          <w:t> 低、商业价值高和处理速度快四个特点</w:t>
                        </w:r>
                      </w:p>
                    </w:tc>
                  </w:tr>
                </w:tbl>
                <w:p>
                  <w:pPr/>
                </w:p>
              </w:txbxContent>
            </v:textbox>
            <w10:wrap type="none"/>
          </v:shape>
        </w:pict>
      </w:r>
      <w:r>
        <w:rPr/>
        <w:t>、</w:t>
      </w:r>
    </w:p>
    <w:p>
      <w:pPr>
        <w:spacing w:after="0" w:line="240" w:lineRule="auto"/>
        <w:jc w:val="right"/>
        <w:sectPr>
          <w:pgSz w:w="11910" w:h="16840"/>
          <w:pgMar w:header="772" w:footer="1006" w:top="108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1"/>
        <w:spacing w:line="240" w:lineRule="auto"/>
        <w:ind w:left="3125" w:right="0"/>
        <w:jc w:val="left"/>
        <w:rPr>
          <w:b w:val="0"/>
          <w:bCs w:val="0"/>
        </w:rPr>
      </w:pPr>
      <w:bookmarkStart w:name="_TOC_250008" w:id="2"/>
      <w:r>
        <w:rPr/>
        <w:t>第二节</w:t>
      </w:r>
      <w:r>
        <w:rPr>
          <w:spacing w:val="-6"/>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09"/>
        <w:gridCol w:w="2327"/>
        <w:gridCol w:w="2135"/>
        <w:gridCol w:w="2188"/>
      </w:tblGrid>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东方国信</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300166</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东方国信</w:t>
            </w:r>
          </w:p>
        </w:tc>
      </w:tr>
      <w:tr>
        <w:trPr>
          <w:trHeight w:val="404"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Beijing</w:t>
            </w:r>
            <w:r>
              <w:rPr>
                <w:rFonts w:ascii="Times New Roman"/>
                <w:spacing w:val="-5"/>
                <w:sz w:val="18"/>
              </w:rPr>
              <w:t> </w:t>
            </w:r>
            <w:r>
              <w:rPr>
                <w:rFonts w:ascii="Times New Roman"/>
                <w:sz w:val="18"/>
              </w:rPr>
              <w:t>Orient</w:t>
            </w:r>
            <w:r>
              <w:rPr>
                <w:rFonts w:ascii="Times New Roman"/>
                <w:spacing w:val="-4"/>
                <w:sz w:val="18"/>
              </w:rPr>
              <w:t> </w:t>
            </w:r>
            <w:r>
              <w:rPr>
                <w:rFonts w:ascii="Times New Roman"/>
                <w:sz w:val="18"/>
              </w:rPr>
              <w:t>National</w:t>
            </w:r>
            <w:r>
              <w:rPr>
                <w:rFonts w:ascii="Times New Roman"/>
                <w:spacing w:val="-4"/>
                <w:sz w:val="18"/>
              </w:rPr>
              <w:t> </w:t>
            </w:r>
            <w:r>
              <w:rPr>
                <w:rFonts w:ascii="Times New Roman"/>
                <w:sz w:val="18"/>
              </w:rPr>
              <w:t>Communication</w:t>
            </w:r>
            <w:r>
              <w:rPr>
                <w:rFonts w:ascii="Times New Roman"/>
                <w:spacing w:val="-3"/>
                <w:sz w:val="18"/>
              </w:rPr>
              <w:t> </w:t>
            </w:r>
            <w:r>
              <w:rPr>
                <w:rFonts w:ascii="Times New Roman"/>
                <w:sz w:val="18"/>
              </w:rPr>
              <w:t>Science</w:t>
            </w:r>
            <w:r>
              <w:rPr>
                <w:rFonts w:ascii="Times New Roman"/>
                <w:spacing w:val="-5"/>
                <w:sz w:val="18"/>
              </w:rPr>
              <w:t> </w:t>
            </w:r>
            <w:r>
              <w:rPr>
                <w:rFonts w:ascii="Times New Roman"/>
                <w:sz w:val="18"/>
              </w:rPr>
              <w:t>&amp;</w:t>
            </w:r>
            <w:r>
              <w:rPr>
                <w:rFonts w:ascii="Times New Roman"/>
                <w:spacing w:val="-7"/>
                <w:sz w:val="18"/>
              </w:rPr>
              <w:t> </w:t>
            </w:r>
            <w:r>
              <w:rPr>
                <w:rFonts w:ascii="Times New Roman"/>
                <w:sz w:val="18"/>
              </w:rPr>
              <w:t>Technology</w:t>
            </w:r>
            <w:r>
              <w:rPr>
                <w:rFonts w:ascii="Times New Roman"/>
                <w:spacing w:val="-8"/>
                <w:sz w:val="18"/>
              </w:rPr>
              <w:t> </w:t>
            </w:r>
            <w:r>
              <w:rPr>
                <w:rFonts w:ascii="Times New Roman"/>
                <w:sz w:val="18"/>
              </w:rPr>
              <w:t>Co.,</w:t>
            </w:r>
            <w:r>
              <w:rPr>
                <w:rFonts w:ascii="Times New Roman"/>
                <w:spacing w:val="-4"/>
                <w:sz w:val="18"/>
              </w:rPr>
              <w:t> </w:t>
            </w:r>
            <w:r>
              <w:rPr>
                <w:rFonts w:ascii="Times New Roman"/>
                <w:sz w:val="18"/>
              </w:rPr>
              <w:t>Ltd.</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BONC</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管连平</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北京市朝阳区望京北路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号叶青大厦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1108</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100102</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北京市朝阳区望京北路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号叶青大厦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1108</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100102</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http://www.bonc.com.cn</w:t>
              </w:r>
            </w:hyperlink>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investor@</w:t>
            </w:r>
            <w:r>
              <w:rPr>
                <w:rFonts w:ascii="Times New Roman"/>
                <w:spacing w:val="-7"/>
                <w:sz w:val="18"/>
              </w:rPr>
              <w:t> </w:t>
            </w:r>
            <w:r>
              <w:rPr>
                <w:rFonts w:ascii="Times New Roman"/>
                <w:sz w:val="18"/>
              </w:rPr>
              <w:t>bonc.com.cn</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北京兴华会计师事务所有限责任公司</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北京市西城区裕民路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号北环中心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层</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马长兴</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北京市朝阳区望京北路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号叶青大厦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北京市朝阳区望京北路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号叶青大厦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010-64392089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010-64392089</w:t>
            </w:r>
          </w:p>
        </w:tc>
      </w:tr>
      <w:tr>
        <w:trPr>
          <w:trHeight w:val="40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010-64398978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010-64398978</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investor@bonc.com.cn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investor@bonc.com.cn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z w:val="18"/>
                <w:szCs w:val="18"/>
              </w:rPr>
              <w:t>》</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72" w:footer="1006" w:top="1080" w:bottom="1200" w:left="980" w:right="980"/>
        </w:sectPr>
      </w:pPr>
    </w:p>
    <w:p>
      <w:pPr>
        <w:spacing w:line="240" w:lineRule="auto" w:before="8"/>
        <w:rPr>
          <w:rFonts w:ascii="宋体" w:hAnsi="宋体" w:cs="宋体" w:eastAsia="宋体" w:hint="default"/>
          <w:b/>
          <w:bCs/>
          <w:sz w:val="21"/>
          <w:szCs w:val="21"/>
        </w:rPr>
      </w:pPr>
    </w:p>
    <w:p>
      <w:pPr>
        <w:pStyle w:val="Heading2"/>
        <w:spacing w:line="240" w:lineRule="auto" w:before="26"/>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北京市朝阳区酒仙 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05249629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110105633027609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63302760-9</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变更经营范围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北京市朝阳区酒仙 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05249629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63302760-9</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变更注册地址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北京市朝阳区万红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1101052249629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63302760-9</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增加注册资本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北京市朝阳区万红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1101052249629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63302760-9</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变更经营范围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北京市朝阳区望京 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1101052249629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63302760-9</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120"/>
              <w:jc w:val="left"/>
              <w:rPr>
                <w:rFonts w:ascii="宋体" w:hAnsi="宋体" w:cs="宋体" w:eastAsia="宋体" w:hint="default"/>
                <w:sz w:val="18"/>
                <w:szCs w:val="18"/>
              </w:rPr>
            </w:pPr>
            <w:r>
              <w:rPr>
                <w:rFonts w:ascii="宋体" w:hAnsi="宋体" w:cs="宋体" w:eastAsia="宋体" w:hint="default"/>
                <w:sz w:val="18"/>
                <w:szCs w:val="18"/>
              </w:rPr>
              <w:t>有限公司变更股份 制公司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北京市朝阳区望京 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w:t>
            </w:r>
          </w:p>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110105002496292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63302760-9</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pacing w:val="-9"/>
                <w:sz w:val="18"/>
                <w:szCs w:val="18"/>
              </w:rPr>
              <w:t>变更经营范围、经营</w:t>
            </w:r>
            <w:r>
              <w:rPr>
                <w:rFonts w:ascii="宋体" w:hAnsi="宋体" w:cs="宋体" w:eastAsia="宋体" w:hint="default"/>
                <w:sz w:val="18"/>
                <w:szCs w:val="18"/>
              </w:rPr>
              <w:t> 期限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北京市朝阳区望京 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110105002496292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63302760-9</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增加注册资本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北京市朝阳区望京 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w:t>
            </w:r>
          </w:p>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110105002496292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63302760-9</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增加注册资本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北京市朝阳区望京 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 </w:t>
            </w:r>
            <w:r>
              <w:rPr>
                <w:rFonts w:ascii="宋体" w:hAnsi="宋体" w:cs="宋体" w:eastAsia="宋体" w:hint="default"/>
                <w:sz w:val="18"/>
                <w:szCs w:val="18"/>
              </w:rPr>
              <w:t>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110105002496292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63302760-9</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增加注册资本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7"/>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北京市朝阳区望京 北路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110105002496292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63302760-9</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9"/>
                <w:sz w:val="18"/>
                <w:szCs w:val="18"/>
              </w:rPr>
              <w:t>增加注册资本、变更</w:t>
            </w:r>
            <w:r>
              <w:rPr>
                <w:rFonts w:ascii="宋体" w:hAnsi="宋体" w:cs="宋体" w:eastAsia="宋体" w:hint="default"/>
                <w:sz w:val="18"/>
                <w:szCs w:val="18"/>
              </w:rPr>
              <w:t> 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北京市朝阳区望京 北路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110105002496292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63302760-9</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9"/>
                <w:sz w:val="18"/>
                <w:szCs w:val="18"/>
              </w:rPr>
              <w:t>增加注册资本、变更</w:t>
            </w:r>
            <w:r>
              <w:rPr>
                <w:rFonts w:ascii="宋体" w:hAnsi="宋体" w:cs="宋体" w:eastAsia="宋体" w:hint="default"/>
                <w:sz w:val="18"/>
                <w:szCs w:val="18"/>
              </w:rPr>
              <w:t> 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北京市朝阳区望京 北路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110105002496292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63302760-9</w:t>
            </w:r>
          </w:p>
        </w:tc>
      </w:tr>
    </w:tbl>
    <w:p>
      <w:pPr>
        <w:spacing w:after="0" w:line="240" w:lineRule="auto"/>
        <w:jc w:val="lef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pStyle w:val="Heading1"/>
        <w:spacing w:line="240" w:lineRule="auto"/>
        <w:ind w:left="2642" w:right="0"/>
        <w:jc w:val="left"/>
        <w:rPr>
          <w:b w:val="0"/>
          <w:bCs w:val="0"/>
        </w:rPr>
      </w:pPr>
      <w:bookmarkStart w:name="_TOC_250007"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338" w:lineRule="auto" w:before="117"/>
        <w:ind w:right="8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主要会计数据</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608"/>
        <w:gridCol w:w="1749"/>
        <w:gridCol w:w="1740"/>
        <w:gridCol w:w="1738"/>
        <w:gridCol w:w="1735"/>
      </w:tblGrid>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313,003,233.22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178,811,264.68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121,247,207.40</w:t>
            </w:r>
          </w:p>
        </w:tc>
      </w:tr>
      <w:tr>
        <w:trPr>
          <w:trHeight w:val="404"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81,534,601.05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58,602,900.26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39,160,763.92</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83,762,751.46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67,411,634.35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48,743,950.47</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70,753,506.20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57,570,579.60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42,172,182.68</w:t>
            </w:r>
          </w:p>
        </w:tc>
      </w:tr>
      <w:tr>
        <w:trPr>
          <w:trHeight w:val="71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69,606,206.20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56,795,984.75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40,472,182.68</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-10,781,428.60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15,988,269.39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12,315,504.49</w:t>
            </w:r>
          </w:p>
        </w:tc>
      </w:tr>
      <w:tr>
        <w:trPr>
          <w:trHeight w:val="161" w:hRule="exact"/>
        </w:trPr>
        <w:tc>
          <w:tcPr>
            <w:tcW w:w="2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608"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778,990,926.15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735,867,856.60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129,529,434.58</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45,713,280.44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65,243,717.09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23,309,987.14</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733,277,645.71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670,624,139.51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106,219,447.44</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30,324,000.00</w:t>
            </w:r>
          </w:p>
        </w:tc>
      </w:tr>
    </w:tbl>
    <w:p>
      <w:pPr>
        <w:pStyle w:val="BodyText"/>
        <w:spacing w:line="240" w:lineRule="auto" w:before="49"/>
        <w:ind w:right="0"/>
        <w:jc w:val="left"/>
      </w:pPr>
      <w:r>
        <w:rPr/>
        <w:t>主要财务指标</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01"/>
        <w:gridCol w:w="1749"/>
        <w:gridCol w:w="1736"/>
        <w:gridCol w:w="1738"/>
        <w:gridCol w:w="1735"/>
      </w:tblGrid>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0.46</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0.46</w:t>
            </w:r>
          </w:p>
        </w:tc>
      </w:tr>
      <w:tr>
        <w:trPr>
          <w:trHeight w:val="715"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0.44</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39.70%</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49.54%</w:t>
            </w:r>
          </w:p>
        </w:tc>
      </w:tr>
      <w:tr>
        <w:trPr>
          <w:trHeight w:val="71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38.1%</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47.54%</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624"/>
        <w:gridCol w:w="1738"/>
        <w:gridCol w:w="1736"/>
        <w:gridCol w:w="1738"/>
        <w:gridCol w:w="1735"/>
      </w:tblGrid>
      <w:tr>
        <w:trPr>
          <w:trHeight w:val="36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-0.0887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0.3948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0.4061</w:t>
            </w:r>
          </w:p>
        </w:tc>
      </w:tr>
      <w:tr>
        <w:trPr>
          <w:trHeight w:val="161" w:hRule="exact"/>
        </w:trPr>
        <w:tc>
          <w:tcPr>
            <w:tcW w:w="2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624"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16.5586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3.5028</w:t>
            </w:r>
          </w:p>
        </w:tc>
      </w:tr>
      <w:tr>
        <w:trPr>
          <w:trHeight w:val="40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18.00%</w:t>
            </w: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r>
        <w:rPr/>
        <w:t>二、报告期内非经常性损益的项目及金额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-41,165.69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2,453.75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136,693.21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1,147,300.00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774,594.85</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1,700,000.00</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7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三、重大风险提示</w:t>
      </w:r>
      <w:r>
        <w:rPr>
          <w:b w:val="0"/>
          <w:bCs w:val="0"/>
        </w:rPr>
      </w:r>
    </w:p>
    <w:p>
      <w:pPr>
        <w:spacing w:line="240" w:lineRule="auto" w:before="7"/>
        <w:rPr>
          <w:rFonts w:ascii="宋体" w:hAnsi="宋体" w:cs="宋体" w:eastAsia="宋体" w:hint="default"/>
          <w:b/>
          <w:bCs/>
          <w:sz w:val="32"/>
          <w:szCs w:val="32"/>
        </w:rPr>
      </w:pPr>
    </w:p>
    <w:p>
      <w:pPr>
        <w:pStyle w:val="BodyText"/>
        <w:spacing w:line="518" w:lineRule="auto"/>
        <w:ind w:left="635" w:right="94"/>
        <w:jc w:val="left"/>
      </w:pPr>
      <w:r>
        <w:rPr>
          <w:rFonts w:ascii="宋体" w:hAnsi="宋体" w:cs="宋体" w:eastAsia="宋体" w:hint="default"/>
        </w:rPr>
        <w:t>1</w:t>
      </w:r>
      <w:r>
        <w:rPr/>
        <w:t>、客户集中风险 </w:t>
      </w:r>
      <w:r>
        <w:rPr>
          <w:spacing w:val="-1"/>
        </w:rPr>
        <w:t>公司的客户主要集中在电信行业，营业收入主要来自中国联通、中国电信和中国移动，对主要客户依赖度较强。如果</w:t>
      </w:r>
    </w:p>
    <w:p>
      <w:pPr>
        <w:pStyle w:val="BodyText"/>
        <w:spacing w:line="518" w:lineRule="auto" w:before="24"/>
        <w:ind w:left="635" w:right="94" w:hanging="483"/>
        <w:jc w:val="left"/>
      </w:pPr>
      <w:r>
        <w:rPr/>
        <w:t>未来电信行业的宏观环境发生不利变化，或者电信运营商对信息化建设的投资规模下降，将对公司的盈利能力产生影响。 针对上述风险，公司拟采取如下应对措施：（</w:t>
      </w:r>
      <w:r>
        <w:rPr>
          <w:rFonts w:ascii="宋体" w:hAnsi="宋体" w:cs="宋体" w:eastAsia="宋体" w:hint="default"/>
        </w:rPr>
        <w:t>1</w:t>
      </w:r>
      <w:r>
        <w:rPr/>
        <w:t>）坚持互利共赢原则，与客户建立长期的战略合作伙伴关系，持续创</w:t>
      </w:r>
    </w:p>
    <w:p>
      <w:pPr>
        <w:pStyle w:val="BodyText"/>
        <w:spacing w:line="477" w:lineRule="auto" w:before="23"/>
        <w:ind w:right="94"/>
        <w:jc w:val="left"/>
      </w:pPr>
      <w:r>
        <w:rPr>
          <w:spacing w:val="-2"/>
        </w:rPr>
        <w:t>新和升级软件产品，以满足客户不断增长的需求，并提高服务质量，更好的服务客户；（</w:t>
      </w:r>
      <w:r>
        <w:rPr>
          <w:rFonts w:ascii="宋体" w:hAnsi="宋体" w:cs="宋体" w:eastAsia="宋体" w:hint="default"/>
          <w:spacing w:val="-2"/>
        </w:rPr>
        <w:t>2</w:t>
      </w:r>
      <w:r>
        <w:rPr>
          <w:spacing w:val="-2"/>
        </w:rPr>
        <w:t>）加大对非电信行业的开拓力度，</w:t>
      </w:r>
      <w:r>
        <w:rPr>
          <w:spacing w:val="-67"/>
        </w:rPr>
        <w:t> </w:t>
      </w:r>
      <w:r>
        <w:rPr>
          <w:spacing w:val="-67"/>
        </w:rPr>
      </w:r>
      <w:r>
        <w:rPr>
          <w:spacing w:val="-2"/>
        </w:rPr>
        <w:t>依托商业智能应用技术、品牌优势以及在电信行业积累的丰富经验，向金融、电力、能源、保险等行业的商业智能应用市场</w:t>
      </w:r>
      <w:r>
        <w:rPr>
          <w:spacing w:val="-65"/>
        </w:rPr>
        <w:t> </w:t>
      </w:r>
      <w:r>
        <w:rPr>
          <w:spacing w:val="-65"/>
        </w:rPr>
      </w:r>
      <w:r>
        <w:rPr/>
        <w:t>渗透；（</w:t>
      </w:r>
      <w:r>
        <w:rPr>
          <w:rFonts w:ascii="宋体" w:hAnsi="宋体" w:cs="宋体" w:eastAsia="宋体" w:hint="default"/>
        </w:rPr>
        <w:t>4</w:t>
      </w:r>
      <w:r>
        <w:rPr/>
        <w:t>）紧跟行业前沿技术，加大研发投入，稳步推进募投项目完工达产，升级产品结构和产品层次，涉足更广阔的商</w:t>
      </w:r>
      <w:r>
        <w:rPr>
          <w:spacing w:val="-84"/>
        </w:rPr>
        <w:t> </w:t>
      </w:r>
      <w:r>
        <w:rPr>
          <w:spacing w:val="-84"/>
        </w:rPr>
      </w:r>
      <w:r>
        <w:rPr/>
        <w:t>业智能领域市场，参与更广泛的市场竞争，不断探索全新的商业模式和创新产品，寻找利润增长点。</w:t>
      </w:r>
    </w:p>
    <w:p>
      <w:pPr>
        <w:spacing w:after="0" w:line="477"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518" w:lineRule="auto" w:before="44"/>
        <w:ind w:left="635" w:right="94"/>
        <w:jc w:val="left"/>
      </w:pPr>
      <w:r>
        <w:rPr>
          <w:rFonts w:ascii="宋体" w:hAnsi="宋体" w:cs="宋体" w:eastAsia="宋体" w:hint="default"/>
        </w:rPr>
        <w:t>2</w:t>
      </w:r>
      <w:r>
        <w:rPr/>
        <w:t>、市场竞争与新模式创新风险 </w:t>
      </w:r>
      <w:r>
        <w:rPr>
          <w:spacing w:val="-1"/>
        </w:rPr>
        <w:t>公司定位为提供最优产品和最佳服务，打造商业智能民族品牌。公司的愿景是让数据改变工作与生活。当前时代，数</w:t>
      </w:r>
    </w:p>
    <w:p>
      <w:pPr>
        <w:pStyle w:val="BodyText"/>
        <w:spacing w:line="477" w:lineRule="auto" w:before="23"/>
        <w:ind w:right="190"/>
        <w:jc w:val="both"/>
      </w:pPr>
      <w:r>
        <w:rPr>
          <w:spacing w:val="-2"/>
        </w:rPr>
        <w:t>据的价值日益凸显，虽然公司所处的行业未来具有广阔的发展空间，但市场机会增加的同时，也伴随着参与竞争的企业数量</w:t>
      </w:r>
      <w:r>
        <w:rPr>
          <w:spacing w:val="-63"/>
        </w:rPr>
        <w:t> </w:t>
      </w:r>
      <w:r>
        <w:rPr>
          <w:spacing w:val="-63"/>
        </w:rPr>
      </w:r>
      <w:r>
        <w:rPr/>
        <w:t>增加，若公司不能在产品研发、技术创新、客户服务等方面进一步增强实力，未来将面临市场竞争加剧的风险。</w:t>
      </w:r>
    </w:p>
    <w:p>
      <w:pPr>
        <w:pStyle w:val="BodyText"/>
        <w:spacing w:line="477" w:lineRule="auto" w:before="92"/>
        <w:ind w:right="94" w:firstLine="482"/>
        <w:jc w:val="left"/>
      </w:pPr>
      <w:r>
        <w:rPr>
          <w:spacing w:val="-1"/>
        </w:rPr>
        <w:t>针对以上风险，公司拟采取如下应对措施：（</w:t>
      </w:r>
      <w:r>
        <w:rPr>
          <w:rFonts w:ascii="宋体" w:hAnsi="宋体" w:cs="宋体" w:eastAsia="宋体" w:hint="default"/>
          <w:spacing w:val="-1"/>
        </w:rPr>
        <w:t>1</w:t>
      </w:r>
      <w:r>
        <w:rPr>
          <w:spacing w:val="-1"/>
        </w:rPr>
        <w:t>）公司将加强自主创新，不断开发新产品，对原有产品进行升级换代，</w:t>
      </w:r>
      <w:r>
        <w:rPr/>
        <w:t> 以满足客户不断增长的需求，并致力提高服务质量，为客户创造更大的价值；（</w:t>
      </w:r>
      <w:r>
        <w:rPr>
          <w:rFonts w:ascii="宋体" w:hAnsi="宋体" w:cs="宋体" w:eastAsia="宋体" w:hint="default"/>
        </w:rPr>
        <w:t>2</w:t>
      </w:r>
      <w:r>
        <w:rPr/>
        <w:t>）对市场进行充分调研，深刻理解客户需</w:t>
      </w:r>
      <w:r>
        <w:rPr>
          <w:spacing w:val="-83"/>
        </w:rPr>
        <w:t> </w:t>
      </w:r>
      <w:r>
        <w:rPr>
          <w:spacing w:val="-83"/>
        </w:rPr>
      </w:r>
      <w:r>
        <w:rPr/>
        <w:t>求，加强项目可行性研究分析，从而控制和分散相关风险。</w:t>
      </w:r>
    </w:p>
    <w:p>
      <w:pPr>
        <w:pStyle w:val="BodyText"/>
        <w:spacing w:line="518" w:lineRule="auto" w:before="95"/>
        <w:ind w:left="635" w:right="94"/>
        <w:jc w:val="left"/>
      </w:pPr>
      <w:r>
        <w:rPr>
          <w:rFonts w:ascii="宋体" w:hAnsi="宋体" w:cs="宋体" w:eastAsia="宋体" w:hint="default"/>
        </w:rPr>
        <w:t>3</w:t>
      </w:r>
      <w:r>
        <w:rPr/>
        <w:t>、企业管理风险 </w:t>
      </w:r>
      <w:r>
        <w:rPr>
          <w:spacing w:val="-1"/>
        </w:rPr>
        <w:t>公司上市以来收入快速增长，经营规模、业务范围和人员规模不断扩大，对企业管理体制、理念和方法等方面提出了</w:t>
      </w:r>
    </w:p>
    <w:p>
      <w:pPr>
        <w:pStyle w:val="BodyText"/>
        <w:spacing w:line="477" w:lineRule="auto" w:before="23"/>
        <w:ind w:right="190"/>
        <w:jc w:val="both"/>
      </w:pPr>
      <w:r>
        <w:rPr>
          <w:spacing w:val="-2"/>
        </w:rPr>
        <w:t>更高的要求，如果公司管理水平不能及时适应规模迅速扩张的需要，将削弱公司的市场竞争力，存在规模迅速扩张导致的管</w:t>
      </w:r>
      <w:r>
        <w:rPr>
          <w:spacing w:val="-63"/>
        </w:rPr>
        <w:t> </w:t>
      </w:r>
      <w:r>
        <w:rPr>
          <w:spacing w:val="-63"/>
        </w:rPr>
      </w:r>
      <w:r>
        <w:rPr/>
        <w:t>理风险。</w:t>
      </w:r>
    </w:p>
    <w:p>
      <w:pPr>
        <w:pStyle w:val="BodyText"/>
        <w:spacing w:line="477" w:lineRule="auto" w:before="92"/>
        <w:ind w:right="94" w:firstLine="482"/>
        <w:jc w:val="left"/>
      </w:pPr>
      <w:r>
        <w:rPr/>
        <w:t>针对上述风险，公司拟采取如下应对措施：（</w:t>
      </w:r>
      <w:r>
        <w:rPr>
          <w:rFonts w:ascii="宋体" w:hAnsi="宋体" w:cs="宋体" w:eastAsia="宋体" w:hint="default"/>
        </w:rPr>
        <w:t>1</w:t>
      </w:r>
      <w:r>
        <w:rPr/>
        <w:t>）上市两年来，公司基本完成了人才储备工作，未来将结合业务发展 科学配备人员，并不断优化人员结构，提高人员的综合素质和工作绩效；（</w:t>
      </w:r>
      <w:r>
        <w:rPr>
          <w:rFonts w:ascii="宋体" w:hAnsi="宋体" w:cs="宋体" w:eastAsia="宋体" w:hint="default"/>
        </w:rPr>
        <w:t>2</w:t>
      </w:r>
      <w:r>
        <w:rPr/>
        <w:t>）公司通过优化组织结构、全面预算管理、完</w:t>
      </w:r>
      <w:r>
        <w:rPr>
          <w:spacing w:val="-83"/>
        </w:rPr>
        <w:t> </w:t>
      </w:r>
      <w:r>
        <w:rPr>
          <w:spacing w:val="-83"/>
        </w:rPr>
      </w:r>
      <w:r>
        <w:rPr/>
        <w:t>善绩效考核、提高企业信息化管理水平，并不断完善各项制度，细化内部控制制度，提高管理效率；（</w:t>
      </w:r>
      <w:r>
        <w:rPr>
          <w:rFonts w:ascii="宋体" w:hAnsi="宋体" w:cs="宋体" w:eastAsia="宋体" w:hint="default"/>
        </w:rPr>
        <w:t>3</w:t>
      </w:r>
      <w:r>
        <w:rPr/>
        <w:t>）公司对管理层加</w:t>
      </w:r>
      <w:r>
        <w:rPr>
          <w:spacing w:val="-82"/>
        </w:rPr>
        <w:t> </w:t>
      </w:r>
      <w:r>
        <w:rPr/>
        <w:t>强培训与学习，提高管理素质和决策能力，并引入外部管理人才、聘请行业专家和顾问，积极学习先进的管理理念与方法， 使企业管理更加制度化、规范化、科学化。</w:t>
      </w:r>
    </w:p>
    <w:p>
      <w:pPr>
        <w:pStyle w:val="BodyText"/>
        <w:spacing w:line="518" w:lineRule="auto" w:before="95"/>
        <w:ind w:left="635" w:right="94"/>
        <w:jc w:val="left"/>
      </w:pPr>
      <w:r>
        <w:rPr>
          <w:rFonts w:ascii="宋体" w:hAnsi="宋体" w:cs="宋体" w:eastAsia="宋体" w:hint="default"/>
        </w:rPr>
        <w:t>4</w:t>
      </w:r>
      <w:r>
        <w:rPr/>
        <w:t>、专业技术风险 </w:t>
      </w:r>
      <w:r>
        <w:rPr>
          <w:spacing w:val="-1"/>
        </w:rPr>
        <w:t>商业智能应用软件开发技术发展快、研发投入大、市场需求多变，“大数据”、“大服务”、“云计算”催动信息技</w:t>
      </w:r>
    </w:p>
    <w:p>
      <w:pPr>
        <w:pStyle w:val="BodyText"/>
        <w:spacing w:line="477" w:lineRule="auto" w:before="23"/>
        <w:ind w:right="190"/>
        <w:jc w:val="both"/>
      </w:pPr>
      <w:r>
        <w:rPr>
          <w:spacing w:val="-2"/>
        </w:rPr>
        <w:t>术以及相关领域的业务出现更为复杂的变化。如果公司不能持续、及时地关注技术发展的国际动态，持续研发创新，从而无</w:t>
      </w:r>
      <w:r>
        <w:rPr>
          <w:spacing w:val="-63"/>
        </w:rPr>
        <w:t> </w:t>
      </w:r>
      <w:r>
        <w:rPr>
          <w:spacing w:val="-63"/>
        </w:rPr>
      </w:r>
      <w:r>
        <w:rPr/>
        <w:t>法进行技术和产品升级换代，现有的技术和产品将面临被淘汰的风险。</w:t>
      </w:r>
    </w:p>
    <w:p>
      <w:pPr>
        <w:pStyle w:val="BodyText"/>
        <w:spacing w:line="477" w:lineRule="auto" w:before="92"/>
        <w:ind w:right="94" w:firstLine="482"/>
        <w:jc w:val="left"/>
      </w:pPr>
      <w:r>
        <w:rPr/>
        <w:t>针对以上风险，公司拟采取如下应对措施：（</w:t>
      </w:r>
      <w:r>
        <w:rPr>
          <w:rFonts w:ascii="宋体" w:hAnsi="宋体" w:cs="宋体" w:eastAsia="宋体" w:hint="default"/>
        </w:rPr>
        <w:t>1</w:t>
      </w:r>
      <w:r>
        <w:rPr/>
        <w:t>）公司将紧密跟踪国内外商业智能的技术走向，及时学习国内外前沿 </w:t>
      </w:r>
      <w:r>
        <w:rPr>
          <w:spacing w:val="-2"/>
        </w:rPr>
        <w:t>技术；（</w:t>
      </w:r>
      <w:r>
        <w:rPr>
          <w:rFonts w:ascii="宋体" w:hAnsi="宋体" w:cs="宋体" w:eastAsia="宋体" w:hint="default"/>
          <w:spacing w:val="-2"/>
        </w:rPr>
        <w:t>2</w:t>
      </w:r>
      <w:r>
        <w:rPr>
          <w:spacing w:val="-2"/>
        </w:rPr>
        <w:t>）深入调研各行业客户的实际需求，加大研发投入，加强专业人才引进，加深与国际知名</w:t>
      </w:r>
      <w:r>
        <w:rPr>
          <w:rFonts w:ascii="宋体" w:hAnsi="宋体" w:cs="宋体" w:eastAsia="宋体" w:hint="default"/>
          <w:spacing w:val="-2"/>
        </w:rPr>
        <w:t>IT</w:t>
      </w:r>
      <w:r>
        <w:rPr>
          <w:spacing w:val="-2"/>
        </w:rPr>
        <w:t>企业、国内著名高校、</w:t>
      </w:r>
      <w:r>
        <w:rPr>
          <w:spacing w:val="-66"/>
        </w:rPr>
        <w:t> </w:t>
      </w:r>
      <w:r>
        <w:rPr>
          <w:spacing w:val="-66"/>
        </w:rPr>
      </w:r>
      <w:r>
        <w:rPr/>
        <w:t>研究所的合作与交流，提升公司专业技术水平。</w:t>
      </w:r>
    </w:p>
    <w:p>
      <w:pPr>
        <w:pStyle w:val="BodyText"/>
        <w:spacing w:line="518" w:lineRule="auto" w:before="95"/>
        <w:ind w:left="635" w:right="94"/>
        <w:jc w:val="left"/>
      </w:pPr>
      <w:r>
        <w:rPr>
          <w:rFonts w:ascii="宋体" w:hAnsi="宋体" w:cs="宋体" w:eastAsia="宋体" w:hint="default"/>
        </w:rPr>
        <w:t>5</w:t>
      </w:r>
      <w:r>
        <w:rPr/>
        <w:t>、人才流失风险 </w:t>
      </w:r>
      <w:r>
        <w:rPr>
          <w:spacing w:val="-3"/>
        </w:rPr>
        <w:t>高素质的软件开发团队是软件企业高效运营和可持续发展的根本保障，也是促进软件企业发展的最重要资本。近年来，</w:t>
      </w:r>
    </w:p>
    <w:p>
      <w:pPr>
        <w:pStyle w:val="BodyText"/>
        <w:spacing w:line="477" w:lineRule="auto" w:before="23"/>
        <w:ind w:right="191"/>
        <w:jc w:val="both"/>
      </w:pPr>
      <w:r>
        <w:rPr>
          <w:spacing w:val="-2"/>
        </w:rPr>
        <w:t>公司初步建立了合理、健康、稳定的人力资源管理模式，构建了一支由高级管理人才和“高、精、尖”技术人才所组成的经</w:t>
      </w:r>
      <w:r>
        <w:rPr>
          <w:spacing w:val="-68"/>
        </w:rPr>
        <w:t> </w:t>
      </w:r>
      <w:r>
        <w:rPr>
          <w:spacing w:val="-68"/>
        </w:rPr>
      </w:r>
      <w:r>
        <w:rPr>
          <w:spacing w:val="-2"/>
        </w:rPr>
        <w:t>营团队。随着行业竞争的加剧，同行业企业均在吸引和挖掘此类技术人才，这将对公司构建经营团队带来压力，造成人才流</w:t>
      </w:r>
      <w:r>
        <w:rPr>
          <w:spacing w:val="-65"/>
        </w:rPr>
        <w:t> </w:t>
      </w:r>
      <w:r>
        <w:rPr>
          <w:spacing w:val="-65"/>
        </w:rPr>
      </w:r>
      <w:r>
        <w:rPr/>
        <w:t>失风险。</w:t>
      </w:r>
    </w:p>
    <w:p>
      <w:pPr>
        <w:pStyle w:val="BodyText"/>
        <w:spacing w:line="240" w:lineRule="auto" w:before="92"/>
        <w:ind w:left="635" w:right="94"/>
        <w:jc w:val="left"/>
      </w:pPr>
      <w:r>
        <w:rPr/>
        <w:t>针对以上风险，公司拟采取如下应对措施：（</w:t>
      </w:r>
      <w:r>
        <w:rPr>
          <w:rFonts w:ascii="宋体" w:hAnsi="宋体" w:cs="宋体" w:eastAsia="宋体" w:hint="default"/>
        </w:rPr>
        <w:t>1</w:t>
      </w:r>
      <w:r>
        <w:rPr/>
        <w:t>）公司在</w:t>
      </w:r>
      <w:r>
        <w:rPr>
          <w:rFonts w:ascii="宋体" w:hAnsi="宋体" w:cs="宋体" w:eastAsia="宋体" w:hint="default"/>
        </w:rPr>
        <w:t>2012</w:t>
      </w:r>
      <w:r>
        <w:rPr/>
        <w:t>年推出了股权激励计划，使骨干员工与公司发展紧密结</w:t>
      </w:r>
    </w:p>
    <w:p>
      <w:pPr>
        <w:spacing w:after="0" w:line="240"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477" w:lineRule="auto" w:before="44"/>
        <w:ind w:right="152"/>
        <w:jc w:val="both"/>
      </w:pPr>
      <w:r>
        <w:rPr/>
        <w:t>合，提高了员工的归属感和使命意识，以机制留住人才；（</w:t>
      </w:r>
      <w:r>
        <w:rPr>
          <w:rFonts w:ascii="宋体" w:hAnsi="宋体" w:cs="宋体" w:eastAsia="宋体" w:hint="default"/>
        </w:rPr>
        <w:t>2</w:t>
      </w:r>
      <w:r>
        <w:rPr/>
        <w:t>）制订了完善的绩效考核制度，根据绩效提升技术人员薪酬，</w:t>
      </w:r>
      <w:r>
        <w:rPr>
          <w:spacing w:val="-83"/>
        </w:rPr>
        <w:t> </w:t>
      </w:r>
      <w:r>
        <w:rPr>
          <w:spacing w:val="-83"/>
        </w:rPr>
      </w:r>
      <w:r>
        <w:rPr/>
        <w:t>以薪酬留住人才；（</w:t>
      </w:r>
      <w:r>
        <w:rPr>
          <w:rFonts w:ascii="宋体" w:hAnsi="宋体" w:cs="宋体" w:eastAsia="宋体" w:hint="default"/>
        </w:rPr>
        <w:t>3</w:t>
      </w:r>
      <w:r>
        <w:rPr/>
        <w:t>）积极创造良好的企业文化，通过科学管理、文化融合、多重激励和职业生涯培训等方式，以发展留</w:t>
      </w:r>
      <w:r>
        <w:rPr>
          <w:spacing w:val="-83"/>
        </w:rPr>
        <w:t> </w:t>
      </w:r>
      <w:r>
        <w:rPr>
          <w:spacing w:val="-83"/>
        </w:rPr>
      </w:r>
      <w:r>
        <w:rPr/>
        <w:t>住人才。</w:t>
      </w:r>
    </w:p>
    <w:p>
      <w:pPr>
        <w:spacing w:after="0" w:line="477" w:lineRule="auto"/>
        <w:jc w:val="both"/>
        <w:sectPr>
          <w:pgSz w:w="11910" w:h="16840"/>
          <w:pgMar w:header="772" w:footer="1006" w:top="108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1"/>
        <w:spacing w:line="240" w:lineRule="auto"/>
        <w:ind w:right="658"/>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一、管理层讨论与分析</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03" w:firstLine="360"/>
        <w:jc w:val="both"/>
      </w:pPr>
      <w:r>
        <w:rPr>
          <w:rFonts w:ascii="宋体" w:hAnsi="宋体" w:cs="宋体" w:eastAsia="宋体" w:hint="default"/>
          <w:spacing w:val="-2"/>
        </w:rPr>
        <w:t>2012</w:t>
      </w:r>
      <w:r>
        <w:rPr>
          <w:spacing w:val="-2"/>
        </w:rPr>
        <w:t>年度，经济形势的波动给国内企业经营带来一定的影响，但公司所处信息技术业和计算机应用服务业为国家重点扶</w:t>
      </w:r>
      <w:r>
        <w:rPr/>
        <w:t> 持和鼓励发展的战略新兴产业，而且公司所处的商业智能软件和服务这个细分行业也迎来了发展的黄金时期，公司在</w:t>
      </w:r>
      <w:r>
        <w:rPr>
          <w:rFonts w:ascii="宋体" w:hAnsi="宋体" w:cs="宋体" w:eastAsia="宋体" w:hint="default"/>
        </w:rPr>
        <w:t>2012</w:t>
      </w:r>
      <w:r>
        <w:rPr>
          <w:rFonts w:ascii="宋体" w:hAnsi="宋体" w:cs="宋体" w:eastAsia="宋体" w:hint="default"/>
          <w:spacing w:val="-3"/>
        </w:rPr>
        <w:t> </w:t>
      </w:r>
      <w:r>
        <w:rPr>
          <w:rFonts w:ascii="宋体" w:hAnsi="宋体" w:cs="宋体" w:eastAsia="宋体" w:hint="default"/>
          <w:spacing w:val="-3"/>
        </w:rPr>
      </w:r>
      <w:r>
        <w:rPr>
          <w:spacing w:val="-4"/>
        </w:rPr>
        <w:t>年受到外部经营环境的不利影响较小，在公司董事会、管理层和全体员工的共同努力下，公司全年经营业绩保持了平稳增长。</w:t>
      </w:r>
    </w:p>
    <w:p>
      <w:pPr>
        <w:pStyle w:val="BodyText"/>
        <w:spacing w:line="477" w:lineRule="auto" w:before="54"/>
        <w:ind w:right="191" w:firstLine="360"/>
        <w:jc w:val="both"/>
      </w:pPr>
      <w:r>
        <w:rPr>
          <w:spacing w:val="-2"/>
        </w:rPr>
        <w:t>报告期内，公司坚持“着眼大市场，强化技术研发和市场开拓”的工作部署，跟踪和适应市场竞争格局变化，推进品牌</w:t>
      </w:r>
      <w:r>
        <w:rPr/>
        <w:t> </w:t>
      </w:r>
      <w:r>
        <w:rPr>
          <w:spacing w:val="-2"/>
        </w:rPr>
        <w:t>发展战略和市场拓展计划，加快募集资金项目研发进度，巩固在电信行业商业智能领域市场地位，延伸商业智能产业链，拓</w:t>
      </w:r>
      <w:r>
        <w:rPr>
          <w:spacing w:val="-64"/>
        </w:rPr>
        <w:t> </w:t>
      </w:r>
      <w:r>
        <w:rPr>
          <w:spacing w:val="-64"/>
        </w:rPr>
      </w:r>
      <w:r>
        <w:rPr>
          <w:spacing w:val="-2"/>
        </w:rPr>
        <w:t>宽业务范围和市场空间。本年度，公司持续引进和培养高端人才，着力提升技术研发实力；深度挖掘商业智能市场潜力，创</w:t>
      </w:r>
      <w:r>
        <w:rPr>
          <w:spacing w:val="-67"/>
        </w:rPr>
        <w:t> </w:t>
      </w:r>
      <w:r>
        <w:rPr>
          <w:spacing w:val="-67"/>
        </w:rPr>
      </w:r>
      <w:r>
        <w:rPr>
          <w:spacing w:val="-2"/>
        </w:rPr>
        <w:t>新业务模式和培育新的利润增长点；加强对外交流合作，有针对性和前瞻性地拓展非电信行业市场；提炼企业文化，凝聚团</w:t>
      </w:r>
      <w:r>
        <w:rPr>
          <w:spacing w:val="-66"/>
        </w:rPr>
        <w:t> </w:t>
      </w:r>
      <w:r>
        <w:rPr>
          <w:spacing w:val="-66"/>
        </w:rPr>
      </w:r>
      <w:r>
        <w:rPr>
          <w:spacing w:val="-2"/>
        </w:rPr>
        <w:t>队力量；加强管理控制，科学优化管理团队和组织架构，推行事业部制管理体制、预算管理、全员绩效考核，提高公司管理</w:t>
      </w:r>
      <w:r>
        <w:rPr>
          <w:spacing w:val="-68"/>
        </w:rPr>
        <w:t> </w:t>
      </w:r>
      <w:r>
        <w:rPr>
          <w:spacing w:val="-68"/>
        </w:rPr>
      </w:r>
      <w:r>
        <w:rPr/>
        <w:t>运行效率，促进公司实现稳定发展。</w:t>
      </w:r>
    </w:p>
    <w:p>
      <w:pPr>
        <w:pStyle w:val="BodyText"/>
        <w:spacing w:line="240" w:lineRule="auto" w:before="54"/>
        <w:ind w:left="513" w:right="0"/>
        <w:jc w:val="left"/>
      </w:pPr>
      <w:r>
        <w:rPr>
          <w:rFonts w:ascii="宋体" w:hAnsi="宋体" w:cs="宋体" w:eastAsia="宋体" w:hint="default"/>
        </w:rPr>
        <w:t>2012</w:t>
      </w:r>
      <w:r>
        <w:rPr/>
        <w:t>年度，公司在管理层和全体员工共同努力下，稳步实施年度经营计划，实现营业总收入</w:t>
      </w:r>
      <w:r>
        <w:rPr>
          <w:rFonts w:ascii="宋体" w:hAnsi="宋体" w:cs="宋体" w:eastAsia="宋体" w:hint="default"/>
        </w:rPr>
        <w:t>3.13</w:t>
      </w:r>
      <w:r>
        <w:rPr/>
        <w:t>亿元，较上年同期增长</w:t>
      </w:r>
    </w:p>
    <w:p>
      <w:pPr>
        <w:spacing w:line="240" w:lineRule="auto" w:before="10"/>
        <w:rPr>
          <w:rFonts w:ascii="宋体" w:hAnsi="宋体" w:cs="宋体" w:eastAsia="宋体" w:hint="default"/>
          <w:sz w:val="17"/>
          <w:szCs w:val="17"/>
        </w:rPr>
      </w:pPr>
    </w:p>
    <w:p>
      <w:pPr>
        <w:pStyle w:val="BodyText"/>
        <w:spacing w:line="477" w:lineRule="auto"/>
        <w:ind w:right="184"/>
        <w:jc w:val="left"/>
      </w:pPr>
      <w:r>
        <w:rPr>
          <w:rFonts w:ascii="宋体" w:hAnsi="宋体" w:cs="宋体" w:eastAsia="宋体" w:hint="default"/>
        </w:rPr>
        <w:t>75.05%</w:t>
      </w:r>
      <w:r>
        <w:rPr/>
        <w:t>；实现营业利润</w:t>
      </w:r>
      <w:r>
        <w:rPr>
          <w:rFonts w:ascii="宋体" w:hAnsi="宋体" w:cs="宋体" w:eastAsia="宋体" w:hint="default"/>
        </w:rPr>
        <w:t>8,153.46</w:t>
      </w:r>
      <w:r>
        <w:rPr/>
        <w:t>万元</w:t>
      </w:r>
      <w:r>
        <w:rPr>
          <w:rFonts w:ascii="宋体" w:hAnsi="宋体" w:cs="宋体" w:eastAsia="宋体" w:hint="default"/>
        </w:rPr>
        <w:t>,</w:t>
      </w:r>
      <w:r>
        <w:rPr/>
        <w:t>较上年同期增长</w:t>
      </w:r>
      <w:r>
        <w:rPr>
          <w:rFonts w:ascii="宋体" w:hAnsi="宋体" w:cs="宋体" w:eastAsia="宋体" w:hint="default"/>
        </w:rPr>
        <w:t>39.13%</w:t>
      </w:r>
      <w:r>
        <w:rPr/>
        <w:t>；实现利润总额</w:t>
      </w:r>
      <w:r>
        <w:rPr>
          <w:rFonts w:ascii="宋体" w:hAnsi="宋体" w:cs="宋体" w:eastAsia="宋体" w:hint="default"/>
        </w:rPr>
        <w:t>8,376.28</w:t>
      </w:r>
      <w:r>
        <w:rPr/>
        <w:t>万元，较上年同期增长</w:t>
      </w:r>
      <w:r>
        <w:rPr>
          <w:rFonts w:ascii="宋体" w:hAnsi="宋体" w:cs="宋体" w:eastAsia="宋体" w:hint="default"/>
        </w:rPr>
        <w:t>24.26%</w:t>
      </w:r>
      <w:r>
        <w:rPr/>
        <w:t>；实现 归属于上市公司股东的净利润</w:t>
      </w:r>
      <w:r>
        <w:rPr>
          <w:rFonts w:ascii="宋体" w:hAnsi="宋体" w:cs="宋体" w:eastAsia="宋体" w:hint="default"/>
        </w:rPr>
        <w:t>7,075.35</w:t>
      </w:r>
      <w:r>
        <w:rPr/>
        <w:t>万元</w:t>
      </w:r>
      <w:r>
        <w:rPr>
          <w:rFonts w:ascii="宋体" w:hAnsi="宋体" w:cs="宋体" w:eastAsia="宋体" w:hint="default"/>
        </w:rPr>
        <w:t>,</w:t>
      </w:r>
      <w:r>
        <w:rPr/>
        <w:t>较上年同期增长</w:t>
      </w:r>
      <w:r>
        <w:rPr>
          <w:rFonts w:ascii="宋体" w:hAnsi="宋体" w:cs="宋体" w:eastAsia="宋体" w:hint="default"/>
        </w:rPr>
        <w:t>22.90%</w:t>
      </w:r>
      <w:r>
        <w:rPr/>
        <w:t>。</w:t>
      </w:r>
    </w:p>
    <w:p>
      <w:pPr>
        <w:pStyle w:val="BodyText"/>
        <w:spacing w:line="477" w:lineRule="auto" w:before="54"/>
        <w:ind w:left="513" w:right="94"/>
        <w:jc w:val="left"/>
      </w:pPr>
      <w:r>
        <w:rPr/>
        <w:t>报告期内，公司根据年度经营计划，积极推进并落实公司发展战略，重点开展了以下几方面工作： </w:t>
      </w:r>
      <w:r>
        <w:rPr>
          <w:rFonts w:ascii="宋体" w:hAnsi="宋体" w:cs="宋体" w:eastAsia="宋体" w:hint="default"/>
        </w:rPr>
        <w:t>1</w:t>
      </w:r>
      <w:r>
        <w:rPr/>
        <w:t>、强化市场营销职能，努力开拓市场 </w:t>
      </w:r>
      <w:r>
        <w:rPr>
          <w:spacing w:val="-4"/>
        </w:rPr>
        <w:t>本报告期，公司坚持市场为导向，执行项目管理和技术研发服务于市场的方针，推进市场开拓。为了强化市场营销职能，</w:t>
      </w:r>
    </w:p>
    <w:p>
      <w:pPr>
        <w:pStyle w:val="BodyText"/>
        <w:spacing w:line="477" w:lineRule="auto" w:before="54"/>
        <w:ind w:right="94"/>
        <w:jc w:val="left"/>
      </w:pPr>
      <w:r>
        <w:rPr>
          <w:spacing w:val="-2"/>
        </w:rPr>
        <w:t>公司进一步细分市场和分派营销责任，并提高营销人员综合素质，培养服务型和专业型营销队伍，公司市场拓展能力不断提</w:t>
      </w:r>
      <w:r>
        <w:rPr>
          <w:spacing w:val="-63"/>
        </w:rPr>
        <w:t> </w:t>
      </w:r>
      <w:r>
        <w:rPr>
          <w:spacing w:val="-63"/>
        </w:rPr>
      </w:r>
      <w:r>
        <w:rPr>
          <w:spacing w:val="-4"/>
        </w:rPr>
        <w:t>升。</w:t>
      </w:r>
      <w:r>
        <w:rPr>
          <w:rFonts w:ascii="宋体" w:hAnsi="宋体" w:cs="宋体" w:eastAsia="宋体" w:hint="default"/>
          <w:spacing w:val="-4"/>
        </w:rPr>
        <w:t>2012</w:t>
      </w:r>
      <w:r>
        <w:rPr>
          <w:spacing w:val="-4"/>
        </w:rPr>
        <w:t>年度，作为“大数据”服务实践的先行者、数据仓库建设专家、卓越的系统解决方案和服务提供商与</w:t>
      </w:r>
      <w:r>
        <w:rPr>
          <w:rFonts w:ascii="宋体" w:hAnsi="宋体" w:cs="宋体" w:eastAsia="宋体" w:hint="default"/>
          <w:spacing w:val="-4"/>
        </w:rPr>
        <w:t>BI</w:t>
      </w:r>
      <w:r>
        <w:rPr>
          <w:spacing w:val="-4"/>
        </w:rPr>
        <w:t>平台提供商，</w:t>
      </w:r>
      <w:r>
        <w:rPr>
          <w:spacing w:val="-36"/>
        </w:rPr>
        <w:t> </w:t>
      </w:r>
      <w:r>
        <w:rPr>
          <w:spacing w:val="-36"/>
        </w:rPr>
      </w:r>
      <w:r>
        <w:rPr/>
        <w:t>公司积极推进产品创新，深刻理解客户需求及使用感知，电信运营商对公司产品的认可度不断提高，进而合作不断深入。</w:t>
      </w:r>
    </w:p>
    <w:p>
      <w:pPr>
        <w:pStyle w:val="BodyText"/>
        <w:spacing w:line="477" w:lineRule="auto" w:before="54"/>
        <w:ind w:right="94" w:firstLine="360"/>
        <w:jc w:val="left"/>
      </w:pPr>
      <w:r>
        <w:rPr>
          <w:spacing w:val="-2"/>
        </w:rPr>
        <w:t>报告期内，公司在移动市场取得一定突破，主要新增北京移动、陕西移动、河南移动、安徽移动、山西移动等客户，为</w:t>
      </w:r>
      <w:r>
        <w:rPr/>
        <w:t> </w:t>
      </w:r>
      <w:r>
        <w:rPr>
          <w:spacing w:val="-4"/>
        </w:rPr>
        <w:t>公司在中国移动市场业务发展奠定了基础；在移动互联网方面，经过一年的磨练，公司已形成了一支具有一定市场拓展能力、</w:t>
      </w:r>
      <w:r>
        <w:rPr>
          <w:spacing w:val="-44"/>
        </w:rPr>
        <w:t> </w:t>
      </w:r>
      <w:r>
        <w:rPr>
          <w:spacing w:val="-44"/>
        </w:rPr>
      </w:r>
      <w:r>
        <w:rPr/>
        <w:t>创新能力、实施能力的团队，形成了一套精细化运营及流量经营解决方案，并在全国得到有效推广。</w:t>
      </w:r>
    </w:p>
    <w:p>
      <w:pPr>
        <w:pStyle w:val="BodyText"/>
        <w:spacing w:line="477" w:lineRule="auto" w:before="54"/>
        <w:ind w:right="94" w:firstLine="360"/>
        <w:jc w:val="left"/>
      </w:pPr>
      <w:r>
        <w:rPr>
          <w:spacing w:val="-2"/>
        </w:rPr>
        <w:t>非电信行业市场方面，本年度，为适应行业拓展工作需要，公司进一步细化了相关部门的市场营销职能，引入对目标行</w:t>
      </w:r>
      <w:r>
        <w:rPr/>
        <w:t> </w:t>
      </w:r>
      <w:r>
        <w:rPr>
          <w:spacing w:val="-2"/>
        </w:rPr>
        <w:t>业有深入理解的高级人才，按拟拓展的目标行业对相关部门进行了细分，分别配备了技术研发支持、商务合作洽谈、项目管</w:t>
      </w:r>
      <w:r>
        <w:rPr>
          <w:spacing w:val="-62"/>
        </w:rPr>
        <w:t> </w:t>
      </w:r>
      <w:r>
        <w:rPr>
          <w:spacing w:val="-62"/>
        </w:rPr>
      </w:r>
      <w:r>
        <w:rPr/>
        <w:t>理等人员，先后与金融、能源、新闻出版业等行业内企业进行了商谈，已与银联、中航三星人寿保险等企业客户签订合同， 并与目标行业内某些企业达成项目合作意向。本年度实现非电信行业营业收入</w:t>
      </w:r>
      <w:r>
        <w:rPr>
          <w:rFonts w:ascii="宋体" w:hAnsi="宋体" w:cs="宋体" w:eastAsia="宋体" w:hint="default"/>
        </w:rPr>
        <w:t>3,063.25</w:t>
      </w:r>
      <w:r>
        <w:rPr/>
        <w:t>万元，已达到营业总收入近</w:t>
      </w:r>
      <w:r>
        <w:rPr>
          <w:rFonts w:ascii="宋体" w:hAnsi="宋体" w:cs="宋体" w:eastAsia="宋体" w:hint="default"/>
        </w:rPr>
        <w:t>10%</w:t>
      </w:r>
      <w:r>
        <w:rPr/>
        <w:t>的比</w:t>
      </w:r>
    </w:p>
    <w:p>
      <w:pPr>
        <w:spacing w:after="0" w:line="477"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477" w:lineRule="auto" w:before="44"/>
        <w:ind w:right="94"/>
        <w:jc w:val="left"/>
      </w:pPr>
      <w:r>
        <w:rPr>
          <w:spacing w:val="-2"/>
        </w:rPr>
        <w:t>重。因目标行业企业年度投资计划尚未落实及行政审批程序较为复杂，目前合同签署情况未能达到预期，相信随着项目工作</w:t>
      </w:r>
      <w:r>
        <w:rPr>
          <w:spacing w:val="-63"/>
        </w:rPr>
        <w:t> </w:t>
      </w:r>
      <w:r>
        <w:rPr>
          <w:spacing w:val="-63"/>
        </w:rPr>
      </w:r>
      <w:r>
        <w:rPr/>
        <w:t>的落实和逐步深入，后期状况会得到显著改善。</w:t>
      </w:r>
    </w:p>
    <w:p>
      <w:pPr>
        <w:pStyle w:val="BodyText"/>
        <w:spacing w:line="477" w:lineRule="auto" w:before="54"/>
        <w:ind w:left="513" w:right="94"/>
        <w:jc w:val="left"/>
      </w:pPr>
      <w:r>
        <w:rPr>
          <w:rFonts w:ascii="宋体" w:hAnsi="宋体" w:cs="宋体" w:eastAsia="宋体" w:hint="default"/>
        </w:rPr>
        <w:t>2</w:t>
      </w:r>
      <w:r>
        <w:rPr/>
        <w:t>、抢抓市场机遇，延伸和拓宽产业链 </w:t>
      </w:r>
      <w:r>
        <w:rPr>
          <w:spacing w:val="-2"/>
        </w:rPr>
        <w:t>电信行业为降低其运营成本，目前正在向业务外包、服务外包、运维外包方向发展，公司的电信运营业务正是在此种背</w:t>
      </w:r>
    </w:p>
    <w:p>
      <w:pPr>
        <w:pStyle w:val="BodyText"/>
        <w:spacing w:line="477" w:lineRule="auto" w:before="54"/>
        <w:ind w:right="94"/>
        <w:jc w:val="left"/>
      </w:pPr>
      <w:r>
        <w:rPr>
          <w:spacing w:val="-4"/>
        </w:rPr>
        <w:t>景下产生，并处于行业领先地位。报告期内，公司投资新设了吉林子公司、四川子公司和北京子公司，进一步整合业务资源，</w:t>
      </w:r>
      <w:r>
        <w:rPr>
          <w:spacing w:val="-43"/>
        </w:rPr>
        <w:t> </w:t>
      </w:r>
      <w:r>
        <w:rPr>
          <w:spacing w:val="-43"/>
        </w:rPr>
      </w:r>
      <w:r>
        <w:rPr>
          <w:spacing w:val="-2"/>
        </w:rPr>
        <w:t>形成了以中国电信和中国联通为主的运营体系，扩大了电信运营业务规模。公司充分利用现有资源和成熟技术优势，深度分</w:t>
      </w:r>
      <w:r>
        <w:rPr>
          <w:spacing w:val="-63"/>
        </w:rPr>
        <w:t> </w:t>
      </w:r>
      <w:r>
        <w:rPr>
          <w:spacing w:val="-63"/>
        </w:rPr>
      </w:r>
      <w:r>
        <w:rPr/>
        <w:t>析市场环境，挖掘市场潜力，开展多种创新型业务模式，为公司持续稳定发展奠定了扎实基础。</w:t>
      </w:r>
    </w:p>
    <w:p>
      <w:pPr>
        <w:pStyle w:val="BodyText"/>
        <w:spacing w:line="477" w:lineRule="auto" w:before="54"/>
        <w:ind w:left="513" w:right="94"/>
        <w:jc w:val="left"/>
      </w:pPr>
      <w:r>
        <w:rPr>
          <w:rFonts w:ascii="宋体" w:hAnsi="宋体" w:cs="宋体" w:eastAsia="宋体" w:hint="default"/>
        </w:rPr>
        <w:t>3</w:t>
      </w:r>
      <w:r>
        <w:rPr/>
        <w:t>、坚持执行“强研发”部署，不断提高研发创新能力 </w:t>
      </w:r>
      <w:r>
        <w:rPr>
          <w:spacing w:val="-2"/>
        </w:rPr>
        <w:t>本报告期，公司加大研发投入，着重高端技术人才培养和引进，加强研发团队建设，持续提升公司技术研发实力，使公</w:t>
      </w:r>
    </w:p>
    <w:p>
      <w:pPr>
        <w:pStyle w:val="BodyText"/>
        <w:spacing w:line="477" w:lineRule="auto" w:before="54"/>
        <w:ind w:right="190"/>
        <w:jc w:val="both"/>
      </w:pPr>
      <w:r>
        <w:rPr>
          <w:spacing w:val="-2"/>
        </w:rPr>
        <w:t>司项目研发进度和市场竞争优势得到了进一步提高。报告期内公司坚持科学决策、合理规范、高效高质的原则，稳步有序推</w:t>
      </w:r>
      <w:r>
        <w:rPr>
          <w:spacing w:val="-63"/>
        </w:rPr>
        <w:t> </w:t>
      </w:r>
      <w:r>
        <w:rPr>
          <w:spacing w:val="-63"/>
        </w:rPr>
      </w:r>
      <w:r>
        <w:rPr/>
        <w:t>进重点产品研发项目，</w:t>
      </w:r>
      <w:r>
        <w:rPr>
          <w:rFonts w:ascii="宋体" w:hAnsi="宋体" w:cs="宋体" w:eastAsia="宋体" w:hint="default"/>
        </w:rPr>
        <w:t>2012</w:t>
      </w:r>
      <w:r>
        <w:rPr/>
        <w:t>年度公司研发投入</w:t>
      </w:r>
      <w:r>
        <w:rPr>
          <w:rFonts w:ascii="宋体" w:hAnsi="宋体" w:cs="宋体" w:eastAsia="宋体" w:hint="default"/>
        </w:rPr>
        <w:t>7,904.82</w:t>
      </w:r>
      <w:r>
        <w:rPr/>
        <w:t>万元，占营业总收入的</w:t>
      </w:r>
      <w:r>
        <w:rPr>
          <w:rFonts w:ascii="宋体" w:hAnsi="宋体" w:cs="宋体" w:eastAsia="宋体" w:hint="default"/>
        </w:rPr>
        <w:t>25.25%</w:t>
      </w:r>
      <w:r>
        <w:rPr/>
        <w:t>，比去年同期增长</w:t>
      </w:r>
      <w:r>
        <w:rPr>
          <w:rFonts w:ascii="宋体" w:hAnsi="宋体" w:cs="宋体" w:eastAsia="宋体" w:hint="default"/>
        </w:rPr>
        <w:t>108.17%</w:t>
      </w:r>
      <w:r>
        <w:rPr/>
        <w:t>；截止本报 告日，公司已取得登记证书的软件著作权</w:t>
      </w:r>
      <w:r>
        <w:rPr>
          <w:rFonts w:ascii="宋体" w:hAnsi="宋体" w:cs="宋体" w:eastAsia="宋体" w:hint="default"/>
        </w:rPr>
        <w:t>57</w:t>
      </w:r>
      <w:r>
        <w:rPr/>
        <w:t>项，其中</w:t>
      </w:r>
      <w:r>
        <w:rPr>
          <w:rFonts w:ascii="宋体" w:hAnsi="宋体" w:cs="宋体" w:eastAsia="宋体" w:hint="default"/>
        </w:rPr>
        <w:t>2012</w:t>
      </w:r>
      <w:r>
        <w:rPr/>
        <w:t>年度新增</w:t>
      </w:r>
      <w:r>
        <w:rPr>
          <w:rFonts w:ascii="宋体" w:hAnsi="宋体" w:cs="宋体" w:eastAsia="宋体" w:hint="default"/>
        </w:rPr>
        <w:t>24</w:t>
      </w:r>
      <w:r>
        <w:rPr/>
        <w:t>项。</w:t>
      </w:r>
    </w:p>
    <w:p>
      <w:pPr>
        <w:pStyle w:val="BodyText"/>
        <w:spacing w:line="477" w:lineRule="auto" w:before="54"/>
        <w:ind w:right="192" w:firstLine="360"/>
        <w:jc w:val="both"/>
      </w:pPr>
      <w:r>
        <w:rPr>
          <w:spacing w:val="-2"/>
        </w:rPr>
        <w:t>募集资金项目方面，报告期内公司完成了商业智能应用构建工具项目和探索式数据分析及应用平台项目研发工作，取得</w:t>
      </w:r>
      <w:r>
        <w:rPr/>
        <w:t> </w:t>
      </w:r>
      <w:r>
        <w:rPr>
          <w:spacing w:val="-2"/>
        </w:rPr>
        <w:t>了相关的软件著作权登记证书，商业智能应用构建工具和探索式数据分析及应用平台已投入使用，进一步完善了公司产品结</w:t>
      </w:r>
      <w:r>
        <w:rPr>
          <w:spacing w:val="-64"/>
        </w:rPr>
        <w:t> </w:t>
      </w:r>
      <w:r>
        <w:rPr>
          <w:spacing w:val="-64"/>
        </w:rPr>
      </w:r>
      <w:r>
        <w:rPr/>
        <w:t>构，提升了公司产品竞争力。</w:t>
      </w:r>
    </w:p>
    <w:p>
      <w:pPr>
        <w:pStyle w:val="BodyText"/>
        <w:spacing w:line="477" w:lineRule="auto" w:before="54"/>
        <w:ind w:left="513" w:right="94"/>
        <w:jc w:val="left"/>
      </w:pPr>
      <w:r>
        <w:rPr>
          <w:rFonts w:ascii="宋体" w:hAnsi="宋体" w:cs="宋体" w:eastAsia="宋体" w:hint="default"/>
        </w:rPr>
        <w:t>4</w:t>
      </w:r>
      <w:r>
        <w:rPr/>
        <w:t>、企业资质升级，综合实力大幅提高 </w:t>
      </w:r>
      <w:r>
        <w:rPr>
          <w:spacing w:val="-2"/>
        </w:rPr>
        <w:t>报告期内，公司积极开展计算机系统集成二级资质、</w:t>
      </w:r>
      <w:r>
        <w:rPr>
          <w:rFonts w:ascii="宋体" w:hAnsi="宋体" w:cs="宋体" w:eastAsia="宋体" w:hint="default"/>
          <w:spacing w:val="-2"/>
        </w:rPr>
        <w:t>CMMI</w:t>
      </w:r>
      <w:r>
        <w:rPr>
          <w:spacing w:val="-2"/>
        </w:rPr>
        <w:t>三级资质、北京市企业技术中心等认证、认定申报工作，截止</w:t>
      </w:r>
    </w:p>
    <w:p>
      <w:pPr>
        <w:pStyle w:val="BodyText"/>
        <w:spacing w:line="477" w:lineRule="auto" w:before="54"/>
        <w:ind w:right="94"/>
        <w:jc w:val="left"/>
      </w:pPr>
      <w:r>
        <w:rPr>
          <w:spacing w:val="-2"/>
        </w:rPr>
        <w:t>本报告日，已顺利通过计算机系统集成二级资质和</w:t>
      </w:r>
      <w:r>
        <w:rPr>
          <w:rFonts w:ascii="宋体" w:hAnsi="宋体" w:cs="宋体" w:eastAsia="宋体" w:hint="default"/>
          <w:spacing w:val="-2"/>
        </w:rPr>
        <w:t>CMMI</w:t>
      </w:r>
      <w:r>
        <w:rPr>
          <w:spacing w:val="-2"/>
        </w:rPr>
        <w:t>三级资质认证，公司软件开发能力和项目管理能力均得到权威部门认</w:t>
      </w:r>
      <w:r>
        <w:rPr>
          <w:spacing w:val="-61"/>
        </w:rPr>
        <w:t> </w:t>
      </w:r>
      <w:r>
        <w:rPr>
          <w:spacing w:val="-61"/>
        </w:rPr>
      </w:r>
      <w:r>
        <w:rPr/>
        <w:t>可，公司综合实力显著提升。截至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日，公司已取得资质证书如下：</w:t>
      </w:r>
    </w:p>
    <w:p>
      <w:pPr>
        <w:spacing w:line="240" w:lineRule="auto" w:before="5"/>
        <w:rPr>
          <w:rFonts w:ascii="宋体" w:hAnsi="宋体" w:cs="宋体" w:eastAsia="宋体" w:hint="default"/>
          <w:sz w:val="9"/>
          <w:szCs w:val="9"/>
        </w:rPr>
      </w:pPr>
    </w:p>
    <w:tbl>
      <w:tblPr>
        <w:tblW w:w="0" w:type="auto"/>
        <w:jc w:val="left"/>
        <w:tblInd w:w="1165" w:type="dxa"/>
        <w:tblLayout w:type="fixed"/>
        <w:tblCellMar>
          <w:top w:w="0" w:type="dxa"/>
          <w:left w:w="0" w:type="dxa"/>
          <w:bottom w:w="0" w:type="dxa"/>
          <w:right w:w="0" w:type="dxa"/>
        </w:tblCellMar>
        <w:tblLook w:val="01E0"/>
      </w:tblPr>
      <w:tblGrid>
        <w:gridCol w:w="4753"/>
        <w:gridCol w:w="2847"/>
      </w:tblGrid>
      <w:tr>
        <w:trPr>
          <w:trHeight w:val="499" w:hRule="exact"/>
        </w:trPr>
        <w:tc>
          <w:tcPr>
            <w:tcW w:w="475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7"/>
              <w:ind w:left="360" w:right="0"/>
              <w:jc w:val="center"/>
              <w:rPr>
                <w:rFonts w:ascii="宋体" w:hAnsi="宋体" w:cs="宋体" w:eastAsia="宋体" w:hint="default"/>
                <w:sz w:val="18"/>
                <w:szCs w:val="18"/>
              </w:rPr>
            </w:pPr>
            <w:r>
              <w:rPr>
                <w:rFonts w:ascii="宋体" w:hAnsi="宋体" w:cs="宋体" w:eastAsia="宋体" w:hint="default"/>
                <w:sz w:val="18"/>
                <w:szCs w:val="18"/>
              </w:rPr>
              <w:t>证书名称</w:t>
            </w:r>
          </w:p>
        </w:tc>
        <w:tc>
          <w:tcPr>
            <w:tcW w:w="28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7"/>
              <w:ind w:left="1236" w:right="0"/>
              <w:jc w:val="left"/>
              <w:rPr>
                <w:rFonts w:ascii="宋体" w:hAnsi="宋体" w:cs="宋体" w:eastAsia="宋体" w:hint="default"/>
                <w:sz w:val="18"/>
                <w:szCs w:val="18"/>
              </w:rPr>
            </w:pPr>
            <w:r>
              <w:rPr>
                <w:rFonts w:ascii="宋体" w:hAnsi="宋体" w:cs="宋体" w:eastAsia="宋体" w:hint="default"/>
                <w:sz w:val="18"/>
                <w:szCs w:val="18"/>
              </w:rPr>
              <w:t>颁发时间</w:t>
            </w:r>
          </w:p>
        </w:tc>
      </w:tr>
      <w:tr>
        <w:trPr>
          <w:trHeight w:val="506" w:hRule="exact"/>
        </w:trPr>
        <w:tc>
          <w:tcPr>
            <w:tcW w:w="475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7"/>
              <w:ind w:left="362" w:right="0"/>
              <w:jc w:val="left"/>
              <w:rPr>
                <w:rFonts w:ascii="宋体" w:hAnsi="宋体" w:cs="宋体" w:eastAsia="宋体" w:hint="default"/>
                <w:sz w:val="18"/>
                <w:szCs w:val="18"/>
              </w:rPr>
            </w:pPr>
            <w:r>
              <w:rPr>
                <w:rFonts w:ascii="宋体" w:hAnsi="宋体" w:cs="宋体" w:eastAsia="宋体" w:hint="default"/>
                <w:sz w:val="18"/>
                <w:szCs w:val="18"/>
              </w:rPr>
              <w:t>计算机信息系统集成企业资质书正本（二级）</w:t>
            </w:r>
          </w:p>
        </w:tc>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02"/>
              <w:jc w:val="right"/>
              <w:rPr>
                <w:rFonts w:ascii="宋体" w:hAnsi="宋体" w:cs="宋体" w:eastAsia="宋体" w:hint="default"/>
                <w:sz w:val="18"/>
                <w:szCs w:val="18"/>
              </w:rPr>
            </w:pPr>
            <w:r>
              <w:rPr>
                <w:rFonts w:ascii="宋体" w:hAnsi="宋体" w:cs="宋体" w:eastAsia="宋体" w:hint="default"/>
                <w:spacing w:val="-1"/>
                <w:sz w:val="18"/>
                <w:szCs w:val="18"/>
              </w:rPr>
              <w:t>2012</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w:t>
            </w:r>
            <w:r>
              <w:rPr>
                <w:rFonts w:ascii="宋体" w:hAnsi="宋体" w:cs="宋体" w:eastAsia="宋体" w:hint="default"/>
                <w:spacing w:val="-1"/>
                <w:sz w:val="18"/>
                <w:szCs w:val="18"/>
              </w:rPr>
              <w:t>21</w:t>
            </w:r>
            <w:r>
              <w:rPr>
                <w:rFonts w:ascii="宋体" w:hAnsi="宋体" w:cs="宋体" w:eastAsia="宋体" w:hint="default"/>
                <w:spacing w:val="-1"/>
                <w:sz w:val="18"/>
                <w:szCs w:val="18"/>
              </w:rPr>
              <w:t>日</w:t>
            </w:r>
          </w:p>
        </w:tc>
      </w:tr>
      <w:tr>
        <w:trPr>
          <w:trHeight w:val="504" w:hRule="exact"/>
        </w:trPr>
        <w:tc>
          <w:tcPr>
            <w:tcW w:w="4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6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691"/>
              <w:jc w:val="right"/>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r>
      <w:tr>
        <w:trPr>
          <w:trHeight w:val="502" w:hRule="exact"/>
        </w:trPr>
        <w:tc>
          <w:tcPr>
            <w:tcW w:w="4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362" w:right="0"/>
              <w:jc w:val="left"/>
              <w:rPr>
                <w:rFonts w:ascii="宋体" w:hAnsi="宋体" w:cs="宋体" w:eastAsia="宋体" w:hint="default"/>
                <w:sz w:val="18"/>
                <w:szCs w:val="18"/>
              </w:rPr>
            </w:pPr>
            <w:r>
              <w:rPr>
                <w:rFonts w:ascii="宋体" w:hAnsi="宋体" w:cs="宋体" w:eastAsia="宋体" w:hint="default"/>
                <w:sz w:val="18"/>
                <w:szCs w:val="18"/>
              </w:rPr>
              <w:t>ISO9001</w:t>
            </w:r>
            <w:r>
              <w:rPr>
                <w:rFonts w:ascii="宋体" w:hAnsi="宋体" w:cs="宋体" w:eastAsia="宋体" w:hint="default"/>
                <w:sz w:val="18"/>
                <w:szCs w:val="18"/>
              </w:rPr>
              <w:t>质量管理体系认证证书</w:t>
            </w:r>
          </w:p>
        </w:tc>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602"/>
              <w:jc w:val="right"/>
              <w:rPr>
                <w:rFonts w:ascii="宋体" w:hAnsi="宋体" w:cs="宋体" w:eastAsia="宋体" w:hint="default"/>
                <w:sz w:val="18"/>
                <w:szCs w:val="18"/>
              </w:rPr>
            </w:pPr>
            <w:r>
              <w:rPr>
                <w:rFonts w:ascii="宋体" w:hAnsi="宋体" w:cs="宋体" w:eastAsia="宋体" w:hint="default"/>
                <w:spacing w:val="-1"/>
                <w:sz w:val="18"/>
                <w:szCs w:val="18"/>
              </w:rPr>
              <w:t>2009</w:t>
            </w:r>
            <w:r>
              <w:rPr>
                <w:rFonts w:ascii="宋体" w:hAnsi="宋体" w:cs="宋体" w:eastAsia="宋体" w:hint="default"/>
                <w:spacing w:val="-1"/>
                <w:sz w:val="18"/>
                <w:szCs w:val="18"/>
              </w:rPr>
              <w:t>年</w:t>
            </w:r>
            <w:r>
              <w:rPr>
                <w:rFonts w:ascii="宋体" w:hAnsi="宋体" w:cs="宋体" w:eastAsia="宋体" w:hint="default"/>
                <w:spacing w:val="-1"/>
                <w:sz w:val="18"/>
                <w:szCs w:val="18"/>
              </w:rPr>
              <w:t>10</w:t>
            </w:r>
            <w:r>
              <w:rPr>
                <w:rFonts w:ascii="宋体" w:hAnsi="宋体" w:cs="宋体" w:eastAsia="宋体" w:hint="default"/>
                <w:spacing w:val="-1"/>
                <w:sz w:val="18"/>
                <w:szCs w:val="18"/>
              </w:rPr>
              <w:t>月</w:t>
            </w:r>
            <w:r>
              <w:rPr>
                <w:rFonts w:ascii="宋体" w:hAnsi="宋体" w:cs="宋体" w:eastAsia="宋体" w:hint="default"/>
                <w:spacing w:val="-1"/>
                <w:sz w:val="18"/>
                <w:szCs w:val="18"/>
              </w:rPr>
              <w:t>30</w:t>
            </w:r>
            <w:r>
              <w:rPr>
                <w:rFonts w:ascii="宋体" w:hAnsi="宋体" w:cs="宋体" w:eastAsia="宋体" w:hint="default"/>
                <w:spacing w:val="-1"/>
                <w:sz w:val="18"/>
                <w:szCs w:val="18"/>
              </w:rPr>
              <w:t>日</w:t>
            </w:r>
          </w:p>
        </w:tc>
      </w:tr>
      <w:tr>
        <w:trPr>
          <w:trHeight w:val="504" w:hRule="exact"/>
        </w:trPr>
        <w:tc>
          <w:tcPr>
            <w:tcW w:w="4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62"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647"/>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r>
      <w:tr>
        <w:trPr>
          <w:trHeight w:val="502" w:hRule="exact"/>
        </w:trPr>
        <w:tc>
          <w:tcPr>
            <w:tcW w:w="4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362" w:right="0"/>
              <w:jc w:val="left"/>
              <w:rPr>
                <w:rFonts w:ascii="宋体" w:hAnsi="宋体" w:cs="宋体" w:eastAsia="宋体" w:hint="default"/>
                <w:sz w:val="18"/>
                <w:szCs w:val="18"/>
              </w:rPr>
            </w:pPr>
            <w:r>
              <w:rPr>
                <w:rFonts w:ascii="宋体" w:hAnsi="宋体" w:cs="宋体" w:eastAsia="宋体" w:hint="default"/>
                <w:sz w:val="18"/>
                <w:szCs w:val="18"/>
              </w:rPr>
              <w:t>中关村高新技术企业</w:t>
            </w:r>
          </w:p>
        </w:tc>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64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r>
      <w:tr>
        <w:trPr>
          <w:trHeight w:val="504" w:hRule="exact"/>
        </w:trPr>
        <w:tc>
          <w:tcPr>
            <w:tcW w:w="4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62" w:right="0"/>
              <w:jc w:val="left"/>
              <w:rPr>
                <w:rFonts w:ascii="宋体" w:hAnsi="宋体" w:cs="宋体" w:eastAsia="宋体" w:hint="default"/>
                <w:sz w:val="18"/>
                <w:szCs w:val="18"/>
              </w:rPr>
            </w:pPr>
            <w:r>
              <w:rPr>
                <w:rFonts w:ascii="宋体" w:hAnsi="宋体" w:cs="宋体" w:eastAsia="宋体" w:hint="default"/>
                <w:sz w:val="18"/>
                <w:szCs w:val="18"/>
              </w:rPr>
              <w:t>CMMI Level 3</w:t>
            </w:r>
            <w:r>
              <w:rPr>
                <w:rFonts w:ascii="宋体" w:hAnsi="宋体" w:cs="宋体" w:eastAsia="宋体" w:hint="default"/>
                <w:spacing w:val="-5"/>
                <w:sz w:val="18"/>
                <w:szCs w:val="18"/>
              </w:rPr>
              <w:t> </w:t>
            </w:r>
            <w:r>
              <w:rPr>
                <w:rFonts w:ascii="宋体" w:hAnsi="宋体" w:cs="宋体" w:eastAsia="宋体" w:hint="default"/>
                <w:sz w:val="18"/>
                <w:szCs w:val="18"/>
              </w:rPr>
              <w:t>(</w:t>
            </w:r>
            <w:r>
              <w:rPr>
                <w:rFonts w:ascii="宋体" w:hAnsi="宋体" w:cs="宋体" w:eastAsia="宋体" w:hint="default"/>
                <w:sz w:val="18"/>
                <w:szCs w:val="18"/>
              </w:rPr>
              <w:t>软件能力成熟度模型集成定义级</w:t>
            </w:r>
            <w:r>
              <w:rPr>
                <w:rFonts w:ascii="宋体" w:hAnsi="宋体" w:cs="宋体" w:eastAsia="宋体" w:hint="default"/>
                <w:sz w:val="18"/>
                <w:szCs w:val="18"/>
              </w:rPr>
              <w:t>)</w:t>
            </w:r>
          </w:p>
        </w:tc>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691"/>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p>
        </w:tc>
      </w:tr>
    </w:tbl>
    <w:p>
      <w:pPr>
        <w:spacing w:line="240" w:lineRule="auto" w:before="3"/>
        <w:rPr>
          <w:rFonts w:ascii="宋体" w:hAnsi="宋体" w:cs="宋体" w:eastAsia="宋体" w:hint="default"/>
          <w:sz w:val="15"/>
          <w:szCs w:val="15"/>
        </w:rPr>
      </w:pPr>
    </w:p>
    <w:p>
      <w:pPr>
        <w:pStyle w:val="BodyText"/>
        <w:spacing w:line="477" w:lineRule="auto" w:before="44"/>
        <w:ind w:left="513" w:right="94"/>
        <w:jc w:val="left"/>
      </w:pPr>
      <w:r>
        <w:rPr>
          <w:rFonts w:ascii="宋体" w:hAnsi="宋体" w:cs="宋体" w:eastAsia="宋体" w:hint="default"/>
        </w:rPr>
        <w:t>5</w:t>
      </w:r>
      <w:r>
        <w:rPr/>
        <w:t>、梳理组织架构，全面实行事业部制管理 </w:t>
      </w:r>
      <w:r>
        <w:rPr>
          <w:spacing w:val="-2"/>
        </w:rPr>
        <w:t>随着公司规模扩张，业务类别不断增加，市场和客户群体趋于多样化，为搭建适应公司发展的组织管理体系，公司本年</w:t>
      </w:r>
    </w:p>
    <w:p>
      <w:pPr>
        <w:spacing w:after="0" w:line="477"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477" w:lineRule="auto" w:before="44"/>
        <w:ind w:right="189"/>
        <w:jc w:val="both"/>
      </w:pPr>
      <w:r>
        <w:rPr>
          <w:spacing w:val="-2"/>
        </w:rPr>
        <w:t>度全面梳理组织架构，划分了面向电信运营商、移动互联网、电信业务运营及非电信行业的四大事业部体系，进一步明确了</w:t>
      </w:r>
      <w:r>
        <w:rPr>
          <w:spacing w:val="-65"/>
        </w:rPr>
        <w:t> </w:t>
      </w:r>
      <w:r>
        <w:rPr>
          <w:spacing w:val="-65"/>
        </w:rPr>
      </w:r>
      <w:r>
        <w:rPr>
          <w:spacing w:val="-2"/>
        </w:rPr>
        <w:t>责权利划分，调动了经营管理人员的积极性；同时使公司最高领导层摆脱了常规的经营活动，从而投入更多的精力用于企业</w:t>
      </w:r>
      <w:r>
        <w:rPr>
          <w:spacing w:val="-62"/>
        </w:rPr>
        <w:t> </w:t>
      </w:r>
      <w:r>
        <w:rPr>
          <w:spacing w:val="-62"/>
        </w:rPr>
      </w:r>
      <w:r>
        <w:rPr/>
        <w:t>的战略性决策。</w:t>
      </w:r>
    </w:p>
    <w:p>
      <w:pPr>
        <w:pStyle w:val="BodyText"/>
        <w:spacing w:line="477" w:lineRule="auto" w:before="54"/>
        <w:ind w:left="513" w:right="94"/>
        <w:jc w:val="left"/>
      </w:pPr>
      <w:r>
        <w:rPr>
          <w:rFonts w:ascii="宋体" w:hAnsi="宋体" w:cs="宋体" w:eastAsia="宋体" w:hint="default"/>
        </w:rPr>
        <w:t>6</w:t>
      </w:r>
      <w:r>
        <w:rPr/>
        <w:t>、重塑企业文化，统一思想，凝聚力量 </w:t>
      </w:r>
      <w:r>
        <w:rPr>
          <w:spacing w:val="-2"/>
        </w:rPr>
        <w:t>随着公司快速扩张，大量新员工入职，企业文化被逐渐稀释，进一步强化企业文化建设、传播、灌输和植入成为提升企</w:t>
      </w:r>
    </w:p>
    <w:p>
      <w:pPr>
        <w:pStyle w:val="BodyText"/>
        <w:spacing w:line="477" w:lineRule="auto" w:before="54"/>
        <w:ind w:right="94"/>
        <w:jc w:val="left"/>
      </w:pPr>
      <w:r>
        <w:rPr/>
        <w:t>业凝聚力和执行力的必要举措。报告期内，公司进一步深化企业文化建设，总结多年沉淀下来的优秀经营智慧和管理思想， </w:t>
      </w:r>
      <w:r>
        <w:rPr>
          <w:spacing w:val="-2"/>
        </w:rPr>
        <w:t>对公司企业文化进行提炼和重塑，强调文化融合，统一思想，提高员工归属感和责任感，增强企业凝聚力，激发促进公司持</w:t>
      </w:r>
      <w:r>
        <w:rPr>
          <w:spacing w:val="-67"/>
        </w:rPr>
        <w:t> </w:t>
      </w:r>
      <w:r>
        <w:rPr>
          <w:spacing w:val="-67"/>
        </w:rPr>
      </w:r>
      <w:r>
        <w:rPr/>
        <w:t>续发展、协调发展的内在动力。对于本公司重塑的企业文化体系说明如下：</w:t>
      </w:r>
    </w:p>
    <w:p>
      <w:pPr>
        <w:pStyle w:val="BodyText"/>
        <w:tabs>
          <w:tab w:pos="7039" w:val="left" w:leader="none"/>
        </w:tabs>
        <w:spacing w:line="278" w:lineRule="auto" w:before="31"/>
        <w:ind w:left="513" w:right="2764"/>
        <w:jc w:val="left"/>
      </w:pPr>
      <w:r>
        <w:rPr/>
        <w:pict>
          <v:shape style="position:absolute;margin-left:280.899994pt;margin-top:31.650005pt;width:120pt;height:23.149994pt;mso-position-horizontal-relative:page;mso-position-vertical-relative:paragraph;z-index:-876736" type="#_x0000_t75" stroked="false">
            <v:imagedata r:id="rId13" o:title=""/>
          </v:shape>
        </w:pict>
      </w:r>
      <w:r>
        <w:rPr>
          <w:spacing w:val="-1"/>
        </w:rPr>
        <w:t>企业标志变更，原标志：</w:t>
      </w:r>
      <w:r>
        <w:rPr>
          <w:spacing w:val="-80"/>
        </w:rPr>
        <w:t> </w:t>
      </w:r>
      <w:r>
        <w:rPr>
          <w:spacing w:val="-1"/>
        </w:rPr>
        <w:drawing>
          <wp:inline distT="0" distB="0" distL="0" distR="0">
            <wp:extent cx="676275" cy="676275"/>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4" cstate="print"/>
                    <a:stretch>
                      <a:fillRect/>
                    </a:stretch>
                  </pic:blipFill>
                  <pic:spPr>
                    <a:xfrm>
                      <a:off x="0" y="0"/>
                      <a:ext cx="676275" cy="676275"/>
                    </a:xfrm>
                    <a:prstGeom prst="rect">
                      <a:avLst/>
                    </a:prstGeom>
                  </pic:spPr>
                </pic:pic>
              </a:graphicData>
            </a:graphic>
          </wp:inline>
        </w:drawing>
      </w:r>
      <w:r>
        <w:rPr>
          <w:spacing w:val="-1"/>
        </w:rPr>
      </w:r>
      <w:r>
        <w:rPr/>
        <w:t>；最新标志：</w:t>
        <w:tab/>
        <w:t>；</w:t>
      </w:r>
      <w:r>
        <w:rPr/>
        <w:t> 企业愿景：让数据改变工作与生活</w:t>
      </w:r>
    </w:p>
    <w:p>
      <w:pPr>
        <w:spacing w:line="240" w:lineRule="auto" w:before="7"/>
        <w:rPr>
          <w:rFonts w:ascii="宋体" w:hAnsi="宋体" w:cs="宋体" w:eastAsia="宋体" w:hint="default"/>
          <w:sz w:val="15"/>
          <w:szCs w:val="15"/>
        </w:rPr>
      </w:pPr>
    </w:p>
    <w:p>
      <w:pPr>
        <w:pStyle w:val="BodyText"/>
        <w:spacing w:line="477" w:lineRule="auto"/>
        <w:ind w:left="513" w:right="4593"/>
        <w:jc w:val="left"/>
      </w:pPr>
      <w:r>
        <w:rPr/>
        <w:t>企业使命：最优产品，最佳服务，打造商业智能领域民族品牌 企业精神：专注、智慧、自省、包容</w:t>
      </w:r>
    </w:p>
    <w:p>
      <w:pPr>
        <w:pStyle w:val="BodyText"/>
        <w:spacing w:line="240" w:lineRule="auto" w:before="54"/>
        <w:ind w:left="513" w:right="94"/>
        <w:jc w:val="left"/>
      </w:pPr>
      <w:r>
        <w:rPr/>
        <w:t>企业核心价值观：坚韧执着积累创新，至诚守信成就客户，艰苦奋斗分享成果，拥抱变化超越自我。</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94"/>
        <w:jc w:val="left"/>
        <w:rPr>
          <w:b w:val="0"/>
          <w:bCs w:val="0"/>
        </w:rPr>
      </w:pPr>
      <w:r>
        <w:rPr/>
        <w:t>二、报告期内主要经营情况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说明</w:t>
      </w:r>
    </w:p>
    <w:p>
      <w:pPr>
        <w:spacing w:line="240" w:lineRule="auto" w:before="11"/>
        <w:rPr>
          <w:rFonts w:ascii="宋体" w:hAnsi="宋体" w:cs="宋体" w:eastAsia="宋体" w:hint="default"/>
          <w:sz w:val="14"/>
          <w:szCs w:val="14"/>
        </w:rPr>
      </w:pPr>
    </w:p>
    <w:p>
      <w:pPr>
        <w:pStyle w:val="BodyText"/>
        <w:spacing w:line="477" w:lineRule="auto"/>
        <w:ind w:right="107" w:firstLine="482"/>
        <w:jc w:val="both"/>
      </w:pPr>
      <w:r>
        <w:rPr/>
        <w:t>本报告期，公司业务规模持续扩大，实现营业总收入</w:t>
      </w:r>
      <w:r>
        <w:rPr>
          <w:rFonts w:ascii="宋体" w:hAnsi="宋体" w:cs="宋体" w:eastAsia="宋体" w:hint="default"/>
        </w:rPr>
        <w:t>31,300.32</w:t>
      </w:r>
      <w:r>
        <w:rPr/>
        <w:t>万元，同比增长</w:t>
      </w:r>
      <w:r>
        <w:rPr>
          <w:rFonts w:ascii="宋体" w:hAnsi="宋体" w:cs="宋体" w:eastAsia="宋体" w:hint="default"/>
        </w:rPr>
        <w:t>75.05%</w:t>
      </w:r>
      <w:r>
        <w:rPr/>
        <w:t>；报告期内，公司努力开拓非 电信行业市场，营业总收入中非电信行业收入占比上升到</w:t>
      </w:r>
      <w:r>
        <w:rPr>
          <w:rFonts w:ascii="宋体" w:hAnsi="宋体" w:cs="宋体" w:eastAsia="宋体" w:hint="default"/>
        </w:rPr>
        <w:t>9.79%</w:t>
      </w:r>
      <w:r>
        <w:rPr/>
        <w:t>；公司经营的软件产品主要包括</w:t>
      </w:r>
      <w:r>
        <w:rPr>
          <w:spacing w:val="-47"/>
        </w:rPr>
        <w:t> </w:t>
      </w:r>
      <w:r>
        <w:rPr/>
        <w:t>“企业数据平台”、“数据</w:t>
      </w:r>
      <w:r>
        <w:rPr/>
        <w:t> </w:t>
      </w:r>
      <w:r>
        <w:rPr>
          <w:spacing w:val="-5"/>
        </w:rPr>
        <w:t>分析平台”和“基于</w:t>
      </w:r>
      <w:r>
        <w:rPr>
          <w:rFonts w:ascii="宋体" w:hAnsi="宋体" w:cs="宋体" w:eastAsia="宋体" w:hint="default"/>
          <w:spacing w:val="-5"/>
        </w:rPr>
        <w:t>BI</w:t>
      </w:r>
      <w:r>
        <w:rPr>
          <w:spacing w:val="-5"/>
        </w:rPr>
        <w:t>的</w:t>
      </w:r>
      <w:r>
        <w:rPr>
          <w:rFonts w:ascii="宋体" w:hAnsi="宋体" w:cs="宋体" w:eastAsia="宋体" w:hint="default"/>
          <w:spacing w:val="-5"/>
        </w:rPr>
        <w:t>CRM</w:t>
      </w:r>
      <w:r>
        <w:rPr>
          <w:spacing w:val="-5"/>
        </w:rPr>
        <w:t>应用”三大产品，报告期内，“企业数据平台”实现收入</w:t>
      </w:r>
      <w:r>
        <w:rPr>
          <w:rFonts w:ascii="宋体" w:hAnsi="宋体" w:cs="宋体" w:eastAsia="宋体" w:hint="default"/>
          <w:spacing w:val="-5"/>
        </w:rPr>
        <w:t>7,849.34</w:t>
      </w:r>
      <w:r>
        <w:rPr>
          <w:spacing w:val="-5"/>
        </w:rPr>
        <w:t>万元，同比增长</w:t>
      </w:r>
      <w:r>
        <w:rPr>
          <w:rFonts w:ascii="宋体" w:hAnsi="宋体" w:cs="宋体" w:eastAsia="宋体" w:hint="default"/>
          <w:spacing w:val="-5"/>
        </w:rPr>
        <w:t>253.96%</w:t>
      </w:r>
      <w:r>
        <w:rPr>
          <w:spacing w:val="-5"/>
        </w:rPr>
        <w:t>；“数</w:t>
      </w:r>
      <w:r>
        <w:rPr>
          <w:spacing w:val="-35"/>
        </w:rPr>
        <w:t> </w:t>
      </w:r>
      <w:r>
        <w:rPr>
          <w:spacing w:val="-35"/>
        </w:rPr>
      </w:r>
      <w:r>
        <w:rPr/>
        <w:t>据分析平台”实现收入</w:t>
      </w:r>
      <w:r>
        <w:rPr>
          <w:rFonts w:ascii="宋体" w:hAnsi="宋体" w:cs="宋体" w:eastAsia="宋体" w:hint="default"/>
        </w:rPr>
        <w:t>12,372.38</w:t>
      </w:r>
      <w:r>
        <w:rPr/>
        <w:t>万元，同比增长</w:t>
      </w:r>
      <w:r>
        <w:rPr>
          <w:rFonts w:ascii="宋体" w:hAnsi="宋体" w:cs="宋体" w:eastAsia="宋体" w:hint="default"/>
        </w:rPr>
        <w:t>35.89%</w:t>
      </w:r>
      <w:r>
        <w:rPr/>
        <w:t>；“基于</w:t>
      </w:r>
      <w:r>
        <w:rPr>
          <w:rFonts w:ascii="宋体" w:hAnsi="宋体" w:cs="宋体" w:eastAsia="宋体" w:hint="default"/>
        </w:rPr>
        <w:t>BI</w:t>
      </w:r>
      <w:r>
        <w:rPr/>
        <w:t>的</w:t>
      </w:r>
      <w:r>
        <w:rPr>
          <w:rFonts w:ascii="宋体" w:hAnsi="宋体" w:cs="宋体" w:eastAsia="宋体" w:hint="default"/>
        </w:rPr>
        <w:t>CRM</w:t>
      </w:r>
      <w:r>
        <w:rPr/>
        <w:t>应用”实现收入</w:t>
      </w:r>
      <w:r>
        <w:rPr>
          <w:rFonts w:ascii="宋体" w:hAnsi="宋体" w:cs="宋体" w:eastAsia="宋体" w:hint="default"/>
        </w:rPr>
        <w:t>8,294.19</w:t>
      </w:r>
      <w:r>
        <w:rPr/>
        <w:t>万元，同比增长</w:t>
      </w:r>
      <w:r>
        <w:rPr>
          <w:rFonts w:ascii="宋体" w:hAnsi="宋体" w:cs="宋体" w:eastAsia="宋体" w:hint="default"/>
        </w:rPr>
        <w:t>29.09%</w:t>
      </w:r>
      <w:r>
        <w:rPr/>
        <w:t>。</w:t>
      </w:r>
    </w:p>
    <w:p>
      <w:pPr>
        <w:spacing w:line="240" w:lineRule="auto" w:before="1"/>
        <w:rPr>
          <w:rFonts w:ascii="宋体" w:hAnsi="宋体" w:cs="宋体" w:eastAsia="宋体" w:hint="default"/>
          <w:sz w:val="25"/>
          <w:szCs w:val="25"/>
        </w:rPr>
      </w:pPr>
    </w:p>
    <w:p>
      <w:pPr>
        <w:pStyle w:val="BodyText"/>
        <w:spacing w:line="240" w:lineRule="auto"/>
        <w:ind w:right="94"/>
        <w:jc w:val="left"/>
      </w:pPr>
      <w:r>
        <w:rPr/>
        <w:t>公司实物销售收入是否大于劳务收入</w:t>
      </w:r>
    </w:p>
    <w:p>
      <w:pPr>
        <w:pStyle w:val="BodyText"/>
        <w:spacing w:line="357" w:lineRule="auto" w:before="117"/>
        <w:ind w:right="7834"/>
        <w:jc w:val="left"/>
      </w:pPr>
      <w:r>
        <w:rPr/>
        <w:t>□ 是 √</w:t>
      </w:r>
      <w:r>
        <w:rPr>
          <w:spacing w:val="3"/>
        </w:rPr>
        <w:t> </w:t>
      </w:r>
      <w:r>
        <w:rPr/>
        <w:t>否</w:t>
      </w:r>
      <w:r>
        <w:rPr/>
        <w:t> 公司重大的在手订单情况</w:t>
      </w:r>
    </w:p>
    <w:p>
      <w:pPr>
        <w:pStyle w:val="BodyText"/>
        <w:spacing w:line="360" w:lineRule="auto" w:before="29"/>
        <w:ind w:right="8194"/>
        <w:jc w:val="left"/>
      </w:pPr>
      <w:r>
        <w:rPr/>
        <w:t>□ 适用 √</w:t>
      </w:r>
      <w:r>
        <w:rPr>
          <w:spacing w:val="3"/>
        </w:rPr>
        <w:t> </w:t>
      </w:r>
      <w:r>
        <w:rPr/>
        <w:t>不适用</w:t>
      </w:r>
      <w:r>
        <w:rPr/>
        <w:t> 数量分散的订单情况</w:t>
      </w:r>
    </w:p>
    <w:p>
      <w:pPr>
        <w:pStyle w:val="BodyText"/>
        <w:spacing w:line="240" w:lineRule="auto" w:before="24"/>
        <w:ind w:right="94"/>
        <w:jc w:val="left"/>
      </w:pPr>
      <w:r>
        <w:rPr/>
        <w:t>□ 适用 √</w:t>
      </w:r>
      <w:r>
        <w:rPr>
          <w:spacing w:val="3"/>
        </w:rPr>
        <w:t> </w:t>
      </w:r>
      <w:r>
        <w:rPr/>
        <w:t>不适用</w:t>
      </w:r>
    </w:p>
    <w:p>
      <w:pPr>
        <w:spacing w:after="0" w:line="240" w:lineRule="auto"/>
        <w:jc w:val="left"/>
        <w:sectPr>
          <w:pgSz w:w="11910" w:h="16840"/>
          <w:pgMar w:header="772" w:footer="1006" w:top="1080" w:bottom="1200" w:left="980" w:right="940"/>
        </w:sectPr>
      </w:pPr>
    </w:p>
    <w:p>
      <w:pPr>
        <w:spacing w:line="240" w:lineRule="auto" w:before="9"/>
        <w:rPr>
          <w:rFonts w:ascii="宋体" w:hAnsi="宋体" w:cs="宋体" w:eastAsia="宋体" w:hint="default"/>
          <w:sz w:val="23"/>
          <w:szCs w:val="23"/>
        </w:rPr>
      </w:pPr>
    </w:p>
    <w:p>
      <w:pPr>
        <w:pStyle w:val="BodyText"/>
        <w:spacing w:line="240" w:lineRule="auto" w:before="44"/>
        <w:ind w:right="0"/>
        <w:jc w:val="left"/>
      </w:pPr>
      <w:r>
        <w:rPr/>
        <w:t>公司报告期内产品或服务发生重大变化或调整有关情况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141,875,743.97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84,263,877.00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非电信行业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26,499,704.79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209,155.08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12,569.88%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20,182,814.72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10,021,137.64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101.4%</w:t>
            </w:r>
          </w:p>
        </w:tc>
        <w:tc>
          <w:tcPr>
            <w:tcW w:w="2919"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公司本期销售费用较上期增加 </w:t>
            </w:r>
            <w:r>
              <w:rPr>
                <w:rFonts w:ascii="Times New Roman" w:hAnsi="Times New Roman" w:cs="Times New Roman" w:eastAsia="Times New Roman" w:hint="default"/>
                <w:sz w:val="18"/>
                <w:szCs w:val="18"/>
              </w:rPr>
              <w:t>101.40%</w:t>
            </w:r>
            <w:r>
              <w:rPr>
                <w:rFonts w:ascii="宋体" w:hAnsi="宋体" w:cs="宋体" w:eastAsia="宋体" w:hint="default"/>
                <w:sz w:val="18"/>
                <w:szCs w:val="18"/>
              </w:rPr>
              <w:t>，主要系公司加大市场开拓 </w:t>
            </w:r>
            <w:r>
              <w:rPr>
                <w:rFonts w:ascii="宋体" w:hAnsi="宋体" w:cs="宋体" w:eastAsia="宋体" w:hint="default"/>
                <w:spacing w:val="-2"/>
                <w:sz w:val="18"/>
                <w:szCs w:val="18"/>
              </w:rPr>
              <w:t>投入，业务项目增多，以及子公司业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务推广费用增加所致；</w:t>
            </w:r>
          </w:p>
        </w:tc>
      </w:tr>
      <w:tr>
        <w:trPr>
          <w:trHeight w:val="391"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45,969,915.12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33,321,953.73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37.96%</w:t>
            </w:r>
          </w:p>
        </w:tc>
        <w:tc>
          <w:tcPr>
            <w:tcW w:w="2919"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管理费用同比增加</w:t>
            </w:r>
            <w:r>
              <w:rPr>
                <w:rFonts w:ascii="宋体" w:hAnsi="宋体" w:cs="宋体" w:eastAsia="宋体" w:hint="default"/>
                <w:spacing w:val="-38"/>
                <w:sz w:val="18"/>
                <w:szCs w:val="18"/>
              </w:rPr>
              <w:t> </w:t>
            </w:r>
            <w:r>
              <w:rPr>
                <w:rFonts w:ascii="Times New Roman" w:hAnsi="Times New Roman" w:cs="Times New Roman" w:eastAsia="Times New Roman" w:hint="default"/>
                <w:spacing w:val="-8"/>
                <w:sz w:val="18"/>
                <w:szCs w:val="18"/>
              </w:rPr>
              <w:t>37.96%</w:t>
            </w:r>
            <w:r>
              <w:rPr>
                <w:rFonts w:ascii="宋体" w:hAnsi="宋体" w:cs="宋体" w:eastAsia="宋体" w:hint="default"/>
                <w:spacing w:val="-8"/>
                <w:sz w:val="18"/>
                <w:szCs w:val="18"/>
              </w:rPr>
              <w:t>，主要系公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司人员规模扩大，引致管理费用增长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以及合并子公司费用所致。</w:t>
            </w:r>
          </w:p>
        </w:tc>
      </w:tr>
      <w:tr>
        <w:trPr>
          <w:trHeight w:val="394"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-10,188,645.80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-12,483,569.47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-18.38%</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主要原因是募集资金的存款利息减 少。</w:t>
            </w:r>
          </w:p>
        </w:tc>
      </w:tr>
      <w:tr>
        <w:trPr>
          <w:trHeight w:val="391"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13,009,245.26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9" w:right="0"/>
              <w:jc w:val="left"/>
              <w:rPr>
                <w:rFonts w:ascii="Times New Roman" w:hAnsi="Times New Roman" w:cs="Times New Roman" w:eastAsia="Times New Roman" w:hint="default"/>
                <w:sz w:val="18"/>
                <w:szCs w:val="18"/>
              </w:rPr>
            </w:pPr>
            <w:r>
              <w:rPr>
                <w:rFonts w:ascii="Times New Roman"/>
                <w:sz w:val="18"/>
              </w:rPr>
              <w:t>9,841,054.75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32.19%</w:t>
            </w:r>
          </w:p>
        </w:tc>
        <w:tc>
          <w:tcPr>
            <w:tcW w:w="2919"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所得税同比增加</w:t>
            </w:r>
            <w:r>
              <w:rPr>
                <w:rFonts w:ascii="宋体" w:hAnsi="宋体" w:cs="宋体" w:eastAsia="宋体" w:hint="default"/>
                <w:spacing w:val="-41"/>
                <w:sz w:val="18"/>
                <w:szCs w:val="18"/>
              </w:rPr>
              <w:t> </w:t>
            </w:r>
            <w:r>
              <w:rPr>
                <w:rFonts w:ascii="Times New Roman" w:hAnsi="Times New Roman" w:cs="Times New Roman" w:eastAsia="Times New Roman" w:hint="default"/>
                <w:spacing w:val="-7"/>
                <w:sz w:val="18"/>
                <w:szCs w:val="18"/>
              </w:rPr>
              <w:t>32.19%</w:t>
            </w:r>
            <w:r>
              <w:rPr>
                <w:rFonts w:ascii="宋体" w:hAnsi="宋体" w:cs="宋体" w:eastAsia="宋体" w:hint="default"/>
                <w:spacing w:val="-7"/>
                <w:sz w:val="18"/>
                <w:szCs w:val="18"/>
              </w:rPr>
              <w:t>，主要系公司</w:t>
            </w:r>
            <w:r>
              <w:rPr>
                <w:rFonts w:ascii="宋体" w:hAnsi="宋体" w:cs="宋体" w:eastAsia="宋体" w:hint="default"/>
                <w:sz w:val="18"/>
                <w:szCs w:val="18"/>
              </w:rPr>
              <w:t> </w:t>
            </w:r>
            <w:r>
              <w:rPr>
                <w:rFonts w:ascii="宋体" w:hAnsi="宋体" w:cs="宋体" w:eastAsia="宋体" w:hint="default"/>
                <w:spacing w:val="-2"/>
                <w:sz w:val="18"/>
                <w:szCs w:val="18"/>
              </w:rPr>
              <w:t>业务增长，利润总额增加，导致相应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的所得税费用增加。</w:t>
            </w:r>
          </w:p>
        </w:tc>
      </w:tr>
      <w:tr>
        <w:trPr>
          <w:trHeight w:val="394"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52" w:firstLine="482"/>
        <w:jc w:val="both"/>
      </w:pPr>
      <w:r>
        <w:rPr>
          <w:rFonts w:ascii="宋体" w:hAnsi="宋体" w:cs="宋体" w:eastAsia="宋体" w:hint="default"/>
        </w:rPr>
        <w:t>2012</w:t>
      </w:r>
      <w:r>
        <w:rPr/>
        <w:t>年度，公司研发支出总额为</w:t>
      </w:r>
      <w:r>
        <w:rPr>
          <w:rFonts w:ascii="宋体" w:hAnsi="宋体" w:cs="宋体" w:eastAsia="宋体" w:hint="default"/>
        </w:rPr>
        <w:t>7904.82</w:t>
      </w:r>
      <w:r>
        <w:rPr/>
        <w:t>万元，占营业总收入的</w:t>
      </w:r>
      <w:r>
        <w:rPr>
          <w:rFonts w:ascii="宋体" w:hAnsi="宋体" w:cs="宋体" w:eastAsia="宋体" w:hint="default"/>
        </w:rPr>
        <w:t>25.25%</w:t>
      </w:r>
      <w:r>
        <w:rPr/>
        <w:t>；截止本报告日，公司已取得登记证书的软件 著作权</w:t>
      </w:r>
      <w:r>
        <w:rPr>
          <w:rFonts w:ascii="宋体" w:hAnsi="宋体" w:cs="宋体" w:eastAsia="宋体" w:hint="default"/>
        </w:rPr>
        <w:t>57</w:t>
      </w:r>
      <w:r>
        <w:rPr/>
        <w:t>项，其中</w:t>
      </w:r>
      <w:r>
        <w:rPr>
          <w:rFonts w:ascii="宋体" w:hAnsi="宋体" w:cs="宋体" w:eastAsia="宋体" w:hint="default"/>
        </w:rPr>
        <w:t>2012</w:t>
      </w:r>
      <w:r>
        <w:rPr/>
        <w:t>年度新增</w:t>
      </w:r>
      <w:r>
        <w:rPr>
          <w:rFonts w:ascii="宋体" w:hAnsi="宋体" w:cs="宋体" w:eastAsia="宋体" w:hint="default"/>
        </w:rPr>
        <w:t>24</w:t>
      </w:r>
      <w:r>
        <w:rPr/>
        <w:t>项。</w:t>
      </w:r>
    </w:p>
    <w:p>
      <w:pPr>
        <w:pStyle w:val="BodyText"/>
        <w:spacing w:line="477" w:lineRule="auto" w:before="54"/>
        <w:ind w:right="152" w:firstLine="482"/>
        <w:jc w:val="both"/>
      </w:pPr>
      <w:r>
        <w:rPr>
          <w:spacing w:val="-1"/>
        </w:rPr>
        <w:t>募集资金项目方面，报告期内公司完成了商业智能应用构建工具项目和探索式数据分析及应用平台项目研发工作，取</w:t>
      </w:r>
      <w:r>
        <w:rPr/>
        <w:t> </w:t>
      </w:r>
      <w:r>
        <w:rPr>
          <w:spacing w:val="-2"/>
        </w:rPr>
        <w:t>得了相关的软件著作权登记证书，目前商业智能应用构建工具和探索式数据分析及应用平台已进入推广阶段，进一步完善了</w:t>
      </w:r>
      <w:r>
        <w:rPr>
          <w:spacing w:val="-64"/>
        </w:rPr>
        <w:t> </w:t>
      </w:r>
      <w:r>
        <w:rPr>
          <w:spacing w:val="-64"/>
        </w:rPr>
      </w:r>
      <w:r>
        <w:rPr/>
        <w:t>公司产品结构，提升了公司产品竞争力。截至本报告日，公司募集资金项目具体进展情况如下：</w:t>
      </w:r>
    </w:p>
    <w:p>
      <w:pPr>
        <w:spacing w:after="0" w:line="477" w:lineRule="auto"/>
        <w:jc w:val="both"/>
        <w:sectPr>
          <w:pgSz w:w="11910" w:h="16840"/>
          <w:pgMar w:header="772" w:footer="1006" w:top="108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tbl>
      <w:tblPr>
        <w:tblW w:w="0" w:type="auto"/>
        <w:jc w:val="left"/>
        <w:tblInd w:w="215" w:type="dxa"/>
        <w:tblLayout w:type="fixed"/>
        <w:tblCellMar>
          <w:top w:w="0" w:type="dxa"/>
          <w:left w:w="0" w:type="dxa"/>
          <w:bottom w:w="0" w:type="dxa"/>
          <w:right w:w="0" w:type="dxa"/>
        </w:tblCellMar>
        <w:tblLook w:val="01E0"/>
      </w:tblPr>
      <w:tblGrid>
        <w:gridCol w:w="2696"/>
        <w:gridCol w:w="1193"/>
        <w:gridCol w:w="5612"/>
      </w:tblGrid>
      <w:tr>
        <w:trPr>
          <w:trHeight w:val="348" w:hRule="exact"/>
        </w:trPr>
        <w:tc>
          <w:tcPr>
            <w:tcW w:w="26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19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项目进展</w:t>
            </w:r>
          </w:p>
        </w:tc>
        <w:tc>
          <w:tcPr>
            <w:tcW w:w="561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项目目标</w:t>
            </w:r>
          </w:p>
        </w:tc>
      </w:tr>
      <w:tr>
        <w:trPr>
          <w:trHeight w:val="2530" w:hRule="exact"/>
        </w:trPr>
        <w:tc>
          <w:tcPr>
            <w:tcW w:w="269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商业智能应用构建工具项目</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56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1"/>
              <w:jc w:val="both"/>
              <w:rPr>
                <w:rFonts w:ascii="宋体" w:hAnsi="宋体" w:cs="宋体" w:eastAsia="宋体" w:hint="default"/>
                <w:sz w:val="18"/>
                <w:szCs w:val="18"/>
              </w:rPr>
            </w:pPr>
            <w:r>
              <w:rPr>
                <w:rFonts w:ascii="宋体" w:hAnsi="宋体" w:cs="宋体" w:eastAsia="宋体" w:hint="default"/>
                <w:sz w:val="18"/>
                <w:szCs w:val="18"/>
              </w:rPr>
              <w:t>实现具有可视化快速设计功能的商业智能应用构建工具，提高商业智能 应用的构建速度，降低商业智能解决方案的开发、交付成本；提供丰富 的分析应用功能，支持报表统计、即席查询、定制化分析等多种商业智 能应用；提供可以由最终用户进行高度定制的产品，使最终用户在使用 目标产品时具有较大的灵活度和自由度，使用户能够针对新的业务需求 快速自助分析，获取、共享业务知识，为用户提供更高的附加价值；支 持跨行业的通用商业智能解决方案的提供，使公司能够在电信业以外的 行业应用中扩大影响力，开辟市场空间。</w:t>
            </w:r>
          </w:p>
        </w:tc>
      </w:tr>
      <w:tr>
        <w:trPr>
          <w:trHeight w:val="1909"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探索式数据分析及应用平台项目</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561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1"/>
              <w:jc w:val="both"/>
              <w:rPr>
                <w:rFonts w:ascii="宋体" w:hAnsi="宋体" w:cs="宋体" w:eastAsia="宋体" w:hint="default"/>
                <w:sz w:val="18"/>
                <w:szCs w:val="18"/>
              </w:rPr>
            </w:pPr>
            <w:r>
              <w:rPr>
                <w:rFonts w:ascii="宋体" w:hAnsi="宋体" w:cs="宋体" w:eastAsia="宋体" w:hint="default"/>
                <w:sz w:val="18"/>
                <w:szCs w:val="18"/>
              </w:rPr>
              <w:t>建设探索式数据分析及应用平台，一种面向公司内部分析人员和行业最 终用户使用的专业数据分析工具。使用者可以利用该产品以所见即所得 的方式便捷地实施交互式数据探索和数据挖掘，并将成果固化、发布、 共享或与其他使用者进行协作数据探索，从而大幅度降低对数据分析人 员的技能要求、拓展数据分析在客户企业的使用面，同时降低公司实施 业务咨询服务的时间和人力成本。</w:t>
            </w:r>
          </w:p>
        </w:tc>
      </w:tr>
      <w:tr>
        <w:trPr>
          <w:trHeight w:val="1282"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企业数据仓库构建系统项目</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系统开发阶段</w:t>
            </w:r>
          </w:p>
        </w:tc>
        <w:tc>
          <w:tcPr>
            <w:tcW w:w="56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2"/>
              <w:jc w:val="both"/>
              <w:rPr>
                <w:rFonts w:ascii="宋体" w:hAnsi="宋体" w:cs="宋体" w:eastAsia="宋体" w:hint="default"/>
                <w:sz w:val="18"/>
                <w:szCs w:val="18"/>
              </w:rPr>
            </w:pPr>
            <w:r>
              <w:rPr>
                <w:rFonts w:ascii="宋体" w:hAnsi="宋体" w:cs="宋体" w:eastAsia="宋体" w:hint="default"/>
                <w:sz w:val="18"/>
                <w:szCs w:val="18"/>
              </w:rPr>
              <w:t>基于公司在电信行业的企业数据平台产品线，研发企业数据核心模型、 行业应用模板及数据仓库构建工具。目标是扩展公司数据仓库产品支撑 的行业范围，提升数据仓库的数据质量管控、数据共享能力，使数据仓 库项目的实施过程自动化、智能化。</w:t>
            </w:r>
          </w:p>
        </w:tc>
      </w:tr>
      <w:tr>
        <w:trPr>
          <w:trHeight w:val="972"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全业务营销及维系挽留系统项目</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0"/>
              <w:jc w:val="both"/>
              <w:rPr>
                <w:rFonts w:ascii="宋体" w:hAnsi="宋体" w:cs="宋体" w:eastAsia="宋体" w:hint="default"/>
                <w:sz w:val="18"/>
                <w:szCs w:val="18"/>
              </w:rPr>
            </w:pPr>
            <w:r>
              <w:rPr>
                <w:rFonts w:ascii="宋体" w:hAnsi="宋体" w:cs="宋体" w:eastAsia="宋体" w:hint="default"/>
                <w:spacing w:val="-10"/>
                <w:sz w:val="18"/>
                <w:szCs w:val="18"/>
              </w:rPr>
              <w:t>系统开发阶段，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部分模块已上</w:t>
            </w:r>
            <w:r>
              <w:rPr>
                <w:rFonts w:ascii="宋体" w:hAnsi="宋体" w:cs="宋体" w:eastAsia="宋体" w:hint="default"/>
                <w:spacing w:val="-86"/>
                <w:sz w:val="18"/>
                <w:szCs w:val="18"/>
              </w:rPr>
              <w:t> </w:t>
            </w:r>
            <w:r>
              <w:rPr>
                <w:rFonts w:ascii="宋体" w:hAnsi="宋体" w:cs="宋体" w:eastAsia="宋体" w:hint="default"/>
                <w:sz w:val="18"/>
                <w:szCs w:val="18"/>
              </w:rPr>
              <w:t>线试运行</w:t>
            </w:r>
          </w:p>
        </w:tc>
        <w:tc>
          <w:tcPr>
            <w:tcW w:w="56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both"/>
              <w:rPr>
                <w:rFonts w:ascii="宋体" w:hAnsi="宋体" w:cs="宋体" w:eastAsia="宋体" w:hint="default"/>
                <w:sz w:val="18"/>
                <w:szCs w:val="18"/>
              </w:rPr>
            </w:pPr>
            <w:r>
              <w:rPr>
                <w:rFonts w:ascii="宋体" w:hAnsi="宋体" w:cs="宋体" w:eastAsia="宋体" w:hint="default"/>
                <w:spacing w:val="-3"/>
                <w:sz w:val="18"/>
                <w:szCs w:val="18"/>
              </w:rPr>
              <w:t>建设全业务营销及维系挽留系统，一种面向电信行业的分析型</w:t>
            </w:r>
            <w:r>
              <w:rPr>
                <w:rFonts w:ascii="宋体" w:hAnsi="宋体" w:cs="宋体" w:eastAsia="宋体" w:hint="default"/>
                <w:spacing w:val="-3"/>
                <w:sz w:val="18"/>
                <w:szCs w:val="18"/>
              </w:rPr>
              <w:t>CRM</w:t>
            </w:r>
            <w:r>
              <w:rPr>
                <w:rFonts w:ascii="宋体" w:hAnsi="宋体" w:cs="宋体" w:eastAsia="宋体" w:hint="default"/>
                <w:spacing w:val="-3"/>
                <w:sz w:val="18"/>
                <w:szCs w:val="18"/>
              </w:rPr>
              <w:t>软件平</w:t>
            </w:r>
            <w:r>
              <w:rPr>
                <w:rFonts w:ascii="宋体" w:hAnsi="宋体" w:cs="宋体" w:eastAsia="宋体" w:hint="default"/>
                <w:spacing w:val="-67"/>
                <w:sz w:val="18"/>
                <w:szCs w:val="18"/>
              </w:rPr>
              <w:t> </w:t>
            </w:r>
            <w:r>
              <w:rPr>
                <w:rFonts w:ascii="宋体" w:hAnsi="宋体" w:cs="宋体" w:eastAsia="宋体" w:hint="default"/>
                <w:sz w:val="18"/>
                <w:szCs w:val="18"/>
              </w:rPr>
              <w:t>台。该平台是在现有基础上，通过提升客户识别准确度、完善对客户各 类特征的把握，达到提升营销与维系挽留效果、降低成本的最终目标。</w:t>
            </w:r>
          </w:p>
        </w:tc>
      </w:tr>
      <w:tr>
        <w:trPr>
          <w:trHeight w:val="972"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数据集成和管理工具项目</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0"/>
              <w:jc w:val="both"/>
              <w:rPr>
                <w:rFonts w:ascii="宋体" w:hAnsi="宋体" w:cs="宋体" w:eastAsia="宋体" w:hint="default"/>
                <w:sz w:val="18"/>
                <w:szCs w:val="18"/>
              </w:rPr>
            </w:pPr>
            <w:r>
              <w:rPr>
                <w:rFonts w:ascii="宋体" w:hAnsi="宋体" w:cs="宋体" w:eastAsia="宋体" w:hint="default"/>
                <w:spacing w:val="-10"/>
                <w:sz w:val="18"/>
                <w:szCs w:val="18"/>
              </w:rPr>
              <w:t>系统开发阶段，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部分模块已上</w:t>
            </w:r>
            <w:r>
              <w:rPr>
                <w:rFonts w:ascii="宋体" w:hAnsi="宋体" w:cs="宋体" w:eastAsia="宋体" w:hint="default"/>
                <w:spacing w:val="-86"/>
                <w:sz w:val="18"/>
                <w:szCs w:val="18"/>
              </w:rPr>
              <w:t> </w:t>
            </w:r>
            <w:r>
              <w:rPr>
                <w:rFonts w:ascii="宋体" w:hAnsi="宋体" w:cs="宋体" w:eastAsia="宋体" w:hint="default"/>
                <w:sz w:val="18"/>
                <w:szCs w:val="18"/>
              </w:rPr>
              <w:t>线试运行</w:t>
            </w:r>
          </w:p>
        </w:tc>
        <w:tc>
          <w:tcPr>
            <w:tcW w:w="56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7"/>
              <w:jc w:val="both"/>
              <w:rPr>
                <w:rFonts w:ascii="宋体" w:hAnsi="宋体" w:cs="宋体" w:eastAsia="宋体" w:hint="default"/>
                <w:sz w:val="18"/>
                <w:szCs w:val="18"/>
              </w:rPr>
            </w:pPr>
            <w:r>
              <w:rPr>
                <w:rFonts w:ascii="宋体" w:hAnsi="宋体" w:cs="宋体" w:eastAsia="宋体" w:hint="default"/>
                <w:sz w:val="18"/>
                <w:szCs w:val="18"/>
              </w:rPr>
              <w:t>该项目的主要研发内容是通用的数据集成和管理工具，预期目标是实现 跨数据库平台的高效</w:t>
            </w:r>
            <w:r>
              <w:rPr>
                <w:rFonts w:ascii="宋体" w:hAnsi="宋体" w:cs="宋体" w:eastAsia="宋体" w:hint="default"/>
                <w:sz w:val="18"/>
                <w:szCs w:val="18"/>
              </w:rPr>
              <w:t>ETL</w:t>
            </w:r>
            <w:r>
              <w:rPr>
                <w:rFonts w:ascii="宋体" w:hAnsi="宋体" w:cs="宋体" w:eastAsia="宋体" w:hint="default"/>
                <w:sz w:val="18"/>
                <w:szCs w:val="18"/>
              </w:rPr>
              <w:t>过程构建工具，稳定可靠的</w:t>
            </w:r>
            <w:r>
              <w:rPr>
                <w:rFonts w:ascii="宋体" w:hAnsi="宋体" w:cs="宋体" w:eastAsia="宋体" w:hint="default"/>
                <w:sz w:val="18"/>
                <w:szCs w:val="18"/>
              </w:rPr>
              <w:t>ETL</w:t>
            </w:r>
            <w:r>
              <w:rPr>
                <w:rFonts w:ascii="宋体" w:hAnsi="宋体" w:cs="宋体" w:eastAsia="宋体" w:hint="default"/>
                <w:sz w:val="18"/>
                <w:szCs w:val="18"/>
              </w:rPr>
              <w:t>过程调度工具以 及便捷的数据质量管理、元数据管理工具。</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947"/>
        <w:gridCol w:w="1456"/>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79,048,241.26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37,973,121.08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16,284,221.35</w:t>
            </w:r>
          </w:p>
        </w:tc>
      </w:tr>
      <w:tr>
        <w:trPr>
          <w:trHeight w:val="401" w:hRule="exact"/>
        </w:trPr>
        <w:tc>
          <w:tcPr>
            <w:tcW w:w="236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947" w:type="dxa"/>
            <w:tcBorders>
              <w:top w:val="single" w:sz="4" w:space="0" w:color="000000"/>
              <w:left w:val="single" w:sz="23" w:space="0" w:color="FFFFFF"/>
              <w:bottom w:val="single" w:sz="4" w:space="0" w:color="000000"/>
              <w:right w:val="nil" w:sz="6" w:space="0" w:color="auto"/>
            </w:tcBorders>
          </w:tcPr>
          <w:p>
            <w:pPr/>
          </w:p>
        </w:tc>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75" w:right="0"/>
              <w:jc w:val="left"/>
              <w:rPr>
                <w:rFonts w:ascii="Times New Roman" w:hAnsi="Times New Roman" w:cs="Times New Roman" w:eastAsia="Times New Roman" w:hint="default"/>
                <w:sz w:val="18"/>
                <w:szCs w:val="18"/>
              </w:rPr>
            </w:pPr>
            <w:r>
              <w:rPr>
                <w:rFonts w:ascii="Times New Roman"/>
                <w:sz w:val="18"/>
              </w:rPr>
              <w:t>25.25%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pict>
          <v:shape style="position:absolute;margin-left:170.300003pt;margin-top:-32.616329pt;width:124.25pt;height:19.6pt;mso-position-horizontal-relative:page;mso-position-vertical-relative:paragraph;z-index:-876712"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177.740005pt;margin-top:-32.616329pt;width:116.8pt;height:19.6pt;mso-position-horizontal-relative:page;mso-position-vertical-relative:paragraph;z-index:-876688" coordorigin="3555,-652" coordsize="2336,392">
            <v:shape style="position:absolute;left:3555;top:-652;width:2336;height:392" coordorigin="3555,-652" coordsize="2336,392" path="m3555,-261l5890,-261,5890,-652,3555,-652,3555,-261xe" filled="true" fillcolor="#ffffff" stroked="false">
              <v:path arrowok="t"/>
              <v:fill type="solid"/>
            </v:shape>
            <w10:wrap type="none"/>
          </v:group>
        </w:pict>
      </w:r>
      <w:r>
        <w:rPr/>
        <w:t>（</w:t>
      </w:r>
      <w:r>
        <w:rPr>
          <w:rFonts w:ascii="Times New Roman" w:hAnsi="Times New Roman" w:cs="Times New Roman" w:eastAsia="Times New Roman" w:hint="default"/>
        </w:rPr>
        <w:t>5</w:t>
      </w:r>
      <w:r>
        <w:rPr/>
        <w:t>）现金流</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289,984,500.51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188,806,286.24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53.59%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300,765,929.11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172,818,016.85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74.04%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-10,781,428.60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15,988,269.39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-167.43%</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169,313,449.46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37,375,856.28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353%</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-169,313,449.46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-37,325,856.28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-353.61%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534,809,625.60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18,114,446.40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27,603,631.58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-34.38%</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-18,114,446.40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507,205,994.02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-103.57%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-198,209,324.46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485,868,407.13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-140.79%</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451" w:lineRule="auto"/>
        <w:ind w:right="154" w:firstLine="360"/>
        <w:jc w:val="both"/>
      </w:pPr>
      <w:r>
        <w:rPr>
          <w:rFonts w:ascii="Times New Roman" w:hAnsi="Times New Roman" w:cs="Times New Roman" w:eastAsia="Times New Roman" w:hint="default"/>
        </w:rPr>
        <w:t>1</w:t>
      </w:r>
      <w:r>
        <w:rPr/>
        <w:t>、报告期经营活动产生的现金流量净额同比减少</w:t>
      </w:r>
      <w:r>
        <w:rPr>
          <w:rFonts w:ascii="Times New Roman" w:hAnsi="Times New Roman" w:cs="Times New Roman" w:eastAsia="Times New Roman" w:hint="default"/>
        </w:rPr>
        <w:t>167.43%</w:t>
      </w:r>
      <w:r>
        <w:rPr/>
        <w:t>，主要原因为报告期人员规模增长较快，支付的职工薪酬增 加，应收账款未到回款期，子公司采购存货支出增加和增值税退税金额减少。</w:t>
      </w:r>
    </w:p>
    <w:p>
      <w:pPr>
        <w:pStyle w:val="BodyText"/>
        <w:spacing w:line="451" w:lineRule="auto" w:before="74"/>
        <w:ind w:right="154" w:firstLine="360"/>
        <w:jc w:val="both"/>
      </w:pPr>
      <w:r>
        <w:rPr>
          <w:rFonts w:ascii="Times New Roman" w:hAnsi="Times New Roman" w:cs="Times New Roman" w:eastAsia="Times New Roman" w:hint="default"/>
        </w:rPr>
        <w:t>2</w:t>
      </w:r>
      <w:r>
        <w:rPr/>
        <w:t>、报告期投资活动产生的现金流量净额同比减少</w:t>
      </w:r>
      <w:r>
        <w:rPr>
          <w:rFonts w:ascii="Times New Roman" w:hAnsi="Times New Roman" w:cs="Times New Roman" w:eastAsia="Times New Roman" w:hint="default"/>
        </w:rPr>
        <w:t>353.61%</w:t>
      </w:r>
      <w:r>
        <w:rPr/>
        <w:t>，主要原因为报告期支付办公用房及研发中心用地土地出让 金以及无形资产投资支出增加所致。</w:t>
      </w:r>
    </w:p>
    <w:p>
      <w:pPr>
        <w:pStyle w:val="BodyText"/>
        <w:spacing w:line="451" w:lineRule="auto" w:before="74"/>
        <w:ind w:right="152" w:firstLine="360"/>
        <w:jc w:val="both"/>
      </w:pPr>
      <w:r>
        <w:rPr>
          <w:rFonts w:ascii="Times New Roman" w:hAnsi="Times New Roman" w:cs="Times New Roman" w:eastAsia="Times New Roman" w:hint="default"/>
        </w:rPr>
        <w:t>3</w:t>
      </w:r>
      <w:r>
        <w:rPr/>
        <w:t>、报告期筹资活动产生的现金流量净额同比减少</w:t>
      </w:r>
      <w:r>
        <w:rPr>
          <w:rFonts w:ascii="Times New Roman" w:hAnsi="Times New Roman" w:cs="Times New Roman" w:eastAsia="Times New Roman" w:hint="default"/>
        </w:rPr>
        <w:t>103.57%</w:t>
      </w:r>
      <w:r>
        <w:rPr/>
        <w:t>，主要原因为</w:t>
      </w:r>
      <w:r>
        <w:rPr>
          <w:rFonts w:ascii="Times New Roman" w:hAnsi="Times New Roman" w:cs="Times New Roman" w:eastAsia="Times New Roman" w:hint="default"/>
        </w:rPr>
        <w:t>2011</w:t>
      </w:r>
      <w:r>
        <w:rPr/>
        <w:t>年公司首发上市募集资金到位，以及在报 告期支付</w:t>
      </w:r>
      <w:r>
        <w:rPr>
          <w:rFonts w:ascii="Times New Roman" w:hAnsi="Times New Roman" w:cs="Times New Roman" w:eastAsia="Times New Roman" w:hint="default"/>
        </w:rPr>
        <w:t>2011</w:t>
      </w:r>
      <w:r>
        <w:rPr/>
        <w:t>年度现金股利。</w:t>
      </w:r>
    </w:p>
    <w:p>
      <w:pPr>
        <w:spacing w:line="240" w:lineRule="auto" w:before="3"/>
        <w:rPr>
          <w:rFonts w:ascii="宋体" w:hAnsi="宋体" w:cs="宋体" w:eastAsia="宋体" w:hint="default"/>
          <w:sz w:val="24"/>
          <w:szCs w:val="24"/>
        </w:rPr>
      </w:pPr>
    </w:p>
    <w:p>
      <w:pPr>
        <w:pStyle w:val="BodyText"/>
        <w:spacing w:line="240" w:lineRule="auto"/>
        <w:ind w:right="0"/>
        <w:jc w:val="left"/>
      </w:pPr>
      <w:r>
        <w:rPr/>
        <w:t>报告期内公司经营活动的现金流量与本年度净利润存在重大差异的原因说明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477" w:lineRule="auto"/>
        <w:ind w:right="146" w:firstLine="432"/>
        <w:jc w:val="both"/>
      </w:pPr>
      <w:r>
        <w:rPr>
          <w:spacing w:val="-2"/>
        </w:rPr>
        <w:t>本报告期，公司经营活动的现金流量为负，与公司本年度净利润存在较大差异，主要原因为：</w:t>
      </w:r>
      <w:r>
        <w:rPr>
          <w:rFonts w:ascii="宋体" w:hAnsi="宋体" w:cs="宋体" w:eastAsia="宋体" w:hint="default"/>
          <w:spacing w:val="-2"/>
        </w:rPr>
        <w:t>1</w:t>
      </w:r>
      <w:r>
        <w:rPr>
          <w:spacing w:val="-2"/>
        </w:rPr>
        <w:t>、本报告期，公司营业</w:t>
      </w:r>
      <w:r>
        <w:rPr/>
        <w:t> 收入大幅增长，相应地公司应收账款也大幅增加，而部分应收账款未到回款期，导致公司回笼资金相对较少；</w:t>
      </w:r>
      <w:r>
        <w:rPr>
          <w:rFonts w:ascii="宋体" w:hAnsi="宋体" w:cs="宋体" w:eastAsia="宋体" w:hint="default"/>
        </w:rPr>
        <w:t>2</w:t>
      </w:r>
      <w:r>
        <w:rPr/>
        <w:t>、公司子公</w:t>
      </w:r>
      <w:r>
        <w:rPr>
          <w:spacing w:val="-82"/>
        </w:rPr>
        <w:t> </w:t>
      </w:r>
      <w:r>
        <w:rPr>
          <w:spacing w:val="-2"/>
        </w:rPr>
        <w:t>司业务涉及通讯设备等硬件采购，报告期内其用于采购库存商品的资金支出较多而报告期内尚未形成销售收入，影响了公司</w:t>
      </w:r>
      <w:r>
        <w:rPr>
          <w:spacing w:val="-64"/>
        </w:rPr>
        <w:t> </w:t>
      </w:r>
      <w:r>
        <w:rPr>
          <w:spacing w:val="-64"/>
        </w:rPr>
      </w:r>
      <w:r>
        <w:rPr/>
        <w:t>现金流量。</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191,137,847.69</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61.07%</w:t>
            </w:r>
          </w:p>
        </w:tc>
      </w:tr>
    </w:tbl>
    <w:p>
      <w:pPr>
        <w:pStyle w:val="BodyText"/>
        <w:spacing w:line="240" w:lineRule="auto" w:before="49"/>
        <w:ind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40" w:lineRule="auto" w:before="101"/>
        <w:ind w:right="8154"/>
        <w:jc w:val="left"/>
      </w:pPr>
      <w:r>
        <w:rPr/>
        <w:pict>
          <v:shape style="position:absolute;margin-left:263.570007pt;margin-top:60.437714pt;width:270.2pt;height:19.7pt;mso-position-horizontal-relative:page;mso-position-vertical-relative:paragraph;z-index:-876664"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60.437714pt;width:262.75pt;height:19.7pt;mso-position-horizontal-relative:page;mso-position-vertical-relative:paragraph;z-index:-876640" coordorigin="5420,1209" coordsize="5255,394">
            <v:shape style="position:absolute;left:5420;top:1209;width:5255;height:394" coordorigin="5420,1209" coordsize="5255,394" path="m5420,1602l10675,1602,10675,1209,5420,1209,5420,1602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11,340,521.31</w:t>
            </w:r>
          </w:p>
        </w:tc>
      </w:tr>
      <w:tr>
        <w:trPr>
          <w:trHeight w:val="403"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16.8%</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9"/>
        <w:rPr>
          <w:rFonts w:ascii="宋体" w:hAnsi="宋体" w:cs="宋体" w:eastAsia="宋体" w:hint="default"/>
          <w:sz w:val="23"/>
          <w:szCs w:val="23"/>
        </w:rPr>
      </w:pPr>
    </w:p>
    <w:p>
      <w:pPr>
        <w:pStyle w:val="BodyText"/>
        <w:spacing w:line="240" w:lineRule="auto" w:before="44"/>
        <w:ind w:right="0"/>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首次公开发行招股说明书中披露的未来发展与规划在本报告期的实施情况</w:t>
      </w:r>
    </w:p>
    <w:p>
      <w:pPr>
        <w:pStyle w:val="BodyText"/>
        <w:spacing w:line="415" w:lineRule="auto" w:before="117"/>
        <w:ind w:left="513" w:right="806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1</w:t>
      </w:r>
      <w:r>
        <w:rPr/>
        <w:t>、业务发展目标</w:t>
      </w:r>
    </w:p>
    <w:p>
      <w:pPr>
        <w:pStyle w:val="BodyText"/>
        <w:spacing w:line="477" w:lineRule="auto" w:before="101"/>
        <w:ind w:right="0" w:firstLine="360"/>
        <w:jc w:val="left"/>
      </w:pPr>
      <w:r>
        <w:rPr>
          <w:rFonts w:ascii="宋体" w:hAnsi="宋体" w:cs="宋体" w:eastAsia="宋体" w:hint="default"/>
          <w:spacing w:val="-2"/>
        </w:rPr>
        <w:t>2012</w:t>
      </w:r>
      <w:r>
        <w:rPr>
          <w:spacing w:val="-2"/>
        </w:rPr>
        <w:t>年度，公司实现营业总收入</w:t>
      </w:r>
      <w:r>
        <w:rPr>
          <w:rFonts w:ascii="宋体" w:hAnsi="宋体" w:cs="宋体" w:eastAsia="宋体" w:hint="default"/>
          <w:spacing w:val="-2"/>
        </w:rPr>
        <w:t>3.13</w:t>
      </w:r>
      <w:r>
        <w:rPr>
          <w:spacing w:val="-2"/>
        </w:rPr>
        <w:t>亿元，实现归属于上市公司股东的净利润</w:t>
      </w:r>
      <w:r>
        <w:rPr>
          <w:rFonts w:ascii="宋体" w:hAnsi="宋体" w:cs="宋体" w:eastAsia="宋体" w:hint="default"/>
          <w:spacing w:val="-2"/>
        </w:rPr>
        <w:t>7,075.35</w:t>
      </w:r>
      <w:r>
        <w:rPr>
          <w:spacing w:val="-2"/>
        </w:rPr>
        <w:t>万元。电信行业市场地位进一步</w:t>
      </w:r>
      <w:r>
        <w:rPr/>
        <w:t> 巩固和提高，非电信行业市场开拓已取得一定成果。</w:t>
      </w:r>
    </w:p>
    <w:p>
      <w:pPr>
        <w:pStyle w:val="BodyText"/>
        <w:spacing w:line="477" w:lineRule="auto" w:before="55"/>
        <w:ind w:left="513" w:right="0"/>
        <w:jc w:val="left"/>
      </w:pPr>
      <w:r>
        <w:rPr>
          <w:rFonts w:ascii="宋体" w:hAnsi="宋体" w:cs="宋体" w:eastAsia="宋体" w:hint="default"/>
        </w:rPr>
        <w:t>2</w:t>
      </w:r>
      <w:r>
        <w:rPr/>
        <w:t>、产品研发计划 </w:t>
      </w:r>
      <w:r>
        <w:rPr>
          <w:spacing w:val="-2"/>
        </w:rPr>
        <w:t>公司持续加大研发投入力度，不断提升技术研发实力。报告期内公司完成了商业智能应用构建工具项目和探索式数据分</w:t>
      </w:r>
    </w:p>
    <w:p>
      <w:pPr>
        <w:pStyle w:val="BodyText"/>
        <w:spacing w:line="477" w:lineRule="auto" w:before="54"/>
        <w:ind w:right="0"/>
        <w:jc w:val="left"/>
      </w:pPr>
      <w:r>
        <w:rPr>
          <w:spacing w:val="-5"/>
        </w:rPr>
        <w:t>析及应用平台项目研发工作，取得了相关的软件著作权登记证书。截止</w:t>
      </w:r>
      <w:r>
        <w:rPr>
          <w:rFonts w:ascii="宋体" w:hAnsi="宋体" w:cs="宋体" w:eastAsia="宋体" w:hint="default"/>
          <w:spacing w:val="-5"/>
        </w:rPr>
        <w:t>2012</w:t>
      </w:r>
      <w:r>
        <w:rPr>
          <w:spacing w:val="-5"/>
        </w:rPr>
        <w:t>年末，公司已取得的软件著作权共</w:t>
      </w:r>
      <w:r>
        <w:rPr>
          <w:rFonts w:ascii="宋体" w:hAnsi="宋体" w:cs="宋体" w:eastAsia="宋体" w:hint="default"/>
          <w:spacing w:val="-5"/>
        </w:rPr>
        <w:t>57</w:t>
      </w:r>
      <w:r>
        <w:rPr>
          <w:spacing w:val="-5"/>
        </w:rPr>
        <w:t>项，其中</w:t>
      </w:r>
      <w:r>
        <w:rPr>
          <w:rFonts w:ascii="宋体" w:hAnsi="宋体" w:cs="宋体" w:eastAsia="宋体" w:hint="default"/>
          <w:spacing w:val="-5"/>
        </w:rPr>
        <w:t>2012</w:t>
      </w:r>
      <w:r>
        <w:rPr>
          <w:rFonts w:ascii="宋体" w:hAnsi="宋体" w:cs="宋体" w:eastAsia="宋体" w:hint="default"/>
          <w:spacing w:val="-55"/>
        </w:rPr>
        <w:t> </w:t>
      </w:r>
      <w:r>
        <w:rPr>
          <w:rFonts w:ascii="宋体" w:hAnsi="宋体" w:cs="宋体" w:eastAsia="宋体" w:hint="default"/>
          <w:spacing w:val="-55"/>
        </w:rPr>
      </w:r>
      <w:r>
        <w:rPr/>
        <w:t>年度新增</w:t>
      </w:r>
      <w:r>
        <w:rPr>
          <w:rFonts w:ascii="宋体" w:hAnsi="宋体" w:cs="宋体" w:eastAsia="宋体" w:hint="default"/>
        </w:rPr>
        <w:t>24</w:t>
      </w:r>
      <w:r>
        <w:rPr/>
        <w:t>项。</w:t>
      </w:r>
    </w:p>
    <w:p>
      <w:pPr>
        <w:pStyle w:val="BodyText"/>
        <w:spacing w:line="477" w:lineRule="auto" w:before="54"/>
        <w:ind w:left="513" w:right="0"/>
        <w:jc w:val="left"/>
      </w:pPr>
      <w:r>
        <w:rPr>
          <w:rFonts w:ascii="宋体" w:hAnsi="宋体" w:cs="宋体" w:eastAsia="宋体" w:hint="default"/>
        </w:rPr>
        <w:t>3</w:t>
      </w:r>
      <w:r>
        <w:rPr/>
        <w:t>、服务创新计划 </w:t>
      </w:r>
      <w:r>
        <w:rPr>
          <w:spacing w:val="-2"/>
        </w:rPr>
        <w:t>公司细化了面向全国的专家服务团队，进一步提升了公司的综合服务和指挥协调地位，继续深入推行“基准软件与本地</w:t>
      </w:r>
    </w:p>
    <w:p>
      <w:pPr>
        <w:pStyle w:val="BodyText"/>
        <w:spacing w:line="477" w:lineRule="auto" w:before="54"/>
        <w:ind w:left="513" w:right="1764" w:hanging="361"/>
        <w:jc w:val="left"/>
      </w:pPr>
      <w:r>
        <w:rPr/>
        <w:t>化开发应用”相结合的贴身服务模式，为客户提供</w:t>
      </w:r>
      <w:r>
        <w:rPr>
          <w:rFonts w:ascii="宋体" w:hAnsi="宋体" w:cs="宋体" w:eastAsia="宋体" w:hint="default"/>
        </w:rPr>
        <w:t>7</w:t>
      </w:r>
      <w:r>
        <w:rPr/>
        <w:t>×</w:t>
      </w:r>
      <w:r>
        <w:rPr>
          <w:rFonts w:ascii="宋体" w:hAnsi="宋体" w:cs="宋体" w:eastAsia="宋体" w:hint="default"/>
        </w:rPr>
        <w:t>24</w:t>
      </w:r>
      <w:r>
        <w:rPr/>
        <w:t>小时的高质量服务，有效提升了客户满意度。 </w:t>
      </w:r>
      <w:r>
        <w:rPr>
          <w:rFonts w:ascii="宋体" w:hAnsi="宋体" w:cs="宋体" w:eastAsia="宋体" w:hint="default"/>
        </w:rPr>
        <w:t>4</w:t>
      </w:r>
      <w:r>
        <w:rPr/>
        <w:t>、队伍建设计划 公司按计划进行人才战略与人才扩充计划，建立了较为完备的人才培养和管理体系。 </w:t>
      </w:r>
      <w:r>
        <w:rPr>
          <w:rFonts w:ascii="宋体" w:hAnsi="宋体" w:cs="宋体" w:eastAsia="宋体" w:hint="default"/>
        </w:rPr>
        <w:t>5</w:t>
      </w:r>
      <w:r>
        <w:rPr/>
        <w:t>、市场营销计划</w:t>
      </w:r>
    </w:p>
    <w:p>
      <w:pPr>
        <w:pStyle w:val="BodyText"/>
        <w:spacing w:line="477" w:lineRule="auto" w:before="52"/>
        <w:ind w:left="513" w:right="773"/>
        <w:jc w:val="left"/>
      </w:pPr>
      <w:r>
        <w:rPr/>
        <w:t>电信行业市场方面，已成功打入中国移动市场，非电信行业市场拓展取得成果，市场地位进一步巩固和提升。 </w:t>
      </w:r>
      <w:r>
        <w:rPr>
          <w:rFonts w:ascii="宋体" w:hAnsi="宋体" w:cs="宋体" w:eastAsia="宋体" w:hint="default"/>
        </w:rPr>
        <w:t>6</w:t>
      </w:r>
      <w:r>
        <w:rPr/>
        <w:t>、再融资及财务结构改善计划 公司不断强化财务管理职能，科学统筹资金使用安排，提高资金使用效率及降低财务费用。</w:t>
      </w:r>
    </w:p>
    <w:p>
      <w:pPr>
        <w:pStyle w:val="BodyText"/>
        <w:spacing w:line="477" w:lineRule="auto" w:before="54"/>
        <w:ind w:left="513" w:right="143"/>
        <w:jc w:val="left"/>
      </w:pPr>
      <w:r>
        <w:rPr>
          <w:rFonts w:ascii="宋体" w:hAnsi="宋体" w:cs="宋体" w:eastAsia="宋体" w:hint="default"/>
        </w:rPr>
        <w:t>7</w:t>
      </w:r>
      <w:r>
        <w:rPr/>
        <w:t>、管理成长计划 公司已建立以客户为中心的专业化分工管理体系，调整并完善了组织架构，升级了</w:t>
      </w:r>
      <w:r>
        <w:rPr>
          <w:rFonts w:ascii="宋体" w:hAnsi="宋体" w:cs="宋体" w:eastAsia="宋体" w:hint="default"/>
        </w:rPr>
        <w:t>OA</w:t>
      </w:r>
      <w:r>
        <w:rPr/>
        <w:t>系统平台、</w:t>
      </w:r>
      <w:r>
        <w:rPr>
          <w:rFonts w:ascii="宋体" w:hAnsi="宋体" w:cs="宋体" w:eastAsia="宋体" w:hint="default"/>
        </w:rPr>
        <w:t>ERP</w:t>
      </w:r>
      <w:r>
        <w:rPr/>
        <w:t>系统，梳理完善了</w:t>
      </w:r>
    </w:p>
    <w:p>
      <w:pPr>
        <w:pStyle w:val="BodyText"/>
        <w:spacing w:line="240" w:lineRule="auto" w:before="54"/>
        <w:ind w:right="0"/>
        <w:jc w:val="left"/>
      </w:pPr>
      <w:r>
        <w:rPr/>
        <w:t>各类业务流程，大幅提升了管理水平和企业运行效率。</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BodyText"/>
        <w:spacing w:line="439" w:lineRule="auto"/>
        <w:ind w:left="513" w:right="4374" w:hanging="361"/>
        <w:jc w:val="left"/>
      </w:pPr>
      <w:r>
        <w:rPr/>
        <w:t>公司回顾总结前期披露的发展战略和经营计划在报告期内的进展情况 </w:t>
      </w:r>
      <w:r>
        <w:rPr>
          <w:rFonts w:ascii="宋体" w:hAnsi="宋体" w:cs="宋体" w:eastAsia="宋体" w:hint="default"/>
        </w:rPr>
        <w:t>1</w:t>
      </w:r>
      <w:r>
        <w:rPr/>
        <w:t>、经营目标完成情况</w:t>
      </w:r>
    </w:p>
    <w:p>
      <w:pPr>
        <w:pStyle w:val="BodyText"/>
        <w:spacing w:line="477" w:lineRule="auto" w:before="83"/>
        <w:ind w:right="0" w:firstLine="360"/>
        <w:jc w:val="left"/>
      </w:pPr>
      <w:r>
        <w:rPr>
          <w:rFonts w:ascii="宋体" w:hAnsi="宋体" w:cs="宋体" w:eastAsia="宋体" w:hint="default"/>
          <w:spacing w:val="-2"/>
        </w:rPr>
        <w:t>2012</w:t>
      </w:r>
      <w:r>
        <w:rPr>
          <w:spacing w:val="-2"/>
        </w:rPr>
        <w:t>年度，公司计划实现营业总收入</w:t>
      </w:r>
      <w:r>
        <w:rPr>
          <w:rFonts w:ascii="宋体" w:hAnsi="宋体" w:cs="宋体" w:eastAsia="宋体" w:hint="default"/>
          <w:spacing w:val="-2"/>
        </w:rPr>
        <w:t>2</w:t>
      </w:r>
      <w:r>
        <w:rPr>
          <w:spacing w:val="-2"/>
        </w:rPr>
        <w:t>亿元</w:t>
      </w:r>
      <w:r>
        <w:rPr>
          <w:rFonts w:ascii="宋体" w:hAnsi="宋体" w:cs="宋体" w:eastAsia="宋体" w:hint="default"/>
          <w:spacing w:val="-2"/>
        </w:rPr>
        <w:t>-2.5</w:t>
      </w:r>
      <w:r>
        <w:rPr>
          <w:spacing w:val="-2"/>
        </w:rPr>
        <w:t>亿元，实现归属于上市公司股东东净利润</w:t>
      </w:r>
      <w:r>
        <w:rPr>
          <w:rFonts w:ascii="宋体" w:hAnsi="宋体" w:cs="宋体" w:eastAsia="宋体" w:hint="default"/>
          <w:spacing w:val="-2"/>
        </w:rPr>
        <w:t>6,800</w:t>
      </w:r>
      <w:r>
        <w:rPr>
          <w:spacing w:val="-2"/>
        </w:rPr>
        <w:t>万元</w:t>
      </w:r>
      <w:r>
        <w:rPr>
          <w:rFonts w:ascii="宋体" w:hAnsi="宋体" w:cs="宋体" w:eastAsia="宋体" w:hint="default"/>
          <w:spacing w:val="-2"/>
        </w:rPr>
        <w:t>-8,000</w:t>
      </w:r>
      <w:r>
        <w:rPr>
          <w:spacing w:val="-2"/>
        </w:rPr>
        <w:t>万元；公司实</w:t>
      </w:r>
      <w:r>
        <w:rPr/>
        <w:t> 际实现营业总收入</w:t>
      </w:r>
      <w:r>
        <w:rPr>
          <w:rFonts w:ascii="宋体" w:hAnsi="宋体" w:cs="宋体" w:eastAsia="宋体" w:hint="default"/>
        </w:rPr>
        <w:t>3.13</w:t>
      </w:r>
      <w:r>
        <w:rPr/>
        <w:t>亿元，实现归属于上市公司股东净利润</w:t>
      </w:r>
      <w:r>
        <w:rPr>
          <w:rFonts w:ascii="宋体" w:hAnsi="宋体" w:cs="宋体" w:eastAsia="宋体" w:hint="default"/>
        </w:rPr>
        <w:t>7,075.35</w:t>
      </w:r>
      <w:r>
        <w:rPr/>
        <w:t>万元，完成了公司总体经营目标。</w:t>
      </w:r>
    </w:p>
    <w:p>
      <w:pPr>
        <w:pStyle w:val="BodyText"/>
        <w:spacing w:line="240" w:lineRule="auto" w:before="54"/>
        <w:ind w:left="513" w:right="0"/>
        <w:jc w:val="left"/>
      </w:pPr>
      <w:r>
        <w:rPr>
          <w:rFonts w:ascii="宋体" w:hAnsi="宋体" w:cs="宋体" w:eastAsia="宋体" w:hint="default"/>
        </w:rPr>
        <w:t>2</w:t>
      </w:r>
      <w:r>
        <w:rPr/>
        <w:t>、公司市场开拓进展</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9"/>
          <w:szCs w:val="29"/>
        </w:rPr>
      </w:pPr>
    </w:p>
    <w:p>
      <w:pPr>
        <w:pStyle w:val="BodyText"/>
        <w:spacing w:line="477" w:lineRule="auto" w:before="44"/>
        <w:ind w:right="94" w:firstLine="360"/>
        <w:jc w:val="left"/>
      </w:pPr>
      <w:r>
        <w:rPr/>
        <w:t>公司</w:t>
      </w:r>
      <w:r>
        <w:rPr>
          <w:rFonts w:ascii="宋体" w:hAnsi="宋体" w:cs="宋体" w:eastAsia="宋体" w:hint="default"/>
        </w:rPr>
        <w:t>2012</w:t>
      </w:r>
      <w:r>
        <w:rPr/>
        <w:t>度计划实现非电信行业收入占营业总收入的</w:t>
      </w:r>
      <w:r>
        <w:rPr>
          <w:rFonts w:ascii="宋体" w:hAnsi="宋体" w:cs="宋体" w:eastAsia="宋体" w:hint="default"/>
        </w:rPr>
        <w:t>10%</w:t>
      </w:r>
      <w:r>
        <w:rPr/>
        <w:t>，</w:t>
      </w:r>
      <w:r>
        <w:rPr>
          <w:spacing w:val="-58"/>
        </w:rPr>
        <w:t> </w:t>
      </w:r>
      <w:r>
        <w:rPr>
          <w:rFonts w:ascii="宋体" w:hAnsi="宋体" w:cs="宋体" w:eastAsia="宋体" w:hint="default"/>
        </w:rPr>
        <w:t>2012</w:t>
      </w:r>
      <w:r>
        <w:rPr/>
        <w:t>度实际实现非电信行业收入</w:t>
      </w:r>
      <w:r>
        <w:rPr>
          <w:rFonts w:ascii="宋体" w:hAnsi="宋体" w:cs="宋体" w:eastAsia="宋体" w:hint="default"/>
        </w:rPr>
        <w:t>3,063.25</w:t>
      </w:r>
      <w:r>
        <w:rPr/>
        <w:t>万元，占营业总收 入的</w:t>
      </w:r>
      <w:r>
        <w:rPr>
          <w:rFonts w:ascii="宋体" w:hAnsi="宋体" w:cs="宋体" w:eastAsia="宋体" w:hint="default"/>
        </w:rPr>
        <w:t>9.79%</w:t>
      </w:r>
      <w:r>
        <w:rPr/>
        <w:t>。本年度，公司积极采取有力举措，加强外部交流，努力开拓非电信行业市场，新增非电信行业客户涉及新闻媒</w:t>
      </w:r>
      <w:r>
        <w:rPr>
          <w:spacing w:val="-85"/>
        </w:rPr>
        <w:t> </w:t>
      </w:r>
      <w:r>
        <w:rPr>
          <w:spacing w:val="-85"/>
        </w:rPr>
      </w:r>
      <w:r>
        <w:rPr>
          <w:spacing w:val="-4"/>
        </w:rPr>
        <w:t>体、金融、能源等行业，因目标行业企业年度投资计划尚未落实及行政审批程序较为复杂，目前合同签署情况未能达到预期，</w:t>
      </w:r>
      <w:r>
        <w:rPr>
          <w:spacing w:val="-45"/>
        </w:rPr>
        <w:t> </w:t>
      </w:r>
      <w:r>
        <w:rPr>
          <w:spacing w:val="-45"/>
        </w:rPr>
      </w:r>
      <w:r>
        <w:rPr/>
        <w:t>相信随着项目工作的落实和逐步深入，后期状况会得到显著改善。</w:t>
      </w:r>
    </w:p>
    <w:p>
      <w:pPr>
        <w:pStyle w:val="BodyText"/>
        <w:spacing w:line="240" w:lineRule="auto" w:before="54"/>
        <w:ind w:left="604" w:right="94"/>
        <w:jc w:val="left"/>
      </w:pPr>
      <w:r>
        <w:rPr>
          <w:rFonts w:ascii="宋体" w:hAnsi="宋体" w:cs="宋体" w:eastAsia="宋体" w:hint="default"/>
        </w:rPr>
        <w:t>3</w:t>
      </w:r>
      <w:r>
        <w:rPr/>
        <w:t>、技术研发和创新能力提升</w:t>
      </w:r>
    </w:p>
    <w:p>
      <w:pPr>
        <w:spacing w:line="240" w:lineRule="auto" w:before="10"/>
        <w:rPr>
          <w:rFonts w:ascii="宋体" w:hAnsi="宋体" w:cs="宋体" w:eastAsia="宋体" w:hint="default"/>
          <w:sz w:val="17"/>
          <w:szCs w:val="17"/>
        </w:rPr>
      </w:pPr>
    </w:p>
    <w:p>
      <w:pPr>
        <w:pStyle w:val="BodyText"/>
        <w:spacing w:line="477" w:lineRule="auto"/>
        <w:ind w:right="188" w:firstLine="360"/>
        <w:jc w:val="both"/>
      </w:pPr>
      <w:r>
        <w:rPr>
          <w:rFonts w:ascii="宋体" w:hAnsi="宋体" w:cs="宋体" w:eastAsia="宋体" w:hint="default"/>
          <w:spacing w:val="-2"/>
        </w:rPr>
        <w:t>2012</w:t>
      </w:r>
      <w:r>
        <w:rPr>
          <w:spacing w:val="-2"/>
        </w:rPr>
        <w:t>年度，公司继续加大研发投入，引进高端技术人才，研发团队不断壮大，整体技术研发实力持续提高，有力支撑了</w:t>
      </w:r>
      <w:r>
        <w:rPr/>
        <w:t> 公司项目研发和产品创新。</w:t>
      </w:r>
      <w:r>
        <w:rPr>
          <w:rFonts w:ascii="宋体" w:hAnsi="宋体" w:cs="宋体" w:eastAsia="宋体" w:hint="default"/>
        </w:rPr>
        <w:t>2012</w:t>
      </w:r>
      <w:r>
        <w:rPr/>
        <w:t>年度公司研发支出</w:t>
      </w:r>
      <w:r>
        <w:rPr>
          <w:rFonts w:ascii="宋体" w:hAnsi="宋体" w:cs="宋体" w:eastAsia="宋体" w:hint="default"/>
        </w:rPr>
        <w:t>7,904.82</w:t>
      </w:r>
      <w:r>
        <w:rPr/>
        <w:t>万元，占营业总收入的</w:t>
      </w:r>
      <w:r>
        <w:rPr>
          <w:rFonts w:ascii="宋体" w:hAnsi="宋体" w:cs="宋体" w:eastAsia="宋体" w:hint="default"/>
        </w:rPr>
        <w:t>25.25%</w:t>
      </w:r>
      <w:r>
        <w:rPr/>
        <w:t>，比去年同期增长</w:t>
      </w:r>
      <w:r>
        <w:rPr>
          <w:rFonts w:ascii="宋体" w:hAnsi="宋体" w:cs="宋体" w:eastAsia="宋体" w:hint="default"/>
        </w:rPr>
        <w:t>108.17%</w:t>
      </w:r>
      <w:r>
        <w:rPr/>
        <w:t>。截止 报告期末，公司已取得的软件著作权共</w:t>
      </w:r>
      <w:r>
        <w:rPr>
          <w:rFonts w:ascii="宋体" w:hAnsi="宋体" w:cs="宋体" w:eastAsia="宋体" w:hint="default"/>
        </w:rPr>
        <w:t>57</w:t>
      </w:r>
      <w:r>
        <w:rPr/>
        <w:t>项，其中</w:t>
      </w:r>
      <w:r>
        <w:rPr>
          <w:rFonts w:ascii="宋体" w:hAnsi="宋体" w:cs="宋体" w:eastAsia="宋体" w:hint="default"/>
        </w:rPr>
        <w:t>2012</w:t>
      </w:r>
      <w:r>
        <w:rPr/>
        <w:t>年度新增</w:t>
      </w:r>
      <w:r>
        <w:rPr>
          <w:rFonts w:ascii="宋体" w:hAnsi="宋体" w:cs="宋体" w:eastAsia="宋体" w:hint="default"/>
        </w:rPr>
        <w:t>24</w:t>
      </w:r>
      <w:r>
        <w:rPr/>
        <w:t>项。</w:t>
      </w:r>
    </w:p>
    <w:p>
      <w:pPr>
        <w:pStyle w:val="BodyText"/>
        <w:spacing w:line="477" w:lineRule="auto" w:before="55"/>
        <w:ind w:left="513" w:right="94"/>
        <w:jc w:val="left"/>
      </w:pPr>
      <w:r>
        <w:rPr>
          <w:rFonts w:ascii="宋体" w:hAnsi="宋体" w:cs="宋体" w:eastAsia="宋体" w:hint="default"/>
        </w:rPr>
        <w:t>4</w:t>
      </w:r>
      <w:r>
        <w:rPr/>
        <w:t>、募投项目进展 </w:t>
      </w:r>
      <w:r>
        <w:rPr>
          <w:spacing w:val="-2"/>
        </w:rPr>
        <w:t>报告期内公司完成了商业智能应用构建工具项目和探索式数据分析及应用平台项目研发工作，取得了相关的软件著作权</w:t>
      </w:r>
    </w:p>
    <w:p>
      <w:pPr>
        <w:pStyle w:val="BodyText"/>
        <w:spacing w:line="477" w:lineRule="auto" w:before="54"/>
        <w:ind w:right="190"/>
        <w:jc w:val="both"/>
      </w:pPr>
      <w:r>
        <w:rPr>
          <w:spacing w:val="-2"/>
        </w:rPr>
        <w:t>登记证书，目前商业智能应用构建工具和探索式数据分析及应用平台已进入推广阶段，进一步完善了公司产品结构，提升了</w:t>
      </w:r>
      <w:r>
        <w:rPr>
          <w:spacing w:val="-63"/>
        </w:rPr>
        <w:t> </w:t>
      </w:r>
      <w:r>
        <w:rPr>
          <w:spacing w:val="-63"/>
        </w:rPr>
      </w:r>
      <w:r>
        <w:rPr>
          <w:spacing w:val="-2"/>
        </w:rPr>
        <w:t>公司产品竞争力。其余募投项目进展顺利，均取得阶段性成果，企业数据仓库构建系统项目进入系统开发阶段；全业务营销</w:t>
      </w:r>
      <w:r>
        <w:rPr>
          <w:spacing w:val="-63"/>
        </w:rPr>
        <w:t> </w:t>
      </w:r>
      <w:r>
        <w:rPr>
          <w:spacing w:val="-63"/>
        </w:rPr>
      </w:r>
      <w:r>
        <w:rPr/>
        <w:t>及维系挽留系统项目和数据集成和管理工具项目均已进入系统开发阶段，部分模块已上线试运行。</w:t>
      </w:r>
    </w:p>
    <w:p>
      <w:pPr>
        <w:spacing w:line="240" w:lineRule="auto" w:before="1"/>
        <w:rPr>
          <w:rFonts w:ascii="宋体" w:hAnsi="宋体" w:cs="宋体" w:eastAsia="宋体" w:hint="default"/>
          <w:sz w:val="25"/>
          <w:szCs w:val="25"/>
        </w:rPr>
      </w:pPr>
    </w:p>
    <w:p>
      <w:pPr>
        <w:pStyle w:val="BodyText"/>
        <w:spacing w:line="240" w:lineRule="auto"/>
        <w:ind w:right="0"/>
        <w:jc w:val="both"/>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01"/>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282,370,694.87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141,875,743.97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58.24%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68.37%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非电信行业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30,632,538.35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26,499,704.79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8,190.01%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12,569.88%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-29.91%</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企业数据平台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78,493,421.38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34,378,090.95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数据分析平台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123,723,820.23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57,317,234.99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CRM</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应用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82,941,895.89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49,962,128.13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硬件销售及其他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27,844,095.72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26,717,994.69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1,979.4%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4,177.25%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-49.31%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11,880,002.27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5,397,350.04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7,640,876.53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4,705,430.13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-21.81%</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4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209,225,252.37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115,016,053.78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6,879,858.89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3,137,527.04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17,862,716.35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10,868,078.63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15,270,438.58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5,385,306.33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44,244,088.23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23,865,702.81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347,046,514.1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44.55%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538,508,344.56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73.18%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-28.63%</w:t>
            </w:r>
          </w:p>
        </w:tc>
        <w:tc>
          <w:tcPr>
            <w:tcW w:w="2919"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货币资金较期初减少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35.55%,</w:t>
            </w:r>
            <w:r>
              <w:rPr>
                <w:rFonts w:ascii="宋体" w:hAnsi="宋体" w:cs="宋体" w:eastAsia="宋体" w:hint="default"/>
                <w:sz w:val="18"/>
                <w:szCs w:val="18"/>
              </w:rPr>
              <w:t>主要系 </w:t>
            </w:r>
            <w:r>
              <w:rPr>
                <w:rFonts w:ascii="宋体" w:hAnsi="宋体" w:cs="宋体" w:eastAsia="宋体" w:hint="default"/>
                <w:spacing w:val="-2"/>
                <w:sz w:val="18"/>
                <w:szCs w:val="18"/>
              </w:rPr>
              <w:t>购买商品、预付土地款、采购预付款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等，支付正常经营业务，导致资金减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少所致；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151,679,904.8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19.47%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101,396,334.26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13.78%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5.69%</w:t>
            </w:r>
          </w:p>
        </w:tc>
        <w:tc>
          <w:tcPr>
            <w:tcW w:w="2919"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应收账款较期初增加</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49.59%</w:t>
            </w:r>
            <w:r>
              <w:rPr>
                <w:rFonts w:ascii="宋体" w:hAnsi="宋体" w:cs="宋体" w:eastAsia="宋体" w:hint="default"/>
                <w:spacing w:val="-8"/>
                <w:sz w:val="18"/>
                <w:szCs w:val="18"/>
              </w:rPr>
              <w:t>，主要系</w:t>
            </w:r>
            <w:r>
              <w:rPr>
                <w:rFonts w:ascii="宋体" w:hAnsi="宋体" w:cs="宋体" w:eastAsia="宋体" w:hint="default"/>
                <w:sz w:val="18"/>
                <w:szCs w:val="18"/>
              </w:rPr>
              <w:t> 收入增加，但款项未到回款期所致；</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15,271,592.33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1.96%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1,453,549.24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7" w:right="0"/>
              <w:jc w:val="left"/>
              <w:rPr>
                <w:rFonts w:ascii="Times New Roman" w:hAnsi="Times New Roman" w:cs="Times New Roman" w:eastAsia="Times New Roman" w:hint="default"/>
                <w:sz w:val="18"/>
                <w:szCs w:val="18"/>
              </w:rPr>
            </w:pPr>
            <w:r>
              <w:rPr>
                <w:rFonts w:ascii="Times New Roman"/>
                <w:sz w:val="18"/>
              </w:rPr>
              <w:t>0.2%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1.76%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存货较期初大幅增加，主要系子公司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采购库存商品增加所致；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18,046,205.12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14,830,877.41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4"/>
        <w:gridCol w:w="1195"/>
        <w:gridCol w:w="1064"/>
        <w:gridCol w:w="797"/>
        <w:gridCol w:w="2919"/>
      </w:tblGrid>
      <w:tr>
        <w:trPr>
          <w:trHeight w:val="207"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22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4"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2239"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3</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7"/>
        <w:gridCol w:w="1524"/>
        <w:gridCol w:w="1507"/>
        <w:gridCol w:w="1506"/>
        <w:gridCol w:w="1520"/>
        <w:gridCol w:w="1512"/>
      </w:tblGrid>
      <w:tr>
        <w:trPr>
          <w:trHeight w:val="161" w:hRule="exact"/>
        </w:trPr>
        <w:tc>
          <w:tcPr>
            <w:tcW w:w="19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5" w:right="30"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3" w:right="21"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07" w:type="dxa"/>
            <w:vMerge/>
            <w:tcBorders>
              <w:left w:val="single" w:sz="4" w:space="0" w:color="000000"/>
              <w:right w:val="single" w:sz="4" w:space="0" w:color="000000"/>
            </w:tcBorders>
            <w:shd w:val="clear" w:color="auto" w:fill="D2D2D2"/>
          </w:tcPr>
          <w:p>
            <w:pPr/>
          </w:p>
        </w:tc>
        <w:tc>
          <w:tcPr>
            <w:tcW w:w="1506" w:type="dxa"/>
            <w:vMerge/>
            <w:tcBorders>
              <w:left w:val="single" w:sz="4" w:space="0" w:color="000000"/>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19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7" w:type="dxa"/>
            <w:vMerge/>
            <w:tcBorders>
              <w:left w:val="single" w:sz="4" w:space="0" w:color="000000"/>
              <w:bottom w:val="single" w:sz="4" w:space="0" w:color="000000"/>
              <w:right w:val="single" w:sz="4" w:space="0" w:color="000000"/>
            </w:tcBorders>
            <w:shd w:val="clear" w:color="auto" w:fill="D2D2D2"/>
          </w:tcPr>
          <w:p>
            <w:pPr/>
          </w:p>
        </w:tc>
        <w:tc>
          <w:tcPr>
            <w:tcW w:w="1506" w:type="dxa"/>
            <w:vMerge/>
            <w:tcBorders>
              <w:left w:val="single" w:sz="4" w:space="0" w:color="000000"/>
              <w:bottom w:val="single" w:sz="4" w:space="0" w:color="000000"/>
              <w:right w:val="single" w:sz="4" w:space="0" w:color="000000"/>
            </w:tcBorders>
            <w:shd w:val="clear" w:color="auto" w:fill="D2D2D2"/>
          </w:tcPr>
          <w:p>
            <w:pPr/>
          </w:p>
        </w:tc>
        <w:tc>
          <w:tcPr>
            <w:tcW w:w="15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9"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资产（不含衍生金融资 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4"/>
        <w:jc w:val="left"/>
      </w:pPr>
      <w:r>
        <w:rPr/>
        <w:t>报告期内公司主要资产计量属性是否发生重大变化</w:t>
      </w:r>
    </w:p>
    <w:p>
      <w:pPr>
        <w:pStyle w:val="BodyText"/>
        <w:spacing w:line="240" w:lineRule="auto" w:before="115"/>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52" w:firstLine="482"/>
        <w:jc w:val="left"/>
      </w:pPr>
      <w:r>
        <w:rPr/>
        <w:t>通过多年的不懈努力，公司在技术创新、服务保障、客户维系、团队建设、品牌塑造等方面具备了较强的竞争优势， 本年度，公司技术研发实力、市场开拓能力和管理能力均有较大提升。</w:t>
      </w:r>
    </w:p>
    <w:p>
      <w:pPr>
        <w:pStyle w:val="BodyText"/>
        <w:spacing w:line="477" w:lineRule="auto" w:before="54"/>
        <w:ind w:right="94" w:firstLine="482"/>
        <w:jc w:val="left"/>
      </w:pPr>
      <w:r>
        <w:rPr>
          <w:spacing w:val="-3"/>
        </w:rPr>
        <w:t>在技术创新方面，公司坚持自主创新，目前已拥有电信行业通用数据模型、数据清洗、稽核、元数据、分析图表引擎、</w:t>
      </w:r>
      <w:r>
        <w:rPr/>
        <w:t> </w:t>
      </w:r>
      <w:r>
        <w:rPr>
          <w:spacing w:val="-2"/>
        </w:rPr>
        <w:t>可视化报表设计、基于语义层的即席查询、挖掘模型、广义工作流、业务服务规则引擎等核心技术。</w:t>
      </w:r>
      <w:r>
        <w:rPr>
          <w:rFonts w:ascii="宋体" w:hAnsi="宋体" w:cs="宋体" w:eastAsia="宋体" w:hint="default"/>
          <w:spacing w:val="-2"/>
        </w:rPr>
        <w:t>2012</w:t>
      </w:r>
      <w:r>
        <w:rPr>
          <w:spacing w:val="-2"/>
        </w:rPr>
        <w:t>年度，公司完成了</w:t>
      </w:r>
      <w:r>
        <w:rPr>
          <w:spacing w:val="-63"/>
        </w:rPr>
        <w:t> </w:t>
      </w:r>
      <w:r>
        <w:rPr>
          <w:spacing w:val="-63"/>
        </w:rPr>
      </w:r>
      <w:r>
        <w:rPr>
          <w:spacing w:val="-2"/>
        </w:rPr>
        <w:t>商业智能应用构建工具和探索式数据分析及应用平台两个募投项目的研发工作，进一步完善公司了产品结构，提升了公司产</w:t>
      </w:r>
      <w:r>
        <w:rPr>
          <w:spacing w:val="-64"/>
        </w:rPr>
        <w:t> </w:t>
      </w:r>
      <w:r>
        <w:rPr>
          <w:spacing w:val="-64"/>
        </w:rPr>
      </w:r>
      <w:r>
        <w:rPr/>
        <w:t>品竞争力。截至</w:t>
      </w:r>
      <w:r>
        <w:rPr>
          <w:rFonts w:ascii="宋体" w:hAnsi="宋体" w:cs="宋体" w:eastAsia="宋体" w:hint="default"/>
        </w:rPr>
        <w:t>2012</w:t>
      </w:r>
      <w:r>
        <w:rPr/>
        <w:t>年末，公司（含控股子公司、分公司）已取得软件著作权共</w:t>
      </w:r>
      <w:r>
        <w:rPr>
          <w:rFonts w:ascii="宋体" w:hAnsi="宋体" w:cs="宋体" w:eastAsia="宋体" w:hint="default"/>
        </w:rPr>
        <w:t>57</w:t>
      </w:r>
      <w:r>
        <w:rPr/>
        <w:t>项，</w:t>
      </w:r>
      <w:r>
        <w:rPr>
          <w:rFonts w:ascii="宋体" w:hAnsi="宋体" w:cs="宋体" w:eastAsia="宋体" w:hint="default"/>
        </w:rPr>
        <w:t>2012</w:t>
      </w:r>
      <w:r>
        <w:rPr/>
        <w:t>年度新增</w:t>
      </w:r>
      <w:r>
        <w:rPr>
          <w:rFonts w:ascii="宋体" w:hAnsi="宋体" w:cs="宋体" w:eastAsia="宋体" w:hint="default"/>
        </w:rPr>
        <w:t>24</w:t>
      </w:r>
      <w:r>
        <w:rPr/>
        <w:t>项，列示如下：</w:t>
      </w:r>
    </w:p>
    <w:p>
      <w:pPr>
        <w:spacing w:line="240" w:lineRule="auto" w:before="4"/>
        <w:rPr>
          <w:rFonts w:ascii="宋体" w:hAnsi="宋体" w:cs="宋体" w:eastAsia="宋体" w:hint="default"/>
          <w:sz w:val="21"/>
          <w:szCs w:val="21"/>
        </w:rPr>
      </w:pPr>
    </w:p>
    <w:tbl>
      <w:tblPr>
        <w:tblW w:w="0" w:type="auto"/>
        <w:jc w:val="left"/>
        <w:tblInd w:w="282" w:type="dxa"/>
        <w:tblLayout w:type="fixed"/>
        <w:tblCellMar>
          <w:top w:w="0" w:type="dxa"/>
          <w:left w:w="0" w:type="dxa"/>
          <w:bottom w:w="0" w:type="dxa"/>
          <w:right w:w="0" w:type="dxa"/>
        </w:tblCellMar>
        <w:tblLook w:val="01E0"/>
      </w:tblPr>
      <w:tblGrid>
        <w:gridCol w:w="629"/>
        <w:gridCol w:w="5859"/>
        <w:gridCol w:w="1037"/>
        <w:gridCol w:w="1844"/>
      </w:tblGrid>
      <w:tr>
        <w:trPr>
          <w:trHeight w:val="550" w:hRule="exact"/>
        </w:trPr>
        <w:tc>
          <w:tcPr>
            <w:tcW w:w="6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1"/>
              <w:ind w:left="13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585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软件著作权名称</w:t>
            </w:r>
          </w:p>
        </w:tc>
        <w:tc>
          <w:tcPr>
            <w:tcW w:w="103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登记时间</w:t>
            </w:r>
          </w:p>
        </w:tc>
        <w:tc>
          <w:tcPr>
            <w:tcW w:w="18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1"/>
              <w:ind w:left="5"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1</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企业级经营分析数据仓库系统</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2008/12/26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决策支持系统软件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简称：决策支持</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r>
              <w:rPr>
                <w:rFonts w:ascii="Times New Roman"/>
                <w:sz w:val="18"/>
              </w:rPr>
              <w:t>2008/12/5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3</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经营分析指标系统软件</w:t>
            </w:r>
            <w:r>
              <w:rPr>
                <w:rFonts w:ascii="Times New Roman" w:hAnsi="Times New Roman" w:cs="Times New Roman" w:eastAsia="Times New Roman" w:hint="default"/>
                <w:sz w:val="18"/>
                <w:szCs w:val="18"/>
              </w:rPr>
              <w:t>V2.0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2008/12/10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4"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4</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经营（决策）分析系统软件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简称：经营分析</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2008/10/10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5</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渠道管理系统</w:t>
            </w:r>
            <w:r>
              <w:rPr>
                <w:rFonts w:ascii="Times New Roman" w:hAnsi="Times New Roman" w:cs="Times New Roman" w:eastAsia="Times New Roman" w:hint="default"/>
                <w:sz w:val="18"/>
                <w:szCs w:val="18"/>
              </w:rPr>
              <w:t>V3.0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2008/10/10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6</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统一客户资料系统</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2008/10/10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7</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综合人工平台系统软件</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2008/10/10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8</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TBSS</w:t>
            </w:r>
            <w:r>
              <w:rPr>
                <w:rFonts w:ascii="宋体" w:hAnsi="宋体" w:cs="宋体" w:eastAsia="宋体" w:hint="default"/>
                <w:sz w:val="18"/>
                <w:szCs w:val="18"/>
              </w:rPr>
              <w:t>应用软件【简称：</w:t>
            </w:r>
            <w:r>
              <w:rPr>
                <w:rFonts w:ascii="Times New Roman" w:hAnsi="Times New Roman" w:cs="Times New Roman" w:eastAsia="Times New Roman" w:hint="default"/>
                <w:sz w:val="18"/>
                <w:szCs w:val="18"/>
              </w:rPr>
              <w:t>TBSS</w:t>
            </w:r>
            <w:r>
              <w:rPr>
                <w:rFonts w:ascii="宋体" w:hAnsi="宋体" w:cs="宋体" w:eastAsia="宋体" w:hint="default"/>
                <w:sz w:val="18"/>
                <w:szCs w:val="18"/>
              </w:rPr>
              <w:t>】</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2008/10/10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bl>
    <w:p>
      <w:pPr>
        <w:spacing w:after="0" w:line="240" w:lineRule="auto"/>
        <w:jc w:val="left"/>
        <w:rPr>
          <w:rFonts w:ascii="宋体" w:hAnsi="宋体" w:cs="宋体" w:eastAsia="宋体" w:hint="default"/>
          <w:sz w:val="18"/>
          <w:szCs w:val="18"/>
        </w:rPr>
        <w:sectPr>
          <w:pgSz w:w="11910" w:h="16840"/>
          <w:pgMar w:header="772" w:footer="1006" w:top="1080" w:bottom="120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282" w:type="dxa"/>
        <w:tblLayout w:type="fixed"/>
        <w:tblCellMar>
          <w:top w:w="0" w:type="dxa"/>
          <w:left w:w="0" w:type="dxa"/>
          <w:bottom w:w="0" w:type="dxa"/>
          <w:right w:w="0" w:type="dxa"/>
        </w:tblCellMar>
        <w:tblLook w:val="01E0"/>
      </w:tblPr>
      <w:tblGrid>
        <w:gridCol w:w="629"/>
        <w:gridCol w:w="5859"/>
        <w:gridCol w:w="1037"/>
        <w:gridCol w:w="1844"/>
      </w:tblGrid>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9</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客户维系挽留系统【简称：维系挽留】</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2008/10/10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10</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客户细分系统</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2008/10/10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11</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大客户管理系统</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2008/10/10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4"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12</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数据仓库对象管理系统软件【简称：数据仓库对象管理系统】</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2010/11/29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13</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数据流调度管理系统软件【简称：数据流调度管理系统】</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2010/11/29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14</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自助取数系统软件【简称：自助取数系统】</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2010/11/29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15</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操作型数据仓储系统软件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ODS]V1.0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2010/5/20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16</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企业数据仓库系统软件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EDW]V1.0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2010/5/20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17</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针对性营销及维系挽留系统软件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简称：营销系统</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2010/1/6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4"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18</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集团客户营销支撑系统软件【简称：集团客户营销支撑系统】</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2010/12/4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19</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掌上经营分析系统软件【简称：掌上经营分析系统】</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2010/12/4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本地网数据应用系统软件【简称：本地网数据应用系统】</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2010/12/3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sz w:val="18"/>
              </w:rPr>
              <w:t>21</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基于组件的经营分析构建工具系统软件【简称：组件化经分】</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sz w:val="18"/>
              </w:rPr>
              <w:t>2010/12/1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22</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增值业务营销系统软件【简称：营销系统】</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2010/11/30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23</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固网业务营销支撑系统软件【简称：固网业务营销支撑系统】</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2010/11/29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4"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24</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云游移动游戏互动平台</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2012/6/20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25</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失落的魔石游戏软件</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2012/9/24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97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26</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w:t>
            </w:r>
            <w:r>
              <w:rPr>
                <w:rFonts w:ascii="Times New Roman" w:hAnsi="Times New Roman" w:cs="Times New Roman" w:eastAsia="Times New Roman" w:hint="default"/>
                <w:sz w:val="18"/>
                <w:szCs w:val="18"/>
              </w:rPr>
              <w:t>SIA</w:t>
            </w:r>
            <w:r>
              <w:rPr>
                <w:rFonts w:ascii="宋体" w:hAnsi="宋体" w:cs="宋体" w:eastAsia="宋体" w:hint="default"/>
                <w:sz w:val="18"/>
                <w:szCs w:val="18"/>
              </w:rPr>
              <w:t>质检系统</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2012/9/25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6" w:right="107"/>
              <w:jc w:val="both"/>
              <w:rPr>
                <w:rFonts w:ascii="宋体" w:hAnsi="宋体" w:cs="宋体" w:eastAsia="宋体" w:hint="default"/>
                <w:sz w:val="18"/>
                <w:szCs w:val="18"/>
              </w:rPr>
            </w:pPr>
            <w:r>
              <w:rPr>
                <w:rFonts w:ascii="宋体" w:hAnsi="宋体" w:cs="宋体" w:eastAsia="宋体" w:hint="default"/>
                <w:sz w:val="18"/>
                <w:szCs w:val="18"/>
              </w:rPr>
              <w:t>该产品著作权为东方 国信母公司与重庆首 亨共同享有。</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27</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手机版渠道管理系统软件</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2012/9/27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28</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智能云管家（</w:t>
            </w:r>
            <w:r>
              <w:rPr>
                <w:rFonts w:ascii="Times New Roman" w:hAnsi="Times New Roman" w:cs="Times New Roman" w:eastAsia="Times New Roman" w:hint="default"/>
                <w:sz w:val="18"/>
                <w:szCs w:val="18"/>
              </w:rPr>
              <w:t>WEB</w:t>
            </w:r>
            <w:r>
              <w:rPr>
                <w:rFonts w:ascii="宋体" w:hAnsi="宋体" w:cs="宋体" w:eastAsia="宋体" w:hint="default"/>
                <w:sz w:val="18"/>
                <w:szCs w:val="18"/>
              </w:rPr>
              <w:t>版）系统软件</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2012/9/28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29</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自然人营销系统软件</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2012/9/27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4"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sz w:val="18"/>
              </w:rPr>
              <w:t>30</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数据分析系统</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sz w:val="18"/>
              </w:rPr>
              <w:t>2012/10/10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31</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云端通讯录系统软件</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2012/10/11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32</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运维知识库系统软件</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2012/10/16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33</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增值业务助销平台</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2012/11/26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34</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增值业务精细化运营平台系统</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2012/11/26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35</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列存数据分析引擎软件</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2012/12/1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4"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36</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商业智能应用平台</w:t>
            </w:r>
            <w:r>
              <w:rPr>
                <w:rFonts w:ascii="Times New Roman" w:hAnsi="Times New Roman" w:cs="Times New Roman" w:eastAsia="Times New Roman" w:hint="default"/>
                <w:sz w:val="18"/>
                <w:szCs w:val="18"/>
              </w:rPr>
              <w:t>V1.0</w:t>
            </w:r>
            <w:r>
              <w:rPr>
                <w:rFonts w:ascii="宋体" w:hAnsi="宋体" w:cs="宋体" w:eastAsia="宋体" w:hint="default"/>
                <w:sz w:val="18"/>
                <w:szCs w:val="18"/>
              </w:rPr>
              <w:t>【</w:t>
            </w:r>
            <w:r>
              <w:rPr>
                <w:rFonts w:ascii="Times New Roman" w:hAnsi="Times New Roman" w:cs="Times New Roman" w:eastAsia="Times New Roman" w:hint="default"/>
                <w:sz w:val="18"/>
                <w:szCs w:val="18"/>
              </w:rPr>
              <w:t>BI</w:t>
            </w:r>
            <w:r>
              <w:rPr>
                <w:rFonts w:ascii="宋体" w:hAnsi="宋体" w:cs="宋体" w:eastAsia="宋体" w:hint="default"/>
                <w:sz w:val="18"/>
                <w:szCs w:val="18"/>
              </w:rPr>
              <w:t>应用平台】</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2012/12/1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37</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商业智能应用构建工具软件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w:t>
            </w:r>
            <w:r>
              <w:rPr>
                <w:rFonts w:ascii="Times New Roman" w:hAnsi="Times New Roman" w:cs="Times New Roman" w:eastAsia="Times New Roman" w:hint="default"/>
                <w:sz w:val="18"/>
                <w:szCs w:val="18"/>
              </w:rPr>
              <w:t>BI</w:t>
            </w:r>
            <w:r>
              <w:rPr>
                <w:rFonts w:ascii="宋体" w:hAnsi="宋体" w:cs="宋体" w:eastAsia="宋体" w:hint="default"/>
                <w:sz w:val="18"/>
                <w:szCs w:val="18"/>
              </w:rPr>
              <w:t>构建工具软件】</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2012/12/1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38</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探索式数据分析及应用平台</w:t>
            </w:r>
            <w:r>
              <w:rPr>
                <w:rFonts w:ascii="Times New Roman" w:hAnsi="Times New Roman" w:cs="Times New Roman" w:eastAsia="Times New Roman" w:hint="default"/>
                <w:sz w:val="18"/>
                <w:szCs w:val="18"/>
              </w:rPr>
              <w:t>V1.0</w:t>
            </w:r>
            <w:r>
              <w:rPr>
                <w:rFonts w:ascii="宋体" w:hAnsi="宋体" w:cs="宋体" w:eastAsia="宋体" w:hint="default"/>
                <w:sz w:val="18"/>
                <w:szCs w:val="18"/>
              </w:rPr>
              <w:t>【交互式探索】</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2012/12/1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39</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实体渠道应用销售系统（</w:t>
            </w:r>
            <w:r>
              <w:rPr>
                <w:rFonts w:ascii="Times New Roman" w:hAnsi="Times New Roman" w:cs="Times New Roman" w:eastAsia="Times New Roman" w:hint="default"/>
                <w:sz w:val="18"/>
                <w:szCs w:val="18"/>
              </w:rPr>
              <w:t>3G</w:t>
            </w:r>
            <w:r>
              <w:rPr>
                <w:rFonts w:ascii="宋体" w:hAnsi="宋体" w:cs="宋体" w:eastAsia="宋体" w:hint="default"/>
                <w:sz w:val="18"/>
                <w:szCs w:val="18"/>
              </w:rPr>
              <w:t>加油站）软件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w:t>
            </w:r>
            <w:r>
              <w:rPr>
                <w:rFonts w:ascii="Times New Roman" w:hAnsi="Times New Roman" w:cs="Times New Roman" w:eastAsia="Times New Roman" w:hint="default"/>
                <w:sz w:val="18"/>
                <w:szCs w:val="18"/>
              </w:rPr>
              <w:t>3G</w:t>
            </w:r>
            <w:r>
              <w:rPr>
                <w:rFonts w:ascii="宋体" w:hAnsi="宋体" w:cs="宋体" w:eastAsia="宋体" w:hint="default"/>
                <w:sz w:val="18"/>
                <w:szCs w:val="18"/>
              </w:rPr>
              <w:t>加油站】</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2012/12/1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东方国信母公司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40</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手机版网格销售系统软件</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2012/9/27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天津子公司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sz w:val="18"/>
              </w:rPr>
              <w:t>41</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预警监控系统</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sz w:val="18"/>
              </w:rPr>
              <w:t>2012/9/27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天津子公司</w:t>
            </w:r>
          </w:p>
        </w:tc>
      </w:tr>
      <w:tr>
        <w:trPr>
          <w:trHeight w:val="324"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42</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(WEB</w:t>
            </w:r>
            <w:r>
              <w:rPr>
                <w:rFonts w:ascii="宋体" w:hAnsi="宋体" w:cs="宋体" w:eastAsia="宋体" w:hint="default"/>
                <w:sz w:val="18"/>
                <w:szCs w:val="18"/>
              </w:rPr>
              <w:t>版</w:t>
            </w:r>
            <w:r>
              <w:rPr>
                <w:rFonts w:ascii="Times New Roman" w:hAnsi="Times New Roman" w:cs="Times New Roman" w:eastAsia="Times New Roman" w:hint="default"/>
                <w:sz w:val="18"/>
                <w:szCs w:val="18"/>
              </w:rPr>
              <w:t>)</w:t>
            </w:r>
            <w:r>
              <w:rPr>
                <w:rFonts w:ascii="宋体" w:hAnsi="宋体" w:cs="宋体" w:eastAsia="宋体" w:hint="default"/>
                <w:sz w:val="18"/>
                <w:szCs w:val="18"/>
              </w:rPr>
              <w:t>网格营销系统软件</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V1.2</w:t>
            </w:r>
            <w:r>
              <w:rPr>
                <w:rFonts w:ascii="宋体" w:hAnsi="宋体" w:cs="宋体" w:eastAsia="宋体" w:hint="default"/>
                <w:sz w:val="18"/>
                <w:szCs w:val="18"/>
              </w:rPr>
              <w:t>【简称：网格营销】</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2012/9/27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天津子公司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43</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报表系统软件</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2012/9/27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天津子公司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44</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东方国信数据查询系统</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【简称：数据查询系统】</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2012/9/27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天津子公司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45</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竞争分析系统</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2012/9/27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天津子公司</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46</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经营分析系统模型项目软件</w:t>
            </w:r>
            <w:r>
              <w:rPr>
                <w:rFonts w:ascii="Times New Roman" w:hAnsi="Times New Roman" w:cs="Times New Roman" w:eastAsia="Times New Roman" w:hint="default"/>
                <w:sz w:val="18"/>
                <w:szCs w:val="18"/>
              </w:rPr>
              <w:t>V1.0.0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2010/2/23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东华信通</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47</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经营分析系统（</w:t>
            </w:r>
            <w:r>
              <w:rPr>
                <w:rFonts w:ascii="Times New Roman" w:hAnsi="Times New Roman" w:cs="Times New Roman" w:eastAsia="Times New Roman" w:hint="default"/>
                <w:spacing w:val="-3"/>
                <w:sz w:val="18"/>
                <w:szCs w:val="18"/>
              </w:rPr>
              <w:t>NGBOSS1.0</w:t>
            </w:r>
            <w:r>
              <w:rPr>
                <w:rFonts w:ascii="宋体" w:hAnsi="宋体" w:cs="宋体" w:eastAsia="宋体" w:hint="default"/>
                <w:spacing w:val="-3"/>
                <w:sz w:val="18"/>
                <w:szCs w:val="18"/>
              </w:rPr>
              <w:t>版）一阶段扩容改造工程项目应用软件</w:t>
            </w:r>
            <w:r>
              <w:rPr>
                <w:rFonts w:ascii="Times New Roman" w:hAnsi="Times New Roman" w:cs="Times New Roman" w:eastAsia="Times New Roman" w:hint="default"/>
                <w:spacing w:val="-3"/>
                <w:sz w:val="18"/>
                <w:szCs w:val="18"/>
              </w:rPr>
              <w:t>V1.0.0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2010/2/23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东华信通</w:t>
            </w:r>
          </w:p>
        </w:tc>
      </w:tr>
      <w:tr>
        <w:trPr>
          <w:trHeight w:val="324"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48</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客户服务重点应用项目软件</w:t>
            </w:r>
            <w:r>
              <w:rPr>
                <w:rFonts w:ascii="Times New Roman" w:hAnsi="Times New Roman" w:cs="Times New Roman" w:eastAsia="Times New Roman" w:hint="default"/>
                <w:sz w:val="18"/>
                <w:szCs w:val="18"/>
              </w:rPr>
              <w:t>V1.0.0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2010/2/23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东华信通</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49</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客户价值分析系统项目软件</w:t>
            </w:r>
            <w:r>
              <w:rPr>
                <w:rFonts w:ascii="Times New Roman" w:hAnsi="Times New Roman" w:cs="Times New Roman" w:eastAsia="Times New Roman" w:hint="default"/>
                <w:sz w:val="18"/>
                <w:szCs w:val="18"/>
              </w:rPr>
              <w:t>V1.0.0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2010/3/1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东华信通</w:t>
            </w:r>
          </w:p>
        </w:tc>
      </w:tr>
    </w:tbl>
    <w:p>
      <w:pPr>
        <w:spacing w:after="0" w:line="240" w:lineRule="auto"/>
        <w:jc w:val="left"/>
        <w:rPr>
          <w:rFonts w:ascii="宋体" w:hAnsi="宋体" w:cs="宋体" w:eastAsia="宋体" w:hint="default"/>
          <w:sz w:val="18"/>
          <w:szCs w:val="18"/>
        </w:rPr>
        <w:sectPr>
          <w:pgSz w:w="11910" w:h="16840"/>
          <w:pgMar w:header="772" w:footer="1006" w:top="108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282" w:type="dxa"/>
        <w:tblLayout w:type="fixed"/>
        <w:tblCellMar>
          <w:top w:w="0" w:type="dxa"/>
          <w:left w:w="0" w:type="dxa"/>
          <w:bottom w:w="0" w:type="dxa"/>
          <w:right w:w="0" w:type="dxa"/>
        </w:tblCellMar>
        <w:tblLook w:val="01E0"/>
      </w:tblPr>
      <w:tblGrid>
        <w:gridCol w:w="629"/>
        <w:gridCol w:w="5859"/>
        <w:gridCol w:w="1037"/>
        <w:gridCol w:w="1844"/>
      </w:tblGrid>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50</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经分系统两大应用项目软件</w:t>
            </w:r>
            <w:r>
              <w:rPr>
                <w:rFonts w:ascii="Times New Roman" w:hAnsi="Times New Roman" w:cs="Times New Roman" w:eastAsia="Times New Roman" w:hint="default"/>
                <w:sz w:val="18"/>
                <w:szCs w:val="18"/>
              </w:rPr>
              <w:t>V1.0.0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r>
              <w:rPr>
                <w:rFonts w:ascii="Times New Roman"/>
                <w:sz w:val="18"/>
              </w:rPr>
              <w:t>2010/2/23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东华信通</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51</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NG1-</w:t>
            </w:r>
            <w:r>
              <w:rPr>
                <w:rFonts w:ascii="宋体" w:hAnsi="宋体" w:cs="宋体" w:eastAsia="宋体" w:hint="default"/>
                <w:sz w:val="18"/>
                <w:szCs w:val="18"/>
              </w:rPr>
              <w:t>经分系统通用平台三期扩容工程项目业务软件</w:t>
            </w:r>
            <w:r>
              <w:rPr>
                <w:rFonts w:ascii="Times New Roman" w:hAnsi="Times New Roman" w:cs="Times New Roman" w:eastAsia="Times New Roman" w:hint="default"/>
                <w:sz w:val="18"/>
                <w:szCs w:val="18"/>
              </w:rPr>
              <w:t>V1.0.0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r>
              <w:rPr>
                <w:rFonts w:ascii="Times New Roman"/>
                <w:sz w:val="18"/>
              </w:rPr>
              <w:t>2010/2/23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东华信通</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52</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东华信通经营分析系统</w:t>
            </w:r>
            <w:r>
              <w:rPr>
                <w:rFonts w:ascii="Times New Roman" w:hAnsi="Times New Roman" w:cs="Times New Roman" w:eastAsia="Times New Roman" w:hint="default"/>
                <w:sz w:val="18"/>
                <w:szCs w:val="18"/>
              </w:rPr>
              <w:t>V2.0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r>
              <w:rPr>
                <w:rFonts w:ascii="Times New Roman"/>
                <w:sz w:val="18"/>
              </w:rPr>
              <w:t>2008/8/18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东华信通</w:t>
            </w:r>
          </w:p>
        </w:tc>
      </w:tr>
      <w:tr>
        <w:trPr>
          <w:trHeight w:val="324"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53</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NGBASS3</w:t>
            </w:r>
            <w:r>
              <w:rPr>
                <w:rFonts w:ascii="宋体" w:hAnsi="宋体" w:cs="宋体" w:eastAsia="宋体" w:hint="default"/>
                <w:sz w:val="18"/>
                <w:szCs w:val="18"/>
              </w:rPr>
              <w:t>规范扩容工程经营分析应用软件</w:t>
            </w:r>
            <w:r>
              <w:rPr>
                <w:rFonts w:ascii="Times New Roman" w:hAnsi="Times New Roman" w:cs="Times New Roman" w:eastAsia="Times New Roman" w:hint="default"/>
                <w:sz w:val="18"/>
                <w:szCs w:val="18"/>
              </w:rPr>
              <w:t>V3.0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2011/12/24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东华信通</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54</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中国移动内蒙古公司经分手机版项目软件</w:t>
            </w:r>
            <w:r>
              <w:rPr>
                <w:rFonts w:ascii="Times New Roman" w:hAnsi="Times New Roman" w:cs="Times New Roman" w:eastAsia="Times New Roman" w:hint="default"/>
                <w:sz w:val="18"/>
                <w:szCs w:val="18"/>
              </w:rPr>
              <w:t>V2.0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r>
              <w:rPr>
                <w:rFonts w:ascii="Times New Roman"/>
                <w:sz w:val="18"/>
              </w:rPr>
              <w:t>2009/6/13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东华信通</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55</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增值业务综合平台（</w:t>
            </w:r>
            <w:r>
              <w:rPr>
                <w:rFonts w:ascii="Times New Roman" w:hAnsi="Times New Roman" w:cs="Times New Roman" w:eastAsia="Times New Roman" w:hint="default"/>
                <w:sz w:val="18"/>
                <w:szCs w:val="18"/>
              </w:rPr>
              <w:t>VGOP)</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2011/12/24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东华信通</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56</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收入保障系统</w:t>
            </w:r>
            <w:r>
              <w:rPr>
                <w:rFonts w:ascii="Times New Roman" w:hAnsi="Times New Roman" w:cs="Times New Roman" w:eastAsia="Times New Roman" w:hint="default"/>
                <w:sz w:val="18"/>
                <w:szCs w:val="18"/>
              </w:rPr>
              <w:t>V4.0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r>
              <w:rPr>
                <w:rFonts w:ascii="Times New Roman"/>
                <w:sz w:val="18"/>
              </w:rPr>
              <w:t>2012/8/16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东华信通</w:t>
            </w:r>
          </w:p>
        </w:tc>
      </w:tr>
      <w:tr>
        <w:trPr>
          <w:trHeight w:val="32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57</w:t>
            </w:r>
          </w:p>
        </w:tc>
        <w:tc>
          <w:tcPr>
            <w:tcW w:w="5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经营分析系统二阶段扩容改造工程软件【简称：</w:t>
            </w:r>
            <w:r>
              <w:rPr>
                <w:rFonts w:ascii="Times New Roman" w:hAnsi="Times New Roman" w:cs="Times New Roman" w:eastAsia="Times New Roman" w:hint="default"/>
                <w:sz w:val="18"/>
                <w:szCs w:val="18"/>
              </w:rPr>
              <w:t>NG-BASS2</w:t>
            </w:r>
            <w:r>
              <w:rPr>
                <w:rFonts w:ascii="宋体" w:hAnsi="宋体" w:cs="宋体" w:eastAsia="宋体" w:hint="default"/>
                <w:sz w:val="18"/>
                <w:szCs w:val="18"/>
              </w:rPr>
              <w:t>软件】</w:t>
            </w:r>
            <w:r>
              <w:rPr>
                <w:rFonts w:ascii="Times New Roman" w:hAnsi="Times New Roman" w:cs="Times New Roman" w:eastAsia="Times New Roman" w:hint="default"/>
                <w:sz w:val="18"/>
                <w:szCs w:val="18"/>
              </w:rPr>
              <w:t>V3.0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r>
              <w:rPr>
                <w:rFonts w:ascii="Times New Roman"/>
                <w:sz w:val="18"/>
              </w:rPr>
              <w:t>2012/2/27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东华信通</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p>
      <w:pPr>
        <w:pStyle w:val="BodyText"/>
        <w:spacing w:line="477" w:lineRule="auto"/>
        <w:ind w:right="94" w:firstLine="482"/>
        <w:jc w:val="left"/>
      </w:pPr>
      <w:r>
        <w:rPr/>
        <w:t>在服务保障方面，公司秉承“贴身服务，随需而变”的服务理念，创新服务形式、提高服务水平，并能根据客户的行 业特点和业务模式，结合国际先进经验、技术和本国国情，快速分析客户需求、形成解决方案并加以实施，深受客户好评。 </w:t>
      </w:r>
      <w:r>
        <w:rPr>
          <w:spacing w:val="-2"/>
        </w:rPr>
        <w:t>公司在全国范围内建立了现场服务队伍，通过在现场和客户一起工作和讨论，能够持续跟踪并随时发现客户的潜在需求，向</w:t>
      </w:r>
      <w:r>
        <w:rPr>
          <w:spacing w:val="-61"/>
        </w:rPr>
        <w:t> </w:t>
      </w:r>
      <w:r>
        <w:rPr>
          <w:spacing w:val="-61"/>
        </w:rPr>
      </w:r>
      <w:r>
        <w:rPr/>
        <w:t>客户提供持续性的、</w:t>
      </w:r>
      <w:r>
        <w:rPr>
          <w:rFonts w:ascii="宋体" w:hAnsi="宋体" w:cs="宋体" w:eastAsia="宋体" w:hint="default"/>
        </w:rPr>
        <w:t>7</w:t>
      </w:r>
      <w:r>
        <w:rPr/>
        <w:t>×</w:t>
      </w:r>
      <w:r>
        <w:rPr>
          <w:rFonts w:ascii="宋体" w:hAnsi="宋体" w:cs="宋体" w:eastAsia="宋体" w:hint="default"/>
        </w:rPr>
        <w:t>24</w:t>
      </w:r>
      <w:r>
        <w:rPr/>
        <w:t>小时技术支持和产品服务。</w:t>
      </w:r>
    </w:p>
    <w:p>
      <w:pPr>
        <w:pStyle w:val="BodyText"/>
        <w:spacing w:line="477" w:lineRule="auto" w:before="54"/>
        <w:ind w:right="111" w:firstLine="482"/>
        <w:jc w:val="both"/>
      </w:pPr>
      <w:r>
        <w:rPr/>
        <w:t>在客户维系方面，公司积累了一批以电信行业为主的优质客户，并成为中国联通、中国电信等企业商业智能系统的核 </w:t>
      </w:r>
      <w:r>
        <w:rPr>
          <w:spacing w:val="-2"/>
        </w:rPr>
        <w:t>心合作厂商之一，本报告期内，公司与中国移动合作取得一定突破，未来将逐步深化和加强与中国移动的合作关系。公司持</w:t>
      </w:r>
      <w:r>
        <w:rPr>
          <w:spacing w:val="-65"/>
        </w:rPr>
        <w:t> </w:t>
      </w:r>
      <w:r>
        <w:rPr>
          <w:spacing w:val="-65"/>
        </w:rPr>
      </w:r>
      <w:r>
        <w:rPr/>
        <w:t>续的业绩增长得益于客户的稳定和优质，公司与优质客户的合作也推进了公司技术水平的不断提高与服务手段的不断改进。</w:t>
      </w:r>
    </w:p>
    <w:p>
      <w:pPr>
        <w:pStyle w:val="BodyText"/>
        <w:spacing w:line="477" w:lineRule="auto" w:before="54"/>
        <w:ind w:right="94" w:firstLine="482"/>
        <w:jc w:val="left"/>
      </w:pPr>
      <w:r>
        <w:rPr/>
        <w:t>在团队建设方面，公司长期坚持以优秀的企业文化、以人为本的管理方式吸引并留住人才，打造了一支由高素质核心 管理人才和专业化技术人才所组成的经营团队。报告期内，公司引进了一些高端管理人才，不断健全人才引进、培养机制， 提炼和重塑企业文化，提高了公司凝聚力和执行力。</w:t>
      </w:r>
    </w:p>
    <w:p>
      <w:pPr>
        <w:pStyle w:val="BodyText"/>
        <w:spacing w:line="477" w:lineRule="auto" w:before="54"/>
        <w:ind w:right="190" w:firstLine="482"/>
        <w:jc w:val="both"/>
      </w:pPr>
      <w:r>
        <w:rPr>
          <w:spacing w:val="-1"/>
        </w:rPr>
        <w:t>在品牌塑造方面，覆盖全国的营销服务网络、丰富的产品线、随需而变的服务模式，为公司塑造了良好的市场品牌形</w:t>
      </w:r>
      <w:r>
        <w:rPr/>
        <w:t> </w:t>
      </w:r>
      <w:r>
        <w:rPr>
          <w:spacing w:val="-2"/>
        </w:rPr>
        <w:t>象。公司品牌优势吸引国内外知名企业主动寻求合作，不断增值的市场品牌优势为公司拓展新的市场空间、进一步服务好客</w:t>
      </w:r>
      <w:r>
        <w:rPr>
          <w:spacing w:val="-63"/>
        </w:rPr>
        <w:t> </w:t>
      </w:r>
      <w:r>
        <w:rPr>
          <w:spacing w:val="-63"/>
        </w:rPr>
      </w:r>
      <w:r>
        <w:rPr>
          <w:spacing w:val="-2"/>
        </w:rPr>
        <w:t>户奠定了坚实的基础。报告期内，公司作为“大数据、大服务”实践先行者，公司品牌影响力在国内电信企业商业智能领域</w:t>
      </w:r>
      <w:r>
        <w:rPr>
          <w:spacing w:val="-64"/>
        </w:rPr>
        <w:t> </w:t>
      </w:r>
      <w:r>
        <w:rPr>
          <w:spacing w:val="-64"/>
        </w:rPr>
      </w:r>
      <w:r>
        <w:rPr/>
        <w:t>内进一步提升，并逐步向其他行业领域渗透。</w:t>
      </w:r>
    </w:p>
    <w:p>
      <w:pPr>
        <w:pStyle w:val="BodyText"/>
        <w:spacing w:line="240" w:lineRule="auto" w:before="54"/>
        <w:ind w:left="635" w:right="94"/>
        <w:jc w:val="left"/>
      </w:pPr>
      <w:r>
        <w:rPr>
          <w:spacing w:val="-3"/>
        </w:rPr>
        <w:t>报告期内，公司未发生因设备或技术升级换代、核心技术人员辞职、特许经营权丧失等影响公司核心竞争能力的情况。</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99"/>
        <w:gridCol w:w="5471"/>
      </w:tblGrid>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56,334.34</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24,467.32</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34,854.1</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4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4089"/>
        <w:gridCol w:w="5481"/>
      </w:tblGrid>
      <w:tr>
        <w:trPr>
          <w:trHeight w:val="408"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日止，公司累计使用募集资金专户资金合计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34,854.10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万元，其中募集资金投资项目投入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12,792.80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万元，累计使用超募资金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22,061.30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2"/>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商业智能应用构建工 具项目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4,903.11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4,903.11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1,545.73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177.71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探索式数据分析及应 用平台项目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4,004.56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4,004.56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1,170.78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2,950.93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624.86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企业数据仓库构建系 统项目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3,413.65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3,413.65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1,756.94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2,103.06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全业务营销及维系挽 留系统项目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1,372.23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1,884.95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数据集成和管理工具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3,714.40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3,714.40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1,720.34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2,237.26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19,127.92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19,127.92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7,566.02</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12,792.8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802.57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增资天津子公司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302.30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收购北京东华信通信 息技术有限公司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1,190.12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投资建设研发中心和 办公用房项目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78.01%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设立吉林省东方国信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72" w:footer="1006" w:top="1080" w:bottom="1200" w:left="980" w:right="980"/>
        </w:sectPr>
      </w:pPr>
    </w:p>
    <w:p>
      <w:pPr>
        <w:spacing w:line="240" w:lineRule="auto" w:before="0"/>
        <w:rPr>
          <w:rFonts w:ascii="宋体" w:hAnsi="宋体" w:cs="宋体" w:eastAsia="宋体" w:hint="default"/>
          <w:sz w:val="20"/>
          <w:szCs w:val="20"/>
        </w:rPr>
      </w:pPr>
      <w:r>
        <w:rPr/>
        <w:pict>
          <v:shape style="position:absolute;margin-left:139.100006pt;margin-top:157.459976pt;width:43.7pt;height:19.7pt;mso-position-horizontal-relative:page;mso-position-vertical-relative:page;z-index:-876616"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56.400002pt;margin-top:71.999985pt;width:479.3pt;height:690.7pt;mso-position-horizontal-relative:page;mso-position-vertical-relative:page;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67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设立北京国信新世纪 科技有限公司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328"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16,901.3</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22,061.3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w w:val="95"/>
                            <w:sz w:val="18"/>
                          </w:rPr>
                          <w:t>1,380.83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43,827.92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43,827.92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24,467.32</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34,854.1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2,183.4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826"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、商业智能应用构建工具项目：该项目部分模块于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年陆续投入使用，项目于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月达到预定可 使用状态。因项目运行不满一个完整测算年度，因此无法测算是否达到年度预计收益。</w:t>
                        </w:r>
                      </w:p>
                      <w:p>
                        <w:pPr>
                          <w:pStyle w:val="TableParagraph"/>
                          <w:spacing w:line="300" w:lineRule="auto" w:before="70"/>
                          <w:ind w:left="16"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、探索式数据分析及应用平台项目：该项目部分模块于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年陆续投入使用，项目于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月达到预 定可使用状态。因项目运行不满一个完整测算年度，因此无法测算是否达到年度预计收益。</w:t>
                        </w:r>
                      </w:p>
                      <w:p>
                        <w:pPr>
                          <w:pStyle w:val="TableParagraph"/>
                          <w:spacing w:line="240" w:lineRule="auto" w:before="72"/>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、吉林子公司计划</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万元左右，实际实现净利润</w:t>
                        </w:r>
                        <w:r>
                          <w:rPr>
                            <w:rFonts w:ascii="Times New Roman" w:hAnsi="Times New Roman" w:cs="Times New Roman" w:eastAsia="Times New Roman" w:hint="default"/>
                            <w:sz w:val="18"/>
                            <w:szCs w:val="18"/>
                          </w:rPr>
                          <w:t>-82.23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万元，未达到预计</w:t>
                        </w:r>
                      </w:p>
                      <w:p>
                        <w:pPr>
                          <w:pStyle w:val="TableParagraph"/>
                          <w:spacing w:line="309" w:lineRule="auto" w:before="63"/>
                          <w:ind w:left="16" w:right="20"/>
                          <w:jc w:val="both"/>
                          <w:rPr>
                            <w:rFonts w:ascii="宋体" w:hAnsi="宋体" w:cs="宋体" w:eastAsia="宋体" w:hint="default"/>
                            <w:sz w:val="18"/>
                            <w:szCs w:val="18"/>
                          </w:rPr>
                        </w:pPr>
                        <w:r>
                          <w:rPr>
                            <w:rFonts w:ascii="宋体" w:hAnsi="宋体" w:cs="宋体" w:eastAsia="宋体" w:hint="default"/>
                            <w:spacing w:val="-3"/>
                            <w:sz w:val="18"/>
                            <w:szCs w:val="18"/>
                          </w:rPr>
                          <w:t>目标，主要原因为：吉林子公司于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月份成立，本年度主要完成了团队组建、业务渠道搭建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等工作，夯实了运营商合作基础，理顺了业务模式，经营相关成本费用支出较多，业务规模尚未达 </w:t>
                        </w:r>
                        <w:r>
                          <w:rPr>
                            <w:rFonts w:ascii="宋体" w:hAnsi="宋体" w:cs="宋体" w:eastAsia="宋体" w:hint="default"/>
                            <w:spacing w:val="-3"/>
                            <w:sz w:val="18"/>
                            <w:szCs w:val="18"/>
                          </w:rPr>
                          <w:t>到预期水平，因而未实现盈利，预计随着业务模式的推广和逐步成熟，收入和利润水平将有所改善</w:t>
                        </w:r>
                      </w:p>
                    </w:tc>
                  </w:tr>
                  <w:tr>
                    <w:trPr>
                      <w:trHeight w:val="101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82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003"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52,708.41 </w:t>
                        </w:r>
                        <w:r>
                          <w:rPr>
                            <w:rFonts w:ascii="宋体" w:hAnsi="宋体" w:cs="宋体" w:eastAsia="宋体" w:hint="default"/>
                            <w:sz w:val="18"/>
                            <w:szCs w:val="18"/>
                          </w:rPr>
                          <w:t>万元，其中超额募集资金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33,580.49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日，公司已累计使用超募资金总额为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22,061.30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日，公司二届二次董事会审议通过了《关于使用超募资金向全资子公司增资的</w:t>
                        </w:r>
                      </w:p>
                      <w:p>
                        <w:pPr>
                          <w:pStyle w:val="TableParagraph"/>
                          <w:spacing w:line="300" w:lineRule="auto" w:before="63"/>
                          <w:ind w:left="16" w:right="20"/>
                          <w:jc w:val="left"/>
                          <w:rPr>
                            <w:rFonts w:ascii="宋体" w:hAnsi="宋体" w:cs="宋体" w:eastAsia="宋体" w:hint="default"/>
                            <w:sz w:val="18"/>
                            <w:szCs w:val="18"/>
                          </w:rPr>
                        </w:pPr>
                        <w:r>
                          <w:rPr>
                            <w:rFonts w:ascii="宋体" w:hAnsi="宋体" w:cs="宋体" w:eastAsia="宋体" w:hint="default"/>
                            <w:spacing w:val="-9"/>
                            <w:sz w:val="18"/>
                            <w:szCs w:val="18"/>
                          </w:rPr>
                          <w:t>议案》，公司计划使用超募资金</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1,000.00</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万元增资全资子公司东方国信（天津）科技有限公司，该增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资计划已经实施完毕，子公司已完成工商登记变更。</w:t>
                        </w:r>
                      </w:p>
                      <w:p>
                        <w:pPr>
                          <w:pStyle w:val="TableParagraph"/>
                          <w:spacing w:line="240" w:lineRule="auto" w:before="72"/>
                          <w:ind w:left="16"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日，公司二届四次董事会审议通过《关于使用部分超募资金永久补充流动资金的</w:t>
                        </w:r>
                      </w:p>
                      <w:p>
                        <w:pPr>
                          <w:pStyle w:val="TableParagraph"/>
                          <w:spacing w:line="300" w:lineRule="auto" w:before="63"/>
                          <w:ind w:left="16" w:right="111"/>
                          <w:jc w:val="left"/>
                          <w:rPr>
                            <w:rFonts w:ascii="宋体" w:hAnsi="宋体" w:cs="宋体" w:eastAsia="宋体" w:hint="default"/>
                            <w:sz w:val="18"/>
                            <w:szCs w:val="18"/>
                          </w:rPr>
                        </w:pPr>
                        <w:r>
                          <w:rPr>
                            <w:rFonts w:ascii="宋体" w:hAnsi="宋体" w:cs="宋体" w:eastAsia="宋体" w:hint="default"/>
                            <w:spacing w:val="-9"/>
                            <w:sz w:val="18"/>
                            <w:szCs w:val="18"/>
                          </w:rPr>
                          <w:t>议案》，为补充公司经营所需流动资金，公司拟使用超募资金人民币</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5,000.00</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万元永久补充流动资金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截至目前，该超募资金使用计划已经实施完毕。</w:t>
                        </w:r>
                      </w:p>
                      <w:p>
                        <w:pPr>
                          <w:pStyle w:val="TableParagraph"/>
                          <w:spacing w:line="300" w:lineRule="auto" w:before="70"/>
                          <w:ind w:left="16"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日，公司分别召开的二届四次董事会和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w:t>
                        </w:r>
                        <w:r>
                          <w:rPr>
                            <w:rFonts w:ascii="宋体" w:hAnsi="宋体" w:cs="宋体" w:eastAsia="宋体" w:hint="default"/>
                            <w:spacing w:val="-1"/>
                            <w:sz w:val="18"/>
                            <w:szCs w:val="18"/>
                          </w:rPr>
                          <w:t>股东大会审议通过了《关于使用超募资金收购东华信通</w:t>
                        </w:r>
                        <w:r>
                          <w:rPr>
                            <w:rFonts w:ascii="宋体" w:hAnsi="宋体" w:cs="宋体" w:eastAsia="宋体" w:hint="default"/>
                            <w:spacing w:val="-31"/>
                            <w:sz w:val="18"/>
                            <w:szCs w:val="18"/>
                          </w:rPr>
                          <w:t> </w:t>
                        </w:r>
                        <w:r>
                          <w:rPr>
                            <w:rFonts w:ascii="Times New Roman" w:hAnsi="Times New Roman" w:cs="Times New Roman" w:eastAsia="Times New Roman" w:hint="default"/>
                            <w:spacing w:val="-5"/>
                            <w:sz w:val="18"/>
                            <w:szCs w:val="18"/>
                          </w:rPr>
                          <w:t>100%</w:t>
                        </w:r>
                        <w:r>
                          <w:rPr>
                            <w:rFonts w:ascii="宋体" w:hAnsi="宋体" w:cs="宋体" w:eastAsia="宋体" w:hint="default"/>
                            <w:spacing w:val="-5"/>
                            <w:sz w:val="18"/>
                            <w:szCs w:val="18"/>
                          </w:rPr>
                          <w:t>股权的议案》，为推进公司产业扩张战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略，完善市场布局，提升公司综合实力</w:t>
                        </w:r>
                        <w:r>
                          <w:rPr>
                            <w:rFonts w:ascii="Times New Roman" w:hAnsi="Times New Roman" w:cs="Times New Roman" w:eastAsia="Times New Roman" w:hint="default"/>
                            <w:sz w:val="18"/>
                            <w:szCs w:val="18"/>
                          </w:rPr>
                          <w:t>,</w:t>
                        </w:r>
                        <w:r>
                          <w:rPr>
                            <w:rFonts w:ascii="宋体" w:hAnsi="宋体" w:cs="宋体" w:eastAsia="宋体" w:hint="default"/>
                            <w:sz w:val="18"/>
                            <w:szCs w:val="18"/>
                          </w:rPr>
                          <w:t>同时为提高公司募集资金使用效率，公司拟使用超募资金 </w:t>
                        </w:r>
                        <w:r>
                          <w:rPr>
                            <w:rFonts w:ascii="Times New Roman" w:hAnsi="Times New Roman" w:cs="Times New Roman" w:eastAsia="Times New Roman" w:hint="default"/>
                            <w:sz w:val="18"/>
                            <w:szCs w:val="18"/>
                          </w:rPr>
                          <w:t>5,200.00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万元收购东华信通</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股权。截至目前，该超募资金使用计划已使用超募资金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5,200.00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r>
                          <w:rPr>
                            <w:rFonts w:ascii="宋体" w:hAnsi="宋体" w:cs="宋体" w:eastAsia="宋体" w:hint="default"/>
                            <w:spacing w:val="-88"/>
                            <w:sz w:val="18"/>
                            <w:szCs w:val="18"/>
                          </w:rPr>
                          <w:t> </w:t>
                        </w:r>
                        <w:r>
                          <w:rPr>
                            <w:rFonts w:ascii="宋体" w:hAnsi="宋体" w:cs="宋体" w:eastAsia="宋体" w:hint="default"/>
                            <w:sz w:val="18"/>
                            <w:szCs w:val="18"/>
                          </w:rPr>
                          <w:t>元支付股权转让款，股权收购相关事宜已经办理完成。</w:t>
                        </w:r>
                      </w:p>
                      <w:p>
                        <w:pPr>
                          <w:pStyle w:val="TableParagraph"/>
                          <w:spacing w:line="304" w:lineRule="auto" w:before="73"/>
                          <w:ind w:left="16"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日，公司分别召开的二届三次董事会和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w:t>
                        </w:r>
                        <w:r>
                          <w:rPr>
                            <w:rFonts w:ascii="宋体" w:hAnsi="宋体" w:cs="宋体" w:eastAsia="宋体" w:hint="default"/>
                            <w:spacing w:val="-5"/>
                            <w:sz w:val="18"/>
                            <w:szCs w:val="18"/>
                          </w:rPr>
                          <w:t>股东大会审议通过了《关于使用超募资金和自有资金投资建设研发中心和办公用房的议案》，公司计</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划使用首次公开发行股票募集资金中的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其他与公司主营业务相关的营运资金</w:t>
                        </w:r>
                        <w:r>
                          <w:rPr>
                            <w:rFonts w:ascii="Times New Roman" w:hAnsi="Times New Roman" w:cs="Times New Roman" w:eastAsia="Times New Roman" w:hint="default"/>
                            <w:sz w:val="18"/>
                            <w:szCs w:val="18"/>
                          </w:rPr>
                          <w:t>”12,000.00 </w:t>
                        </w:r>
                        <w:r>
                          <w:rPr>
                            <w:rFonts w:ascii="宋体" w:hAnsi="宋体" w:cs="宋体" w:eastAsia="宋体" w:hint="default"/>
                            <w:sz w:val="18"/>
                            <w:szCs w:val="18"/>
                          </w:rPr>
                          <w:t>万元和自 </w:t>
                        </w:r>
                        <w:r>
                          <w:rPr>
                            <w:rFonts w:ascii="宋体" w:hAnsi="宋体" w:cs="宋体" w:eastAsia="宋体" w:hint="default"/>
                            <w:spacing w:val="-1"/>
                            <w:sz w:val="18"/>
                            <w:szCs w:val="18"/>
                          </w:rPr>
                          <w:t>有营运资金，用于投资建设公司自用研发中心和办公用房，项目内容分为购置产业用地和房产新建</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总投资预算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22,440.00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日，公司分别召开二届七次董事会和</w:t>
                        </w:r>
                      </w:p>
                      <w:p>
                        <w:pPr>
                          <w:pStyle w:val="TableParagraph"/>
                          <w:spacing w:line="309" w:lineRule="auto" w:before="9"/>
                          <w:ind w:left="16"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年第一次临时股东大会审议通过了《关于调整使用超募资金和自有资金投资建设研发中心和办 </w:t>
                        </w:r>
                        <w:r>
                          <w:rPr>
                            <w:rFonts w:ascii="宋体" w:hAnsi="宋体" w:cs="宋体" w:eastAsia="宋体" w:hint="default"/>
                            <w:spacing w:val="-5"/>
                            <w:sz w:val="18"/>
                            <w:szCs w:val="18"/>
                          </w:rPr>
                          <w:t>公用房项目计划的议案》，同意对已经公司董事会、股东大会审议通过的使用超募资金和自有资金投</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资建设研发中心和办公用房项目进行调整，调整后项目总投资预算为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21,800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万元，其中计划使用超</w:t>
                        </w:r>
                      </w:p>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12,000.00 </w:t>
                        </w:r>
                        <w:r>
                          <w:rPr>
                            <w:rFonts w:ascii="宋体" w:hAnsi="宋体" w:cs="宋体" w:eastAsia="宋体" w:hint="default"/>
                            <w:sz w:val="18"/>
                            <w:szCs w:val="18"/>
                          </w:rPr>
                          <w:t>万元。截至报告期末，该超募资金已使用超募资金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9,361.30 </w:t>
                        </w:r>
                        <w:r>
                          <w:rPr>
                            <w:rFonts w:ascii="宋体" w:hAnsi="宋体" w:cs="宋体" w:eastAsia="宋体" w:hint="default"/>
                            <w:sz w:val="18"/>
                            <w:szCs w:val="18"/>
                          </w:rPr>
                          <w:t>万元。</w:t>
                        </w:r>
                      </w:p>
                    </w:tc>
                  </w:tr>
                  <w:tr>
                    <w:trPr>
                      <w:trHeight w:val="70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vMerge/>
                        <w:tcBorders>
                          <w:left w:val="single" w:sz="10" w:space="0" w:color="D2D2D2"/>
                          <w:right w:val="single" w:sz="4" w:space="0" w:color="000000"/>
                        </w:tcBorders>
                      </w:tcPr>
                      <w:p>
                        <w:pPr/>
                      </w:p>
                    </w:tc>
                  </w:tr>
                  <w:tr>
                    <w:trPr>
                      <w:trHeight w:val="340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44"/>
        <w:ind w:left="0" w:right="15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44"/>
        <w:ind w:left="0" w:right="158"/>
        <w:jc w:val="right"/>
      </w:pPr>
      <w:r>
        <w:rPr/>
        <w:t>，</w:t>
      </w:r>
    </w:p>
    <w:p>
      <w:pPr>
        <w:spacing w:after="0" w:line="240" w:lineRule="auto"/>
        <w:jc w:val="right"/>
        <w:sectPr>
          <w:pgSz w:w="11910" w:h="16840"/>
          <w:pgMar w:header="772" w:footer="1006" w:top="1080" w:bottom="120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44"/>
        <w:ind w:left="0" w:right="156"/>
        <w:jc w:val="right"/>
      </w:pPr>
      <w:r>
        <w:rPr/>
        <w:pict>
          <v:shape style="position:absolute;margin-left:56.459999pt;margin-top:-14.308257pt;width:479.2pt;height:529.1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289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日，公司召开二届七次董事会审议通过了《关于使用超募资金投资设立全资子公 </w:t>
                        </w:r>
                        <w:r>
                          <w:rPr>
                            <w:rFonts w:ascii="宋体" w:hAnsi="宋体" w:cs="宋体" w:eastAsia="宋体" w:hint="default"/>
                            <w:spacing w:val="-7"/>
                            <w:sz w:val="18"/>
                            <w:szCs w:val="18"/>
                          </w:rPr>
                          <w:t>司东方国信（吉林）科技有限公司的议案》，为抢抓移动业务发展带来的市场机遇，延伸公司产业链</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将</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应用扩展至市场终端，进而涉足更为广泛的商业智能领域，打造公司新的利润增长点，公司拟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万元在吉林设立全资子公司，以复制和发展天津子公司成功的商业模式，推进公 司发展战略，为股东创造更高的经济价值。截止目前，该超募资金使用计划已经实施完毕。</w:t>
                        </w:r>
                      </w:p>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日，公司召开的第二届董事会第十二次会议，审议通过了《关于使用部分超募资</w:t>
                        </w:r>
                      </w:p>
                      <w:p>
                        <w:pPr>
                          <w:pStyle w:val="TableParagraph"/>
                          <w:spacing w:line="300" w:lineRule="auto" w:before="63"/>
                          <w:ind w:left="24" w:right="20"/>
                          <w:jc w:val="both"/>
                          <w:rPr>
                            <w:rFonts w:ascii="宋体" w:hAnsi="宋体" w:cs="宋体" w:eastAsia="宋体" w:hint="default"/>
                            <w:sz w:val="18"/>
                            <w:szCs w:val="18"/>
                          </w:rPr>
                        </w:pPr>
                        <w:r>
                          <w:rPr>
                            <w:rFonts w:ascii="宋体" w:hAnsi="宋体" w:cs="宋体" w:eastAsia="宋体" w:hint="default"/>
                            <w:spacing w:val="-5"/>
                            <w:sz w:val="18"/>
                            <w:szCs w:val="18"/>
                          </w:rPr>
                          <w:t>金在北京投资设立全资子公司的议案》，公司拟使用超募资金</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2"/>
                            <w:sz w:val="18"/>
                            <w:szCs w:val="18"/>
                          </w:rPr>
                          <w:t> </w:t>
                        </w:r>
                        <w:r>
                          <w:rPr>
                            <w:rFonts w:ascii="宋体" w:hAnsi="宋体" w:cs="宋体" w:eastAsia="宋体" w:hint="default"/>
                            <w:spacing w:val="-2"/>
                            <w:sz w:val="18"/>
                            <w:szCs w:val="18"/>
                          </w:rPr>
                          <w:t>万元在北京设立全资子公司，以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利用公司现有基础和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技术优势，延伸产业链，将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应用扩展至市场终端，进而涉足更为广泛的 商业智能领域，打造公司新的利润增长点。目前，该超募资金使用计划已经实施完毕。</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4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公司第一届董事会第二十次会议于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日审议通过了公司使用募集资金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12,363,270.05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 置换已预先投入募集资金投资项目的自筹资金，募集资金到账前，公司以自筹资金预先投入募集资 金投资项目实际投资额</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12,363,270.05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元，已经从募集资金专户转出。北京兴华会计师事务所有限责</w:t>
                        </w:r>
                      </w:p>
                      <w:p>
                        <w:pPr>
                          <w:pStyle w:val="TableParagraph"/>
                          <w:spacing w:line="300" w:lineRule="auto" w:before="5"/>
                          <w:ind w:left="24" w:right="58"/>
                          <w:jc w:val="both"/>
                          <w:rPr>
                            <w:rFonts w:ascii="宋体" w:hAnsi="宋体" w:cs="宋体" w:eastAsia="宋体" w:hint="default"/>
                            <w:sz w:val="18"/>
                            <w:szCs w:val="18"/>
                          </w:rPr>
                        </w:pPr>
                        <w:r>
                          <w:rPr>
                            <w:rFonts w:ascii="宋体" w:hAnsi="宋体" w:cs="宋体" w:eastAsia="宋体" w:hint="default"/>
                            <w:sz w:val="18"/>
                            <w:szCs w:val="18"/>
                          </w:rPr>
                          <w:t>任公司对此出具了（</w:t>
                        </w:r>
                        <w:r>
                          <w:rPr>
                            <w:rFonts w:ascii="Times New Roman" w:hAnsi="Times New Roman" w:cs="Times New Roman" w:eastAsia="Times New Roman" w:hint="default"/>
                            <w:sz w:val="18"/>
                            <w:szCs w:val="18"/>
                          </w:rPr>
                          <w:t>2011</w:t>
                        </w:r>
                        <w:r>
                          <w:rPr>
                            <w:rFonts w:ascii="宋体" w:hAnsi="宋体" w:cs="宋体" w:eastAsia="宋体" w:hint="default"/>
                            <w:sz w:val="18"/>
                            <w:szCs w:val="18"/>
                          </w:rPr>
                          <w:t>）京会兴（专审）字第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号《关于北京东方国信科技股份有限公司以 </w:t>
                        </w:r>
                        <w:r>
                          <w:rPr>
                            <w:rFonts w:ascii="宋体" w:hAnsi="宋体" w:cs="宋体" w:eastAsia="宋体" w:hint="default"/>
                            <w:spacing w:val="-5"/>
                            <w:sz w:val="18"/>
                            <w:szCs w:val="18"/>
                          </w:rPr>
                          <w:t>自筹资金预先投入募投项目的专项审核报告》。</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商业智能应用构建工具项目与探索式数据分析及应用平台项目已完工</w:t>
                        </w:r>
                        <w:r>
                          <w:rPr>
                            <w:rFonts w:ascii="宋体" w:hAnsi="宋体" w:cs="宋体" w:eastAsia="宋体" w:hint="default"/>
                            <w:spacing w:val="-89"/>
                            <w:sz w:val="18"/>
                            <w:szCs w:val="18"/>
                          </w:rPr>
                          <w:t>，</w:t>
                        </w:r>
                        <w:r>
                          <w:rPr>
                            <w:rFonts w:ascii="宋体" w:hAnsi="宋体" w:cs="宋体" w:eastAsia="宋体" w:hint="default"/>
                            <w:sz w:val="18"/>
                            <w:szCs w:val="18"/>
                          </w:rPr>
                          <w:t>两项目分别结余资金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86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1</w:t>
                        </w:r>
                      </w:p>
                      <w:p>
                        <w:pPr>
                          <w:pStyle w:val="TableParagraph"/>
                          <w:spacing w:line="309" w:lineRule="auto" w:before="60"/>
                          <w:ind w:left="24" w:right="68"/>
                          <w:jc w:val="both"/>
                          <w:rPr>
                            <w:rFonts w:ascii="宋体" w:hAnsi="宋体" w:cs="宋体" w:eastAsia="宋体" w:hint="default"/>
                            <w:sz w:val="18"/>
                            <w:szCs w:val="18"/>
                          </w:rPr>
                        </w:pPr>
                        <w:r>
                          <w:rPr>
                            <w:rFonts w:ascii="宋体" w:hAnsi="宋体" w:cs="宋体" w:eastAsia="宋体" w:hint="default"/>
                            <w:sz w:val="18"/>
                            <w:szCs w:val="18"/>
                          </w:rPr>
                          <w:t>万元和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1053.63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万元。项目资金结余的主要原因为：在商业智能应用构建工具项目和探索式数据分 </w:t>
                        </w:r>
                        <w:r>
                          <w:rPr>
                            <w:rFonts w:ascii="宋体" w:hAnsi="宋体" w:cs="宋体" w:eastAsia="宋体" w:hint="default"/>
                            <w:spacing w:val="-2"/>
                            <w:sz w:val="18"/>
                            <w:szCs w:val="18"/>
                          </w:rPr>
                          <w:t>析及应用平台项目的设计、开发过程中，公司充分利用了技术积累并采用了创新的设计、实现方式</w:t>
                        </w:r>
                        <w:r>
                          <w:rPr>
                            <w:rFonts w:ascii="宋体" w:hAnsi="宋体" w:cs="宋体" w:eastAsia="宋体" w:hint="default"/>
                            <w:sz w:val="18"/>
                            <w:szCs w:val="18"/>
                          </w:rPr>
                          <w:t> 从而降低了研发投入，节约了成本。</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尚未使用的募集资金（包括超募资金）均存放在公司募集资金专户，公司将有计划、分步地投资于 募投项目和其他与主营业务相关的营运资金项目。</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44"/>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9"/>
        <w:gridCol w:w="945"/>
        <w:gridCol w:w="971"/>
        <w:gridCol w:w="968"/>
        <w:gridCol w:w="933"/>
        <w:gridCol w:w="968"/>
        <w:gridCol w:w="955"/>
        <w:gridCol w:w="970"/>
        <w:gridCol w:w="934"/>
      </w:tblGrid>
      <w:tr>
        <w:trPr>
          <w:trHeight w:val="161" w:hRule="exact"/>
        </w:trPr>
        <w:tc>
          <w:tcPr>
            <w:tcW w:w="958" w:type="dxa"/>
            <w:vMerge w:val="restart"/>
            <w:tcBorders>
              <w:top w:val="single" w:sz="4" w:space="0" w:color="000000"/>
              <w:left w:val="single" w:sz="4" w:space="0" w:color="000000"/>
              <w:right w:val="single" w:sz="4" w:space="0" w:color="000000"/>
            </w:tcBorders>
            <w:shd w:val="clear" w:color="auto" w:fill="D2D2D2"/>
          </w:tcPr>
          <w:p>
            <w:pPr/>
          </w:p>
        </w:tc>
        <w:tc>
          <w:tcPr>
            <w:tcW w:w="959" w:type="dxa"/>
            <w:vMerge w:val="restart"/>
            <w:tcBorders>
              <w:top w:val="single" w:sz="4" w:space="0" w:color="000000"/>
              <w:left w:val="single" w:sz="4" w:space="0" w:color="000000"/>
              <w:right w:val="single" w:sz="4" w:space="0" w:color="000000"/>
            </w:tcBorders>
            <w:shd w:val="clear" w:color="auto" w:fill="D2D2D2"/>
          </w:tcPr>
          <w:p>
            <w:pPr/>
          </w:p>
        </w:tc>
        <w:tc>
          <w:tcPr>
            <w:tcW w:w="9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0"/>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2" w:right="0"/>
              <w:jc w:val="center"/>
              <w:rPr>
                <w:rFonts w:ascii="Times New Roman" w:hAnsi="Times New Roman" w:cs="Times New Roman" w:eastAsia="Times New Roman" w:hint="default"/>
                <w:sz w:val="18"/>
                <w:szCs w:val="18"/>
              </w:rPr>
            </w:pPr>
            <w:r>
              <w:rPr>
                <w:rFonts w:ascii="Times New Roman"/>
                <w:sz w:val="18"/>
              </w:rPr>
              <w:t>(1)</w:t>
            </w:r>
          </w:p>
        </w:tc>
        <w:tc>
          <w:tcPr>
            <w:tcW w:w="971" w:type="dxa"/>
            <w:vMerge w:val="restart"/>
            <w:tcBorders>
              <w:top w:val="single" w:sz="4" w:space="0" w:color="000000"/>
              <w:left w:val="single" w:sz="4" w:space="0" w:color="000000"/>
              <w:right w:val="single" w:sz="4" w:space="0" w:color="000000"/>
            </w:tcBorders>
            <w:shd w:val="clear" w:color="auto" w:fill="D2D2D2"/>
          </w:tcPr>
          <w:p>
            <w:pPr/>
          </w:p>
        </w:tc>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33" w:type="dxa"/>
            <w:vMerge w:val="restart"/>
            <w:tcBorders>
              <w:top w:val="single" w:sz="4" w:space="0" w:color="000000"/>
              <w:left w:val="single" w:sz="4" w:space="0" w:color="000000"/>
              <w:right w:val="single" w:sz="4" w:space="0" w:color="000000"/>
            </w:tcBorders>
            <w:shd w:val="clear" w:color="auto" w:fill="D2D2D2"/>
          </w:tcPr>
          <w:p>
            <w:pPr>
              <w:pStyle w:val="TableParagraph"/>
              <w:spacing w:line="338" w:lineRule="auto" w:before="51"/>
              <w:ind w:left="11" w:right="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w:t>
            </w:r>
          </w:p>
          <w:p>
            <w:pPr>
              <w:pStyle w:val="TableParagraph"/>
              <w:spacing w:line="240" w:lineRule="auto" w:before="23"/>
              <w:ind w:left="2" w:right="0"/>
              <w:jc w:val="center"/>
              <w:rPr>
                <w:rFonts w:ascii="Times New Roman" w:hAnsi="Times New Roman" w:cs="Times New Roman" w:eastAsia="Times New Roman" w:hint="default"/>
                <w:sz w:val="18"/>
                <w:szCs w:val="18"/>
              </w:rPr>
            </w:pPr>
            <w:r>
              <w:rPr>
                <w:rFonts w:ascii="Times New Roman"/>
                <w:sz w:val="18"/>
              </w:rPr>
              <w:t>(1)</w:t>
            </w:r>
          </w:p>
        </w:tc>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vMerge w:val="restart"/>
            <w:tcBorders>
              <w:top w:val="single" w:sz="4" w:space="0" w:color="000000"/>
              <w:left w:val="single" w:sz="4" w:space="0" w:color="000000"/>
              <w:right w:val="single" w:sz="4" w:space="0" w:color="000000"/>
            </w:tcBorders>
            <w:shd w:val="clear" w:color="auto" w:fill="D2D2D2"/>
          </w:tcPr>
          <w:p>
            <w:pPr/>
          </w:p>
        </w:tc>
        <w:tc>
          <w:tcPr>
            <w:tcW w:w="970" w:type="dxa"/>
            <w:vMerge w:val="restart"/>
            <w:tcBorders>
              <w:top w:val="single" w:sz="4" w:space="0" w:color="000000"/>
              <w:left w:val="single" w:sz="4" w:space="0" w:color="000000"/>
              <w:right w:val="single" w:sz="4" w:space="0" w:color="000000"/>
            </w:tcBorders>
            <w:shd w:val="clear" w:color="auto" w:fill="D2D2D2"/>
          </w:tcPr>
          <w:p>
            <w:pP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2" w:right="11"/>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56" w:hRule="exact"/>
        </w:trPr>
        <w:tc>
          <w:tcPr>
            <w:tcW w:w="958" w:type="dxa"/>
            <w:vMerge/>
            <w:tcBorders>
              <w:left w:val="single" w:sz="4" w:space="0" w:color="000000"/>
              <w:bottom w:val="nil" w:sz="6" w:space="0" w:color="auto"/>
              <w:right w:val="single" w:sz="4" w:space="0" w:color="000000"/>
            </w:tcBorders>
            <w:shd w:val="clear" w:color="auto" w:fill="D2D2D2"/>
          </w:tcPr>
          <w:p>
            <w:pPr/>
          </w:p>
        </w:tc>
        <w:tc>
          <w:tcPr>
            <w:tcW w:w="959" w:type="dxa"/>
            <w:vMerge/>
            <w:tcBorders>
              <w:left w:val="single" w:sz="4" w:space="0" w:color="000000"/>
              <w:bottom w:val="nil" w:sz="6" w:space="0" w:color="auto"/>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971" w:type="dxa"/>
            <w:vMerge/>
            <w:tcBorders>
              <w:left w:val="single" w:sz="4" w:space="0" w:color="000000"/>
              <w:bottom w:val="nil" w:sz="6" w:space="0" w:color="auto"/>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33" w:type="dxa"/>
            <w:vMerge/>
            <w:tcBorders>
              <w:left w:val="single" w:sz="4" w:space="0" w:color="000000"/>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4"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vMerge/>
            <w:tcBorders>
              <w:left w:val="single" w:sz="4" w:space="0" w:color="000000"/>
              <w:bottom w:val="nil" w:sz="6" w:space="0" w:color="auto"/>
              <w:right w:val="single" w:sz="4" w:space="0" w:color="000000"/>
            </w:tcBorders>
            <w:shd w:val="clear" w:color="auto" w:fill="D2D2D2"/>
          </w:tcPr>
          <w:p>
            <w:pPr/>
          </w:p>
        </w:tc>
        <w:tc>
          <w:tcPr>
            <w:tcW w:w="970"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r>
      <w:tr>
        <w:trPr>
          <w:trHeight w:val="706" w:hRule="exact"/>
        </w:trPr>
        <w:tc>
          <w:tcPr>
            <w:tcW w:w="9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45" w:type="dxa"/>
            <w:vMerge/>
            <w:tcBorders>
              <w:left w:val="single" w:sz="4" w:space="0" w:color="000000"/>
              <w:right w:val="single" w:sz="4" w:space="0" w:color="000000"/>
            </w:tcBorders>
            <w:shd w:val="clear" w:color="auto" w:fill="D2D2D2"/>
          </w:tcPr>
          <w:p>
            <w:pPr/>
          </w:p>
        </w:tc>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36"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68" w:type="dxa"/>
            <w:vMerge/>
            <w:tcBorders>
              <w:left w:val="single" w:sz="4" w:space="0" w:color="000000"/>
              <w:right w:val="single" w:sz="4" w:space="0" w:color="000000"/>
            </w:tcBorders>
            <w:shd w:val="clear" w:color="auto" w:fill="D2D2D2"/>
          </w:tcPr>
          <w:p>
            <w:pPr/>
          </w:p>
        </w:tc>
        <w:tc>
          <w:tcPr>
            <w:tcW w:w="933" w:type="dxa"/>
            <w:vMerge/>
            <w:tcBorders>
              <w:left w:val="single" w:sz="4" w:space="0" w:color="000000"/>
              <w:right w:val="single" w:sz="4" w:space="0" w:color="000000"/>
            </w:tcBorders>
            <w:shd w:val="clear" w:color="auto" w:fill="D2D2D2"/>
          </w:tcPr>
          <w:p>
            <w:pPr/>
          </w:p>
        </w:tc>
        <w:tc>
          <w:tcPr>
            <w:tcW w:w="968" w:type="dxa"/>
            <w:vMerge/>
            <w:tcBorders>
              <w:left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04" w:right="35"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34" w:type="dxa"/>
            <w:vMerge/>
            <w:tcBorders>
              <w:left w:val="single" w:sz="4" w:space="0" w:color="000000"/>
              <w:right w:val="single" w:sz="4" w:space="0" w:color="000000"/>
            </w:tcBorders>
            <w:shd w:val="clear" w:color="auto" w:fill="D2D2D2"/>
          </w:tcPr>
          <w:p>
            <w:pPr/>
          </w:p>
        </w:tc>
      </w:tr>
      <w:tr>
        <w:trPr>
          <w:trHeight w:val="156" w:hRule="exact"/>
        </w:trPr>
        <w:tc>
          <w:tcPr>
            <w:tcW w:w="958" w:type="dxa"/>
            <w:vMerge w:val="restart"/>
            <w:tcBorders>
              <w:top w:val="nil" w:sz="6" w:space="0" w:color="auto"/>
              <w:left w:val="single" w:sz="4" w:space="0" w:color="000000"/>
              <w:right w:val="single" w:sz="4" w:space="0" w:color="000000"/>
            </w:tcBorders>
            <w:shd w:val="clear" w:color="auto" w:fill="D2D2D2"/>
          </w:tcPr>
          <w:p>
            <w:pPr/>
          </w:p>
        </w:tc>
        <w:tc>
          <w:tcPr>
            <w:tcW w:w="959" w:type="dxa"/>
            <w:vMerge w:val="restart"/>
            <w:tcBorders>
              <w:top w:val="nil" w:sz="6" w:space="0" w:color="auto"/>
              <w:left w:val="single" w:sz="4" w:space="0" w:color="000000"/>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971" w:type="dxa"/>
            <w:vMerge w:val="restart"/>
            <w:tcBorders>
              <w:top w:val="nil" w:sz="6" w:space="0" w:color="auto"/>
              <w:left w:val="single" w:sz="4" w:space="0" w:color="000000"/>
              <w:right w:val="single" w:sz="4" w:space="0" w:color="000000"/>
            </w:tcBorders>
            <w:shd w:val="clear" w:color="auto" w:fill="D2D2D2"/>
          </w:tcPr>
          <w:p>
            <w:pPr/>
          </w:p>
        </w:tc>
        <w:tc>
          <w:tcPr>
            <w:tcW w:w="968" w:type="dxa"/>
            <w:vMerge/>
            <w:tcBorders>
              <w:left w:val="single" w:sz="4" w:space="0" w:color="000000"/>
              <w:bottom w:val="nil" w:sz="6" w:space="0" w:color="auto"/>
              <w:right w:val="single" w:sz="4" w:space="0" w:color="000000"/>
            </w:tcBorders>
            <w:shd w:val="clear" w:color="auto" w:fill="D2D2D2"/>
          </w:tcPr>
          <w:p>
            <w:pPr/>
          </w:p>
        </w:tc>
        <w:tc>
          <w:tcPr>
            <w:tcW w:w="933" w:type="dxa"/>
            <w:vMerge/>
            <w:tcBorders>
              <w:left w:val="single" w:sz="4" w:space="0" w:color="000000"/>
              <w:right w:val="single" w:sz="4" w:space="0" w:color="000000"/>
            </w:tcBorders>
            <w:shd w:val="clear" w:color="auto" w:fill="D2D2D2"/>
          </w:tcPr>
          <w:p>
            <w:pPr/>
          </w:p>
        </w:tc>
        <w:tc>
          <w:tcPr>
            <w:tcW w:w="968" w:type="dxa"/>
            <w:vMerge/>
            <w:tcBorders>
              <w:left w:val="single" w:sz="4" w:space="0" w:color="000000"/>
              <w:bottom w:val="nil" w:sz="6" w:space="0" w:color="auto"/>
              <w:right w:val="single" w:sz="4" w:space="0" w:color="000000"/>
            </w:tcBorders>
            <w:shd w:val="clear" w:color="auto" w:fill="D2D2D2"/>
          </w:tcPr>
          <w:p>
            <w:pPr/>
          </w:p>
        </w:tc>
        <w:tc>
          <w:tcPr>
            <w:tcW w:w="955" w:type="dxa"/>
            <w:vMerge w:val="restart"/>
            <w:tcBorders>
              <w:top w:val="nil" w:sz="6" w:space="0" w:color="auto"/>
              <w:left w:val="single" w:sz="4" w:space="0" w:color="000000"/>
              <w:right w:val="single" w:sz="4" w:space="0" w:color="000000"/>
            </w:tcBorders>
            <w:shd w:val="clear" w:color="auto" w:fill="D2D2D2"/>
          </w:tcPr>
          <w:p>
            <w:pPr/>
          </w:p>
        </w:tc>
        <w:tc>
          <w:tcPr>
            <w:tcW w:w="970" w:type="dxa"/>
            <w:vMerge w:val="restart"/>
            <w:tcBorders>
              <w:top w:val="nil" w:sz="6" w:space="0" w:color="auto"/>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r>
      <w:tr>
        <w:trPr>
          <w:trHeight w:val="161" w:hRule="exact"/>
        </w:trPr>
        <w:tc>
          <w:tcPr>
            <w:tcW w:w="958" w:type="dxa"/>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c>
          <w:tcPr>
            <w:tcW w:w="945" w:type="dxa"/>
            <w:vMerge/>
            <w:tcBorders>
              <w:left w:val="single" w:sz="4" w:space="0" w:color="000000"/>
              <w:bottom w:val="single" w:sz="4" w:space="0" w:color="000000"/>
              <w:right w:val="single" w:sz="4" w:space="0" w:color="000000"/>
            </w:tcBorders>
            <w:shd w:val="clear" w:color="auto" w:fill="D2D2D2"/>
          </w:tcPr>
          <w:p>
            <w:pPr/>
          </w:p>
        </w:tc>
        <w:tc>
          <w:tcPr>
            <w:tcW w:w="971" w:type="dxa"/>
            <w:vMerge/>
            <w:tcBorders>
              <w:left w:val="single" w:sz="4" w:space="0" w:color="000000"/>
              <w:bottom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33" w:type="dxa"/>
            <w:vMerge/>
            <w:tcBorders>
              <w:left w:val="single" w:sz="4" w:space="0" w:color="000000"/>
              <w:bottom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0</w:t>
            </w:r>
          </w:p>
        </w:tc>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873"/>
        <w:gridCol w:w="6699"/>
      </w:tblGrid>
      <w:tr>
        <w:trPr>
          <w:trHeight w:val="307" w:hRule="exact"/>
        </w:trPr>
        <w:tc>
          <w:tcPr>
            <w:tcW w:w="2873" w:type="dxa"/>
            <w:tcBorders>
              <w:top w:val="single" w:sz="6" w:space="0" w:color="000000"/>
              <w:left w:val="nil" w:sz="6" w:space="0" w:color="auto"/>
              <w:bottom w:val="single" w:sz="4" w:space="0" w:color="000000"/>
              <w:right w:val="nil" w:sz="6" w:space="0" w:color="auto"/>
            </w:tcBorders>
          </w:tcPr>
          <w:p>
            <w:pPr/>
          </w:p>
        </w:tc>
        <w:tc>
          <w:tcPr>
            <w:tcW w:w="6699" w:type="dxa"/>
            <w:tcBorders>
              <w:top w:val="single" w:sz="6" w:space="0" w:color="000000"/>
              <w:left w:val="nil" w:sz="6" w:space="0" w:color="auto"/>
              <w:bottom w:val="single" w:sz="4" w:space="0" w:color="000000"/>
              <w:right w:val="nil" w:sz="6" w:space="0" w:color="auto"/>
            </w:tcBorders>
          </w:tcPr>
          <w:p>
            <w:pPr/>
          </w:p>
        </w:tc>
      </w:tr>
      <w:tr>
        <w:trPr>
          <w:trHeight w:val="716"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left="112" w:right="5414"/>
        <w:jc w:val="left"/>
        <w:rPr>
          <w:b w:val="0"/>
          <w:bCs w:val="0"/>
        </w:rPr>
      </w:pPr>
      <w:r>
        <w:rPr/>
        <w:t>（</w:t>
      </w:r>
      <w:r>
        <w:rPr>
          <w:rFonts w:ascii="Times New Roman" w:hAnsi="Times New Roman" w:cs="Times New Roman" w:eastAsia="Times New Roman" w:hint="default"/>
        </w:rPr>
        <w:t>4</w:t>
      </w:r>
      <w:r>
        <w:rPr/>
        <w:t>）非募集资金投资的重大项目情况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单位：万元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606"/>
        <w:gridCol w:w="1584"/>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20"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8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2"/>
              <w:jc w:val="right"/>
              <w:rPr>
                <w:rFonts w:ascii="Times New Roman" w:hAnsi="Times New Roman" w:cs="Times New Roman" w:eastAsia="Times New Roman" w:hint="default"/>
                <w:sz w:val="18"/>
                <w:szCs w:val="18"/>
              </w:rPr>
            </w:pPr>
            <w:r>
              <w:rPr>
                <w:rFonts w:ascii="Times New Roman"/>
                <w:sz w:val="18"/>
              </w:rPr>
              <w:t>0</w:t>
            </w:r>
          </w:p>
        </w:tc>
        <w:tc>
          <w:tcPr>
            <w:tcW w:w="158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line="240" w:lineRule="auto" w:before="4"/>
        <w:rPr>
          <w:rFonts w:ascii="宋体" w:hAnsi="宋体" w:cs="宋体" w:eastAsia="宋体" w:hint="default"/>
          <w:sz w:val="19"/>
          <w:szCs w:val="19"/>
        </w:rPr>
      </w:pPr>
    </w:p>
    <w:p>
      <w:pPr>
        <w:pStyle w:val="Heading3"/>
        <w:spacing w:line="240" w:lineRule="auto" w:before="36"/>
        <w:ind w:left="112" w:right="5414"/>
        <w:jc w:val="left"/>
        <w:rPr>
          <w:b w:val="0"/>
          <w:bCs w:val="0"/>
        </w:rPr>
      </w:pPr>
      <w:r>
        <w:rPr/>
        <w:t>（</w:t>
      </w:r>
      <w:r>
        <w:rPr>
          <w:rFonts w:ascii="Times New Roman" w:hAnsi="Times New Roman" w:cs="Times New Roman" w:eastAsia="Times New Roman" w:hint="default"/>
        </w:rPr>
        <w:t>5</w:t>
      </w:r>
      <w:r>
        <w:rPr/>
        <w:t>）证券投资情况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670"/>
        <w:gridCol w:w="1195"/>
        <w:gridCol w:w="1198"/>
        <w:gridCol w:w="1205"/>
        <w:gridCol w:w="1068"/>
        <w:gridCol w:w="1063"/>
        <w:gridCol w:w="1066"/>
        <w:gridCol w:w="1053"/>
        <w:gridCol w:w="1052"/>
      </w:tblGrid>
      <w:tr>
        <w:trPr>
          <w:trHeight w:val="161" w:hRule="exact"/>
        </w:trPr>
        <w:tc>
          <w:tcPr>
            <w:tcW w:w="670"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205" w:type="dxa"/>
            <w:vMerge w:val="restart"/>
            <w:tcBorders>
              <w:top w:val="single" w:sz="4" w:space="0" w:color="000000"/>
              <w:left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6" w:right="64"/>
              <w:jc w:val="center"/>
              <w:rPr>
                <w:rFonts w:ascii="宋体" w:hAnsi="宋体" w:cs="宋体" w:eastAsia="宋体" w:hint="default"/>
                <w:sz w:val="18"/>
                <w:szCs w:val="18"/>
              </w:rPr>
            </w:pPr>
            <w:r>
              <w:rPr>
                <w:rFonts w:ascii="宋体" w:hAnsi="宋体" w:cs="宋体" w:eastAsia="宋体" w:hint="default"/>
                <w:sz w:val="18"/>
                <w:szCs w:val="18"/>
              </w:rPr>
              <w:t>占期末证券 总投资比例</w:t>
            </w:r>
          </w:p>
          <w:p>
            <w:pPr>
              <w:pStyle w:val="TableParagraph"/>
              <w:spacing w:line="240" w:lineRule="auto" w:before="19"/>
              <w:ind w:left="13"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670"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0" w:right="77" w:hanging="92"/>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7" w:right="74" w:hanging="92"/>
              <w:jc w:val="left"/>
              <w:rPr>
                <w:rFonts w:ascii="宋体" w:hAnsi="宋体" w:cs="宋体" w:eastAsia="宋体" w:hint="default"/>
                <w:sz w:val="18"/>
                <w:szCs w:val="18"/>
              </w:rPr>
            </w:pPr>
            <w:r>
              <w:rPr>
                <w:rFonts w:ascii="宋体" w:hAnsi="宋体" w:cs="宋体" w:eastAsia="宋体" w:hint="default"/>
                <w:sz w:val="18"/>
                <w:szCs w:val="18"/>
              </w:rPr>
              <w:t>期末持有数 量（股）</w:t>
            </w: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7" w:right="77" w:hanging="92"/>
              <w:jc w:val="left"/>
              <w:rPr>
                <w:rFonts w:ascii="宋体" w:hAnsi="宋体" w:cs="宋体" w:eastAsia="宋体" w:hint="default"/>
                <w:sz w:val="18"/>
                <w:szCs w:val="18"/>
              </w:rPr>
            </w:pPr>
            <w:r>
              <w:rPr>
                <w:rFonts w:ascii="宋体" w:hAnsi="宋体" w:cs="宋体" w:eastAsia="宋体" w:hint="default"/>
                <w:sz w:val="18"/>
                <w:szCs w:val="18"/>
              </w:rPr>
              <w:t>期末账面价 值（元）</w:t>
            </w:r>
          </w:p>
        </w:tc>
        <w:tc>
          <w:tcPr>
            <w:tcW w:w="1053" w:type="dxa"/>
            <w:vMerge/>
            <w:tcBorders>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left="8"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394" w:hRule="exact"/>
        </w:trPr>
        <w:tc>
          <w:tcPr>
            <w:tcW w:w="6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2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068"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r>
      <w:tr>
        <w:trPr>
          <w:trHeight w:val="156" w:hRule="exact"/>
        </w:trPr>
        <w:tc>
          <w:tcPr>
            <w:tcW w:w="670"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670"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42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8"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w:t>
            </w:r>
          </w:p>
        </w:tc>
        <w:tc>
          <w:tcPr>
            <w:tcW w:w="10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left="112" w:right="5414"/>
        <w:jc w:val="left"/>
      </w:pPr>
      <w:r>
        <w:rPr/>
        <w:t>证券投资情况的说明</w:t>
      </w:r>
    </w:p>
    <w:p>
      <w:pPr>
        <w:spacing w:line="240" w:lineRule="auto" w:before="0"/>
        <w:rPr>
          <w:rFonts w:ascii="宋体" w:hAnsi="宋体" w:cs="宋体" w:eastAsia="宋体" w:hint="default"/>
          <w:sz w:val="18"/>
          <w:szCs w:val="18"/>
        </w:rPr>
      </w:pPr>
    </w:p>
    <w:p>
      <w:pPr>
        <w:pStyle w:val="Heading3"/>
        <w:spacing w:line="240" w:lineRule="auto" w:before="120"/>
        <w:ind w:left="112" w:right="5414"/>
        <w:jc w:val="left"/>
        <w:rPr>
          <w:b w:val="0"/>
          <w:bCs w:val="0"/>
        </w:rPr>
      </w:pPr>
      <w:r>
        <w:rPr/>
        <w:pict>
          <v:shape style="position:absolute;margin-left:145.940002pt;margin-top:55.363674pt;width:84.15pt;height:17.650pt;mso-position-horizontal-relative:page;mso-position-vertical-relative:paragraph;z-index:-876544" type="#_x0000_t202" filled="false" stroked="false">
            <v:textbox inset="0,0,0,0">
              <w:txbxContent>
                <w:p>
                  <w:pPr>
                    <w:pStyle w:val="BodyText"/>
                    <w:spacing w:line="240" w:lineRule="auto" w:before="8"/>
                    <w:ind w:left="0" w:right="0"/>
                    <w:jc w:val="left"/>
                  </w:pPr>
                  <w:r>
                    <w:rPr/>
                    <w:t>成本（元）</w:t>
                  </w:r>
                </w:p>
              </w:txbxContent>
            </v:textbox>
            <w10:wrap type="none"/>
          </v:shape>
        </w:pict>
      </w:r>
      <w:r>
        <w:rPr/>
        <w:pict>
          <v:shape style="position:absolute;margin-left:189.410004pt;margin-top:55.363674pt;width:84.25pt;height:17.650pt;mso-position-horizontal-relative:page;mso-position-vertical-relative:paragraph;z-index:-876520" type="#_x0000_t202" filled="false" stroked="false">
            <v:textbox inset="0,0,0,0">
              <w:txbxContent>
                <w:p>
                  <w:pPr>
                    <w:pStyle w:val="BodyText"/>
                    <w:spacing w:line="240" w:lineRule="auto" w:before="8"/>
                    <w:ind w:left="0" w:right="0"/>
                    <w:jc w:val="left"/>
                  </w:pPr>
                  <w:r>
                    <w:rPr/>
                    <w:t>数量（股）</w:t>
                  </w:r>
                </w:p>
              </w:txbxContent>
            </v:textbox>
            <w10:wrap type="none"/>
          </v:shape>
        </w:pict>
      </w:r>
      <w:r>
        <w:rPr/>
        <w:pict>
          <v:shape style="position:absolute;margin-left:276.410004pt;margin-top:55.363674pt;width:84.15pt;height:17.650pt;mso-position-horizontal-relative:page;mso-position-vertical-relative:paragraph;z-index:-876496" type="#_x0000_t202" filled="false" stroked="false">
            <v:textbox inset="0,0,0,0">
              <w:txbxContent>
                <w:p>
                  <w:pPr>
                    <w:pStyle w:val="BodyText"/>
                    <w:spacing w:line="240" w:lineRule="auto" w:before="8"/>
                    <w:ind w:left="0" w:right="0"/>
                    <w:jc w:val="left"/>
                  </w:pPr>
                  <w:r>
                    <w:rPr/>
                    <w:t>数量（股）</w:t>
                  </w:r>
                </w:p>
              </w:txbxContent>
            </v:textbox>
            <w10:wrap type="none"/>
          </v:shape>
        </w:pict>
      </w:r>
      <w:r>
        <w:rPr/>
        <w:t>（</w:t>
      </w:r>
      <w:r>
        <w:rPr>
          <w:rFonts w:ascii="Times New Roman" w:hAnsi="Times New Roman" w:cs="Times New Roman" w:eastAsia="Times New Roman" w:hint="default"/>
        </w:rPr>
        <w:t>6</w:t>
      </w:r>
      <w:r>
        <w:rPr/>
        <w:t>）持有其他上市公司股权情况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876"/>
        <w:gridCol w:w="881"/>
        <w:gridCol w:w="869"/>
        <w:gridCol w:w="872"/>
        <w:gridCol w:w="869"/>
        <w:gridCol w:w="869"/>
        <w:gridCol w:w="869"/>
        <w:gridCol w:w="869"/>
        <w:gridCol w:w="869"/>
        <w:gridCol w:w="869"/>
        <w:gridCol w:w="854"/>
      </w:tblGrid>
      <w:tr>
        <w:trPr>
          <w:trHeight w:val="714" w:hRule="exact"/>
        </w:trPr>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7"/>
              <w:jc w:val="right"/>
              <w:rPr>
                <w:rFonts w:ascii="宋体" w:hAnsi="宋体" w:cs="宋体" w:eastAsia="宋体" w:hint="default"/>
                <w:sz w:val="18"/>
                <w:szCs w:val="18"/>
              </w:rPr>
            </w:pPr>
            <w:r>
              <w:rPr>
                <w:rFonts w:ascii="宋体" w:hAnsi="宋体" w:cs="宋体" w:eastAsia="宋体" w:hint="default"/>
                <w:sz w:val="18"/>
                <w:szCs w:val="18"/>
              </w:rPr>
              <w:t>最初投资</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34"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9"/>
              <w:jc w:val="right"/>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4"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 w:right="0"/>
              <w:jc w:val="left"/>
              <w:rPr>
                <w:rFonts w:ascii="宋体" w:hAnsi="宋体" w:cs="宋体" w:eastAsia="宋体" w:hint="default"/>
                <w:sz w:val="18"/>
                <w:szCs w:val="18"/>
              </w:rPr>
            </w:pPr>
            <w:r>
              <w:rPr>
                <w:rFonts w:ascii="宋体" w:hAnsi="宋体" w:cs="宋体" w:eastAsia="宋体" w:hint="default"/>
                <w:sz w:val="18"/>
                <w:szCs w:val="18"/>
              </w:rPr>
              <w:t>本期收益</w:t>
            </w:r>
          </w:p>
          <w:p>
            <w:pPr>
              <w:pStyle w:val="TableParagraph"/>
              <w:spacing w:line="240" w:lineRule="auto" w:before="74"/>
              <w:ind w:left="16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9"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401" w:hRule="exact"/>
        </w:trPr>
        <w:tc>
          <w:tcPr>
            <w:tcW w:w="87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512"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12" w:right="5414"/>
        <w:jc w:val="left"/>
      </w:pPr>
      <w:r>
        <w:rPr/>
        <w:t>持有其他上市公司股权情况的说明</w:t>
      </w:r>
    </w:p>
    <w:p>
      <w:pPr>
        <w:spacing w:line="240" w:lineRule="auto" w:before="0"/>
        <w:rPr>
          <w:rFonts w:ascii="宋体" w:hAnsi="宋体" w:cs="宋体" w:eastAsia="宋体" w:hint="default"/>
          <w:sz w:val="18"/>
          <w:szCs w:val="18"/>
        </w:rPr>
      </w:pPr>
    </w:p>
    <w:p>
      <w:pPr>
        <w:pStyle w:val="Heading3"/>
        <w:spacing w:line="240" w:lineRule="auto" w:before="118"/>
        <w:ind w:left="112" w:right="5414"/>
        <w:jc w:val="left"/>
        <w:rPr>
          <w:b w:val="0"/>
          <w:bCs w:val="0"/>
        </w:rPr>
      </w:pPr>
      <w:r>
        <w:rPr/>
        <w:t>（</w:t>
      </w:r>
      <w:r>
        <w:rPr>
          <w:rFonts w:ascii="Times New Roman" w:hAnsi="Times New Roman" w:cs="Times New Roman" w:eastAsia="Times New Roman" w:hint="default"/>
        </w:rPr>
        <w:t>7</w:t>
      </w:r>
      <w:r>
        <w:rPr/>
        <w:t>）持有非上市金融企业股权情况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0" w:type="dxa"/>
        <w:tblLayout w:type="fixed"/>
        <w:tblCellMar>
          <w:top w:w="0" w:type="dxa"/>
          <w:left w:w="0" w:type="dxa"/>
          <w:bottom w:w="0" w:type="dxa"/>
          <w:right w:w="0" w:type="dxa"/>
        </w:tblCellMar>
        <w:tblLook w:val="01E0"/>
      </w:tblPr>
      <w:tblGrid>
        <w:gridCol w:w="957"/>
        <w:gridCol w:w="960"/>
        <w:gridCol w:w="959"/>
        <w:gridCol w:w="956"/>
        <w:gridCol w:w="958"/>
        <w:gridCol w:w="958"/>
        <w:gridCol w:w="956"/>
        <w:gridCol w:w="957"/>
        <w:gridCol w:w="946"/>
        <w:gridCol w:w="941"/>
      </w:tblGrid>
      <w:tr>
        <w:trPr>
          <w:trHeight w:val="161" w:hRule="exact"/>
        </w:trPr>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77" w:right="28" w:hanging="361"/>
              <w:jc w:val="left"/>
              <w:rPr>
                <w:rFonts w:ascii="宋体" w:hAnsi="宋体" w:cs="宋体" w:eastAsia="宋体" w:hint="default"/>
                <w:sz w:val="18"/>
                <w:szCs w:val="18"/>
              </w:rPr>
            </w:pPr>
            <w:r>
              <w:rPr>
                <w:rFonts w:ascii="宋体" w:hAnsi="宋体" w:cs="宋体" w:eastAsia="宋体" w:hint="default"/>
                <w:sz w:val="18"/>
                <w:szCs w:val="18"/>
              </w:rPr>
              <w:t>所持对象名 称</w:t>
            </w:r>
          </w:p>
        </w:tc>
        <w:tc>
          <w:tcPr>
            <w:tcW w:w="9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3" w:right="25" w:hanging="92"/>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9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3" w:right="24" w:hanging="92"/>
              <w:jc w:val="left"/>
              <w:rPr>
                <w:rFonts w:ascii="宋体" w:hAnsi="宋体" w:cs="宋体" w:eastAsia="宋体" w:hint="default"/>
                <w:sz w:val="18"/>
                <w:szCs w:val="18"/>
              </w:rPr>
            </w:pPr>
            <w:r>
              <w:rPr>
                <w:rFonts w:ascii="宋体" w:hAnsi="宋体" w:cs="宋体" w:eastAsia="宋体" w:hint="default"/>
                <w:sz w:val="18"/>
                <w:szCs w:val="18"/>
              </w:rPr>
              <w:t>期初持股数 量（股）</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9" w:right="20" w:hanging="106"/>
              <w:jc w:val="left"/>
              <w:rPr>
                <w:rFonts w:ascii="宋体" w:hAnsi="宋体" w:cs="宋体" w:eastAsia="宋体" w:hint="default"/>
                <w:sz w:val="18"/>
                <w:szCs w:val="18"/>
              </w:rPr>
            </w:pPr>
            <w:r>
              <w:rPr>
                <w:rFonts w:ascii="宋体" w:hAnsi="宋体" w:cs="宋体" w:eastAsia="宋体" w:hint="default"/>
                <w:sz w:val="18"/>
                <w:szCs w:val="18"/>
              </w:rPr>
              <w:t>期初持股比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1" w:right="23" w:hanging="89"/>
              <w:jc w:val="left"/>
              <w:rPr>
                <w:rFonts w:ascii="宋体" w:hAnsi="宋体" w:cs="宋体" w:eastAsia="宋体" w:hint="default"/>
                <w:sz w:val="18"/>
                <w:szCs w:val="18"/>
              </w:rPr>
            </w:pPr>
            <w:r>
              <w:rPr>
                <w:rFonts w:ascii="宋体" w:hAnsi="宋体" w:cs="宋体" w:eastAsia="宋体" w:hint="default"/>
                <w:sz w:val="18"/>
                <w:szCs w:val="18"/>
              </w:rPr>
              <w:t>期末持股数 量（股）</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8" w:right="23" w:hanging="106"/>
              <w:jc w:val="left"/>
              <w:rPr>
                <w:rFonts w:ascii="宋体" w:hAnsi="宋体" w:cs="宋体" w:eastAsia="宋体" w:hint="default"/>
                <w:sz w:val="18"/>
                <w:szCs w:val="18"/>
              </w:rPr>
            </w:pPr>
            <w:r>
              <w:rPr>
                <w:rFonts w:ascii="宋体" w:hAnsi="宋体" w:cs="宋体" w:eastAsia="宋体" w:hint="default"/>
                <w:sz w:val="18"/>
                <w:szCs w:val="18"/>
              </w:rPr>
              <w:t>期末持股比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本期收益</w:t>
            </w:r>
          </w:p>
          <w:p>
            <w:pPr>
              <w:pStyle w:val="TableParagraph"/>
              <w:spacing w:line="240" w:lineRule="auto" w:before="76"/>
              <w:ind w:left="2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83" w:right="11" w:hanging="360"/>
              <w:jc w:val="left"/>
              <w:rPr>
                <w:rFonts w:ascii="宋体" w:hAnsi="宋体" w:cs="宋体" w:eastAsia="宋体" w:hint="default"/>
                <w:sz w:val="18"/>
                <w:szCs w:val="18"/>
              </w:rPr>
            </w:pPr>
            <w:r>
              <w:rPr>
                <w:rFonts w:ascii="宋体" w:hAnsi="宋体" w:cs="宋体" w:eastAsia="宋体" w:hint="default"/>
                <w:sz w:val="18"/>
                <w:szCs w:val="18"/>
              </w:rPr>
              <w:t>会计核算科 目</w:t>
            </w:r>
          </w:p>
        </w:tc>
        <w:tc>
          <w:tcPr>
            <w:tcW w:w="94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957" w:type="dxa"/>
            <w:vMerge/>
            <w:tcBorders>
              <w:left w:val="single" w:sz="4" w:space="0" w:color="000000"/>
              <w:right w:val="single" w:sz="4" w:space="0" w:color="000000"/>
            </w:tcBorders>
            <w:shd w:val="clear" w:color="auto" w:fill="D2D2D2"/>
          </w:tcPr>
          <w:p>
            <w:pPr/>
          </w:p>
        </w:tc>
        <w:tc>
          <w:tcPr>
            <w:tcW w:w="960" w:type="dxa"/>
            <w:vMerge/>
            <w:tcBorders>
              <w:left w:val="single" w:sz="4" w:space="0" w:color="000000"/>
              <w:right w:val="single" w:sz="4" w:space="0" w:color="000000"/>
            </w:tcBorders>
            <w:shd w:val="clear" w:color="auto" w:fill="D2D2D2"/>
          </w:tcPr>
          <w:p>
            <w:pPr/>
          </w:p>
        </w:tc>
        <w:tc>
          <w:tcPr>
            <w:tcW w:w="959"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9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61" w:hRule="exact"/>
        </w:trPr>
        <w:tc>
          <w:tcPr>
            <w:tcW w:w="957" w:type="dxa"/>
            <w:vMerge/>
            <w:tcBorders>
              <w:left w:val="single" w:sz="4" w:space="0" w:color="000000"/>
              <w:bottom w:val="single" w:sz="4" w:space="0" w:color="000000"/>
              <w:right w:val="single" w:sz="4" w:space="0" w:color="000000"/>
            </w:tcBorders>
            <w:shd w:val="clear" w:color="auto" w:fill="D2D2D2"/>
          </w:tcPr>
          <w:p>
            <w:pPr/>
          </w:p>
        </w:tc>
        <w:tc>
          <w:tcPr>
            <w:tcW w:w="960" w:type="dxa"/>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94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03" w:right="0"/>
              <w:jc w:val="left"/>
              <w:rPr>
                <w:rFonts w:ascii="Times New Roman" w:hAnsi="Times New Roman" w:cs="Times New Roman" w:eastAsia="Times New Roman" w:hint="default"/>
                <w:sz w:val="18"/>
                <w:szCs w:val="18"/>
              </w:rPr>
            </w:pPr>
            <w:r>
              <w:rPr>
                <w:rFonts w:ascii="Times New Roman"/>
                <w:sz w:val="18"/>
              </w:rPr>
              <w:t>0.00</w:t>
            </w:r>
          </w:p>
        </w:tc>
        <w:tc>
          <w:tcPr>
            <w:tcW w:w="95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0.00</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12" w:right="5414"/>
        <w:jc w:val="left"/>
      </w:pPr>
      <w:r>
        <w:rPr/>
        <w:t>持有非上市金融企业股权情况的说明</w:t>
      </w:r>
    </w:p>
    <w:p>
      <w:pPr>
        <w:spacing w:line="240" w:lineRule="auto" w:before="0"/>
        <w:rPr>
          <w:rFonts w:ascii="宋体" w:hAnsi="宋体" w:cs="宋体" w:eastAsia="宋体" w:hint="default"/>
          <w:sz w:val="18"/>
          <w:szCs w:val="18"/>
        </w:rPr>
      </w:pPr>
    </w:p>
    <w:p>
      <w:pPr>
        <w:pStyle w:val="Heading3"/>
        <w:spacing w:line="240" w:lineRule="auto" w:before="120"/>
        <w:ind w:left="112" w:right="5414"/>
        <w:jc w:val="left"/>
        <w:rPr>
          <w:b w:val="0"/>
          <w:bCs w:val="0"/>
        </w:rPr>
      </w:pPr>
      <w:r>
        <w:rPr/>
        <w:t>（</w:t>
      </w:r>
      <w:r>
        <w:rPr>
          <w:rFonts w:ascii="Times New Roman" w:hAnsi="Times New Roman" w:cs="Times New Roman" w:eastAsia="Times New Roman" w:hint="default"/>
        </w:rPr>
        <w:t>8</w:t>
      </w:r>
      <w:r>
        <w:rPr/>
        <w:t>）买卖其他上市公司股份的情况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股份名称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期初股份数量</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48" w:hanging="92"/>
              <w:jc w:val="left"/>
              <w:rPr>
                <w:rFonts w:ascii="宋体" w:hAnsi="宋体" w:cs="宋体" w:eastAsia="宋体" w:hint="default"/>
                <w:sz w:val="18"/>
                <w:szCs w:val="18"/>
              </w:rPr>
            </w:pPr>
            <w:r>
              <w:rPr>
                <w:rFonts w:ascii="宋体" w:hAnsi="宋体" w:cs="宋体" w:eastAsia="宋体" w:hint="default"/>
                <w:sz w:val="18"/>
                <w:szCs w:val="18"/>
              </w:rPr>
              <w:t>报告期买入出股 份数量（股）</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47" w:hanging="92"/>
              <w:jc w:val="left"/>
              <w:rPr>
                <w:rFonts w:ascii="宋体" w:hAnsi="宋体" w:cs="宋体" w:eastAsia="宋体" w:hint="default"/>
                <w:sz w:val="18"/>
                <w:szCs w:val="18"/>
              </w:rPr>
            </w:pPr>
            <w:r>
              <w:rPr>
                <w:rFonts w:ascii="宋体" w:hAnsi="宋体" w:cs="宋体" w:eastAsia="宋体" w:hint="default"/>
                <w:sz w:val="18"/>
                <w:szCs w:val="18"/>
              </w:rPr>
              <w:t>报告期买卖出股 份数量（股）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期末股份数量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使用的资金数量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产生的投资收益</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r>
    </w:tbl>
    <w:p>
      <w:pPr>
        <w:pStyle w:val="BodyText"/>
        <w:spacing w:line="360" w:lineRule="auto" w:before="49"/>
        <w:ind w:left="112" w:right="5414"/>
        <w:jc w:val="left"/>
      </w:pPr>
      <w:r>
        <w:rPr/>
        <w:t>报告期内卖出申购取得的新股产生的投资收益总额元。 买卖其他上市公司股份的情况的说明</w:t>
      </w:r>
    </w:p>
    <w:p>
      <w:pPr>
        <w:spacing w:after="0" w:line="360" w:lineRule="auto"/>
        <w:jc w:val="left"/>
        <w:sectPr>
          <w:pgSz w:w="11910" w:h="16840"/>
          <w:pgMar w:header="772" w:footer="1006" w:top="1080" w:bottom="120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8"/>
          <w:szCs w:val="18"/>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9</w:t>
      </w:r>
      <w:r>
        <w:rPr/>
        <w:t>）外币金融资产和外币金融负债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26"/>
        <w:gridCol w:w="1669"/>
        <w:gridCol w:w="1586"/>
        <w:gridCol w:w="1588"/>
        <w:gridCol w:w="1600"/>
        <w:gridCol w:w="1589"/>
      </w:tblGrid>
      <w:tr>
        <w:trPr>
          <w:trHeight w:val="161" w:hRule="exact"/>
        </w:trPr>
        <w:tc>
          <w:tcPr>
            <w:tcW w:w="1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06" w:right="68"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0" w:right="66" w:hanging="269"/>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5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6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586" w:type="dxa"/>
            <w:vMerge/>
            <w:tcBorders>
              <w:left w:val="single" w:sz="4" w:space="0" w:color="000000"/>
              <w:right w:val="single" w:sz="4" w:space="0" w:color="000000"/>
            </w:tcBorders>
            <w:shd w:val="clear" w:color="auto" w:fill="D2D2D2"/>
          </w:tcPr>
          <w:p>
            <w:pPr/>
          </w:p>
        </w:tc>
        <w:tc>
          <w:tcPr>
            <w:tcW w:w="1588" w:type="dxa"/>
            <w:vMerge/>
            <w:tcBorders>
              <w:left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166" w:hRule="exact"/>
        </w:trPr>
        <w:tc>
          <w:tcPr>
            <w:tcW w:w="15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51"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6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且其变动计入当期 损益的金融资产</w:t>
            </w:r>
          </w:p>
          <w:p>
            <w:pPr>
              <w:pStyle w:val="TableParagraph"/>
              <w:spacing w:line="316" w:lineRule="auto" w:before="24"/>
              <w:ind w:left="12" w:right="63"/>
              <w:jc w:val="both"/>
              <w:rPr>
                <w:rFonts w:ascii="宋体" w:hAnsi="宋体" w:cs="宋体" w:eastAsia="宋体" w:hint="default"/>
                <w:sz w:val="18"/>
                <w:szCs w:val="18"/>
              </w:rPr>
            </w:pPr>
            <w:r>
              <w:rPr>
                <w:rFonts w:ascii="宋体" w:hAnsi="宋体" w:cs="宋体" w:eastAsia="宋体" w:hint="default"/>
                <w:sz w:val="18"/>
                <w:szCs w:val="18"/>
              </w:rPr>
              <w:t>（不含衍生金融资 产）</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5"/>
        <w:rPr>
          <w:rFonts w:ascii="宋体" w:hAnsi="宋体" w:cs="宋体" w:eastAsia="宋体" w:hint="default"/>
          <w:b/>
          <w:bCs/>
          <w:sz w:val="32"/>
          <w:szCs w:val="32"/>
        </w:rPr>
      </w:pPr>
    </w:p>
    <w:p>
      <w:pPr>
        <w:spacing w:line="477" w:lineRule="auto" w:before="0"/>
        <w:ind w:left="513" w:right="6471"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）东方国信（天津）科技有限公司</w:t>
      </w:r>
      <w:r>
        <w:rPr>
          <w:rFonts w:ascii="宋体" w:hAnsi="宋体" w:cs="宋体" w:eastAsia="宋体" w:hint="default"/>
          <w:b/>
          <w:bCs/>
          <w:w w:val="99"/>
          <w:sz w:val="18"/>
          <w:szCs w:val="18"/>
        </w:rPr>
        <w:t> </w:t>
      </w:r>
      <w:r>
        <w:rPr>
          <w:rFonts w:ascii="宋体" w:hAnsi="宋体" w:cs="宋体" w:eastAsia="宋体" w:hint="default"/>
          <w:sz w:val="18"/>
          <w:szCs w:val="18"/>
        </w:rPr>
        <w:t>成立时间：</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 法定代表人：彭岩 注册资本：</w:t>
      </w:r>
      <w:r>
        <w:rPr>
          <w:rFonts w:ascii="宋体" w:hAnsi="宋体" w:cs="宋体" w:eastAsia="宋体" w:hint="default"/>
          <w:sz w:val="18"/>
          <w:szCs w:val="18"/>
        </w:rPr>
        <w:t>1,200</w:t>
      </w:r>
      <w:r>
        <w:rPr>
          <w:rFonts w:ascii="宋体" w:hAnsi="宋体" w:cs="宋体" w:eastAsia="宋体" w:hint="default"/>
          <w:sz w:val="18"/>
          <w:szCs w:val="18"/>
        </w:rPr>
        <w:t>万元人民币</w:t>
      </w:r>
    </w:p>
    <w:p>
      <w:pPr>
        <w:pStyle w:val="BodyText"/>
        <w:spacing w:line="477" w:lineRule="auto" w:before="54"/>
        <w:ind w:left="513" w:right="4683"/>
        <w:jc w:val="left"/>
      </w:pPr>
      <w:r>
        <w:rPr/>
        <w:t>注册地点：天津开发区第四大街</w:t>
      </w:r>
      <w:r>
        <w:rPr>
          <w:rFonts w:ascii="宋体" w:hAnsi="宋体" w:cs="宋体" w:eastAsia="宋体" w:hint="default"/>
        </w:rPr>
        <w:t>80</w:t>
      </w:r>
      <w:r>
        <w:rPr/>
        <w:t>号天大科技园</w:t>
      </w:r>
      <w:r>
        <w:rPr>
          <w:rFonts w:ascii="宋体" w:hAnsi="宋体" w:cs="宋体" w:eastAsia="宋体" w:hint="default"/>
        </w:rPr>
        <w:t>C5</w:t>
      </w:r>
      <w:r>
        <w:rPr/>
        <w:t>楼</w:t>
      </w:r>
      <w:r>
        <w:rPr>
          <w:rFonts w:ascii="宋体" w:hAnsi="宋体" w:cs="宋体" w:eastAsia="宋体" w:hint="default"/>
        </w:rPr>
        <w:t>4-410</w:t>
      </w:r>
      <w:r>
        <w:rPr/>
        <w:t>室 股东构成及控制情况：公司持有其</w:t>
      </w:r>
      <w:r>
        <w:rPr>
          <w:rFonts w:ascii="宋体" w:hAnsi="宋体" w:cs="宋体" w:eastAsia="宋体" w:hint="default"/>
        </w:rPr>
        <w:t>100%</w:t>
      </w:r>
      <w:r>
        <w:rPr/>
        <w:t>的股权</w:t>
      </w:r>
    </w:p>
    <w:p>
      <w:pPr>
        <w:pStyle w:val="BodyText"/>
        <w:spacing w:line="477" w:lineRule="auto" w:before="54"/>
        <w:ind w:right="94" w:firstLine="360"/>
        <w:jc w:val="left"/>
      </w:pPr>
      <w:r>
        <w:rPr/>
        <w:t>经营范围：计算机硬件、机电一体化产品、计算机系统集成的技术开发、技术咨询、技术服务、技术培训及产品销售； 设备租赁；企业策划、咨询服务；电子产品、通讯产品及其零部件、家用电器批发兼零售。</w:t>
      </w:r>
    </w:p>
    <w:p>
      <w:pPr>
        <w:pStyle w:val="BodyText"/>
        <w:spacing w:line="477" w:lineRule="auto" w:before="54"/>
        <w:ind w:right="184" w:firstLine="360"/>
        <w:jc w:val="left"/>
      </w:pPr>
      <w:r>
        <w:rPr>
          <w:rFonts w:ascii="宋体" w:hAnsi="宋体" w:cs="宋体" w:eastAsia="宋体" w:hint="default"/>
        </w:rPr>
        <w:t>2012</w:t>
      </w:r>
      <w:r>
        <w:rPr/>
        <w:t>年，天津子公司实现营业收入</w:t>
      </w:r>
      <w:r>
        <w:rPr>
          <w:rFonts w:ascii="宋体" w:hAnsi="宋体" w:cs="宋体" w:eastAsia="宋体" w:hint="default"/>
        </w:rPr>
        <w:t>57,711,960.06</w:t>
      </w:r>
      <w:r>
        <w:rPr/>
        <w:t>元，实现净利润</w:t>
      </w:r>
      <w:r>
        <w:rPr>
          <w:rFonts w:ascii="宋体" w:hAnsi="宋体" w:cs="宋体" w:eastAsia="宋体" w:hint="default"/>
        </w:rPr>
        <w:t>3,022,990.17</w:t>
      </w:r>
      <w:r>
        <w:rPr/>
        <w:t>元。截止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日，天津子公司 总资产</w:t>
      </w:r>
      <w:r>
        <w:rPr>
          <w:rFonts w:ascii="宋体" w:hAnsi="宋体" w:cs="宋体" w:eastAsia="宋体" w:hint="default"/>
        </w:rPr>
        <w:t>18,820,758.59</w:t>
      </w:r>
      <w:r>
        <w:rPr/>
        <w:t>元，净资产</w:t>
      </w:r>
      <w:r>
        <w:rPr>
          <w:rFonts w:ascii="宋体" w:hAnsi="宋体" w:cs="宋体" w:eastAsia="宋体" w:hint="default"/>
        </w:rPr>
        <w:t>17,791,991.32</w:t>
      </w:r>
      <w:r>
        <w:rPr/>
        <w:t>元。</w:t>
      </w:r>
    </w:p>
    <w:p>
      <w:pPr>
        <w:spacing w:line="477" w:lineRule="auto" w:before="54"/>
        <w:ind w:left="513" w:right="6471"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）北京东华信通信息技术有限公司</w:t>
      </w:r>
      <w:r>
        <w:rPr>
          <w:rFonts w:ascii="宋体" w:hAnsi="宋体" w:cs="宋体" w:eastAsia="宋体" w:hint="default"/>
          <w:b/>
          <w:bCs/>
          <w:w w:val="99"/>
          <w:sz w:val="18"/>
          <w:szCs w:val="18"/>
        </w:rPr>
        <w:t> </w:t>
      </w:r>
      <w:r>
        <w:rPr>
          <w:rFonts w:ascii="宋体" w:hAnsi="宋体" w:cs="宋体" w:eastAsia="宋体" w:hint="default"/>
          <w:sz w:val="18"/>
          <w:szCs w:val="18"/>
        </w:rPr>
        <w:t>成立时间：</w:t>
      </w:r>
      <w:r>
        <w:rPr>
          <w:rFonts w:ascii="宋体" w:hAnsi="宋体" w:cs="宋体" w:eastAsia="宋体"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 法定代表人：秦宏伟 注册资本：</w:t>
      </w:r>
      <w:r>
        <w:rPr>
          <w:rFonts w:ascii="宋体" w:hAnsi="宋体" w:cs="宋体" w:eastAsia="宋体" w:hint="default"/>
          <w:sz w:val="18"/>
          <w:szCs w:val="18"/>
        </w:rPr>
        <w:t>200</w:t>
      </w:r>
      <w:r>
        <w:rPr>
          <w:rFonts w:ascii="宋体" w:hAnsi="宋体" w:cs="宋体" w:eastAsia="宋体" w:hint="default"/>
          <w:sz w:val="18"/>
          <w:szCs w:val="18"/>
        </w:rPr>
        <w:t>万元人民币</w:t>
      </w:r>
    </w:p>
    <w:p>
      <w:pPr>
        <w:pStyle w:val="BodyText"/>
        <w:spacing w:line="477" w:lineRule="auto" w:before="54"/>
        <w:ind w:left="513" w:right="2973"/>
        <w:jc w:val="left"/>
      </w:pPr>
      <w:r>
        <w:rPr/>
        <w:t>注册地点：北京市朝阳区延静西里</w:t>
      </w:r>
      <w:r>
        <w:rPr>
          <w:rFonts w:ascii="宋体" w:hAnsi="宋体" w:cs="宋体" w:eastAsia="宋体" w:hint="default"/>
        </w:rPr>
        <w:t>2</w:t>
      </w:r>
      <w:r>
        <w:rPr/>
        <w:t>号</w:t>
      </w:r>
      <w:r>
        <w:rPr>
          <w:rFonts w:ascii="宋体" w:hAnsi="宋体" w:cs="宋体" w:eastAsia="宋体" w:hint="default"/>
        </w:rPr>
        <w:t>1</w:t>
      </w:r>
      <w:r>
        <w:rPr/>
        <w:t>号楼</w:t>
      </w:r>
      <w:r>
        <w:rPr>
          <w:rFonts w:ascii="宋体" w:hAnsi="宋体" w:cs="宋体" w:eastAsia="宋体" w:hint="default"/>
        </w:rPr>
        <w:t>1004B </w:t>
      </w:r>
      <w:r>
        <w:rPr/>
        <w:t>股东构成及控制情况：公司持有其</w:t>
      </w:r>
      <w:r>
        <w:rPr>
          <w:rFonts w:ascii="宋体" w:hAnsi="宋体" w:cs="宋体" w:eastAsia="宋体" w:hint="default"/>
        </w:rPr>
        <w:t>100%</w:t>
      </w:r>
      <w:r>
        <w:rPr/>
        <w:t>的股权 经营范围：技术推广服务；经济贸易咨询；销售机械设备、五金交电、电子产品。</w:t>
      </w:r>
    </w:p>
    <w:p>
      <w:pPr>
        <w:spacing w:after="0" w:line="477"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477" w:lineRule="auto" w:before="44"/>
        <w:ind w:right="190" w:firstLine="360"/>
        <w:jc w:val="both"/>
      </w:pPr>
      <w:r>
        <w:rPr>
          <w:spacing w:val="-2"/>
        </w:rPr>
        <w:t>东华信通主要从事电信企业商业智能软件业务，主要产品包括经营分析系统软件、经营分析手机版软件、客户价值分析</w:t>
      </w:r>
      <w:r>
        <w:rPr/>
        <w:t> </w:t>
      </w:r>
      <w:r>
        <w:rPr>
          <w:spacing w:val="-2"/>
        </w:rPr>
        <w:t>系统等。</w:t>
      </w:r>
      <w:r>
        <w:rPr>
          <w:rFonts w:ascii="宋体" w:hAnsi="宋体" w:cs="宋体" w:eastAsia="宋体" w:hint="default"/>
          <w:spacing w:val="-2"/>
        </w:rPr>
        <w:t>2012</w:t>
      </w:r>
      <w:r>
        <w:rPr>
          <w:spacing w:val="-2"/>
        </w:rPr>
        <w:t>年度，东华信通实现营业收入</w:t>
      </w:r>
      <w:r>
        <w:rPr>
          <w:rFonts w:ascii="宋体" w:hAnsi="宋体" w:cs="宋体" w:eastAsia="宋体" w:hint="default"/>
          <w:spacing w:val="-2"/>
        </w:rPr>
        <w:t>41,172,257.90</w:t>
      </w:r>
      <w:r>
        <w:rPr>
          <w:spacing w:val="-2"/>
        </w:rPr>
        <w:t>元，净利润</w:t>
      </w:r>
      <w:r>
        <w:rPr>
          <w:rFonts w:ascii="宋体" w:hAnsi="宋体" w:cs="宋体" w:eastAsia="宋体" w:hint="default"/>
          <w:spacing w:val="-2"/>
        </w:rPr>
        <w:t>11,901,157.15</w:t>
      </w:r>
      <w:r>
        <w:rPr>
          <w:spacing w:val="-2"/>
        </w:rPr>
        <w:t>元。截止</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日，东华信通总</w:t>
      </w:r>
      <w:r>
        <w:rPr>
          <w:spacing w:val="-44"/>
        </w:rPr>
        <w:t> </w:t>
      </w:r>
      <w:r>
        <w:rPr>
          <w:spacing w:val="-44"/>
        </w:rPr>
      </w:r>
      <w:r>
        <w:rPr/>
        <w:t>资产</w:t>
      </w:r>
      <w:r>
        <w:rPr>
          <w:rFonts w:ascii="宋体" w:hAnsi="宋体" w:cs="宋体" w:eastAsia="宋体" w:hint="default"/>
        </w:rPr>
        <w:t>33,484,735.89</w:t>
      </w:r>
      <w:r>
        <w:rPr/>
        <w:t>元，净资产</w:t>
      </w:r>
      <w:r>
        <w:rPr>
          <w:rFonts w:ascii="宋体" w:hAnsi="宋体" w:cs="宋体" w:eastAsia="宋体" w:hint="default"/>
        </w:rPr>
        <w:t>28,600,933.94</w:t>
      </w:r>
      <w:r>
        <w:rPr/>
        <w:t>元。</w:t>
      </w:r>
    </w:p>
    <w:p>
      <w:pPr>
        <w:spacing w:line="477" w:lineRule="auto" w:before="54"/>
        <w:ind w:left="513" w:right="630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）吉林省东方国信科技有限公司</w:t>
      </w:r>
      <w:r>
        <w:rPr>
          <w:rFonts w:ascii="宋体" w:hAnsi="宋体" w:cs="宋体" w:eastAsia="宋体" w:hint="default"/>
          <w:b/>
          <w:bCs/>
          <w:w w:val="99"/>
          <w:sz w:val="18"/>
          <w:szCs w:val="18"/>
        </w:rPr>
        <w:t> </w:t>
      </w:r>
      <w:r>
        <w:rPr>
          <w:rFonts w:ascii="宋体" w:hAnsi="宋体" w:cs="宋体" w:eastAsia="宋体" w:hint="default"/>
          <w:sz w:val="18"/>
          <w:szCs w:val="18"/>
        </w:rPr>
        <w:t>成立时间：</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 法定代表人：陈桂霞 注册资本：</w:t>
      </w:r>
      <w:r>
        <w:rPr>
          <w:rFonts w:ascii="宋体" w:hAnsi="宋体" w:cs="宋体" w:eastAsia="宋体" w:hint="default"/>
          <w:sz w:val="18"/>
          <w:szCs w:val="18"/>
        </w:rPr>
        <w:t>500</w:t>
      </w:r>
      <w:r>
        <w:rPr>
          <w:rFonts w:ascii="宋体" w:hAnsi="宋体" w:cs="宋体" w:eastAsia="宋体" w:hint="default"/>
          <w:sz w:val="18"/>
          <w:szCs w:val="18"/>
        </w:rPr>
        <w:t>万元人民币</w:t>
      </w:r>
      <w:r>
        <w:rPr>
          <w:rFonts w:ascii="宋体" w:hAnsi="宋体" w:cs="宋体" w:eastAsia="宋体" w:hint="default"/>
          <w:spacing w:val="-87"/>
          <w:sz w:val="18"/>
          <w:szCs w:val="18"/>
        </w:rPr>
        <w:t> </w:t>
      </w:r>
      <w:r>
        <w:rPr>
          <w:rFonts w:ascii="宋体" w:hAnsi="宋体" w:cs="宋体" w:eastAsia="宋体" w:hint="default"/>
          <w:sz w:val="18"/>
          <w:szCs w:val="18"/>
        </w:rPr>
        <w:t>注册地点：长春市南关区平阳小区</w:t>
      </w:r>
      <w:r>
        <w:rPr>
          <w:rFonts w:ascii="宋体" w:hAnsi="宋体" w:cs="宋体" w:eastAsia="宋体" w:hint="default"/>
          <w:sz w:val="18"/>
          <w:szCs w:val="18"/>
        </w:rPr>
        <w:t>1</w:t>
      </w:r>
      <w:r>
        <w:rPr>
          <w:rFonts w:ascii="宋体" w:hAnsi="宋体" w:cs="宋体" w:eastAsia="宋体" w:hint="default"/>
          <w:sz w:val="18"/>
          <w:szCs w:val="18"/>
        </w:rPr>
        <w:t>号楼</w:t>
      </w:r>
    </w:p>
    <w:p>
      <w:pPr>
        <w:pStyle w:val="BodyText"/>
        <w:spacing w:line="477" w:lineRule="auto" w:before="55"/>
        <w:ind w:left="513" w:right="94"/>
        <w:jc w:val="left"/>
      </w:pPr>
      <w:r>
        <w:rPr/>
        <w:t>股东构成及控制情况：公司持有其</w:t>
      </w:r>
      <w:r>
        <w:rPr>
          <w:rFonts w:ascii="宋体" w:hAnsi="宋体" w:cs="宋体" w:eastAsia="宋体" w:hint="default"/>
        </w:rPr>
        <w:t>100%</w:t>
      </w:r>
      <w:r>
        <w:rPr/>
        <w:t>的股权 </w:t>
      </w:r>
      <w:r>
        <w:rPr>
          <w:spacing w:val="-2"/>
        </w:rPr>
        <w:t>经营范围：计算机软硬件、机电一体化产品、计算机系统集成技术开发技术咨询、技术服务；设计、制作、代理、发布</w:t>
      </w:r>
    </w:p>
    <w:p>
      <w:pPr>
        <w:pStyle w:val="BodyText"/>
        <w:spacing w:line="477" w:lineRule="auto" w:before="54"/>
        <w:ind w:right="94"/>
        <w:jc w:val="left"/>
      </w:pPr>
      <w:r>
        <w:rPr>
          <w:spacing w:val="-4"/>
        </w:rPr>
        <w:t>国内各类广告业务；企业形象策划、营销策划；平面设计，展览展示服务、会议服务、庆典服务；汽车租赁；车载通信设备、</w:t>
      </w:r>
      <w:r>
        <w:rPr>
          <w:spacing w:val="-46"/>
        </w:rPr>
        <w:t> </w:t>
      </w:r>
      <w:r>
        <w:rPr>
          <w:spacing w:val="-46"/>
        </w:rPr>
      </w:r>
      <w:r>
        <w:rPr>
          <w:spacing w:val="-2"/>
        </w:rPr>
        <w:t>汽车饰品、手机批发及零售；通信卡、通信设备销售；机房清洗保洁；手机维修；计算机软硬件租赁；进出口贸易（国家法</w:t>
      </w:r>
      <w:r>
        <w:rPr>
          <w:spacing w:val="-65"/>
        </w:rPr>
        <w:t> </w:t>
      </w:r>
      <w:r>
        <w:rPr>
          <w:spacing w:val="-65"/>
        </w:rPr>
      </w:r>
      <w:r>
        <w:rPr/>
        <w:t>律法规禁止的商品除外）。</w:t>
      </w:r>
    </w:p>
    <w:p>
      <w:pPr>
        <w:pStyle w:val="BodyText"/>
        <w:spacing w:line="477" w:lineRule="auto" w:before="54"/>
        <w:ind w:right="184" w:firstLine="360"/>
        <w:jc w:val="left"/>
      </w:pPr>
      <w:r>
        <w:rPr>
          <w:rFonts w:ascii="宋体" w:hAnsi="宋体" w:cs="宋体" w:eastAsia="宋体" w:hint="default"/>
        </w:rPr>
        <w:t>2012</w:t>
      </w:r>
      <w:r>
        <w:rPr/>
        <w:t>年度，吉林子公司实现营业收入</w:t>
      </w:r>
      <w:r>
        <w:rPr>
          <w:rFonts w:ascii="宋体" w:hAnsi="宋体" w:cs="宋体" w:eastAsia="宋体" w:hint="default"/>
        </w:rPr>
        <w:t>7,084,710.73</w:t>
      </w:r>
      <w:r>
        <w:rPr/>
        <w:t>元，实现净利润</w:t>
      </w:r>
      <w:r>
        <w:rPr>
          <w:rFonts w:ascii="宋体" w:hAnsi="宋体" w:cs="宋体" w:eastAsia="宋体" w:hint="default"/>
        </w:rPr>
        <w:t>-822,342.55</w:t>
      </w:r>
      <w:r>
        <w:rPr/>
        <w:t>元，截止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日，该子公司总 资产</w:t>
      </w:r>
      <w:r>
        <w:rPr>
          <w:rFonts w:ascii="宋体" w:hAnsi="宋体" w:cs="宋体" w:eastAsia="宋体" w:hint="default"/>
        </w:rPr>
        <w:t>12,328,785.31</w:t>
      </w:r>
      <w:r>
        <w:rPr/>
        <w:t>元，净资产</w:t>
      </w:r>
      <w:r>
        <w:rPr>
          <w:rFonts w:ascii="宋体" w:hAnsi="宋体" w:cs="宋体" w:eastAsia="宋体" w:hint="default"/>
        </w:rPr>
        <w:t>4,177,657.45</w:t>
      </w:r>
      <w:r>
        <w:rPr/>
        <w:t>元。</w:t>
      </w:r>
    </w:p>
    <w:p>
      <w:pPr>
        <w:spacing w:line="477" w:lineRule="auto" w:before="54"/>
        <w:ind w:left="513" w:right="683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）成都东方国信科技有限公司</w:t>
      </w:r>
      <w:r>
        <w:rPr>
          <w:rFonts w:ascii="宋体" w:hAnsi="宋体" w:cs="宋体" w:eastAsia="宋体" w:hint="default"/>
          <w:b/>
          <w:bCs/>
          <w:w w:val="99"/>
          <w:sz w:val="18"/>
          <w:szCs w:val="18"/>
        </w:rPr>
        <w:t> </w:t>
      </w:r>
      <w:r>
        <w:rPr>
          <w:rFonts w:ascii="宋体" w:hAnsi="宋体" w:cs="宋体" w:eastAsia="宋体" w:hint="default"/>
          <w:sz w:val="18"/>
          <w:szCs w:val="18"/>
        </w:rPr>
        <w:t>成立时间：</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 法定代表人：王首君 注册资本：</w:t>
      </w:r>
      <w:r>
        <w:rPr>
          <w:rFonts w:ascii="宋体" w:hAnsi="宋体" w:cs="宋体" w:eastAsia="宋体" w:hint="default"/>
          <w:sz w:val="18"/>
          <w:szCs w:val="18"/>
        </w:rPr>
        <w:t>200</w:t>
      </w:r>
      <w:r>
        <w:rPr>
          <w:rFonts w:ascii="宋体" w:hAnsi="宋体" w:cs="宋体" w:eastAsia="宋体" w:hint="default"/>
          <w:sz w:val="18"/>
          <w:szCs w:val="18"/>
        </w:rPr>
        <w:t>万元人民币</w:t>
      </w:r>
    </w:p>
    <w:p>
      <w:pPr>
        <w:pStyle w:val="BodyText"/>
        <w:spacing w:line="477" w:lineRule="auto" w:before="54"/>
        <w:ind w:left="513" w:right="4503"/>
        <w:jc w:val="left"/>
      </w:pPr>
      <w:r>
        <w:rPr/>
        <w:t>注册地点：成都高新区府城大道西段</w:t>
      </w:r>
      <w:r>
        <w:rPr>
          <w:rFonts w:ascii="宋体" w:hAnsi="宋体" w:cs="宋体" w:eastAsia="宋体" w:hint="default"/>
        </w:rPr>
        <w:t>399</w:t>
      </w:r>
      <w:r>
        <w:rPr/>
        <w:t>号</w:t>
      </w:r>
      <w:r>
        <w:rPr>
          <w:rFonts w:ascii="宋体" w:hAnsi="宋体" w:cs="宋体" w:eastAsia="宋体" w:hint="default"/>
        </w:rPr>
        <w:t>7</w:t>
      </w:r>
      <w:r>
        <w:rPr/>
        <w:t>栋</w:t>
      </w:r>
      <w:r>
        <w:rPr>
          <w:rFonts w:ascii="宋体" w:hAnsi="宋体" w:cs="宋体" w:eastAsia="宋体" w:hint="default"/>
        </w:rPr>
        <w:t>2</w:t>
      </w:r>
      <w:r>
        <w:rPr/>
        <w:t>单元</w:t>
      </w:r>
      <w:r>
        <w:rPr>
          <w:rFonts w:ascii="宋体" w:hAnsi="宋体" w:cs="宋体" w:eastAsia="宋体" w:hint="default"/>
        </w:rPr>
        <w:t>17</w:t>
      </w:r>
      <w:r>
        <w:rPr/>
        <w:t>层</w:t>
      </w:r>
      <w:r>
        <w:rPr>
          <w:rFonts w:ascii="宋体" w:hAnsi="宋体" w:cs="宋体" w:eastAsia="宋体" w:hint="default"/>
        </w:rPr>
        <w:t>1709</w:t>
      </w:r>
      <w:r>
        <w:rPr/>
        <w:t>号 股东构成及控制情况：公司持有其</w:t>
      </w:r>
      <w:r>
        <w:rPr>
          <w:rFonts w:ascii="宋体" w:hAnsi="宋体" w:cs="宋体" w:eastAsia="宋体" w:hint="default"/>
        </w:rPr>
        <w:t>100%</w:t>
      </w:r>
      <w:r>
        <w:rPr/>
        <w:t>的股权</w:t>
      </w:r>
    </w:p>
    <w:p>
      <w:pPr>
        <w:pStyle w:val="BodyText"/>
        <w:spacing w:line="477" w:lineRule="auto" w:before="54"/>
        <w:ind w:right="94" w:firstLine="360"/>
        <w:jc w:val="left"/>
      </w:pPr>
      <w:r>
        <w:rPr/>
        <w:t>经营范围：计算机软硬件，机电产品的技术研发、技术咨询、技术服务；计算机系统集成；销售、租赁计算机软硬件； </w:t>
      </w:r>
      <w:r>
        <w:rPr>
          <w:spacing w:val="-2"/>
        </w:rPr>
        <w:t>企业营销策划、市场信息咨询（不含前置许可项目，后置许可项目凭许可证或审批文件经营）；货物及技术进出口（国家法</w:t>
      </w:r>
      <w:r>
        <w:rPr>
          <w:spacing w:val="-67"/>
        </w:rPr>
        <w:t> </w:t>
      </w:r>
      <w:r>
        <w:rPr>
          <w:spacing w:val="-67"/>
        </w:rPr>
      </w:r>
      <w:r>
        <w:rPr/>
        <w:t>律、行政法规禁止的除外，国家法律、行政法规限制的取得许可后方可经营）。</w:t>
      </w:r>
    </w:p>
    <w:p>
      <w:pPr>
        <w:pStyle w:val="BodyText"/>
        <w:spacing w:line="477" w:lineRule="auto" w:before="54"/>
        <w:ind w:right="94" w:firstLine="360"/>
        <w:jc w:val="left"/>
      </w:pPr>
      <w:r>
        <w:rPr>
          <w:rFonts w:ascii="宋体" w:hAnsi="宋体" w:cs="宋体" w:eastAsia="宋体" w:hint="default"/>
          <w:spacing w:val="-5"/>
        </w:rPr>
        <w:t>2012</w:t>
      </w:r>
      <w:r>
        <w:rPr>
          <w:spacing w:val="-5"/>
        </w:rPr>
        <w:t>年，该子公司实现营业收入</w:t>
      </w:r>
      <w:r>
        <w:rPr>
          <w:rFonts w:ascii="宋体" w:hAnsi="宋体" w:cs="宋体" w:eastAsia="宋体" w:hint="default"/>
          <w:spacing w:val="-5"/>
        </w:rPr>
        <w:t>4,309,861.65</w:t>
      </w:r>
      <w:r>
        <w:rPr>
          <w:spacing w:val="-5"/>
        </w:rPr>
        <w:t>元，实现净净利润</w:t>
      </w:r>
      <w:r>
        <w:rPr>
          <w:rFonts w:ascii="宋体" w:hAnsi="宋体" w:cs="宋体" w:eastAsia="宋体" w:hint="default"/>
          <w:spacing w:val="-5"/>
        </w:rPr>
        <w:t>37,232.31</w:t>
      </w:r>
      <w:r>
        <w:rPr>
          <w:spacing w:val="-5"/>
        </w:rPr>
        <w:t>元；截止</w:t>
      </w:r>
      <w:r>
        <w:rPr>
          <w:rFonts w:ascii="宋体" w:hAnsi="宋体" w:cs="宋体" w:eastAsia="宋体" w:hint="default"/>
          <w:spacing w:val="-5"/>
        </w:rPr>
        <w:t>2012</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日，总资产</w:t>
      </w:r>
      <w:r>
        <w:rPr>
          <w:rFonts w:ascii="宋体" w:hAnsi="宋体" w:cs="宋体" w:eastAsia="宋体" w:hint="default"/>
          <w:spacing w:val="-5"/>
        </w:rPr>
        <w:t>4,019,720.93</w:t>
      </w:r>
      <w:r>
        <w:rPr>
          <w:rFonts w:ascii="宋体" w:hAnsi="宋体" w:cs="宋体" w:eastAsia="宋体" w:hint="default"/>
        </w:rPr>
        <w:t> </w:t>
      </w:r>
      <w:r>
        <w:rPr/>
        <w:t>元，净资产</w:t>
      </w:r>
      <w:r>
        <w:rPr>
          <w:rFonts w:ascii="宋体" w:hAnsi="宋体" w:cs="宋体" w:eastAsia="宋体" w:hint="default"/>
        </w:rPr>
        <w:t>2,037,232.31</w:t>
      </w:r>
      <w:r>
        <w:rPr/>
        <w:t>元。</w:t>
      </w:r>
    </w:p>
    <w:p>
      <w:pPr>
        <w:spacing w:line="477" w:lineRule="auto" w:before="54"/>
        <w:ind w:left="513" w:right="665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5</w:t>
      </w:r>
      <w:r>
        <w:rPr>
          <w:rFonts w:ascii="宋体" w:hAnsi="宋体" w:cs="宋体" w:eastAsia="宋体" w:hint="default"/>
          <w:b/>
          <w:bCs/>
          <w:sz w:val="18"/>
          <w:szCs w:val="18"/>
        </w:rPr>
        <w:t>）北京国信新世纪科技有限公司</w:t>
      </w:r>
      <w:r>
        <w:rPr>
          <w:rFonts w:ascii="宋体" w:hAnsi="宋体" w:cs="宋体" w:eastAsia="宋体" w:hint="default"/>
          <w:b/>
          <w:bCs/>
          <w:w w:val="99"/>
          <w:sz w:val="18"/>
          <w:szCs w:val="18"/>
        </w:rPr>
        <w:t> </w:t>
      </w:r>
      <w:r>
        <w:rPr>
          <w:rFonts w:ascii="宋体" w:hAnsi="宋体" w:cs="宋体" w:eastAsia="宋体" w:hint="default"/>
          <w:sz w:val="18"/>
          <w:szCs w:val="18"/>
        </w:rPr>
        <w:t>成立时间：</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 法定代表人：刘权 注册资本：</w:t>
      </w:r>
      <w:r>
        <w:rPr>
          <w:rFonts w:ascii="宋体" w:hAnsi="宋体" w:cs="宋体" w:eastAsia="宋体" w:hint="default"/>
          <w:sz w:val="18"/>
          <w:szCs w:val="18"/>
        </w:rPr>
        <w:t>1000</w:t>
      </w:r>
      <w:r>
        <w:rPr>
          <w:rFonts w:ascii="宋体" w:hAnsi="宋体" w:cs="宋体" w:eastAsia="宋体" w:hint="default"/>
          <w:sz w:val="18"/>
          <w:szCs w:val="18"/>
        </w:rPr>
        <w:t>万元人民币</w:t>
      </w:r>
    </w:p>
    <w:p>
      <w:pPr>
        <w:spacing w:after="0" w:line="477" w:lineRule="auto"/>
        <w:jc w:val="left"/>
        <w:rPr>
          <w:rFonts w:ascii="宋体" w:hAnsi="宋体" w:cs="宋体" w:eastAsia="宋体" w:hint="default"/>
          <w:sz w:val="18"/>
          <w:szCs w:val="18"/>
        </w:rPr>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477" w:lineRule="auto" w:before="44"/>
        <w:ind w:left="513" w:right="4413"/>
        <w:jc w:val="left"/>
      </w:pPr>
      <w:r>
        <w:rPr/>
        <w:t>注册地点：北京市海淀区农大南路</w:t>
      </w:r>
      <w:r>
        <w:rPr>
          <w:rFonts w:ascii="宋体" w:hAnsi="宋体" w:cs="宋体" w:eastAsia="宋体" w:hint="default"/>
        </w:rPr>
        <w:t>1</w:t>
      </w:r>
      <w:r>
        <w:rPr/>
        <w:t>号院</w:t>
      </w:r>
      <w:r>
        <w:rPr>
          <w:rFonts w:ascii="宋体" w:hAnsi="宋体" w:cs="宋体" w:eastAsia="宋体" w:hint="default"/>
        </w:rPr>
        <w:t>2</w:t>
      </w:r>
      <w:r>
        <w:rPr/>
        <w:t>号楼</w:t>
      </w:r>
      <w:r>
        <w:rPr>
          <w:rFonts w:ascii="宋体" w:hAnsi="宋体" w:cs="宋体" w:eastAsia="宋体" w:hint="default"/>
        </w:rPr>
        <w:t>2</w:t>
      </w:r>
      <w:r>
        <w:rPr/>
        <w:t>层办公</w:t>
      </w:r>
      <w:r>
        <w:rPr>
          <w:rFonts w:ascii="宋体" w:hAnsi="宋体" w:cs="宋体" w:eastAsia="宋体" w:hint="default"/>
        </w:rPr>
        <w:t>B-210-283</w:t>
      </w:r>
      <w:r>
        <w:rPr>
          <w:rFonts w:ascii="宋体" w:hAnsi="宋体" w:cs="宋体" w:eastAsia="宋体" w:hint="default"/>
          <w:spacing w:val="1"/>
        </w:rPr>
        <w:t> </w:t>
      </w:r>
      <w:r>
        <w:rPr/>
        <w:t>股东构成及控制情况：公司持有其</w:t>
      </w:r>
      <w:r>
        <w:rPr>
          <w:rFonts w:ascii="宋体" w:hAnsi="宋体" w:cs="宋体" w:eastAsia="宋体" w:hint="default"/>
        </w:rPr>
        <w:t>100%</w:t>
      </w:r>
      <w:r>
        <w:rPr/>
        <w:t>的股权</w:t>
      </w:r>
    </w:p>
    <w:p>
      <w:pPr>
        <w:pStyle w:val="BodyText"/>
        <w:spacing w:line="477" w:lineRule="auto" w:before="54"/>
        <w:ind w:right="94" w:firstLine="360"/>
        <w:jc w:val="left"/>
      </w:pPr>
      <w:r>
        <w:rPr/>
        <w:t>经营范围：技术开发、技术转让、技术咨询、技术服务、技术推广；企业策划、设计；会议服务；承办展览展示活动； </w:t>
      </w:r>
      <w:r>
        <w:rPr>
          <w:spacing w:val="-2"/>
        </w:rPr>
        <w:t>设计、制作、代理、发布广告；计算机系统服务；维修计算机；销售电子产品、家用电器、计算机、软件及辅助设备、通讯</w:t>
      </w:r>
      <w:r>
        <w:rPr>
          <w:spacing w:val="-73"/>
        </w:rPr>
        <w:t> </w:t>
      </w:r>
      <w:r>
        <w:rPr>
          <w:spacing w:val="-73"/>
        </w:rPr>
      </w:r>
      <w:r>
        <w:rPr/>
        <w:t>设备。（未取得行政许可的项目除外）</w:t>
      </w:r>
    </w:p>
    <w:p>
      <w:pPr>
        <w:pStyle w:val="BodyText"/>
        <w:spacing w:line="477" w:lineRule="auto" w:before="54"/>
        <w:ind w:right="94" w:firstLine="360"/>
        <w:jc w:val="left"/>
      </w:pPr>
      <w:r>
        <w:rPr>
          <w:rFonts w:ascii="宋体" w:hAnsi="宋体" w:cs="宋体" w:eastAsia="宋体" w:hint="default"/>
          <w:spacing w:val="-2"/>
        </w:rPr>
        <w:t>2012</w:t>
      </w:r>
      <w:r>
        <w:rPr>
          <w:spacing w:val="-2"/>
        </w:rPr>
        <w:t>年，北京子公司实现营业收入</w:t>
      </w:r>
      <w:r>
        <w:rPr>
          <w:rFonts w:ascii="宋体" w:hAnsi="宋体" w:cs="宋体" w:eastAsia="宋体" w:hint="default"/>
          <w:spacing w:val="-2"/>
        </w:rPr>
        <w:t>0</w:t>
      </w:r>
      <w:r>
        <w:rPr>
          <w:spacing w:val="-2"/>
        </w:rPr>
        <w:t>元，实现净利润</w:t>
      </w:r>
      <w:r>
        <w:rPr>
          <w:rFonts w:ascii="宋体" w:hAnsi="宋体" w:cs="宋体" w:eastAsia="宋体" w:hint="default"/>
          <w:spacing w:val="-2"/>
        </w:rPr>
        <w:t>-293,564.43</w:t>
      </w:r>
      <w:r>
        <w:rPr>
          <w:spacing w:val="-2"/>
        </w:rPr>
        <w:t>元，截止</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日，总资产</w:t>
      </w:r>
      <w:r>
        <w:rPr>
          <w:rFonts w:ascii="宋体" w:hAnsi="宋体" w:cs="宋体" w:eastAsia="宋体" w:hint="default"/>
          <w:spacing w:val="-2"/>
        </w:rPr>
        <w:t>9,771,959.80</w:t>
      </w:r>
      <w:r>
        <w:rPr>
          <w:spacing w:val="-2"/>
        </w:rPr>
        <w:t>元，净</w:t>
      </w:r>
      <w:r>
        <w:rPr/>
        <w:t> 资产</w:t>
      </w:r>
      <w:r>
        <w:rPr>
          <w:rFonts w:ascii="宋体" w:hAnsi="宋体" w:cs="宋体" w:eastAsia="宋体" w:hint="default"/>
        </w:rPr>
        <w:t>9,706,435.57</w:t>
      </w:r>
      <w:r>
        <w:rPr/>
        <w:t>元。</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rFonts w:ascii="Times New Roman" w:hAnsi="Times New Roman" w:cs="Times New Roman" w:eastAsia="Times New Roman" w:hint="default"/>
        </w:rPr>
        <w:t>7</w:t>
      </w:r>
      <w:r>
        <w:rPr/>
        <w:t>、公司控制的特殊目的主体情况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三、公司未来发展的展望</w:t>
      </w:r>
      <w:r>
        <w:rPr>
          <w:b w:val="0"/>
          <w:bCs w:val="0"/>
        </w:rPr>
      </w:r>
    </w:p>
    <w:p>
      <w:pPr>
        <w:spacing w:line="240" w:lineRule="auto" w:before="4"/>
        <w:rPr>
          <w:rFonts w:ascii="宋体" w:hAnsi="宋体" w:cs="宋体" w:eastAsia="宋体" w:hint="default"/>
          <w:b/>
          <w:bCs/>
          <w:sz w:val="32"/>
          <w:szCs w:val="32"/>
        </w:rPr>
      </w:pPr>
    </w:p>
    <w:p>
      <w:pPr>
        <w:pStyle w:val="BodyText"/>
        <w:spacing w:line="477" w:lineRule="auto"/>
        <w:ind w:left="635" w:right="6721"/>
        <w:jc w:val="left"/>
      </w:pPr>
      <w:r>
        <w:rPr/>
        <w:t>（一）行业发展趋势 </w:t>
      </w:r>
      <w:r>
        <w:rPr>
          <w:rFonts w:ascii="宋体" w:hAnsi="宋体" w:cs="宋体" w:eastAsia="宋体" w:hint="default"/>
        </w:rPr>
        <w:t>1</w:t>
      </w:r>
      <w:r>
        <w:rPr/>
        <w:t>、数据价值凸显，行业前景广阔</w:t>
      </w:r>
    </w:p>
    <w:p>
      <w:pPr>
        <w:pStyle w:val="BodyText"/>
        <w:spacing w:line="477" w:lineRule="auto" w:before="54"/>
        <w:ind w:right="189" w:firstLine="482"/>
        <w:jc w:val="both"/>
      </w:pPr>
      <w:r>
        <w:rPr>
          <w:spacing w:val="-1"/>
        </w:rPr>
        <w:t>随着信息时代的演进，“大数据”概念逐渐深入人心，数据分析、数据挖据对提升企业市场开拓能力和经营管控水平</w:t>
      </w:r>
      <w:r>
        <w:rPr/>
        <w:t> </w:t>
      </w:r>
      <w:r>
        <w:rPr>
          <w:spacing w:val="-2"/>
        </w:rPr>
        <w:t>的显著作用，已被越来越多的企事业管理层所认知并重视，甚至已被某些企业提高到关乎生存发展的高度，数据价值将成为</w:t>
      </w:r>
      <w:r>
        <w:rPr>
          <w:spacing w:val="-63"/>
        </w:rPr>
        <w:t> </w:t>
      </w:r>
      <w:r>
        <w:rPr>
          <w:spacing w:val="-63"/>
        </w:rPr>
      </w:r>
      <w:r>
        <w:rPr>
          <w:spacing w:val="-2"/>
        </w:rPr>
        <w:t>未来人们聚焦关注的重要资源和潜在财富。随着操作型</w:t>
      </w:r>
      <w:r>
        <w:rPr>
          <w:rFonts w:ascii="宋体" w:hAnsi="宋体" w:cs="宋体" w:eastAsia="宋体" w:hint="default"/>
          <w:spacing w:val="-2"/>
        </w:rPr>
        <w:t>BI</w:t>
      </w:r>
      <w:r>
        <w:rPr>
          <w:spacing w:val="-2"/>
        </w:rPr>
        <w:t>逐步在大企业普及，</w:t>
      </w:r>
      <w:r>
        <w:rPr>
          <w:rFonts w:ascii="宋体" w:hAnsi="宋体" w:cs="宋体" w:eastAsia="宋体" w:hint="default"/>
          <w:spacing w:val="-2"/>
        </w:rPr>
        <w:t>BI</w:t>
      </w:r>
      <w:r>
        <w:rPr>
          <w:spacing w:val="-2"/>
        </w:rPr>
        <w:t>不仅用于企业高层管理者的决策辅助，还日</w:t>
      </w:r>
      <w:r>
        <w:rPr>
          <w:spacing w:val="-60"/>
        </w:rPr>
        <w:t> </w:t>
      </w:r>
      <w:r>
        <w:rPr>
          <w:spacing w:val="-60"/>
        </w:rPr>
      </w:r>
      <w:r>
        <w:rPr>
          <w:spacing w:val="-2"/>
        </w:rPr>
        <w:t>益成为普通员工日常操作的工具。企业希望由</w:t>
      </w:r>
      <w:r>
        <w:rPr>
          <w:rFonts w:ascii="宋体" w:hAnsi="宋体" w:cs="宋体" w:eastAsia="宋体" w:hint="default"/>
          <w:spacing w:val="-2"/>
        </w:rPr>
        <w:t>BI</w:t>
      </w:r>
      <w:r>
        <w:rPr>
          <w:spacing w:val="-2"/>
        </w:rPr>
        <w:t>系统带来的透明度和洞察力能够帮助企业降低成本，提高生产率和业务敏捷</w:t>
      </w:r>
      <w:r>
        <w:rPr>
          <w:spacing w:val="-62"/>
        </w:rPr>
        <w:t> </w:t>
      </w:r>
      <w:r>
        <w:rPr>
          <w:spacing w:val="-62"/>
        </w:rPr>
      </w:r>
      <w:r>
        <w:rPr/>
        <w:t>性，所以不仅仅是一些大型企业对</w:t>
      </w:r>
      <w:r>
        <w:rPr>
          <w:rFonts w:ascii="宋体" w:hAnsi="宋体" w:cs="宋体" w:eastAsia="宋体" w:hint="default"/>
        </w:rPr>
        <w:t>BI</w:t>
      </w:r>
      <w:r>
        <w:rPr/>
        <w:t>产品有需求，中小型企业也在寻找相关的</w:t>
      </w:r>
      <w:r>
        <w:rPr>
          <w:rFonts w:ascii="宋体" w:hAnsi="宋体" w:cs="宋体" w:eastAsia="宋体" w:hint="default"/>
        </w:rPr>
        <w:t>BI</w:t>
      </w:r>
      <w:r>
        <w:rPr/>
        <w:t>产品，</w:t>
      </w:r>
      <w:r>
        <w:rPr>
          <w:rFonts w:ascii="宋体" w:hAnsi="宋体" w:cs="宋体" w:eastAsia="宋体" w:hint="default"/>
        </w:rPr>
        <w:t>BI</w:t>
      </w:r>
      <w:r>
        <w:rPr/>
        <w:t>软件市场规模越来越大。</w:t>
      </w:r>
    </w:p>
    <w:p>
      <w:pPr>
        <w:pStyle w:val="BodyText"/>
        <w:spacing w:line="477" w:lineRule="auto" w:before="54"/>
        <w:ind w:left="635" w:right="94"/>
        <w:jc w:val="left"/>
      </w:pPr>
      <w:r>
        <w:rPr>
          <w:rFonts w:ascii="宋体" w:hAnsi="宋体" w:cs="宋体" w:eastAsia="宋体" w:hint="default"/>
        </w:rPr>
        <w:t>2</w:t>
      </w:r>
      <w:r>
        <w:rPr/>
        <w:t>、“大数据”、“云计算”助推</w:t>
      </w:r>
      <w:r>
        <w:rPr>
          <w:rFonts w:ascii="宋体" w:hAnsi="宋体" w:cs="宋体" w:eastAsia="宋体" w:hint="default"/>
        </w:rPr>
        <w:t>BI</w:t>
      </w:r>
      <w:r>
        <w:rPr/>
        <w:t>迈入发展黄金时期 </w:t>
      </w:r>
      <w:r>
        <w:rPr>
          <w:spacing w:val="-1"/>
        </w:rPr>
        <w:t>商业智能是数据库技术、人工智能技术、统计技术和软件技术等的有机结合，从全球范围来看，商业智能已经成为软</w:t>
      </w:r>
    </w:p>
    <w:p>
      <w:pPr>
        <w:pStyle w:val="BodyText"/>
        <w:spacing w:line="477" w:lineRule="auto" w:before="54"/>
        <w:ind w:right="94"/>
        <w:jc w:val="left"/>
      </w:pPr>
      <w:r>
        <w:rPr/>
        <w:t>件市场当前最具发展潜力的领域之一。基于</w:t>
      </w:r>
      <w:r>
        <w:rPr>
          <w:rFonts w:ascii="宋体" w:hAnsi="宋体" w:cs="宋体" w:eastAsia="宋体" w:hint="default"/>
        </w:rPr>
        <w:t>BI</w:t>
      </w:r>
      <w:r>
        <w:rPr/>
        <w:t>广阔的发展前景，近年来 </w:t>
      </w:r>
      <w:r>
        <w:rPr>
          <w:rFonts w:ascii="宋体" w:hAnsi="宋体" w:cs="宋体" w:eastAsia="宋体" w:hint="default"/>
        </w:rPr>
        <w:t>BI</w:t>
      </w:r>
      <w:r>
        <w:rPr/>
        <w:t>领域加快了技术创新步伐。“大数据”、“云计</w:t>
      </w:r>
      <w:r>
        <w:rPr>
          <w:spacing w:val="-82"/>
        </w:rPr>
        <w:t> </w:t>
      </w:r>
      <w:r>
        <w:rPr>
          <w:spacing w:val="-82"/>
        </w:rPr>
      </w:r>
      <w:r>
        <w:rPr/>
        <w:t>算”等技术的快速发展，使得各种数据的规模得到空前爆发，这也就为商业智能的蓬勃发展提供的良好的“大数据”环境，</w:t>
      </w:r>
      <w:r>
        <w:rPr/>
        <w:t> </w:t>
      </w:r>
      <w:r>
        <w:rPr>
          <w:rFonts w:ascii="宋体" w:hAnsi="宋体" w:cs="宋体" w:eastAsia="宋体" w:hint="default"/>
        </w:rPr>
        <w:t>BI</w:t>
      </w:r>
      <w:r>
        <w:rPr/>
        <w:t>软件也迎来其发展的黄金时期。</w:t>
      </w:r>
    </w:p>
    <w:p>
      <w:pPr>
        <w:pStyle w:val="BodyText"/>
        <w:spacing w:line="477" w:lineRule="auto" w:before="55"/>
        <w:ind w:right="190" w:firstLine="482"/>
        <w:jc w:val="both"/>
      </w:pPr>
      <w:r>
        <w:rPr>
          <w:spacing w:val="-1"/>
        </w:rPr>
        <w:t>“大数据”意味着包括交易和交互数据集在内的所有数据集，其规模或复杂程度超出了常用技术按照合理的成本和时</w:t>
      </w:r>
      <w:r>
        <w:rPr/>
        <w:t> </w:t>
      </w:r>
      <w:r>
        <w:rPr>
          <w:spacing w:val="-2"/>
        </w:rPr>
        <w:t>限捕捉、管理及处理这些数据集的能力。不管是结构化数据还是非结构化数据，都需要对它们进行集成。一些规模较大的企</w:t>
      </w:r>
      <w:r>
        <w:rPr>
          <w:spacing w:val="-65"/>
        </w:rPr>
        <w:t> </w:t>
      </w:r>
      <w:r>
        <w:rPr>
          <w:spacing w:val="-65"/>
        </w:rPr>
      </w:r>
      <w:r>
        <w:rPr>
          <w:spacing w:val="-2"/>
        </w:rPr>
        <w:t>业往往有几十个甚至上百个信息系统，一般情况下，</w:t>
      </w:r>
      <w:r>
        <w:rPr>
          <w:rFonts w:ascii="宋体" w:hAnsi="宋体" w:cs="宋体" w:eastAsia="宋体" w:hint="default"/>
          <w:spacing w:val="-2"/>
        </w:rPr>
        <w:t>ERP</w:t>
      </w:r>
      <w:r>
        <w:rPr>
          <w:spacing w:val="-2"/>
        </w:rPr>
        <w:t>、</w:t>
      </w:r>
      <w:r>
        <w:rPr>
          <w:rFonts w:ascii="宋体" w:hAnsi="宋体" w:cs="宋体" w:eastAsia="宋体" w:hint="default"/>
          <w:spacing w:val="-2"/>
        </w:rPr>
        <w:t>CRM</w:t>
      </w:r>
      <w:r>
        <w:rPr>
          <w:spacing w:val="-2"/>
        </w:rPr>
        <w:t>系统产生了大量的数据，这些数据都反映了企业运营过程的实</w:t>
      </w:r>
      <w:r>
        <w:rPr>
          <w:spacing w:val="-60"/>
        </w:rPr>
        <w:t> </w:t>
      </w:r>
      <w:r>
        <w:rPr>
          <w:spacing w:val="-60"/>
        </w:rPr>
      </w:r>
      <w:r>
        <w:rPr>
          <w:spacing w:val="-2"/>
        </w:rPr>
        <w:t>际情况，如果能够有效应用，可以帮助企业发现运营中的问题。而企业的数据需要加工和整理，并且以规范、标准的格式存</w:t>
      </w:r>
      <w:r>
        <w:rPr>
          <w:spacing w:val="-67"/>
        </w:rPr>
        <w:t> </w:t>
      </w:r>
      <w:r>
        <w:rPr>
          <w:spacing w:val="-67"/>
        </w:rPr>
      </w:r>
      <w:r>
        <w:rPr>
          <w:spacing w:val="-2"/>
        </w:rPr>
        <w:t>储到数据仓库。而创建一个单一、完整、可信的客户数据视图，数据集成是关键。没有集成的数据，其商业价值为零。在这</w:t>
      </w:r>
      <w:r>
        <w:rPr>
          <w:spacing w:val="-73"/>
        </w:rPr>
        <w:t> </w:t>
      </w:r>
      <w:r>
        <w:rPr>
          <w:spacing w:val="-73"/>
        </w:rPr>
      </w:r>
      <w:r>
        <w:rPr>
          <w:spacing w:val="-2"/>
        </w:rPr>
        <w:t>个数据集成的过程中，要做到开发效率高、系统兼容性好，并且能够捕捉企业中不断变化的新数据。数据集成是建立实用的</w:t>
      </w:r>
    </w:p>
    <w:p>
      <w:pPr>
        <w:spacing w:after="0" w:line="477" w:lineRule="auto"/>
        <w:jc w:val="both"/>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477" w:lineRule="auto" w:before="44"/>
        <w:ind w:left="635" w:right="182" w:hanging="483"/>
        <w:jc w:val="left"/>
      </w:pPr>
      <w:r>
        <w:rPr/>
        <w:t>数据仓库的关键，而且数据集成的过程占商业智能应用中一半以上的工作量，因此数据集成会受到大型企业的高度重视。 “云计算”技术使得</w:t>
      </w:r>
      <w:r>
        <w:rPr>
          <w:spacing w:val="59"/>
        </w:rPr>
        <w:t> </w:t>
      </w:r>
      <w:r>
        <w:rPr>
          <w:rFonts w:ascii="宋体" w:hAnsi="宋体" w:cs="宋体" w:eastAsia="宋体" w:hint="default"/>
        </w:rPr>
        <w:t>IT</w:t>
      </w:r>
      <w:r>
        <w:rPr/>
        <w:t>资源得到更高的利用率，着重解决企业</w:t>
      </w:r>
      <w:r>
        <w:rPr>
          <w:rFonts w:ascii="宋体" w:hAnsi="宋体" w:cs="宋体" w:eastAsia="宋体" w:hint="default"/>
        </w:rPr>
        <w:t>IT</w:t>
      </w:r>
      <w:r>
        <w:rPr/>
        <w:t>资源利用率不高，</w:t>
      </w:r>
      <w:r>
        <w:rPr>
          <w:rFonts w:ascii="宋体" w:hAnsi="宋体" w:cs="宋体" w:eastAsia="宋体" w:hint="default"/>
        </w:rPr>
        <w:t>IT</w:t>
      </w:r>
      <w:r>
        <w:rPr/>
        <w:t>部署较为繁杂，以及</w:t>
      </w:r>
      <w:r>
        <w:rPr>
          <w:rFonts w:ascii="宋体" w:hAnsi="宋体" w:cs="宋体" w:eastAsia="宋体" w:hint="default"/>
        </w:rPr>
        <w:t>IT</w:t>
      </w:r>
      <w:r>
        <w:rPr/>
        <w:t>管理较</w:t>
      </w:r>
    </w:p>
    <w:p>
      <w:pPr>
        <w:pStyle w:val="BodyText"/>
        <w:spacing w:line="477" w:lineRule="auto" w:before="54"/>
        <w:ind w:right="88"/>
        <w:jc w:val="left"/>
      </w:pPr>
      <w:r>
        <w:rPr>
          <w:spacing w:val="-2"/>
        </w:rPr>
        <w:t>为复杂的问题。应该说，云计算让企业的</w:t>
      </w:r>
      <w:r>
        <w:rPr>
          <w:rFonts w:ascii="宋体" w:hAnsi="宋体" w:cs="宋体" w:eastAsia="宋体" w:hint="default"/>
          <w:spacing w:val="-2"/>
        </w:rPr>
        <w:t>IT</w:t>
      </w:r>
      <w:r>
        <w:rPr>
          <w:spacing w:val="-2"/>
        </w:rPr>
        <w:t>系统更加高效可控。及时准确地处理大数据，就必须借助云计算的力量。云计算</w:t>
      </w:r>
      <w:r>
        <w:rPr>
          <w:spacing w:val="-66"/>
        </w:rPr>
        <w:t> </w:t>
      </w:r>
      <w:r>
        <w:rPr>
          <w:spacing w:val="-66"/>
        </w:rPr>
      </w:r>
      <w:r>
        <w:rPr>
          <w:spacing w:val="-3"/>
        </w:rPr>
        <w:t>使得</w:t>
      </w:r>
      <w:r>
        <w:rPr>
          <w:rFonts w:ascii="宋体" w:hAnsi="宋体" w:cs="宋体" w:eastAsia="宋体" w:hint="default"/>
          <w:spacing w:val="-3"/>
        </w:rPr>
        <w:t>BI</w:t>
      </w:r>
      <w:r>
        <w:rPr>
          <w:spacing w:val="-3"/>
        </w:rPr>
        <w:t>具有处理海量数据的能力。能够处理海量的数据是</w:t>
      </w:r>
      <w:r>
        <w:rPr>
          <w:rFonts w:ascii="宋体" w:hAnsi="宋体" w:cs="宋体" w:eastAsia="宋体" w:hint="default"/>
          <w:spacing w:val="-3"/>
        </w:rPr>
        <w:t>BI</w:t>
      </w:r>
      <w:r>
        <w:rPr>
          <w:spacing w:val="-3"/>
        </w:rPr>
        <w:t>系统提供智能的保障。云计算下的</w:t>
      </w:r>
      <w:r>
        <w:rPr>
          <w:rFonts w:ascii="宋体" w:hAnsi="宋体" w:cs="宋体" w:eastAsia="宋体" w:hint="default"/>
          <w:spacing w:val="-3"/>
        </w:rPr>
        <w:t>BI</w:t>
      </w:r>
      <w:r>
        <w:rPr>
          <w:spacing w:val="-3"/>
        </w:rPr>
        <w:t>提供了一个信息共享的平台，</w:t>
      </w:r>
      <w:r>
        <w:rPr/>
        <w:t> 可以通过强有力的信息共享、数据共享、计算共享等手段实现实体共享服务中心的功能。</w:t>
      </w:r>
    </w:p>
    <w:p>
      <w:pPr>
        <w:pStyle w:val="BodyText"/>
        <w:spacing w:line="240" w:lineRule="auto" w:before="54"/>
        <w:ind w:left="635" w:right="94"/>
        <w:jc w:val="left"/>
      </w:pPr>
      <w:r>
        <w:rPr>
          <w:rFonts w:ascii="宋体" w:hAnsi="宋体" w:cs="宋体" w:eastAsia="宋体" w:hint="default"/>
        </w:rPr>
        <w:t>3</w:t>
      </w:r>
      <w:r>
        <w:rPr/>
        <w:t>、市场竞争格局</w:t>
      </w:r>
    </w:p>
    <w:p>
      <w:pPr>
        <w:spacing w:line="240" w:lineRule="auto" w:before="10"/>
        <w:rPr>
          <w:rFonts w:ascii="宋体" w:hAnsi="宋体" w:cs="宋体" w:eastAsia="宋体" w:hint="default"/>
          <w:sz w:val="17"/>
          <w:szCs w:val="17"/>
        </w:rPr>
      </w:pPr>
    </w:p>
    <w:p>
      <w:pPr>
        <w:pStyle w:val="BodyText"/>
        <w:spacing w:line="477" w:lineRule="auto"/>
        <w:ind w:right="94" w:firstLine="482"/>
        <w:jc w:val="left"/>
      </w:pPr>
      <w:r>
        <w:rPr/>
        <w:t>从国际范围来讲，</w:t>
      </w:r>
      <w:r>
        <w:rPr>
          <w:spacing w:val="-18"/>
        </w:rPr>
        <w:t> </w:t>
      </w:r>
      <w:r>
        <w:rPr>
          <w:rFonts w:ascii="宋体" w:hAnsi="宋体" w:cs="宋体" w:eastAsia="宋体" w:hint="default"/>
        </w:rPr>
        <w:t>IBM</w:t>
      </w:r>
      <w:r>
        <w:rPr/>
        <w:t>、</w:t>
      </w:r>
      <w:r>
        <w:rPr>
          <w:rFonts w:ascii="宋体" w:hAnsi="宋体" w:cs="宋体" w:eastAsia="宋体" w:hint="default"/>
        </w:rPr>
        <w:t>Oracle</w:t>
      </w:r>
      <w:r>
        <w:rPr/>
        <w:t>、</w:t>
      </w:r>
      <w:r>
        <w:rPr>
          <w:rFonts w:ascii="宋体" w:hAnsi="宋体" w:cs="宋体" w:eastAsia="宋体" w:hint="default"/>
        </w:rPr>
        <w:t>SAP</w:t>
      </w:r>
      <w:r>
        <w:rPr/>
        <w:t>与微软作为</w:t>
      </w:r>
      <w:r>
        <w:rPr>
          <w:rFonts w:ascii="宋体" w:hAnsi="宋体" w:cs="宋体" w:eastAsia="宋体" w:hint="default"/>
        </w:rPr>
        <w:t>BI</w:t>
      </w:r>
      <w:r>
        <w:rPr/>
        <w:t>领域四大巨头，凭借能够提供</w:t>
      </w:r>
      <w:r>
        <w:rPr>
          <w:rFonts w:ascii="宋体" w:hAnsi="宋体" w:cs="宋体" w:eastAsia="宋体" w:hint="default"/>
        </w:rPr>
        <w:t>ERP</w:t>
      </w:r>
      <w:r>
        <w:rPr/>
        <w:t>等信息管理解决方案的综合性优 势，占据了全球</w:t>
      </w:r>
      <w:r>
        <w:rPr>
          <w:rFonts w:ascii="宋体" w:hAnsi="宋体" w:cs="宋体" w:eastAsia="宋体" w:hint="default"/>
        </w:rPr>
        <w:t>BI</w:t>
      </w:r>
      <w:r>
        <w:rPr/>
        <w:t>市场</w:t>
      </w:r>
      <w:r>
        <w:rPr>
          <w:rFonts w:ascii="宋体" w:hAnsi="宋体" w:cs="宋体" w:eastAsia="宋体" w:hint="default"/>
        </w:rPr>
        <w:t>2/3</w:t>
      </w:r>
      <w:r>
        <w:rPr/>
        <w:t>的份额。国外</w:t>
      </w:r>
      <w:r>
        <w:rPr>
          <w:rFonts w:ascii="宋体" w:hAnsi="宋体" w:cs="宋体" w:eastAsia="宋体" w:hint="default"/>
        </w:rPr>
        <w:t>BI</w:t>
      </w:r>
      <w:r>
        <w:rPr/>
        <w:t>专业厂商在细分领域各有优势，一般都拥有雄厚的资金和研发实力，主要研发机</w:t>
      </w:r>
      <w:r>
        <w:rPr>
          <w:spacing w:val="-85"/>
        </w:rPr>
        <w:t> </w:t>
      </w:r>
      <w:r>
        <w:rPr>
          <w:spacing w:val="-85"/>
        </w:rPr>
      </w:r>
      <w:r>
        <w:rPr>
          <w:spacing w:val="-2"/>
        </w:rPr>
        <w:t>构在国外，国内分支机构主要负责产品的销售和技术支持，提供的工具平台软件主要包括数据库平台、</w:t>
      </w:r>
      <w:r>
        <w:rPr>
          <w:rFonts w:ascii="宋体" w:hAnsi="宋体" w:cs="宋体" w:eastAsia="宋体" w:hint="default"/>
          <w:spacing w:val="-2"/>
        </w:rPr>
        <w:t>OLAP</w:t>
      </w:r>
      <w:r>
        <w:rPr>
          <w:spacing w:val="-2"/>
        </w:rPr>
        <w:t>分析工具、报表</w:t>
      </w:r>
      <w:r>
        <w:rPr>
          <w:spacing w:val="-58"/>
        </w:rPr>
        <w:t> </w:t>
      </w:r>
      <w:r>
        <w:rPr>
          <w:spacing w:val="-58"/>
        </w:rPr>
      </w:r>
      <w:r>
        <w:rPr>
          <w:spacing w:val="-4"/>
        </w:rPr>
        <w:t>工具，数据挖掘工具等。这些供应商尚未完全适应国内的市场环境，虽然提供的软件功能强大，但在国内遇到报表格式复杂、</w:t>
      </w:r>
      <w:r>
        <w:rPr>
          <w:spacing w:val="-45"/>
        </w:rPr>
        <w:t> </w:t>
      </w:r>
      <w:r>
        <w:rPr>
          <w:spacing w:val="-45"/>
        </w:rPr>
      </w:r>
      <w:r>
        <w:rPr/>
        <w:t>数据量大、数据回写等问题，对国内用户的本土化需求支持不足，在技术服务、人员规模和服务成本等方面并不占优势。</w:t>
      </w:r>
    </w:p>
    <w:p>
      <w:pPr>
        <w:pStyle w:val="BodyText"/>
        <w:spacing w:line="477" w:lineRule="auto" w:before="54"/>
        <w:ind w:right="189" w:firstLine="482"/>
        <w:jc w:val="both"/>
      </w:pPr>
      <w:r>
        <w:rPr>
          <w:spacing w:val="-1"/>
        </w:rPr>
        <w:t>国内目前</w:t>
      </w:r>
      <w:r>
        <w:rPr>
          <w:rFonts w:ascii="宋体" w:hAnsi="宋体" w:cs="宋体" w:eastAsia="宋体" w:hint="default"/>
          <w:spacing w:val="-1"/>
        </w:rPr>
        <w:t>BI</w:t>
      </w:r>
      <w:r>
        <w:rPr>
          <w:spacing w:val="-1"/>
        </w:rPr>
        <w:t>行业正处于市场成长期，随着厂商产品和解决方案的不断成熟，用户对</w:t>
      </w:r>
      <w:r>
        <w:rPr>
          <w:rFonts w:ascii="宋体" w:hAnsi="宋体" w:cs="宋体" w:eastAsia="宋体" w:hint="default"/>
          <w:spacing w:val="-1"/>
        </w:rPr>
        <w:t>BI</w:t>
      </w:r>
      <w:r>
        <w:rPr>
          <w:spacing w:val="-1"/>
        </w:rPr>
        <w:t>的认知度和接受度都在提升。同</w:t>
      </w:r>
      <w:r>
        <w:rPr/>
        <w:t> </w:t>
      </w:r>
      <w:r>
        <w:rPr>
          <w:spacing w:val="-2"/>
        </w:rPr>
        <w:t>时</w:t>
      </w:r>
      <w:r>
        <w:rPr>
          <w:rFonts w:ascii="宋体" w:hAnsi="宋体" w:cs="宋体" w:eastAsia="宋体" w:hint="default"/>
          <w:spacing w:val="-2"/>
        </w:rPr>
        <w:t>BI</w:t>
      </w:r>
      <w:r>
        <w:rPr>
          <w:spacing w:val="-2"/>
        </w:rPr>
        <w:t>在电信、金融、政府、制造、零售、保险等行业越来越广泛的应用，也起到了示范作用。国内行业对</w:t>
      </w:r>
      <w:r>
        <w:rPr>
          <w:rFonts w:ascii="宋体" w:hAnsi="宋体" w:cs="宋体" w:eastAsia="宋体" w:hint="default"/>
          <w:spacing w:val="-2"/>
        </w:rPr>
        <w:t>BI</w:t>
      </w:r>
      <w:r>
        <w:rPr>
          <w:spacing w:val="-2"/>
        </w:rPr>
        <w:t>的应用水平以电</w:t>
      </w:r>
      <w:r>
        <w:rPr>
          <w:spacing w:val="-70"/>
        </w:rPr>
        <w:t> </w:t>
      </w:r>
      <w:r>
        <w:rPr>
          <w:spacing w:val="-70"/>
        </w:rPr>
      </w:r>
      <w:r>
        <w:rPr>
          <w:spacing w:val="-2"/>
        </w:rPr>
        <w:t>信行业最具代表性。电信行业的信息化程度较高，其业务的开展完全依靠大量的信息化业务系统支撑，业务复杂度高，数据</w:t>
      </w:r>
      <w:r>
        <w:rPr>
          <w:spacing w:val="-64"/>
        </w:rPr>
        <w:t> </w:t>
      </w:r>
      <w:r>
        <w:rPr>
          <w:spacing w:val="-64"/>
        </w:rPr>
      </w:r>
      <w:r>
        <w:rPr>
          <w:spacing w:val="-2"/>
        </w:rPr>
        <w:t>量大，因此，供应商在商业智能系统的建设中更加注重业务数据梳理、业务分析建模等工作，以解决企业数据孤岛以及经营</w:t>
      </w:r>
      <w:r>
        <w:rPr>
          <w:spacing w:val="-64"/>
        </w:rPr>
        <w:t> </w:t>
      </w:r>
      <w:r>
        <w:rPr>
          <w:spacing w:val="-64"/>
        </w:rPr>
      </w:r>
      <w:r>
        <w:rPr>
          <w:spacing w:val="-2"/>
        </w:rPr>
        <w:t>竞争中的众多业务问题，即更侧重于提供商业智能的整体解决方案。在这方面，国内供应商往往拥有多年的行业经验，对客</w:t>
      </w:r>
      <w:r>
        <w:rPr>
          <w:spacing w:val="-64"/>
        </w:rPr>
        <w:t> </w:t>
      </w:r>
      <w:r>
        <w:rPr>
          <w:spacing w:val="-64"/>
        </w:rPr>
      </w:r>
      <w:r>
        <w:rPr>
          <w:spacing w:val="-2"/>
        </w:rPr>
        <w:t>户需求的理解和把握比较深刻。国内优秀的供应商已经从早期采用国外产品为平台，面向行业或者业务进行二次开发，逐渐</w:t>
      </w:r>
      <w:r>
        <w:rPr>
          <w:spacing w:val="-63"/>
        </w:rPr>
        <w:t> </w:t>
      </w:r>
      <w:r>
        <w:rPr>
          <w:spacing w:val="-63"/>
        </w:rPr>
      </w:r>
      <w:r>
        <w:rPr/>
        <w:t>发展到自主开发，形成具有自主知识产权的产品。</w:t>
      </w:r>
    </w:p>
    <w:p>
      <w:pPr>
        <w:pStyle w:val="BodyText"/>
        <w:spacing w:line="477" w:lineRule="auto" w:before="54"/>
        <w:ind w:left="635" w:right="94"/>
        <w:jc w:val="left"/>
      </w:pPr>
      <w:r>
        <w:rPr/>
        <w:t>（二）公司发展战略 </w:t>
      </w:r>
      <w:r>
        <w:rPr>
          <w:spacing w:val="-1"/>
        </w:rPr>
        <w:t>公司将立足商业智能专业，着眼大市场，持续推出深层次的产品与服务，深化产品应用领域，逐步形成完善的覆盖商</w:t>
      </w:r>
    </w:p>
    <w:p>
      <w:pPr>
        <w:pStyle w:val="BodyText"/>
        <w:spacing w:line="477" w:lineRule="auto" w:before="54"/>
        <w:ind w:right="189"/>
        <w:jc w:val="both"/>
      </w:pPr>
      <w:r>
        <w:rPr>
          <w:spacing w:val="-2"/>
        </w:rPr>
        <w:t>业智能全产业链的多层次产品结构，持续强化产品创新力和核心竞争优势，深入调研国内市场各行业客户的实际需求，依托</w:t>
      </w:r>
      <w:r>
        <w:rPr>
          <w:spacing w:val="-62"/>
        </w:rPr>
        <w:t> </w:t>
      </w:r>
      <w:r>
        <w:rPr>
          <w:spacing w:val="-62"/>
        </w:rPr>
      </w:r>
      <w:r>
        <w:rPr>
          <w:spacing w:val="-2"/>
        </w:rPr>
        <w:t>产品、技术、人才、管理、经营模式及品牌价值，不断扩大产业规模和市场范围，提高市场占有率和品牌影响力，以最优产</w:t>
      </w:r>
      <w:r>
        <w:rPr>
          <w:spacing w:val="-71"/>
        </w:rPr>
        <w:t> </w:t>
      </w:r>
      <w:r>
        <w:rPr>
          <w:spacing w:val="-71"/>
        </w:rPr>
      </w:r>
      <w:r>
        <w:rPr/>
        <w:t>品、最佳服务，打造民族</w:t>
      </w:r>
      <w:r>
        <w:rPr>
          <w:rFonts w:ascii="宋体" w:hAnsi="宋体" w:cs="宋体" w:eastAsia="宋体" w:hint="default"/>
        </w:rPr>
        <w:t>BI</w:t>
      </w:r>
      <w:r>
        <w:rPr/>
        <w:t>全产业链第一品牌。</w:t>
      </w:r>
    </w:p>
    <w:p>
      <w:pPr>
        <w:pStyle w:val="BodyText"/>
        <w:spacing w:line="477" w:lineRule="auto" w:before="55"/>
        <w:ind w:left="635" w:right="94"/>
        <w:jc w:val="left"/>
      </w:pPr>
      <w:r>
        <w:rPr/>
        <w:t>（三）</w:t>
      </w:r>
      <w:r>
        <w:rPr>
          <w:rFonts w:ascii="宋体" w:hAnsi="宋体" w:cs="宋体" w:eastAsia="宋体" w:hint="default"/>
          <w:b/>
          <w:bCs/>
        </w:rPr>
        <w:t>2013</w:t>
      </w:r>
      <w:r>
        <w:rPr/>
        <w:t>年经营计划 </w:t>
      </w:r>
      <w:r>
        <w:rPr>
          <w:rFonts w:ascii="宋体" w:hAnsi="宋体" w:cs="宋体" w:eastAsia="宋体" w:hint="default"/>
          <w:spacing w:val="-1"/>
        </w:rPr>
        <w:t>2013</w:t>
      </w:r>
      <w:r>
        <w:rPr>
          <w:spacing w:val="-1"/>
        </w:rPr>
        <w:t>年，公司将继续立足商业智能主业，聚焦市场需求，提升研发实力和产品竞争力，完善和升级产品结构，努力提</w:t>
      </w:r>
    </w:p>
    <w:p>
      <w:pPr>
        <w:pStyle w:val="BodyText"/>
        <w:spacing w:line="477" w:lineRule="auto" w:before="54"/>
        <w:ind w:right="94"/>
        <w:jc w:val="left"/>
      </w:pPr>
      <w:r>
        <w:rPr>
          <w:spacing w:val="-4"/>
        </w:rPr>
        <w:t>升中国电信、中国移动市场份额，提高非电信行业市场拓展成果，并充分利用自有资金和募集资金保障公司经营的资金需求，</w:t>
      </w:r>
      <w:r>
        <w:rPr>
          <w:spacing w:val="-44"/>
        </w:rPr>
        <w:t> </w:t>
      </w:r>
      <w:r>
        <w:rPr>
          <w:spacing w:val="-44"/>
        </w:rPr>
      </w:r>
      <w:r>
        <w:rPr/>
        <w:t>提高人员使用效率，严格控制费用和成本，提高盈利能力，实现公司业务持续稳步的增长。</w:t>
      </w:r>
    </w:p>
    <w:p>
      <w:pPr>
        <w:pStyle w:val="BodyText"/>
        <w:spacing w:line="240" w:lineRule="auto" w:before="54"/>
        <w:ind w:left="635" w:right="94"/>
        <w:jc w:val="left"/>
      </w:pPr>
      <w:r>
        <w:rPr>
          <w:rFonts w:ascii="宋体" w:hAnsi="宋体" w:cs="宋体" w:eastAsia="宋体" w:hint="default"/>
        </w:rPr>
        <w:t>2013</w:t>
      </w:r>
      <w:r>
        <w:rPr/>
        <w:t>年度重点工作计划如下：</w:t>
      </w:r>
    </w:p>
    <w:p>
      <w:pPr>
        <w:spacing w:line="240" w:lineRule="auto" w:before="10"/>
        <w:rPr>
          <w:rFonts w:ascii="宋体" w:hAnsi="宋体" w:cs="宋体" w:eastAsia="宋体" w:hint="default"/>
          <w:sz w:val="17"/>
          <w:szCs w:val="17"/>
        </w:rPr>
      </w:pPr>
    </w:p>
    <w:p>
      <w:pPr>
        <w:pStyle w:val="BodyText"/>
        <w:spacing w:line="477" w:lineRule="auto"/>
        <w:ind w:left="635" w:right="94"/>
        <w:jc w:val="left"/>
      </w:pPr>
      <w:r>
        <w:rPr/>
        <w:t>（</w:t>
      </w:r>
      <w:r>
        <w:rPr>
          <w:rFonts w:ascii="宋体" w:hAnsi="宋体" w:cs="宋体" w:eastAsia="宋体" w:hint="default"/>
        </w:rPr>
        <w:t>1</w:t>
      </w:r>
      <w:r>
        <w:rPr/>
        <w:t>）深耕细作原有市场，努力开拓新兴市场 </w:t>
      </w:r>
      <w:r>
        <w:rPr>
          <w:spacing w:val="-3"/>
        </w:rPr>
        <w:t>电信行业市场方面，公司将快速推进平台化、产品化建设，增强客户感知。在深耕产品和服务的基础上，细化、创新、</w:t>
      </w:r>
    </w:p>
    <w:p>
      <w:pPr>
        <w:spacing w:after="0" w:line="477"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477" w:lineRule="auto" w:before="44"/>
        <w:ind w:right="94"/>
        <w:jc w:val="left"/>
      </w:pPr>
      <w:r>
        <w:rPr>
          <w:spacing w:val="-2"/>
        </w:rPr>
        <w:t>深耕、突破重点市场，形成差异化、延伸化的整体竞争力，执行积极主动的市场开拓策略，有效输出公司的品牌价值与影响</w:t>
      </w:r>
      <w:r>
        <w:rPr>
          <w:spacing w:val="-67"/>
        </w:rPr>
        <w:t> </w:t>
      </w:r>
      <w:r>
        <w:rPr>
          <w:spacing w:val="-67"/>
        </w:rPr>
      </w:r>
      <w:r>
        <w:rPr/>
        <w:t>力，期望在</w:t>
      </w:r>
      <w:r>
        <w:rPr>
          <w:rFonts w:ascii="宋体" w:hAnsi="宋体" w:cs="宋体" w:eastAsia="宋体" w:hint="default"/>
        </w:rPr>
        <w:t>2013</w:t>
      </w:r>
      <w:r>
        <w:rPr/>
        <w:t>年继续扩大公司在国内电信运营商商业智能领域的市场份额。</w:t>
      </w:r>
    </w:p>
    <w:p>
      <w:pPr>
        <w:pStyle w:val="BodyText"/>
        <w:spacing w:line="477" w:lineRule="auto" w:before="54"/>
        <w:ind w:right="192" w:firstLine="482"/>
        <w:jc w:val="both"/>
      </w:pPr>
      <w:r>
        <w:rPr>
          <w:spacing w:val="-1"/>
        </w:rPr>
        <w:t>移动互联网市场方面，以“聚焦流量数据，创新发展”为主线，努力成为中国联通的核心合作伙伴，提高移动互联网</w:t>
      </w:r>
      <w:r>
        <w:rPr/>
        <w:t> </w:t>
      </w:r>
      <w:r>
        <w:rPr>
          <w:spacing w:val="-2"/>
        </w:rPr>
        <w:t>产品创新、开发能力，增强精细化运营、流量经营系统解决方案能力，加强项目管控，提升系统交付能力，力争持续扩大业</w:t>
      </w:r>
      <w:r>
        <w:rPr>
          <w:spacing w:val="-68"/>
        </w:rPr>
        <w:t> </w:t>
      </w:r>
      <w:r>
        <w:rPr>
          <w:spacing w:val="-68"/>
        </w:rPr>
      </w:r>
      <w:r>
        <w:rPr/>
        <w:t>务规模。</w:t>
      </w:r>
    </w:p>
    <w:p>
      <w:pPr>
        <w:pStyle w:val="BodyText"/>
        <w:spacing w:line="477" w:lineRule="auto" w:before="54"/>
        <w:ind w:right="190" w:firstLine="482"/>
        <w:jc w:val="both"/>
      </w:pPr>
      <w:r>
        <w:rPr>
          <w:spacing w:val="-1"/>
        </w:rPr>
        <w:t>非电信行业市场方面，巩固在现有非电信行业的市场地位，扩大公司金融、媒体、保险等行业结构化数据建设领的市</w:t>
      </w:r>
      <w:r>
        <w:rPr/>
        <w:t> </w:t>
      </w:r>
      <w:r>
        <w:rPr>
          <w:spacing w:val="-2"/>
        </w:rPr>
        <w:t>场版图；以在非电信行业市场成功项目为样板，瞄准目标行业内企业，重点关注客户管理、员工绩效、数据挖掘等公司传统</w:t>
      </w:r>
      <w:r>
        <w:rPr>
          <w:spacing w:val="-67"/>
        </w:rPr>
        <w:t> </w:t>
      </w:r>
      <w:r>
        <w:rPr>
          <w:spacing w:val="-67"/>
        </w:rPr>
      </w:r>
      <w:r>
        <w:rPr>
          <w:spacing w:val="-2"/>
        </w:rPr>
        <w:t>技术优势的推广。提高在已取得进展的非电信行业市场份额，基于公司成熟的技术和资源，拓展其他行业，寻求新的市场增</w:t>
      </w:r>
      <w:r>
        <w:rPr>
          <w:spacing w:val="-64"/>
        </w:rPr>
        <w:t> </w:t>
      </w:r>
      <w:r>
        <w:rPr>
          <w:spacing w:val="-64"/>
        </w:rPr>
      </w:r>
      <w:r>
        <w:rPr/>
        <w:t>长点。</w:t>
      </w:r>
    </w:p>
    <w:p>
      <w:pPr>
        <w:pStyle w:val="BodyText"/>
        <w:spacing w:line="240" w:lineRule="auto" w:before="54"/>
        <w:ind w:left="635" w:right="94"/>
        <w:jc w:val="left"/>
      </w:pPr>
      <w:r>
        <w:rPr/>
        <w:t>（</w:t>
      </w:r>
      <w:r>
        <w:rPr>
          <w:rFonts w:ascii="宋体" w:hAnsi="宋体" w:cs="宋体" w:eastAsia="宋体" w:hint="default"/>
        </w:rPr>
        <w:t>2</w:t>
      </w:r>
      <w:r>
        <w:rPr/>
        <w:t>）稳步推进电信运营，创新业务模式</w:t>
      </w:r>
    </w:p>
    <w:p>
      <w:pPr>
        <w:spacing w:line="240" w:lineRule="auto" w:before="10"/>
        <w:rPr>
          <w:rFonts w:ascii="宋体" w:hAnsi="宋体" w:cs="宋体" w:eastAsia="宋体" w:hint="default"/>
          <w:sz w:val="17"/>
          <w:szCs w:val="17"/>
        </w:rPr>
      </w:pPr>
    </w:p>
    <w:p>
      <w:pPr>
        <w:pStyle w:val="BodyText"/>
        <w:spacing w:line="477" w:lineRule="auto"/>
        <w:ind w:right="94" w:firstLine="482"/>
        <w:jc w:val="left"/>
      </w:pPr>
      <w:r>
        <w:rPr/>
        <w:t>电信运营业务方面，</w:t>
      </w:r>
      <w:r>
        <w:rPr>
          <w:spacing w:val="30"/>
        </w:rPr>
        <w:t> </w:t>
      </w:r>
      <w:r>
        <w:rPr>
          <w:rFonts w:ascii="宋体" w:hAnsi="宋体" w:cs="宋体" w:eastAsia="宋体" w:hint="default"/>
        </w:rPr>
        <w:t>2013</w:t>
      </w:r>
      <w:r>
        <w:rPr/>
        <w:t>年将加强各子公司的管理控制，梳理、完善业务管理流程，建立一套适应电信运营经营模 式的管理体系。通过信息系统及时掌握子公司日常经营状况，并加强项目盈利预测与分析；继续创新业务模式，整合资源， </w:t>
      </w:r>
      <w:r>
        <w:rPr>
          <w:spacing w:val="-2"/>
        </w:rPr>
        <w:t>挖掘市场潜力，对利润空间较大、风险指数较小的业务要大力推广，同时，稳步推进、积极有效占领市场，提高子公司业务</w:t>
      </w:r>
      <w:r>
        <w:rPr>
          <w:spacing w:val="-70"/>
        </w:rPr>
        <w:t> </w:t>
      </w:r>
      <w:r>
        <w:rPr>
          <w:spacing w:val="-70"/>
        </w:rPr>
      </w:r>
      <w:r>
        <w:rPr/>
        <w:t>质量和盈利能力。</w:t>
      </w:r>
    </w:p>
    <w:p>
      <w:pPr>
        <w:pStyle w:val="BodyText"/>
        <w:spacing w:line="477" w:lineRule="auto" w:before="54"/>
        <w:ind w:left="635" w:right="94"/>
        <w:jc w:val="left"/>
      </w:pPr>
      <w:r>
        <w:rPr/>
        <w:t>（</w:t>
      </w:r>
      <w:r>
        <w:rPr>
          <w:rFonts w:ascii="宋体" w:hAnsi="宋体" w:cs="宋体" w:eastAsia="宋体" w:hint="default"/>
        </w:rPr>
        <w:t>3</w:t>
      </w:r>
      <w:r>
        <w:rPr/>
        <w:t>）加强技术创新，研发与市场紧密接轨 </w:t>
      </w:r>
      <w:r>
        <w:rPr>
          <w:spacing w:val="-1"/>
        </w:rPr>
        <w:t>技术研发方面，公司将重点推广和提升商业智能应用构建工具与探索式数据分析及应用平台，继续投入研发企业数据</w:t>
      </w:r>
    </w:p>
    <w:p>
      <w:pPr>
        <w:pStyle w:val="BodyText"/>
        <w:spacing w:line="477" w:lineRule="auto" w:before="54"/>
        <w:ind w:right="94"/>
        <w:jc w:val="left"/>
      </w:pPr>
      <w:r>
        <w:rPr>
          <w:spacing w:val="-2"/>
        </w:rPr>
        <w:t>仓库构建系统项目、全业务营销及维系挽留系统项目、数据集成和管理工具项目，持续不断升级和创新</w:t>
      </w:r>
      <w:r>
        <w:rPr>
          <w:rFonts w:ascii="宋体" w:hAnsi="宋体" w:cs="宋体" w:eastAsia="宋体" w:hint="default"/>
          <w:spacing w:val="-2"/>
        </w:rPr>
        <w:t>BI</w:t>
      </w:r>
      <w:r>
        <w:rPr>
          <w:spacing w:val="-2"/>
        </w:rPr>
        <w:t>产品，继续研发基</w:t>
      </w:r>
      <w:r>
        <w:rPr>
          <w:spacing w:val="-61"/>
        </w:rPr>
        <w:t> </w:t>
      </w:r>
      <w:r>
        <w:rPr>
          <w:spacing w:val="-61"/>
        </w:rPr>
      </w:r>
      <w:r>
        <w:rPr/>
        <w:t>于移动终端的</w:t>
      </w:r>
      <w:r>
        <w:rPr>
          <w:rFonts w:ascii="宋体" w:hAnsi="宋体" w:cs="宋体" w:eastAsia="宋体" w:hint="default"/>
        </w:rPr>
        <w:t>BI</w:t>
      </w:r>
      <w:r>
        <w:rPr/>
        <w:t>应用新产品，将</w:t>
      </w:r>
      <w:r>
        <w:rPr>
          <w:rFonts w:ascii="宋体" w:hAnsi="宋体" w:cs="宋体" w:eastAsia="宋体" w:hint="default"/>
        </w:rPr>
        <w:t>BI</w:t>
      </w:r>
      <w:r>
        <w:rPr/>
        <w:t>产品向更深层次延伸，逐步形成公司在商业智能全产业链的竞争力。</w:t>
      </w:r>
    </w:p>
    <w:p>
      <w:pPr>
        <w:pStyle w:val="BodyText"/>
        <w:spacing w:line="477" w:lineRule="auto" w:before="54"/>
        <w:ind w:right="94" w:firstLine="482"/>
        <w:jc w:val="left"/>
      </w:pPr>
      <w:r>
        <w:rPr>
          <w:rFonts w:ascii="宋体" w:hAnsi="宋体" w:cs="宋体" w:eastAsia="宋体" w:hint="default"/>
          <w:spacing w:val="-3"/>
        </w:rPr>
        <w:t>2013</w:t>
      </w:r>
      <w:r>
        <w:rPr>
          <w:spacing w:val="-3"/>
        </w:rPr>
        <w:t>年公司研发仍以市场为导向，研发与项目建设兼顾；根据市场发展、项目需要，实现研发、建设滚动发展的模式，</w:t>
      </w:r>
      <w:r>
        <w:rPr/>
        <w:t> </w:t>
      </w:r>
      <w:r>
        <w:rPr>
          <w:spacing w:val="-2"/>
        </w:rPr>
        <w:t>努力实现近期与远期目标的平衡；研发侧与项目侧紧密交互，提高研发对项目的支撑及项目对研发的需求注入，实现公司整</w:t>
      </w:r>
      <w:r>
        <w:rPr>
          <w:spacing w:val="-63"/>
        </w:rPr>
        <w:t> </w:t>
      </w:r>
      <w:r>
        <w:rPr>
          <w:spacing w:val="-63"/>
        </w:rPr>
      </w:r>
      <w:r>
        <w:rPr>
          <w:spacing w:val="-2"/>
        </w:rPr>
        <w:t>体的精益发展；</w:t>
      </w:r>
      <w:r>
        <w:rPr>
          <w:rFonts w:ascii="宋体" w:hAnsi="宋体" w:cs="宋体" w:eastAsia="宋体" w:hint="default"/>
          <w:spacing w:val="-2"/>
        </w:rPr>
        <w:t>2012</w:t>
      </w:r>
      <w:r>
        <w:rPr>
          <w:spacing w:val="-2"/>
        </w:rPr>
        <w:t>年公司的两个募投项目商业智能应用构建工具与探索式数据分析及应用平台顺利完工，以及部分研发项</w:t>
      </w:r>
      <w:r>
        <w:rPr>
          <w:spacing w:val="-62"/>
        </w:rPr>
        <w:t> </w:t>
      </w:r>
      <w:r>
        <w:rPr>
          <w:spacing w:val="-62"/>
        </w:rPr>
      </w:r>
      <w:r>
        <w:rPr/>
        <w:t>目阶段性完工，未来公司将积极探索全新商业模式，以产品化方式拓展海外市场。</w:t>
      </w:r>
    </w:p>
    <w:p>
      <w:pPr>
        <w:pStyle w:val="BodyText"/>
        <w:spacing w:line="477" w:lineRule="auto" w:before="54"/>
        <w:ind w:left="635" w:right="94"/>
        <w:jc w:val="left"/>
      </w:pPr>
      <w:r>
        <w:rPr/>
        <w:t>（</w:t>
      </w:r>
      <w:r>
        <w:rPr>
          <w:rFonts w:ascii="宋体" w:hAnsi="宋体" w:cs="宋体" w:eastAsia="宋体" w:hint="default"/>
        </w:rPr>
        <w:t>4</w:t>
      </w:r>
      <w:r>
        <w:rPr/>
        <w:t>）优化管理结构，提升管理效率 </w:t>
      </w:r>
      <w:r>
        <w:rPr>
          <w:spacing w:val="-1"/>
        </w:rPr>
        <w:t>企业管理方面，将全面推行事业部制管理体系，严格落实经营任务的分解和执行，以绩效考核管理和股权激励计划为</w:t>
      </w:r>
    </w:p>
    <w:p>
      <w:pPr>
        <w:pStyle w:val="BodyText"/>
        <w:spacing w:line="477" w:lineRule="auto" w:before="54"/>
        <w:ind w:right="94"/>
        <w:jc w:val="left"/>
      </w:pPr>
      <w:r>
        <w:rPr>
          <w:spacing w:val="-2"/>
        </w:rPr>
        <w:t>激励工具，科学合理的设定绩效考核指标，充分挖掘员工特别是管理者的主观能动性，提升管理者的工作绩效；加强预算管</w:t>
      </w:r>
      <w:r>
        <w:rPr>
          <w:spacing w:val="-65"/>
        </w:rPr>
        <w:t> </w:t>
      </w:r>
      <w:r>
        <w:rPr>
          <w:spacing w:val="-65"/>
        </w:rPr>
      </w:r>
      <w:r>
        <w:rPr>
          <w:spacing w:val="-2"/>
        </w:rPr>
        <w:t>理及对子公司的管控，优化完善财务审批流程，严格控制财务风险；完善培训体系，通过外部培训与内部培训相结合，加强</w:t>
      </w:r>
      <w:r>
        <w:rPr>
          <w:spacing w:val="-67"/>
        </w:rPr>
        <w:t> </w:t>
      </w:r>
      <w:r>
        <w:rPr>
          <w:spacing w:val="-67"/>
        </w:rPr>
      </w:r>
      <w:r>
        <w:rPr>
          <w:spacing w:val="-4"/>
        </w:rPr>
        <w:t>员工的岗位技能；进一步完善人才激励机制，通过合理的激励措施来提高员工的工作热情与积极性；持续深化企业文化建设，</w:t>
      </w:r>
      <w:r>
        <w:rPr>
          <w:spacing w:val="-44"/>
        </w:rPr>
        <w:t> </w:t>
      </w:r>
      <w:r>
        <w:rPr>
          <w:spacing w:val="-44"/>
        </w:rPr>
      </w:r>
      <w:r>
        <w:rPr/>
        <w:t>推进企业文化的有效传播、灌输和认同，促进文化融和，提升公司向心力和执行力。</w:t>
      </w:r>
    </w:p>
    <w:p>
      <w:pPr>
        <w:pStyle w:val="BodyText"/>
        <w:spacing w:line="477" w:lineRule="auto" w:before="54"/>
        <w:ind w:left="635" w:right="94"/>
        <w:jc w:val="left"/>
      </w:pPr>
      <w:r>
        <w:rPr/>
        <w:t>（</w:t>
      </w:r>
      <w:r>
        <w:rPr>
          <w:rFonts w:ascii="宋体" w:hAnsi="宋体" w:cs="宋体" w:eastAsia="宋体" w:hint="default"/>
        </w:rPr>
        <w:t>5</w:t>
      </w:r>
      <w:r>
        <w:rPr/>
        <w:t>）加强成本控制，提高管理效益 </w:t>
      </w:r>
      <w:r>
        <w:rPr>
          <w:spacing w:val="-3"/>
        </w:rPr>
        <w:t>上市以来，收入快速增长，经营规模和人员规模相应快速扩张，由此对公司管理和成本控制提出更高的要求，</w:t>
      </w:r>
      <w:r>
        <w:rPr>
          <w:rFonts w:ascii="宋体" w:hAnsi="宋体" w:cs="宋体" w:eastAsia="宋体" w:hint="default"/>
          <w:spacing w:val="-3"/>
        </w:rPr>
        <w:t>2013</w:t>
      </w:r>
      <w:r>
        <w:rPr>
          <w:spacing w:val="-3"/>
        </w:rPr>
        <w:t>年，</w:t>
      </w:r>
    </w:p>
    <w:p>
      <w:pPr>
        <w:spacing w:after="0" w:line="477" w:lineRule="auto"/>
        <w:jc w:val="left"/>
        <w:sectPr>
          <w:footerReference w:type="default" r:id="rId15"/>
          <w:pgSz w:w="11910" w:h="16840"/>
          <w:pgMar w:footer="1006" w:header="772" w:top="1080" w:bottom="1200" w:left="980" w:right="940"/>
          <w:pgNumType w:start="33"/>
        </w:sectPr>
      </w:pPr>
    </w:p>
    <w:p>
      <w:pPr>
        <w:spacing w:line="240" w:lineRule="auto" w:before="10"/>
        <w:rPr>
          <w:rFonts w:ascii="宋体" w:hAnsi="宋体" w:cs="宋体" w:eastAsia="宋体" w:hint="default"/>
          <w:sz w:val="29"/>
          <w:szCs w:val="29"/>
        </w:rPr>
      </w:pPr>
    </w:p>
    <w:p>
      <w:pPr>
        <w:pStyle w:val="BodyText"/>
        <w:spacing w:line="477" w:lineRule="auto" w:before="44"/>
        <w:ind w:right="94"/>
        <w:jc w:val="left"/>
      </w:pPr>
      <w:r>
        <w:rPr>
          <w:spacing w:val="-2"/>
        </w:rPr>
        <w:t>公司将继续保持“开源节流”的思想，严格控制费用开支，提高人员工作绩效和资金使用效率，并通过全面预算管理，并结</w:t>
      </w:r>
      <w:r>
        <w:rPr>
          <w:spacing w:val="-66"/>
        </w:rPr>
        <w:t> </w:t>
      </w:r>
      <w:r>
        <w:rPr>
          <w:spacing w:val="-66"/>
        </w:rPr>
      </w:r>
      <w:r>
        <w:rPr/>
        <w:t>合</w:t>
      </w:r>
      <w:r>
        <w:rPr>
          <w:rFonts w:ascii="宋体" w:hAnsi="宋体" w:cs="宋体" w:eastAsia="宋体" w:hint="default"/>
        </w:rPr>
        <w:t>IT</w:t>
      </w:r>
      <w:r>
        <w:rPr/>
        <w:t>系统与绩效考核等手段，加强对成本、费用的控制，提升盈利能力。</w:t>
      </w:r>
    </w:p>
    <w:p>
      <w:pPr>
        <w:pStyle w:val="BodyText"/>
        <w:spacing w:line="240" w:lineRule="auto" w:before="54"/>
        <w:ind w:left="617" w:right="6538"/>
        <w:jc w:val="center"/>
      </w:pPr>
      <w:r>
        <w:rPr/>
        <w:t>（</w:t>
      </w:r>
      <w:r>
        <w:rPr>
          <w:rFonts w:ascii="宋体" w:hAnsi="宋体" w:cs="宋体" w:eastAsia="宋体" w:hint="default"/>
        </w:rPr>
        <w:t>6</w:t>
      </w:r>
      <w:r>
        <w:rPr/>
        <w:t>）寻求目标公司，进行资源整合</w:t>
      </w:r>
    </w:p>
    <w:p>
      <w:pPr>
        <w:spacing w:line="240" w:lineRule="auto" w:before="10"/>
        <w:rPr>
          <w:rFonts w:ascii="宋体" w:hAnsi="宋体" w:cs="宋体" w:eastAsia="宋体" w:hint="default"/>
          <w:sz w:val="17"/>
          <w:szCs w:val="17"/>
        </w:rPr>
      </w:pPr>
    </w:p>
    <w:p>
      <w:pPr>
        <w:pStyle w:val="BodyText"/>
        <w:spacing w:line="477" w:lineRule="auto"/>
        <w:ind w:right="194" w:firstLine="482"/>
        <w:jc w:val="both"/>
      </w:pPr>
      <w:r>
        <w:rPr>
          <w:rFonts w:ascii="宋体" w:hAnsi="宋体" w:cs="宋体" w:eastAsia="宋体" w:hint="default"/>
        </w:rPr>
        <w:t>2013</w:t>
      </w:r>
      <w:r>
        <w:rPr>
          <w:rFonts w:ascii="宋体" w:hAnsi="宋体" w:cs="宋体" w:eastAsia="宋体" w:hint="default"/>
          <w:spacing w:val="50"/>
        </w:rPr>
        <w:t> </w:t>
      </w:r>
      <w:r>
        <w:rPr/>
        <w:t>年，公司将以谨慎为原则，在合理把控风险的前提下，加强外延式扩张力度，围绕公司主营业务方向，积极开 </w:t>
      </w:r>
      <w:r>
        <w:rPr>
          <w:spacing w:val="-2"/>
        </w:rPr>
        <w:t>展产业链上下游资源整合，通过参股、并购等资本运作方式迅速获取新的产品、技术与市场，提高市场和竞争地位，形成新</w:t>
      </w:r>
      <w:r>
        <w:rPr>
          <w:spacing w:val="-67"/>
        </w:rPr>
        <w:t> </w:t>
      </w:r>
      <w:r>
        <w:rPr>
          <w:spacing w:val="-67"/>
        </w:rPr>
      </w:r>
      <w:r>
        <w:rPr/>
        <w:t>的利润增长点，推动公司未来业绩的快速增长。</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2"/>
        <w:spacing w:line="240" w:lineRule="auto"/>
        <w:ind w:right="94"/>
        <w:jc w:val="left"/>
        <w:rPr>
          <w:b w:val="0"/>
          <w:bCs w:val="0"/>
        </w:rPr>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94"/>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五、董事会关于报告期会计政策、会计估计变更或重要前期差错更正的说明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报告期内，公司无会计政策变更、会计估计变更和重要前期差错情况。</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六、公司利润分配及分红派息情况</w:t>
      </w:r>
      <w:r>
        <w:rPr>
          <w:b w:val="0"/>
          <w:bCs w:val="0"/>
        </w:rPr>
      </w:r>
    </w:p>
    <w:p>
      <w:pPr>
        <w:spacing w:line="240" w:lineRule="auto" w:before="6"/>
        <w:rPr>
          <w:rFonts w:ascii="宋体" w:hAnsi="宋体" w:cs="宋体" w:eastAsia="宋体" w:hint="default"/>
          <w:b/>
          <w:bCs/>
          <w:sz w:val="26"/>
          <w:szCs w:val="26"/>
        </w:rPr>
      </w:pPr>
    </w:p>
    <w:p>
      <w:pPr>
        <w:spacing w:line="436" w:lineRule="auto" w:before="0"/>
        <w:ind w:left="513" w:right="4414" w:hanging="361"/>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 </w:t>
      </w:r>
      <w:r>
        <w:rPr>
          <w:rFonts w:ascii="宋体" w:hAnsi="宋体" w:cs="宋体" w:eastAsia="宋体" w:hint="default"/>
          <w:b/>
          <w:bCs/>
          <w:sz w:val="18"/>
          <w:szCs w:val="18"/>
        </w:rPr>
        <w:t>1</w:t>
      </w:r>
      <w:r>
        <w:rPr>
          <w:rFonts w:ascii="宋体" w:hAnsi="宋体" w:cs="宋体" w:eastAsia="宋体" w:hint="default"/>
          <w:b/>
          <w:bCs/>
          <w:sz w:val="18"/>
          <w:szCs w:val="18"/>
        </w:rPr>
        <w:t>、公司制定的现金分红政策</w:t>
      </w:r>
      <w:r>
        <w:rPr>
          <w:rFonts w:ascii="宋体" w:hAnsi="宋体" w:cs="宋体" w:eastAsia="宋体" w:hint="default"/>
          <w:sz w:val="18"/>
          <w:szCs w:val="18"/>
        </w:rPr>
      </w:r>
    </w:p>
    <w:p>
      <w:pPr>
        <w:pStyle w:val="BodyText"/>
        <w:spacing w:line="477" w:lineRule="auto" w:before="85"/>
        <w:ind w:right="94" w:firstLine="360"/>
        <w:jc w:val="left"/>
      </w:pPr>
      <w:r>
        <w:rPr>
          <w:spacing w:val="-2"/>
        </w:rPr>
        <w:t>为完善和健全公司科学、持续、稳定的利润分配政策和机制，积极回报股东，按照中国证监会《关于进一步落实上市公</w:t>
      </w:r>
      <w:r>
        <w:rPr/>
        <w:t> 司现金分红有关事项的通知》（证监发〔</w:t>
      </w:r>
      <w:r>
        <w:rPr>
          <w:rFonts w:ascii="宋体" w:hAnsi="宋体" w:cs="宋体" w:eastAsia="宋体" w:hint="default"/>
        </w:rPr>
        <w:t>2012</w:t>
      </w:r>
      <w:r>
        <w:rPr/>
        <w:t>〕</w:t>
      </w:r>
      <w:r>
        <w:rPr>
          <w:rFonts w:ascii="宋体" w:hAnsi="宋体" w:cs="宋体" w:eastAsia="宋体" w:hint="default"/>
        </w:rPr>
        <w:t>37</w:t>
      </w:r>
      <w:r>
        <w:rPr/>
        <w:t>号）、北京证监局《关于进一步完善上市公司现金分红有关事项的通知》</w:t>
      </w:r>
    </w:p>
    <w:p>
      <w:pPr>
        <w:pStyle w:val="BodyText"/>
        <w:spacing w:line="240" w:lineRule="auto" w:before="54"/>
        <w:ind w:right="94"/>
        <w:jc w:val="left"/>
      </w:pPr>
      <w:r>
        <w:rPr>
          <w:spacing w:val="-2"/>
        </w:rPr>
        <w:t>（京证公司发</w:t>
      </w:r>
      <w:r>
        <w:rPr>
          <w:rFonts w:ascii="宋体" w:hAnsi="宋体" w:cs="宋体" w:eastAsia="宋体" w:hint="default"/>
          <w:spacing w:val="-2"/>
        </w:rPr>
        <w:t>[2012]101</w:t>
      </w:r>
      <w:r>
        <w:rPr>
          <w:spacing w:val="-2"/>
        </w:rPr>
        <w:t>号），经股东大会审议通过，公司对利润分配政策作出了更加具体、清晰和明确的规定，具体如下：</w:t>
      </w:r>
    </w:p>
    <w:p>
      <w:pPr>
        <w:spacing w:line="240" w:lineRule="auto" w:before="10"/>
        <w:rPr>
          <w:rFonts w:ascii="宋体" w:hAnsi="宋体" w:cs="宋体" w:eastAsia="宋体" w:hint="default"/>
          <w:sz w:val="17"/>
          <w:szCs w:val="17"/>
        </w:rPr>
      </w:pPr>
    </w:p>
    <w:p>
      <w:pPr>
        <w:pStyle w:val="BodyText"/>
        <w:spacing w:line="477" w:lineRule="auto"/>
        <w:ind w:right="85" w:firstLine="360"/>
        <w:jc w:val="left"/>
      </w:pPr>
      <w:r>
        <w:rPr/>
        <w:t>《公司章程》第一百五十五条</w:t>
      </w:r>
      <w:r>
        <w:rPr>
          <w:spacing w:val="9"/>
        </w:rPr>
        <w:t> </w:t>
      </w:r>
      <w:r>
        <w:rPr/>
        <w:t>公司利润分配政策为：（一）利润分配的基本原则：</w:t>
      </w:r>
      <w:r>
        <w:rPr>
          <w:rFonts w:ascii="宋体" w:hAnsi="宋体" w:cs="宋体" w:eastAsia="宋体" w:hint="default"/>
        </w:rPr>
        <w:t>1</w:t>
      </w:r>
      <w:r>
        <w:rPr/>
        <w:t>、公司充分考虑对投资者的回报， 每年按当年母公司实现的可供分配利润为基础向股东分配股利；</w:t>
      </w:r>
      <w:r>
        <w:rPr>
          <w:rFonts w:ascii="宋体" w:hAnsi="宋体" w:cs="宋体" w:eastAsia="宋体" w:hint="default"/>
        </w:rPr>
        <w:t>2</w:t>
      </w:r>
      <w:r>
        <w:rPr/>
        <w:t>、公司实施积极的利润分配政策，重视对股东的合理投资</w:t>
      </w:r>
      <w:r>
        <w:rPr>
          <w:spacing w:val="-83"/>
        </w:rPr>
        <w:t> </w:t>
      </w:r>
      <w:r>
        <w:rPr>
          <w:spacing w:val="-83"/>
        </w:rPr>
      </w:r>
      <w:r>
        <w:rPr/>
        <w:t>回报并兼顾公司的可持续发展，利润分配政策保持连续性和稳定性；</w:t>
      </w:r>
      <w:r>
        <w:rPr>
          <w:rFonts w:ascii="宋体" w:hAnsi="宋体" w:cs="宋体" w:eastAsia="宋体" w:hint="default"/>
        </w:rPr>
        <w:t>3</w:t>
      </w:r>
      <w:r>
        <w:rPr/>
        <w:t>、公司实施利润分配，应优先考虑采用现金分红的利</w:t>
      </w:r>
      <w:r>
        <w:rPr>
          <w:spacing w:val="-83"/>
        </w:rPr>
        <w:t> </w:t>
      </w:r>
      <w:r>
        <w:rPr>
          <w:spacing w:val="-83"/>
        </w:rPr>
      </w:r>
      <w:r>
        <w:rPr>
          <w:spacing w:val="-4"/>
        </w:rPr>
        <w:t>润分配方式。（二）利润分配的方式：公司采用现金、股票或者现金与股票相结合的方式分配股利。（三）现金分红的条件：</w:t>
      </w:r>
      <w:r>
        <w:rPr>
          <w:spacing w:val="-46"/>
        </w:rPr>
        <w:t> </w:t>
      </w:r>
      <w:r>
        <w:rPr>
          <w:spacing w:val="-46"/>
        </w:rPr>
      </w:r>
      <w:r>
        <w:rPr>
          <w:rFonts w:ascii="宋体" w:hAnsi="宋体" w:cs="宋体" w:eastAsia="宋体" w:hint="default"/>
        </w:rPr>
        <w:t>1</w:t>
      </w:r>
      <w:r>
        <w:rPr/>
        <w:t>、公司该年度实现的可分配利润（即公司弥补亏损、提取公积金后所余的税后利润）为正值，且现金流充裕，实施现金分</w:t>
      </w:r>
      <w:r>
        <w:rPr>
          <w:spacing w:val="-84"/>
        </w:rPr>
        <w:t> </w:t>
      </w:r>
      <w:r>
        <w:rPr>
          <w:spacing w:val="-84"/>
        </w:rPr>
      </w:r>
      <w:r>
        <w:rPr>
          <w:spacing w:val="-2"/>
        </w:rPr>
        <w:t>红不会影响公司后续持续经营；</w:t>
      </w:r>
      <w:r>
        <w:rPr>
          <w:rFonts w:ascii="宋体" w:hAnsi="宋体" w:cs="宋体" w:eastAsia="宋体" w:hint="default"/>
          <w:spacing w:val="-2"/>
        </w:rPr>
        <w:t>2</w:t>
      </w:r>
      <w:r>
        <w:rPr>
          <w:spacing w:val="-2"/>
        </w:rPr>
        <w:t>、审计机构对公司该年度财务报告出具标准无保留意见的审计报告；</w:t>
      </w:r>
      <w:r>
        <w:rPr>
          <w:rFonts w:ascii="宋体" w:hAnsi="宋体" w:cs="宋体" w:eastAsia="宋体" w:hint="default"/>
          <w:spacing w:val="-2"/>
        </w:rPr>
        <w:t>3</w:t>
      </w:r>
      <w:r>
        <w:rPr>
          <w:spacing w:val="-2"/>
        </w:rPr>
        <w:t>、公司无重大投资计</w:t>
      </w:r>
      <w:r>
        <w:rPr>
          <w:spacing w:val="-64"/>
        </w:rPr>
        <w:t> </w:t>
      </w:r>
      <w:r>
        <w:rPr>
          <w:spacing w:val="-64"/>
        </w:rPr>
      </w:r>
      <w:r>
        <w:rPr>
          <w:spacing w:val="-2"/>
        </w:rPr>
        <w:t>划或重大现金支出等事项发生（募集资金项目除外）；重大投资计划或重大现金支出是指：该等事项所涉的支出金额（含承</w:t>
      </w:r>
      <w:r>
        <w:rPr>
          <w:spacing w:val="-64"/>
        </w:rPr>
        <w:t> </w:t>
      </w:r>
      <w:r>
        <w:rPr>
          <w:spacing w:val="-64"/>
        </w:rPr>
      </w:r>
      <w:r>
        <w:rPr/>
        <w:t>担债务和费用）占公司最近一期经审计净资产的</w:t>
      </w:r>
      <w:r>
        <w:rPr>
          <w:rFonts w:ascii="宋体" w:hAnsi="宋体" w:cs="宋体" w:eastAsia="宋体" w:hint="default"/>
        </w:rPr>
        <w:t>30</w:t>
      </w:r>
      <w:r>
        <w:rPr/>
        <w:t>％以上，且绝对金额超过人民币 </w:t>
      </w:r>
      <w:r>
        <w:rPr>
          <w:rFonts w:ascii="宋体" w:hAnsi="宋体" w:cs="宋体" w:eastAsia="宋体" w:hint="default"/>
        </w:rPr>
        <w:t>3000</w:t>
      </w:r>
      <w:r>
        <w:rPr/>
        <w:t>万元。（四）现金分红的比例：在</w:t>
      </w:r>
      <w:r>
        <w:rPr>
          <w:spacing w:val="-85"/>
        </w:rPr>
        <w:t> </w:t>
      </w:r>
      <w:r>
        <w:rPr>
          <w:spacing w:val="-85"/>
        </w:rPr>
      </w:r>
      <w:r>
        <w:rPr>
          <w:spacing w:val="-2"/>
        </w:rPr>
        <w:t>符合利润分配原则、保证公司正常经营和长远发展的前提下，应当采用现金方式分配股利，每年以现金方式分配的利润应不</w:t>
      </w:r>
      <w:r>
        <w:rPr>
          <w:spacing w:val="-63"/>
        </w:rPr>
        <w:t> </w:t>
      </w:r>
      <w:r>
        <w:rPr>
          <w:spacing w:val="-63"/>
        </w:rPr>
      </w:r>
      <w:r>
        <w:rPr/>
        <w:t>低于当年实现的可分配利润的</w:t>
      </w:r>
      <w:r>
        <w:rPr>
          <w:rFonts w:ascii="宋体" w:hAnsi="宋体" w:cs="宋体" w:eastAsia="宋体" w:hint="default"/>
        </w:rPr>
        <w:t>10%</w:t>
      </w:r>
      <w:r>
        <w:rPr/>
        <w:t>，且公司最近三年以现金方式累计分配的利润不少于该三年实现的年均可分配利润的</w:t>
      </w:r>
      <w:r>
        <w:rPr>
          <w:rFonts w:ascii="宋体" w:hAnsi="宋体" w:cs="宋体" w:eastAsia="宋体" w:hint="default"/>
        </w:rPr>
        <w:t>30%</w:t>
      </w:r>
      <w:r>
        <w:rPr/>
        <w:t>。</w:t>
      </w:r>
    </w:p>
    <w:p>
      <w:pPr>
        <w:pStyle w:val="BodyText"/>
        <w:spacing w:line="240" w:lineRule="auto" w:before="54"/>
        <w:ind w:right="0"/>
        <w:jc w:val="left"/>
      </w:pPr>
      <w:r>
        <w:rPr/>
        <w:t>（五）股票股利分配的条件：公司在经营情况良好，并且董事会认为公司股票价格与公司股本规模不匹配、发放股票股利有</w:t>
      </w:r>
    </w:p>
    <w:p>
      <w:pPr>
        <w:spacing w:after="0" w:line="240"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477" w:lineRule="auto" w:before="44"/>
        <w:ind w:right="94"/>
        <w:jc w:val="left"/>
      </w:pPr>
      <w:r>
        <w:rPr>
          <w:spacing w:val="-2"/>
        </w:rPr>
        <w:t>利于公司全体股东整体利益时，公司可以在满足上述现金分红的条件下采取股票股利的方式分配利润。公司在确定以股票方</w:t>
      </w:r>
      <w:r>
        <w:rPr>
          <w:spacing w:val="-63"/>
        </w:rPr>
        <w:t> </w:t>
      </w:r>
      <w:r>
        <w:rPr>
          <w:spacing w:val="-63"/>
        </w:rPr>
      </w:r>
      <w:r>
        <w:rPr/>
        <w:t>式分配利润的具体金额时，应充分考虑以股票方式分配利润后的总股本是否与公司目前的经营规模、盈利增长速度相适应， </w:t>
      </w:r>
      <w:r>
        <w:rPr>
          <w:spacing w:val="-2"/>
        </w:rPr>
        <w:t>并考虑对未来债权融资成本的影响，以确保分配方案符合全体股东的整体利益。（六）股利分配的时间间隔：在满足上述现</w:t>
      </w:r>
      <w:r>
        <w:rPr>
          <w:spacing w:val="-65"/>
        </w:rPr>
        <w:t> </w:t>
      </w:r>
      <w:r>
        <w:rPr>
          <w:spacing w:val="-65"/>
        </w:rPr>
      </w:r>
      <w:r>
        <w:rPr>
          <w:spacing w:val="-2"/>
        </w:rPr>
        <w:t>金分红条件情况下，公司将积极采取现金方式分配股利，原则上每年度进行一次现金分红，公司董事会可以根据公司盈利情</w:t>
      </w:r>
      <w:r>
        <w:rPr>
          <w:spacing w:val="-63"/>
        </w:rPr>
        <w:t> </w:t>
      </w:r>
      <w:r>
        <w:rPr>
          <w:spacing w:val="-63"/>
        </w:rPr>
      </w:r>
      <w:r>
        <w:rPr/>
        <w:t>况及资金需求状况提议公司进行中期现金分红。</w:t>
      </w:r>
      <w:r>
        <w:rPr>
          <w:spacing w:val="-45"/>
        </w:rPr>
        <w:t> </w:t>
      </w:r>
      <w:r>
        <w:rPr>
          <w:spacing w:val="-4"/>
        </w:rPr>
        <w:t>（七）利润分配的决策程序与机制：</w:t>
      </w:r>
      <w:r>
        <w:rPr>
          <w:rFonts w:ascii="宋体" w:hAnsi="宋体" w:cs="宋体" w:eastAsia="宋体" w:hint="default"/>
          <w:spacing w:val="-4"/>
        </w:rPr>
        <w:t>1</w:t>
      </w:r>
      <w:r>
        <w:rPr>
          <w:spacing w:val="-4"/>
        </w:rPr>
        <w:t>、公司董事会结合公司具体经营数据、</w:t>
      </w:r>
      <w:r>
        <w:rPr>
          <w:spacing w:val="-82"/>
        </w:rPr>
        <w:t> </w:t>
      </w:r>
      <w:r>
        <w:rPr>
          <w:spacing w:val="-82"/>
        </w:rPr>
      </w:r>
      <w:r>
        <w:rPr>
          <w:spacing w:val="-2"/>
        </w:rPr>
        <w:t>盈利规模、现金流量状况、发展阶段及资金需求，并结合股东（特别是中小股东）、独立董事的意见，认真研究和论证公司</w:t>
      </w:r>
      <w:r>
        <w:rPr>
          <w:spacing w:val="-73"/>
        </w:rPr>
        <w:t> </w:t>
      </w:r>
      <w:r>
        <w:rPr>
          <w:spacing w:val="-73"/>
        </w:rPr>
      </w:r>
      <w:r>
        <w:rPr/>
        <w:t>现金分红的时机、条件和最低比例、调整的条件及其决策程序要求等事宜，提出年度或中期利润分配预案，分别经董事会、 监事会审议通过后，提交股东大会表决。独立董事应对利润分配预案发表独立意见并公开披露。</w:t>
      </w:r>
      <w:r>
        <w:rPr>
          <w:rFonts w:ascii="宋体" w:hAnsi="宋体" w:cs="宋体" w:eastAsia="宋体" w:hint="default"/>
        </w:rPr>
        <w:t>2</w:t>
      </w:r>
      <w:r>
        <w:rPr/>
        <w:t>、股东大会对利润分配预</w:t>
      </w:r>
      <w:r>
        <w:rPr>
          <w:spacing w:val="-82"/>
        </w:rPr>
        <w:t> </w:t>
      </w:r>
      <w:r>
        <w:rPr>
          <w:spacing w:val="-2"/>
        </w:rPr>
        <w:t>案进行审议时，应当通过多种渠道主动与股东特别是中小股东沟通交流，充分听取中小股东的意见和诉求，并及时答复中小</w:t>
      </w:r>
      <w:r>
        <w:rPr>
          <w:spacing w:val="-63"/>
        </w:rPr>
        <w:t> </w:t>
      </w:r>
      <w:r>
        <w:rPr>
          <w:spacing w:val="-63"/>
        </w:rPr>
      </w:r>
      <w:r>
        <w:rPr/>
        <w:t>股东关心的问题。</w:t>
      </w:r>
      <w:r>
        <w:rPr>
          <w:rFonts w:ascii="宋体" w:hAnsi="宋体" w:cs="宋体" w:eastAsia="宋体" w:hint="default"/>
        </w:rPr>
        <w:t>3</w:t>
      </w:r>
      <w:r>
        <w:rPr/>
        <w:t>、若公司当年实现盈利符合利润分配条件，公司董事会根据生产经营情况、投资规划和长期发展等需要</w:t>
      </w:r>
      <w:r>
        <w:rPr>
          <w:spacing w:val="-83"/>
        </w:rPr>
        <w:t> </w:t>
      </w:r>
      <w:r>
        <w:rPr>
          <w:spacing w:val="-83"/>
        </w:rPr>
      </w:r>
      <w:r>
        <w:rPr>
          <w:spacing w:val="-2"/>
        </w:rPr>
        <w:t>未提出现金利润分配预案，董事会应当形成关于不进行利润分配的专项说明，提交公司股东大会审议，并在定期报告中披露</w:t>
      </w:r>
      <w:r>
        <w:rPr>
          <w:spacing w:val="-63"/>
        </w:rPr>
        <w:t> </w:t>
      </w:r>
      <w:r>
        <w:rPr>
          <w:spacing w:val="-63"/>
        </w:rPr>
      </w:r>
      <w:r>
        <w:rPr>
          <w:spacing w:val="-2"/>
        </w:rPr>
        <w:t>未分红原因，还应说明未用于分红的留存资金用途和预期收益等情况。独立董事应当对以上事项及上年度未分红留存资金使</w:t>
      </w:r>
      <w:r>
        <w:rPr>
          <w:spacing w:val="-64"/>
        </w:rPr>
        <w:t> </w:t>
      </w:r>
      <w:r>
        <w:rPr>
          <w:spacing w:val="-64"/>
        </w:rPr>
      </w:r>
      <w:r>
        <w:rPr/>
        <w:t>用情况发表独立意见并公开披露。</w:t>
      </w:r>
      <w:r>
        <w:rPr>
          <w:rFonts w:ascii="宋体" w:hAnsi="宋体" w:cs="宋体" w:eastAsia="宋体" w:hint="default"/>
        </w:rPr>
        <w:t>4</w:t>
      </w:r>
      <w:r>
        <w:rPr/>
        <w:t>、监事会应当对以上利润分配的决策程序及执行情况进行监督。（八）</w:t>
      </w:r>
      <w:r>
        <w:rPr>
          <w:spacing w:val="-44"/>
        </w:rPr>
        <w:t> </w:t>
      </w:r>
      <w:r>
        <w:rPr/>
        <w:t>出现股东违规占</w:t>
      </w:r>
      <w:r>
        <w:rPr/>
        <w:t> </w:t>
      </w:r>
      <w:r>
        <w:rPr>
          <w:spacing w:val="-2"/>
        </w:rPr>
        <w:t>用公司资金情况的，公司应当扣减该股东所分配的现金红利，以偿还其占用的资金。（九）利润分配政策的调整机制如遇到</w:t>
      </w:r>
      <w:r>
        <w:rPr>
          <w:spacing w:val="-65"/>
        </w:rPr>
        <w:t> </w:t>
      </w:r>
      <w:r>
        <w:rPr>
          <w:spacing w:val="-65"/>
        </w:rPr>
      </w:r>
      <w:r>
        <w:rPr>
          <w:spacing w:val="-2"/>
        </w:rPr>
        <w:t>战争、自然灾害等不可抗力、或者公司外部经营环境变化并对公司生产经营造成重大影响，或公司自身经营状况发生较大变</w:t>
      </w:r>
      <w:r>
        <w:rPr>
          <w:spacing w:val="-64"/>
        </w:rPr>
        <w:t> </w:t>
      </w:r>
      <w:r>
        <w:rPr>
          <w:spacing w:val="-64"/>
        </w:rPr>
      </w:r>
      <w:r>
        <w:rPr>
          <w:spacing w:val="-2"/>
        </w:rPr>
        <w:t>化时，公司可对利润分配政策进行调整，调整后的利润分配政策不得违反中国证监会和证券交易所的有关规定。公司调整利</w:t>
      </w:r>
      <w:r>
        <w:rPr>
          <w:spacing w:val="-63"/>
        </w:rPr>
        <w:t> </w:t>
      </w:r>
      <w:r>
        <w:rPr>
          <w:spacing w:val="-63"/>
        </w:rPr>
      </w:r>
      <w:r>
        <w:rPr>
          <w:spacing w:val="-2"/>
        </w:rPr>
        <w:t>润分配政策应由董事会做出专题论述，详细论证调整理由，形成书面论证报告，并先经独立董事同意并发表明确独立意见后</w:t>
      </w:r>
      <w:r>
        <w:rPr>
          <w:spacing w:val="-65"/>
        </w:rPr>
        <w:t> </w:t>
      </w:r>
      <w:r>
        <w:rPr>
          <w:spacing w:val="-65"/>
        </w:rPr>
      </w:r>
      <w:r>
        <w:rPr/>
        <w:t>分别提交董事会和监事会审议；在董事会和监事会审议通过后提交股东大会特别决议通过。审议利润分配政策变更事项时， 公司应当采用提供网络投票等方式为公众股东参会表决提供条件。</w:t>
      </w:r>
    </w:p>
    <w:p>
      <w:pPr>
        <w:pStyle w:val="Heading5"/>
        <w:spacing w:line="240" w:lineRule="auto"/>
        <w:ind w:right="94"/>
        <w:jc w:val="left"/>
        <w:rPr>
          <w:b w:val="0"/>
          <w:bCs w:val="0"/>
        </w:rPr>
      </w:pPr>
      <w:r>
        <w:rPr>
          <w:rFonts w:ascii="宋体" w:hAnsi="宋体" w:cs="宋体" w:eastAsia="宋体" w:hint="default"/>
        </w:rPr>
        <w:t>2</w:t>
      </w:r>
      <w:r>
        <w:rPr/>
        <w:t>、利润分配政策执行情况</w:t>
      </w:r>
      <w:r>
        <w:rPr>
          <w:b w:val="0"/>
          <w:bCs w:val="0"/>
        </w:rPr>
      </w:r>
    </w:p>
    <w:p>
      <w:pPr>
        <w:spacing w:line="240" w:lineRule="auto" w:before="10"/>
        <w:rPr>
          <w:rFonts w:ascii="宋体" w:hAnsi="宋体" w:cs="宋体" w:eastAsia="宋体" w:hint="default"/>
          <w:b/>
          <w:bCs/>
          <w:sz w:val="17"/>
          <w:szCs w:val="17"/>
        </w:rPr>
      </w:pPr>
    </w:p>
    <w:p>
      <w:pPr>
        <w:pStyle w:val="BodyText"/>
        <w:spacing w:line="477" w:lineRule="auto"/>
        <w:ind w:right="94" w:firstLine="360"/>
        <w:jc w:val="left"/>
      </w:pPr>
      <w:r>
        <w:rPr/>
        <w:t>报告期内，公司严格执行《公司章程》有关现金分红政策，于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18</w:t>
      </w:r>
      <w:r>
        <w:rPr/>
        <w:t>日召开二届六次董事会、二届四次监事会审 议通过《</w:t>
      </w:r>
      <w:r>
        <w:rPr>
          <w:rFonts w:ascii="宋体" w:hAnsi="宋体" w:cs="宋体" w:eastAsia="宋体" w:hint="default"/>
        </w:rPr>
        <w:t>2011</w:t>
      </w:r>
      <w:r>
        <w:rPr/>
        <w:t>年度利润分配及资本公积金转增股本预案》，公司董事会作出了充分论证和说明，独立董事发表了独立意见； </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10</w:t>
      </w:r>
      <w:r>
        <w:rPr/>
        <w:t>日，</w:t>
      </w:r>
      <w:r>
        <w:rPr>
          <w:rFonts w:ascii="宋体" w:hAnsi="宋体" w:cs="宋体" w:eastAsia="宋体" w:hint="default"/>
        </w:rPr>
        <w:t>2011</w:t>
      </w:r>
      <w:r>
        <w:rPr/>
        <w:t>年度股东大会审议通过了董事会拟定的《</w:t>
      </w:r>
      <w:r>
        <w:rPr>
          <w:rFonts w:ascii="宋体" w:hAnsi="宋体" w:cs="宋体" w:eastAsia="宋体" w:hint="default"/>
        </w:rPr>
        <w:t>2011</w:t>
      </w:r>
      <w:r>
        <w:rPr/>
        <w:t>年度利润分配及资本公积金转增股本预案》，即以公司 总股本</w:t>
      </w:r>
      <w:r>
        <w:rPr>
          <w:rFonts w:ascii="宋体" w:hAnsi="宋体" w:cs="宋体" w:eastAsia="宋体" w:hint="default"/>
        </w:rPr>
        <w:t>4,050</w:t>
      </w:r>
      <w:r>
        <w:rPr/>
        <w:t>万股为基数，向全体股东每</w:t>
      </w:r>
      <w:r>
        <w:rPr>
          <w:rFonts w:ascii="宋体" w:hAnsi="宋体" w:cs="宋体" w:eastAsia="宋体" w:hint="default"/>
        </w:rPr>
        <w:t>10</w:t>
      </w:r>
      <w:r>
        <w:rPr/>
        <w:t>股派发现金红利</w:t>
      </w:r>
      <w:r>
        <w:rPr>
          <w:rFonts w:ascii="宋体" w:hAnsi="宋体" w:cs="宋体" w:eastAsia="宋体" w:hint="default"/>
        </w:rPr>
        <w:t>2</w:t>
      </w:r>
      <w:r>
        <w:rPr/>
        <w:t>元（含税），现金分红</w:t>
      </w:r>
      <w:r>
        <w:rPr>
          <w:rFonts w:ascii="宋体" w:hAnsi="宋体" w:cs="宋体" w:eastAsia="宋体" w:hint="default"/>
        </w:rPr>
        <w:t>810</w:t>
      </w:r>
      <w:r>
        <w:rPr/>
        <w:t>万元（含税）；同时以资本公积金向 </w:t>
      </w:r>
      <w:r>
        <w:rPr>
          <w:spacing w:val="-3"/>
        </w:rPr>
        <w:t>全体股东转增股本，每</w:t>
      </w:r>
      <w:r>
        <w:rPr>
          <w:rFonts w:ascii="宋体" w:hAnsi="宋体" w:cs="宋体" w:eastAsia="宋体" w:hint="default"/>
          <w:spacing w:val="-3"/>
        </w:rPr>
        <w:t>10</w:t>
      </w:r>
      <w:r>
        <w:rPr>
          <w:spacing w:val="-3"/>
        </w:rPr>
        <w:t>股转增</w:t>
      </w:r>
      <w:r>
        <w:rPr>
          <w:rFonts w:ascii="宋体" w:hAnsi="宋体" w:cs="宋体" w:eastAsia="宋体" w:hint="default"/>
          <w:spacing w:val="-3"/>
        </w:rPr>
        <w:t>10</w:t>
      </w:r>
      <w:r>
        <w:rPr>
          <w:spacing w:val="-3"/>
        </w:rPr>
        <w:t>股，共计转增</w:t>
      </w:r>
      <w:r>
        <w:rPr>
          <w:rFonts w:ascii="宋体" w:hAnsi="宋体" w:cs="宋体" w:eastAsia="宋体" w:hint="default"/>
          <w:spacing w:val="-3"/>
        </w:rPr>
        <w:t>4050</w:t>
      </w:r>
      <w:r>
        <w:rPr>
          <w:spacing w:val="-3"/>
        </w:rPr>
        <w:t>万股，转增后公司总股本变更为</w:t>
      </w:r>
      <w:r>
        <w:rPr>
          <w:rFonts w:ascii="宋体" w:hAnsi="宋体" w:cs="宋体" w:eastAsia="宋体" w:hint="default"/>
          <w:spacing w:val="-3"/>
        </w:rPr>
        <w:t>8100</w:t>
      </w:r>
      <w:r>
        <w:rPr>
          <w:spacing w:val="-3"/>
        </w:rPr>
        <w:t>万股。根据</w:t>
      </w:r>
      <w:r>
        <w:rPr>
          <w:rFonts w:ascii="宋体" w:hAnsi="宋体" w:cs="宋体" w:eastAsia="宋体" w:hint="default"/>
          <w:spacing w:val="-3"/>
        </w:rPr>
        <w:t>2011</w:t>
      </w:r>
      <w:r>
        <w:rPr>
          <w:spacing w:val="-3"/>
        </w:rPr>
        <w:t>年度股东大会决议，</w:t>
      </w:r>
      <w:r>
        <w:rPr>
          <w:spacing w:val="-85"/>
        </w:rPr>
        <w:t> </w:t>
      </w:r>
      <w:r>
        <w:rPr>
          <w:spacing w:val="-85"/>
        </w:rPr>
      </w:r>
      <w:r>
        <w:rPr/>
        <w:t>公司于</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21</w:t>
      </w:r>
      <w:r>
        <w:rPr/>
        <w:t>日实施完毕以上利润分配方案和资本公积金转增股本方案。</w:t>
      </w:r>
    </w:p>
    <w:p>
      <w:pPr>
        <w:pStyle w:val="BodyText"/>
        <w:spacing w:line="477" w:lineRule="auto" w:before="54"/>
        <w:ind w:right="94" w:firstLine="360"/>
        <w:jc w:val="left"/>
      </w:pP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24</w:t>
      </w:r>
      <w:r>
        <w:rPr>
          <w:spacing w:val="-2"/>
        </w:rPr>
        <w:t>日，公司召开的二届十次董事会、二届八次监事会审议通过了《</w:t>
      </w:r>
      <w:r>
        <w:rPr>
          <w:rFonts w:ascii="宋体" w:hAnsi="宋体" w:cs="宋体" w:eastAsia="宋体" w:hint="default"/>
          <w:spacing w:val="-2"/>
        </w:rPr>
        <w:t>2012</w:t>
      </w:r>
      <w:r>
        <w:rPr>
          <w:spacing w:val="-2"/>
        </w:rPr>
        <w:t>年半年度资本公积金转增股本预案》，</w:t>
      </w:r>
      <w:r>
        <w:rPr/>
        <w:t> 独立董事发表了独立意见；</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13</w:t>
      </w:r>
      <w:r>
        <w:rPr/>
        <w:t>日，公司</w:t>
      </w:r>
      <w:r>
        <w:rPr>
          <w:rFonts w:ascii="宋体" w:hAnsi="宋体" w:cs="宋体" w:eastAsia="宋体" w:hint="default"/>
        </w:rPr>
        <w:t>2012</w:t>
      </w:r>
      <w:r>
        <w:rPr/>
        <w:t>年第三次临时股东大会审议通过了《</w:t>
      </w:r>
      <w:r>
        <w:rPr>
          <w:rFonts w:ascii="宋体" w:hAnsi="宋体" w:cs="宋体" w:eastAsia="宋体" w:hint="default"/>
        </w:rPr>
        <w:t>2012</w:t>
      </w:r>
      <w:r>
        <w:rPr/>
        <w:t>年半年度资本公积金转增股</w:t>
      </w:r>
      <w:r>
        <w:rPr>
          <w:spacing w:val="-87"/>
        </w:rPr>
        <w:t> </w:t>
      </w:r>
      <w:r>
        <w:rPr>
          <w:spacing w:val="-2"/>
        </w:rPr>
        <w:t>本预案》，以截止</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日公司总股本</w:t>
      </w:r>
      <w:r>
        <w:rPr>
          <w:rFonts w:ascii="宋体" w:hAnsi="宋体" w:cs="宋体" w:eastAsia="宋体" w:hint="default"/>
          <w:spacing w:val="-2"/>
        </w:rPr>
        <w:t>8,100</w:t>
      </w:r>
      <w:r>
        <w:rPr>
          <w:spacing w:val="-2"/>
        </w:rPr>
        <w:t>万股为基数，向全体股东每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5</w:t>
      </w:r>
      <w:r>
        <w:rPr>
          <w:spacing w:val="-2"/>
        </w:rPr>
        <w:t>股，共计转增</w:t>
      </w:r>
      <w:r>
        <w:rPr>
          <w:rFonts w:ascii="宋体" w:hAnsi="宋体" w:cs="宋体" w:eastAsia="宋体" w:hint="default"/>
          <w:spacing w:val="-2"/>
        </w:rPr>
        <w:t>4,050</w:t>
      </w:r>
      <w:r>
        <w:rPr>
          <w:spacing w:val="-2"/>
        </w:rPr>
        <w:t>万股，转增后公</w:t>
      </w:r>
      <w:r>
        <w:rPr>
          <w:spacing w:val="-48"/>
        </w:rPr>
        <w:t> </w:t>
      </w:r>
      <w:r>
        <w:rPr>
          <w:spacing w:val="-48"/>
        </w:rPr>
      </w:r>
      <w:r>
        <w:rPr/>
        <w:t>司总股本增加至</w:t>
      </w:r>
      <w:r>
        <w:rPr>
          <w:rFonts w:ascii="宋体" w:hAnsi="宋体" w:cs="宋体" w:eastAsia="宋体" w:hint="default"/>
        </w:rPr>
        <w:t>12,150</w:t>
      </w:r>
      <w:r>
        <w:rPr/>
        <w:t>万股。按照</w:t>
      </w:r>
      <w:r>
        <w:rPr>
          <w:rFonts w:ascii="宋体" w:hAnsi="宋体" w:cs="宋体" w:eastAsia="宋体" w:hint="default"/>
        </w:rPr>
        <w:t>2012</w:t>
      </w:r>
      <w:r>
        <w:rPr/>
        <w:t>年第三次临时股东大会决议，公司于</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22</w:t>
      </w:r>
      <w:r>
        <w:rPr/>
        <w:t>日实施完毕资本公积金转增股本方</w:t>
      </w:r>
    </w:p>
    <w:p>
      <w:pPr>
        <w:spacing w:after="0" w:line="477"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240" w:lineRule="auto" w:before="44"/>
        <w:ind w:right="0"/>
        <w:jc w:val="left"/>
      </w:pPr>
      <w:r>
        <w:rPr/>
        <w:t>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公司报告期利润分配预案及资本公积金转增股本预案与公司章程和分红管理办法等的相关规定一致</w:t>
      </w:r>
    </w:p>
    <w:p>
      <w:pPr>
        <w:pStyle w:val="BodyText"/>
        <w:spacing w:line="348" w:lineRule="auto" w:before="115"/>
        <w:ind w:right="32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p>
      <w:pPr>
        <w:spacing w:line="240" w:lineRule="auto" w:before="2"/>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0.5</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121,500,000.00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6,075,000.00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70,753,506.20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339"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日，公司召开的第二届董事会第十九次会议和第二届监事会第十五次会议，审议通过了《</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年年度利润</w:t>
            </w:r>
          </w:p>
          <w:p>
            <w:pPr>
              <w:pStyle w:val="TableParagraph"/>
              <w:spacing w:line="300" w:lineRule="auto" w:before="60"/>
              <w:ind w:left="12" w:right="34"/>
              <w:jc w:val="both"/>
              <w:rPr>
                <w:rFonts w:ascii="宋体" w:hAnsi="宋体" w:cs="宋体" w:eastAsia="宋体" w:hint="default"/>
                <w:sz w:val="18"/>
                <w:szCs w:val="18"/>
              </w:rPr>
            </w:pPr>
            <w:r>
              <w:rPr>
                <w:rFonts w:ascii="宋体" w:hAnsi="宋体" w:cs="宋体" w:eastAsia="宋体" w:hint="default"/>
                <w:spacing w:val="-12"/>
                <w:sz w:val="18"/>
                <w:szCs w:val="18"/>
              </w:rPr>
              <w:t>分配预案》，拟以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日总股本</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12150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万股为基数，向全体股东每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股派发现金股利</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pacing w:val="-11"/>
                <w:sz w:val="18"/>
                <w:szCs w:val="18"/>
              </w:rPr>
              <w:t>元人民币（含税），</w:t>
            </w:r>
            <w:r>
              <w:rPr>
                <w:rFonts w:ascii="宋体" w:hAnsi="宋体" w:cs="宋体" w:eastAsia="宋体" w:hint="default"/>
                <w:sz w:val="18"/>
                <w:szCs w:val="18"/>
              </w:rPr>
              <w:t> 合计派发现金股利</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6,075,000.00</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元人民币（含税）。公司独立董事对于公司本次拟定的《</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年年度利润分配预案》发表</w:t>
            </w:r>
            <w:r>
              <w:rPr>
                <w:rFonts w:ascii="宋体" w:hAnsi="宋体" w:cs="宋体" w:eastAsia="宋体" w:hint="default"/>
                <w:spacing w:val="-81"/>
                <w:sz w:val="18"/>
                <w:szCs w:val="18"/>
              </w:rPr>
              <w:t> </w:t>
            </w:r>
            <w:r>
              <w:rPr>
                <w:rFonts w:ascii="宋体" w:hAnsi="宋体" w:cs="宋体" w:eastAsia="宋体" w:hint="default"/>
                <w:sz w:val="18"/>
                <w:szCs w:val="18"/>
              </w:rPr>
              <w:t>了明确同意的独立意见。上述《</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年年度利润分配预案》尚需提交公司股东大会审议。</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spacing w:line="240" w:lineRule="auto" w:before="0"/>
        <w:rPr>
          <w:rFonts w:ascii="宋体" w:hAnsi="宋体" w:cs="宋体" w:eastAsia="宋体" w:hint="default"/>
          <w:sz w:val="14"/>
          <w:szCs w:val="14"/>
        </w:rPr>
      </w:pPr>
    </w:p>
    <w:p>
      <w:pPr>
        <w:pStyle w:val="BodyText"/>
        <w:spacing w:line="240" w:lineRule="auto"/>
        <w:ind w:left="513" w:right="0"/>
        <w:jc w:val="left"/>
      </w:pPr>
      <w:r>
        <w:rPr>
          <w:rFonts w:ascii="宋体" w:hAnsi="宋体" w:cs="宋体" w:eastAsia="宋体" w:hint="default"/>
        </w:rPr>
        <w:t>2010</w:t>
      </w:r>
      <w:r>
        <w:rPr>
          <w:rFonts w:ascii="宋体" w:hAnsi="宋体" w:cs="宋体" w:eastAsia="宋体" w:hint="default"/>
          <w:spacing w:val="-41"/>
        </w:rPr>
        <w:t> </w:t>
      </w:r>
      <w:r>
        <w:rPr/>
        <w:t>年度：根据</w:t>
      </w:r>
      <w:r>
        <w:rPr>
          <w:spacing w:val="-45"/>
        </w:rPr>
        <w:t> </w:t>
      </w:r>
      <w:r>
        <w:rPr>
          <w:rFonts w:ascii="宋体" w:hAnsi="宋体" w:cs="宋体" w:eastAsia="宋体" w:hint="default"/>
        </w:rPr>
        <w:t>2010</w:t>
      </w:r>
      <w:r>
        <w:rPr>
          <w:rFonts w:ascii="宋体" w:hAnsi="宋体" w:cs="宋体" w:eastAsia="宋体" w:hint="default"/>
          <w:spacing w:val="-41"/>
        </w:rPr>
        <w:t> </w:t>
      </w:r>
      <w:r>
        <w:rPr/>
        <w:t>年度股东大会决议，公司于</w:t>
      </w:r>
      <w:r>
        <w:rPr>
          <w:spacing w:val="-42"/>
        </w:rPr>
        <w:t> </w:t>
      </w:r>
      <w:r>
        <w:rPr>
          <w:rFonts w:ascii="宋体" w:hAnsi="宋体" w:cs="宋体" w:eastAsia="宋体" w:hint="default"/>
        </w:rPr>
        <w:t>2011</w:t>
      </w:r>
      <w:r>
        <w:rPr>
          <w:rFonts w:ascii="宋体" w:hAnsi="宋体" w:cs="宋体" w:eastAsia="宋体" w:hint="default"/>
          <w:spacing w:val="-43"/>
        </w:rPr>
        <w:t> </w:t>
      </w:r>
      <w:r>
        <w:rPr/>
        <w:t>年</w:t>
      </w:r>
      <w:r>
        <w:rPr>
          <w:spacing w:val="-42"/>
        </w:rPr>
        <w:t> </w:t>
      </w:r>
      <w:r>
        <w:rPr>
          <w:rFonts w:ascii="宋体" w:hAnsi="宋体" w:cs="宋体" w:eastAsia="宋体" w:hint="default"/>
        </w:rPr>
        <w:t>5</w:t>
      </w:r>
      <w:r>
        <w:rPr>
          <w:rFonts w:ascii="宋体" w:hAnsi="宋体" w:cs="宋体" w:eastAsia="宋体" w:hint="default"/>
          <w:spacing w:val="-43"/>
        </w:rPr>
        <w:t> </w:t>
      </w:r>
      <w:r>
        <w:rPr/>
        <w:t>月</w:t>
      </w:r>
      <w:r>
        <w:rPr>
          <w:spacing w:val="-42"/>
        </w:rPr>
        <w:t> </w:t>
      </w:r>
      <w:r>
        <w:rPr>
          <w:rFonts w:ascii="宋体" w:hAnsi="宋体" w:cs="宋体" w:eastAsia="宋体" w:hint="default"/>
        </w:rPr>
        <w:t>11</w:t>
      </w:r>
      <w:r>
        <w:rPr>
          <w:rFonts w:ascii="宋体" w:hAnsi="宋体" w:cs="宋体" w:eastAsia="宋体" w:hint="default"/>
          <w:spacing w:val="-41"/>
        </w:rPr>
        <w:t> </w:t>
      </w:r>
      <w:r>
        <w:rPr/>
        <w:t>日实施了</w:t>
      </w:r>
      <w:r>
        <w:rPr>
          <w:spacing w:val="-42"/>
        </w:rPr>
        <w:t> </w:t>
      </w:r>
      <w:r>
        <w:rPr>
          <w:rFonts w:ascii="宋体" w:hAnsi="宋体" w:cs="宋体" w:eastAsia="宋体" w:hint="default"/>
        </w:rPr>
        <w:t>2010</w:t>
      </w:r>
      <w:r>
        <w:rPr>
          <w:rFonts w:ascii="宋体" w:hAnsi="宋体" w:cs="宋体" w:eastAsia="宋体" w:hint="default"/>
          <w:spacing w:val="-41"/>
        </w:rPr>
        <w:t> </w:t>
      </w:r>
      <w:r>
        <w:rPr/>
        <w:t>年度利润分配方案，即以公司总股本</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宋体" w:hAnsi="宋体" w:cs="宋体" w:eastAsia="宋体" w:hint="default"/>
        </w:rPr>
        <w:t>4,050</w:t>
      </w:r>
      <w:r>
        <w:rPr>
          <w:rFonts w:ascii="宋体" w:hAnsi="宋体" w:cs="宋体" w:eastAsia="宋体" w:hint="default"/>
          <w:spacing w:val="-45"/>
        </w:rPr>
        <w:t> </w:t>
      </w:r>
      <w:r>
        <w:rPr/>
        <w:t>万股为基数，向全体股东每</w:t>
      </w:r>
      <w:r>
        <w:rPr>
          <w:spacing w:val="-46"/>
        </w:rPr>
        <w:t> </w:t>
      </w:r>
      <w:r>
        <w:rPr>
          <w:rFonts w:ascii="宋体" w:hAnsi="宋体" w:cs="宋体" w:eastAsia="宋体" w:hint="default"/>
        </w:rPr>
        <w:t>10</w:t>
      </w:r>
      <w:r>
        <w:rPr>
          <w:rFonts w:ascii="宋体" w:hAnsi="宋体" w:cs="宋体" w:eastAsia="宋体" w:hint="default"/>
          <w:spacing w:val="-46"/>
        </w:rPr>
        <w:t> </w:t>
      </w:r>
      <w:r>
        <w:rPr/>
        <w:t>股派发现金红利</w:t>
      </w:r>
      <w:r>
        <w:rPr>
          <w:spacing w:val="-47"/>
        </w:rPr>
        <w:t> </w:t>
      </w:r>
      <w:r>
        <w:rPr>
          <w:rFonts w:ascii="宋体" w:hAnsi="宋体" w:cs="宋体" w:eastAsia="宋体" w:hint="default"/>
        </w:rPr>
        <w:t>5</w:t>
      </w:r>
      <w:r>
        <w:rPr>
          <w:rFonts w:ascii="宋体" w:hAnsi="宋体" w:cs="宋体" w:eastAsia="宋体" w:hint="default"/>
          <w:spacing w:val="-46"/>
        </w:rPr>
        <w:t> </w:t>
      </w:r>
      <w:r>
        <w:rPr/>
        <w:t>元（含税），合计派发现金红利</w:t>
      </w:r>
      <w:r>
        <w:rPr>
          <w:spacing w:val="-47"/>
        </w:rPr>
        <w:t> </w:t>
      </w:r>
      <w:r>
        <w:rPr>
          <w:rFonts w:ascii="宋体" w:hAnsi="宋体" w:cs="宋体" w:eastAsia="宋体" w:hint="default"/>
        </w:rPr>
        <w:t>2,025</w:t>
      </w:r>
      <w:r>
        <w:rPr>
          <w:rFonts w:ascii="宋体" w:hAnsi="宋体" w:cs="宋体" w:eastAsia="宋体" w:hint="default"/>
          <w:spacing w:val="-45"/>
        </w:rPr>
        <w:t> </w:t>
      </w:r>
      <w:r>
        <w:rPr/>
        <w:t>万元。</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rFonts w:ascii="宋体" w:hAnsi="宋体" w:cs="宋体" w:eastAsia="宋体" w:hint="default"/>
        </w:rPr>
        <w:t>2011</w:t>
      </w:r>
      <w:r>
        <w:rPr>
          <w:rFonts w:ascii="宋体" w:hAnsi="宋体" w:cs="宋体" w:eastAsia="宋体" w:hint="default"/>
          <w:spacing w:val="-46"/>
        </w:rPr>
        <w:t> </w:t>
      </w:r>
      <w:r>
        <w:rPr>
          <w:spacing w:val="-5"/>
        </w:rPr>
        <w:t>年度：经</w:t>
      </w:r>
      <w:r>
        <w:rPr>
          <w:spacing w:val="-50"/>
        </w:rPr>
        <w:t> </w:t>
      </w:r>
      <w:r>
        <w:rPr>
          <w:rFonts w:ascii="宋体" w:hAnsi="宋体" w:cs="宋体" w:eastAsia="宋体" w:hint="default"/>
        </w:rPr>
        <w:t>2011</w:t>
      </w:r>
      <w:r>
        <w:rPr>
          <w:rFonts w:ascii="宋体" w:hAnsi="宋体" w:cs="宋体" w:eastAsia="宋体" w:hint="default"/>
          <w:spacing w:val="-46"/>
        </w:rPr>
        <w:t> </w:t>
      </w:r>
      <w:r>
        <w:rPr/>
        <w:t>度股东大会决议，公司于</w:t>
      </w:r>
      <w:r>
        <w:rPr>
          <w:spacing w:val="-47"/>
        </w:rPr>
        <w:t> </w:t>
      </w:r>
      <w:r>
        <w:rPr>
          <w:rFonts w:ascii="宋体" w:hAnsi="宋体" w:cs="宋体" w:eastAsia="宋体" w:hint="default"/>
        </w:rPr>
        <w:t>2012</w:t>
      </w:r>
      <w:r>
        <w:rPr>
          <w:rFonts w:ascii="宋体" w:hAnsi="宋体" w:cs="宋体" w:eastAsia="宋体" w:hint="default"/>
          <w:spacing w:val="-49"/>
        </w:rPr>
        <w:t> </w:t>
      </w:r>
      <w:r>
        <w:rPr/>
        <w:t>年</w:t>
      </w:r>
      <w:r>
        <w:rPr>
          <w:spacing w:val="-48"/>
        </w:rPr>
        <w:t> </w:t>
      </w:r>
      <w:r>
        <w:rPr>
          <w:rFonts w:ascii="宋体" w:hAnsi="宋体" w:cs="宋体" w:eastAsia="宋体" w:hint="default"/>
        </w:rPr>
        <w:t>2</w:t>
      </w:r>
      <w:r>
        <w:rPr>
          <w:rFonts w:ascii="宋体" w:hAnsi="宋体" w:cs="宋体" w:eastAsia="宋体" w:hint="default"/>
          <w:spacing w:val="-49"/>
        </w:rPr>
        <w:t> </w:t>
      </w:r>
      <w:r>
        <w:rPr/>
        <w:t>月</w:t>
      </w:r>
      <w:r>
        <w:rPr>
          <w:spacing w:val="-48"/>
        </w:rPr>
        <w:t> </w:t>
      </w:r>
      <w:r>
        <w:rPr>
          <w:rFonts w:ascii="宋体" w:hAnsi="宋体" w:cs="宋体" w:eastAsia="宋体" w:hint="default"/>
        </w:rPr>
        <w:t>21</w:t>
      </w:r>
      <w:r>
        <w:rPr>
          <w:rFonts w:ascii="宋体" w:hAnsi="宋体" w:cs="宋体" w:eastAsia="宋体" w:hint="default"/>
          <w:spacing w:val="-47"/>
        </w:rPr>
        <w:t> </w:t>
      </w:r>
      <w:r>
        <w:rPr/>
        <w:t>日实施完毕《</w:t>
      </w:r>
      <w:r>
        <w:rPr>
          <w:rFonts w:ascii="宋体" w:hAnsi="宋体" w:cs="宋体" w:eastAsia="宋体" w:hint="default"/>
        </w:rPr>
        <w:t>2011</w:t>
      </w:r>
      <w:r>
        <w:rPr>
          <w:rFonts w:ascii="宋体" w:hAnsi="宋体" w:cs="宋体" w:eastAsia="宋体" w:hint="default"/>
          <w:spacing w:val="-46"/>
        </w:rPr>
        <w:t> </w:t>
      </w:r>
      <w:r>
        <w:rPr>
          <w:spacing w:val="-3"/>
        </w:rPr>
        <w:t>年度利润分配及资本公积金预案》，以</w:t>
      </w:r>
    </w:p>
    <w:p>
      <w:pPr>
        <w:spacing w:line="240" w:lineRule="auto" w:before="10"/>
        <w:rPr>
          <w:rFonts w:ascii="宋体" w:hAnsi="宋体" w:cs="宋体" w:eastAsia="宋体" w:hint="default"/>
          <w:sz w:val="17"/>
          <w:szCs w:val="17"/>
        </w:rPr>
      </w:pPr>
    </w:p>
    <w:p>
      <w:pPr>
        <w:pStyle w:val="BodyText"/>
        <w:spacing w:line="240" w:lineRule="auto"/>
        <w:ind w:right="0"/>
        <w:jc w:val="left"/>
      </w:pPr>
      <w:r>
        <w:rPr/>
        <w:t>公司总股本</w:t>
      </w:r>
      <w:r>
        <w:rPr>
          <w:spacing w:val="-45"/>
        </w:rPr>
        <w:t> </w:t>
      </w:r>
      <w:r>
        <w:rPr>
          <w:rFonts w:ascii="宋体" w:hAnsi="宋体" w:cs="宋体" w:eastAsia="宋体" w:hint="default"/>
        </w:rPr>
        <w:t>4,050</w:t>
      </w:r>
      <w:r>
        <w:rPr>
          <w:rFonts w:ascii="宋体" w:hAnsi="宋体" w:cs="宋体" w:eastAsia="宋体" w:hint="default"/>
          <w:spacing w:val="-44"/>
        </w:rPr>
        <w:t> </w:t>
      </w:r>
      <w:r>
        <w:rPr/>
        <w:t>万股为基数，向全体股东每</w:t>
      </w:r>
      <w:r>
        <w:rPr>
          <w:spacing w:val="-45"/>
        </w:rPr>
        <w:t> </w:t>
      </w:r>
      <w:r>
        <w:rPr>
          <w:rFonts w:ascii="宋体" w:hAnsi="宋体" w:cs="宋体" w:eastAsia="宋体" w:hint="default"/>
        </w:rPr>
        <w:t>10</w:t>
      </w:r>
      <w:r>
        <w:rPr>
          <w:rFonts w:ascii="宋体" w:hAnsi="宋体" w:cs="宋体" w:eastAsia="宋体" w:hint="default"/>
          <w:spacing w:val="-45"/>
        </w:rPr>
        <w:t> </w:t>
      </w:r>
      <w:r>
        <w:rPr/>
        <w:t>股派发现金红利</w:t>
      </w:r>
      <w:r>
        <w:rPr>
          <w:spacing w:val="-46"/>
        </w:rPr>
        <w:t> </w:t>
      </w:r>
      <w:r>
        <w:rPr>
          <w:rFonts w:ascii="宋体" w:hAnsi="宋体" w:cs="宋体" w:eastAsia="宋体" w:hint="default"/>
        </w:rPr>
        <w:t>2</w:t>
      </w:r>
      <w:r>
        <w:rPr>
          <w:rFonts w:ascii="宋体" w:hAnsi="宋体" w:cs="宋体" w:eastAsia="宋体" w:hint="default"/>
          <w:spacing w:val="-45"/>
        </w:rPr>
        <w:t> </w:t>
      </w:r>
      <w:r>
        <w:rPr/>
        <w:t>元（含税），现金分红</w:t>
      </w:r>
      <w:r>
        <w:rPr>
          <w:spacing w:val="-46"/>
        </w:rPr>
        <w:t> </w:t>
      </w:r>
      <w:r>
        <w:rPr>
          <w:rFonts w:ascii="宋体" w:hAnsi="宋体" w:cs="宋体" w:eastAsia="宋体" w:hint="default"/>
        </w:rPr>
        <w:t>810</w:t>
      </w:r>
      <w:r>
        <w:rPr>
          <w:rFonts w:ascii="宋体" w:hAnsi="宋体" w:cs="宋体" w:eastAsia="宋体" w:hint="default"/>
          <w:spacing w:val="-45"/>
        </w:rPr>
        <w:t> </w:t>
      </w:r>
      <w:r>
        <w:rPr/>
        <w:t>万元（含税）；同时以资本</w:t>
      </w:r>
    </w:p>
    <w:p>
      <w:pPr>
        <w:spacing w:line="240" w:lineRule="auto" w:before="10"/>
        <w:rPr>
          <w:rFonts w:ascii="宋体" w:hAnsi="宋体" w:cs="宋体" w:eastAsia="宋体" w:hint="default"/>
          <w:sz w:val="17"/>
          <w:szCs w:val="17"/>
        </w:rPr>
      </w:pPr>
    </w:p>
    <w:p>
      <w:pPr>
        <w:pStyle w:val="BodyText"/>
        <w:spacing w:line="240" w:lineRule="auto"/>
        <w:ind w:right="0"/>
        <w:jc w:val="left"/>
      </w:pPr>
      <w:r>
        <w:rPr/>
        <w:t>公积金向全体股东转增股本，每</w:t>
      </w:r>
      <w:r>
        <w:rPr>
          <w:spacing w:val="-45"/>
        </w:rPr>
        <w:t> </w:t>
      </w:r>
      <w:r>
        <w:rPr>
          <w:rFonts w:ascii="宋体" w:hAnsi="宋体" w:cs="宋体" w:eastAsia="宋体" w:hint="default"/>
        </w:rPr>
        <w:t>10</w:t>
      </w:r>
      <w:r>
        <w:rPr>
          <w:rFonts w:ascii="宋体" w:hAnsi="宋体" w:cs="宋体" w:eastAsia="宋体" w:hint="default"/>
          <w:spacing w:val="-44"/>
        </w:rPr>
        <w:t> </w:t>
      </w:r>
      <w:r>
        <w:rPr/>
        <w:t>股转增</w:t>
      </w:r>
      <w:r>
        <w:rPr>
          <w:spacing w:val="-46"/>
        </w:rPr>
        <w:t> </w:t>
      </w:r>
      <w:r>
        <w:rPr>
          <w:rFonts w:ascii="宋体" w:hAnsi="宋体" w:cs="宋体" w:eastAsia="宋体" w:hint="default"/>
        </w:rPr>
        <w:t>10</w:t>
      </w:r>
      <w:r>
        <w:rPr>
          <w:rFonts w:ascii="宋体" w:hAnsi="宋体" w:cs="宋体" w:eastAsia="宋体" w:hint="default"/>
          <w:spacing w:val="-45"/>
        </w:rPr>
        <w:t> </w:t>
      </w:r>
      <w:r>
        <w:rPr/>
        <w:t>股，共计转增</w:t>
      </w:r>
      <w:r>
        <w:rPr>
          <w:spacing w:val="-48"/>
        </w:rPr>
        <w:t> </w:t>
      </w:r>
      <w:r>
        <w:rPr>
          <w:rFonts w:ascii="宋体" w:hAnsi="宋体" w:cs="宋体" w:eastAsia="宋体" w:hint="default"/>
        </w:rPr>
        <w:t>4050</w:t>
      </w:r>
      <w:r>
        <w:rPr>
          <w:rFonts w:ascii="宋体" w:hAnsi="宋体" w:cs="宋体" w:eastAsia="宋体" w:hint="default"/>
          <w:spacing w:val="-44"/>
        </w:rPr>
        <w:t> </w:t>
      </w:r>
      <w:r>
        <w:rPr/>
        <w:t>万股，转增后公司总股本变更为</w:t>
      </w:r>
      <w:r>
        <w:rPr>
          <w:spacing w:val="-45"/>
        </w:rPr>
        <w:t> </w:t>
      </w:r>
      <w:r>
        <w:rPr>
          <w:rFonts w:ascii="宋体" w:hAnsi="宋体" w:cs="宋体" w:eastAsia="宋体" w:hint="default"/>
        </w:rPr>
        <w:t>8100</w:t>
      </w:r>
      <w:r>
        <w:rPr>
          <w:rFonts w:ascii="宋体" w:hAnsi="宋体" w:cs="宋体" w:eastAsia="宋体" w:hint="default"/>
          <w:spacing w:val="-44"/>
        </w:rPr>
        <w:t> </w:t>
      </w:r>
      <w:r>
        <w:rPr/>
        <w:t>万股。</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rFonts w:ascii="宋体" w:hAnsi="宋体" w:cs="宋体" w:eastAsia="宋体" w:hint="default"/>
        </w:rPr>
        <w:t>2012</w:t>
      </w:r>
      <w:r>
        <w:rPr>
          <w:rFonts w:ascii="宋体" w:hAnsi="宋体" w:cs="宋体" w:eastAsia="宋体" w:hint="default"/>
          <w:spacing w:val="-48"/>
        </w:rPr>
        <w:t> </w:t>
      </w:r>
      <w:r>
        <w:rPr/>
        <w:t>年半年度：</w:t>
      </w:r>
      <w:r>
        <w:rPr>
          <w:rFonts w:ascii="宋体" w:hAnsi="宋体" w:cs="宋体" w:eastAsia="宋体" w:hint="default"/>
        </w:rPr>
        <w:t>2012</w:t>
      </w:r>
      <w:r>
        <w:rPr>
          <w:rFonts w:ascii="宋体" w:hAnsi="宋体" w:cs="宋体" w:eastAsia="宋体" w:hint="default"/>
          <w:spacing w:val="-48"/>
        </w:rPr>
        <w:t> </w:t>
      </w:r>
      <w:r>
        <w:rPr/>
        <w:t>年</w:t>
      </w:r>
      <w:r>
        <w:rPr>
          <w:spacing w:val="-51"/>
        </w:rPr>
        <w:t> </w:t>
      </w:r>
      <w:r>
        <w:rPr>
          <w:rFonts w:ascii="宋体" w:hAnsi="宋体" w:cs="宋体" w:eastAsia="宋体" w:hint="default"/>
        </w:rPr>
        <w:t>8</w:t>
      </w:r>
      <w:r>
        <w:rPr>
          <w:rFonts w:ascii="宋体" w:hAnsi="宋体" w:cs="宋体" w:eastAsia="宋体" w:hint="default"/>
          <w:spacing w:val="-48"/>
        </w:rPr>
        <w:t> </w:t>
      </w:r>
      <w:r>
        <w:rPr/>
        <w:t>月</w:t>
      </w:r>
      <w:r>
        <w:rPr>
          <w:spacing w:val="-49"/>
        </w:rPr>
        <w:t> </w:t>
      </w:r>
      <w:r>
        <w:rPr>
          <w:rFonts w:ascii="宋体" w:hAnsi="宋体" w:cs="宋体" w:eastAsia="宋体" w:hint="default"/>
        </w:rPr>
        <w:t>13</w:t>
      </w:r>
      <w:r>
        <w:rPr>
          <w:rFonts w:ascii="宋体" w:hAnsi="宋体" w:cs="宋体" w:eastAsia="宋体" w:hint="default"/>
          <w:spacing w:val="-48"/>
        </w:rPr>
        <w:t> </w:t>
      </w:r>
      <w:r>
        <w:rPr>
          <w:spacing w:val="-4"/>
        </w:rPr>
        <w:t>日，公司</w:t>
      </w:r>
      <w:r>
        <w:rPr>
          <w:spacing w:val="-51"/>
        </w:rPr>
        <w:t> </w:t>
      </w:r>
      <w:r>
        <w:rPr>
          <w:rFonts w:ascii="宋体" w:hAnsi="宋体" w:cs="宋体" w:eastAsia="宋体" w:hint="default"/>
        </w:rPr>
        <w:t>2012</w:t>
      </w:r>
      <w:r>
        <w:rPr>
          <w:rFonts w:ascii="宋体" w:hAnsi="宋体" w:cs="宋体" w:eastAsia="宋体" w:hint="default"/>
          <w:spacing w:val="-48"/>
        </w:rPr>
        <w:t> </w:t>
      </w:r>
      <w:r>
        <w:rPr/>
        <w:t>年第三次临时股东大会审议通过了《</w:t>
      </w:r>
      <w:r>
        <w:rPr>
          <w:rFonts w:ascii="宋体" w:hAnsi="宋体" w:cs="宋体" w:eastAsia="宋体" w:hint="default"/>
        </w:rPr>
        <w:t>2012</w:t>
      </w:r>
      <w:r>
        <w:rPr>
          <w:rFonts w:ascii="宋体" w:hAnsi="宋体" w:cs="宋体" w:eastAsia="宋体" w:hint="default"/>
          <w:spacing w:val="-48"/>
        </w:rPr>
        <w:t> </w:t>
      </w:r>
      <w:r>
        <w:rPr/>
        <w:t>年半年度资本公积金转增股本</w:t>
      </w:r>
    </w:p>
    <w:p>
      <w:pPr>
        <w:spacing w:line="240" w:lineRule="auto" w:before="10"/>
        <w:rPr>
          <w:rFonts w:ascii="宋体" w:hAnsi="宋体" w:cs="宋体" w:eastAsia="宋体" w:hint="default"/>
          <w:sz w:val="17"/>
          <w:szCs w:val="17"/>
        </w:rPr>
      </w:pPr>
    </w:p>
    <w:p>
      <w:pPr>
        <w:pStyle w:val="BodyText"/>
        <w:spacing w:line="240" w:lineRule="auto"/>
        <w:ind w:right="0"/>
        <w:jc w:val="left"/>
      </w:pPr>
      <w:r>
        <w:rPr/>
        <w:t>预案》，以截止</w:t>
      </w:r>
      <w:r>
        <w:rPr>
          <w:spacing w:val="-45"/>
        </w:rPr>
        <w:t> </w:t>
      </w:r>
      <w:r>
        <w:rPr>
          <w:rFonts w:ascii="宋体" w:hAnsi="宋体" w:cs="宋体" w:eastAsia="宋体" w:hint="default"/>
        </w:rPr>
        <w:t>2012</w:t>
      </w:r>
      <w:r>
        <w:rPr>
          <w:rFonts w:ascii="宋体" w:hAnsi="宋体" w:cs="宋体" w:eastAsia="宋体" w:hint="default"/>
          <w:spacing w:val="-44"/>
        </w:rPr>
        <w:t> </w:t>
      </w:r>
      <w:r>
        <w:rPr/>
        <w:t>年</w:t>
      </w:r>
      <w:r>
        <w:rPr>
          <w:spacing w:val="-46"/>
        </w:rPr>
        <w:t> </w:t>
      </w:r>
      <w:r>
        <w:rPr>
          <w:rFonts w:ascii="宋体" w:hAnsi="宋体" w:cs="宋体" w:eastAsia="宋体" w:hint="default"/>
        </w:rPr>
        <w:t>6</w:t>
      </w:r>
      <w:r>
        <w:rPr>
          <w:rFonts w:ascii="宋体" w:hAnsi="宋体" w:cs="宋体" w:eastAsia="宋体" w:hint="default"/>
          <w:spacing w:val="-45"/>
        </w:rPr>
        <w:t> </w:t>
      </w:r>
      <w:r>
        <w:rPr/>
        <w:t>月</w:t>
      </w:r>
      <w:r>
        <w:rPr>
          <w:spacing w:val="-48"/>
        </w:rPr>
        <w:t> </w:t>
      </w:r>
      <w:r>
        <w:rPr>
          <w:rFonts w:ascii="宋体" w:hAnsi="宋体" w:cs="宋体" w:eastAsia="宋体" w:hint="default"/>
        </w:rPr>
        <w:t>30</w:t>
      </w:r>
      <w:r>
        <w:rPr>
          <w:rFonts w:ascii="宋体" w:hAnsi="宋体" w:cs="宋体" w:eastAsia="宋体" w:hint="default"/>
          <w:spacing w:val="-45"/>
        </w:rPr>
        <w:t> </w:t>
      </w:r>
      <w:r>
        <w:rPr/>
        <w:t>日公司总股本</w:t>
      </w:r>
      <w:r>
        <w:rPr>
          <w:spacing w:val="-45"/>
        </w:rPr>
        <w:t> </w:t>
      </w:r>
      <w:r>
        <w:rPr>
          <w:rFonts w:ascii="宋体" w:hAnsi="宋体" w:cs="宋体" w:eastAsia="宋体" w:hint="default"/>
        </w:rPr>
        <w:t>8,100</w:t>
      </w:r>
      <w:r>
        <w:rPr>
          <w:rFonts w:ascii="宋体" w:hAnsi="宋体" w:cs="宋体" w:eastAsia="宋体" w:hint="default"/>
          <w:spacing w:val="-44"/>
        </w:rPr>
        <w:t> </w:t>
      </w:r>
      <w:r>
        <w:rPr/>
        <w:t>万股为基数，向全体股东每</w:t>
      </w:r>
      <w:r>
        <w:rPr>
          <w:spacing w:val="-46"/>
        </w:rPr>
        <w:t> </w:t>
      </w:r>
      <w:r>
        <w:rPr>
          <w:rFonts w:ascii="宋体" w:hAnsi="宋体" w:cs="宋体" w:eastAsia="宋体" w:hint="default"/>
        </w:rPr>
        <w:t>10</w:t>
      </w:r>
      <w:r>
        <w:rPr>
          <w:rFonts w:ascii="宋体" w:hAnsi="宋体" w:cs="宋体" w:eastAsia="宋体" w:hint="default"/>
          <w:spacing w:val="-45"/>
        </w:rPr>
        <w:t> </w:t>
      </w:r>
      <w:r>
        <w:rPr/>
        <w:t>股转增</w:t>
      </w:r>
      <w:r>
        <w:rPr>
          <w:spacing w:val="-46"/>
        </w:rPr>
        <w:t> </w:t>
      </w:r>
      <w:r>
        <w:rPr>
          <w:rFonts w:ascii="宋体" w:hAnsi="宋体" w:cs="宋体" w:eastAsia="宋体" w:hint="default"/>
        </w:rPr>
        <w:t>5</w:t>
      </w:r>
      <w:r>
        <w:rPr>
          <w:rFonts w:ascii="宋体" w:hAnsi="宋体" w:cs="宋体" w:eastAsia="宋体" w:hint="default"/>
          <w:spacing w:val="-45"/>
        </w:rPr>
        <w:t> </w:t>
      </w:r>
      <w:r>
        <w:rPr/>
        <w:t>股，共计转增</w:t>
      </w:r>
      <w:r>
        <w:rPr>
          <w:spacing w:val="-45"/>
        </w:rPr>
        <w:t> </w:t>
      </w:r>
      <w:r>
        <w:rPr>
          <w:rFonts w:ascii="宋体" w:hAnsi="宋体" w:cs="宋体" w:eastAsia="宋体" w:hint="default"/>
        </w:rPr>
        <w:t>4,050</w:t>
      </w:r>
      <w:r>
        <w:rPr>
          <w:rFonts w:ascii="宋体" w:hAnsi="宋体" w:cs="宋体" w:eastAsia="宋体" w:hint="default"/>
          <w:spacing w:val="-44"/>
        </w:rPr>
        <w:t> </w:t>
      </w:r>
      <w:r>
        <w:rPr/>
        <w:t>万股，转</w:t>
      </w:r>
    </w:p>
    <w:p>
      <w:pPr>
        <w:spacing w:line="240" w:lineRule="auto" w:before="11"/>
        <w:rPr>
          <w:rFonts w:ascii="宋体" w:hAnsi="宋体" w:cs="宋体" w:eastAsia="宋体" w:hint="default"/>
          <w:sz w:val="17"/>
          <w:szCs w:val="17"/>
        </w:rPr>
      </w:pPr>
    </w:p>
    <w:p>
      <w:pPr>
        <w:pStyle w:val="BodyText"/>
        <w:spacing w:line="477" w:lineRule="auto"/>
        <w:ind w:right="0"/>
        <w:jc w:val="left"/>
      </w:pPr>
      <w:r>
        <w:rPr/>
        <w:t>增后公司总股本增加至</w:t>
      </w:r>
      <w:r>
        <w:rPr>
          <w:spacing w:val="-45"/>
        </w:rPr>
        <w:t> </w:t>
      </w:r>
      <w:r>
        <w:rPr>
          <w:rFonts w:ascii="宋体" w:hAnsi="宋体" w:cs="宋体" w:eastAsia="宋体" w:hint="default"/>
        </w:rPr>
        <w:t>12,150</w:t>
      </w:r>
      <w:r>
        <w:rPr>
          <w:rFonts w:ascii="宋体" w:hAnsi="宋体" w:cs="宋体" w:eastAsia="宋体" w:hint="default"/>
          <w:spacing w:val="-47"/>
        </w:rPr>
        <w:t> </w:t>
      </w:r>
      <w:r>
        <w:rPr>
          <w:spacing w:val="-9"/>
        </w:rPr>
        <w:t>万股。按照</w:t>
      </w:r>
      <w:r>
        <w:rPr>
          <w:spacing w:val="-45"/>
        </w:rPr>
        <w:t> </w:t>
      </w:r>
      <w:r>
        <w:rPr>
          <w:rFonts w:ascii="宋体" w:hAnsi="宋体" w:cs="宋体" w:eastAsia="宋体" w:hint="default"/>
        </w:rPr>
        <w:t>2012</w:t>
      </w:r>
      <w:r>
        <w:rPr>
          <w:rFonts w:ascii="宋体" w:hAnsi="宋体" w:cs="宋体" w:eastAsia="宋体" w:hint="default"/>
          <w:spacing w:val="-44"/>
        </w:rPr>
        <w:t> </w:t>
      </w:r>
      <w:r>
        <w:rPr>
          <w:spacing w:val="-3"/>
        </w:rPr>
        <w:t>年第三次临时股东大会决议，公司于</w:t>
      </w:r>
      <w:r>
        <w:rPr>
          <w:spacing w:val="-45"/>
        </w:rPr>
        <w:t> </w:t>
      </w:r>
      <w:r>
        <w:rPr>
          <w:rFonts w:ascii="宋体" w:hAnsi="宋体" w:cs="宋体" w:eastAsia="宋体" w:hint="default"/>
        </w:rPr>
        <w:t>2012</w:t>
      </w:r>
      <w:r>
        <w:rPr>
          <w:rFonts w:ascii="宋体" w:hAnsi="宋体" w:cs="宋体" w:eastAsia="宋体" w:hint="default"/>
          <w:spacing w:val="-44"/>
        </w:rPr>
        <w:t> </w:t>
      </w:r>
      <w:r>
        <w:rPr/>
        <w:t>年</w:t>
      </w:r>
      <w:r>
        <w:rPr>
          <w:spacing w:val="-48"/>
        </w:rPr>
        <w:t> </w:t>
      </w:r>
      <w:r>
        <w:rPr>
          <w:rFonts w:ascii="宋体" w:hAnsi="宋体" w:cs="宋体" w:eastAsia="宋体" w:hint="default"/>
        </w:rPr>
        <w:t>8</w:t>
      </w:r>
      <w:r>
        <w:rPr>
          <w:rFonts w:ascii="宋体" w:hAnsi="宋体" w:cs="宋体" w:eastAsia="宋体" w:hint="default"/>
          <w:spacing w:val="-45"/>
        </w:rPr>
        <w:t> </w:t>
      </w:r>
      <w:r>
        <w:rPr/>
        <w:t>月</w:t>
      </w:r>
      <w:r>
        <w:rPr>
          <w:spacing w:val="-46"/>
        </w:rPr>
        <w:t> </w:t>
      </w:r>
      <w:r>
        <w:rPr>
          <w:rFonts w:ascii="宋体" w:hAnsi="宋体" w:cs="宋体" w:eastAsia="宋体" w:hint="default"/>
        </w:rPr>
        <w:t>22</w:t>
      </w:r>
      <w:r>
        <w:rPr>
          <w:rFonts w:ascii="宋体" w:hAnsi="宋体" w:cs="宋体" w:eastAsia="宋体" w:hint="default"/>
          <w:spacing w:val="-44"/>
        </w:rPr>
        <w:t> </w:t>
      </w:r>
      <w:r>
        <w:rPr/>
        <w:t>日实施完毕资本公积金 转增股本方案。</w:t>
      </w:r>
    </w:p>
    <w:p>
      <w:pPr>
        <w:spacing w:line="240" w:lineRule="auto" w:before="9"/>
        <w:rPr>
          <w:rFonts w:ascii="宋体" w:hAnsi="宋体" w:cs="宋体" w:eastAsia="宋体" w:hint="default"/>
          <w:sz w:val="21"/>
          <w:szCs w:val="21"/>
        </w:rPr>
      </w:pPr>
    </w:p>
    <w:p>
      <w:pPr>
        <w:pStyle w:val="BodyText"/>
        <w:spacing w:line="240" w:lineRule="auto" w:before="44"/>
        <w:ind w:right="0"/>
        <w:jc w:val="left"/>
      </w:pPr>
      <w:r>
        <w:rPr/>
        <w:t>公司近三年现金分红情况表</w:t>
      </w:r>
    </w:p>
    <w:p>
      <w:pPr>
        <w:pStyle w:val="BodyText"/>
        <w:spacing w:line="240" w:lineRule="auto" w:before="115"/>
        <w:ind w:left="0" w:right="3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 w:right="32"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70,753,506.20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57,570,579.60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14.07%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42,172,182.68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48.02%</w:t>
            </w:r>
          </w:p>
        </w:tc>
      </w:tr>
    </w:tbl>
    <w:p>
      <w:pPr>
        <w:pStyle w:val="BodyText"/>
        <w:spacing w:line="240" w:lineRule="auto" w:before="49"/>
        <w:ind w:right="0"/>
        <w:jc w:val="left"/>
      </w:pPr>
      <w:r>
        <w:rPr/>
        <w:t>公司报告期内盈利且母公司未分配利润为正但未提出现金红利分配预案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七、内幕信息知情人管理制度的建立和执行情况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51" w:firstLine="492"/>
        <w:jc w:val="both"/>
      </w:pPr>
      <w:r>
        <w:rPr>
          <w:spacing w:val="-1"/>
        </w:rPr>
        <w:t>报告期内，按照中国证监会和深圳证券交易所要求，公司制定并严格执行内幕信息知情人管理制度，在公司发布重大</w:t>
      </w:r>
      <w:r>
        <w:rPr/>
        <w:t> </w:t>
      </w:r>
      <w:r>
        <w:rPr>
          <w:spacing w:val="-2"/>
        </w:rPr>
        <w:t>事项公告、业绩预告和定期报告等情况下均对未披露信息知情者做登记备案。经核查，本报告期内，公司未发生利用内幕信</w:t>
      </w:r>
      <w:r>
        <w:rPr>
          <w:spacing w:val="-64"/>
        </w:rPr>
        <w:t> </w:t>
      </w:r>
      <w:r>
        <w:rPr>
          <w:spacing w:val="-64"/>
        </w:rPr>
      </w:r>
      <w:r>
        <w:rPr/>
        <w:t>息进行违规股票交易的行为。</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八、报告期内接待调研、沟通、采访等活动登记表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56"/>
        <w:jc w:val="right"/>
      </w:pPr>
      <w:r>
        <w:rPr/>
        <w:pict>
          <v:shape style="position:absolute;margin-left:370.993011pt;margin-top:100.171722pt;width:162.9pt;height:21.95pt;mso-position-horizontal-relative:page;mso-position-vertical-relative:paragraph;z-index:-876424" type="#_x0000_t202" filled="false" stroked="false">
            <v:textbox inset="0,0,0,0">
              <w:txbxContent>
                <w:p>
                  <w:pPr>
                    <w:spacing w:line="240" w:lineRule="auto" w:before="6"/>
                    <w:rPr>
                      <w:rFonts w:ascii="宋体" w:hAnsi="宋体" w:cs="宋体" w:eastAsia="宋体" w:hint="default"/>
                      <w:sz w:val="15"/>
                      <w:szCs w:val="15"/>
                    </w:rPr>
                  </w:pPr>
                </w:p>
                <w:p>
                  <w:pPr>
                    <w:pStyle w:val="BodyText"/>
                    <w:spacing w:line="240" w:lineRule="auto"/>
                    <w:ind w:left="0" w:right="0"/>
                    <w:jc w:val="left"/>
                  </w:pPr>
                  <w:r>
                    <w:rPr/>
                    <w:t>申万菱信基金、</w:t>
                  </w:r>
                </w:p>
              </w:txbxContent>
            </v:textbox>
            <w10:wrap type="none"/>
          </v:shape>
        </w:pict>
      </w:r>
      <w:r>
        <w:rPr/>
        <w:pict>
          <v:shape style="position:absolute;margin-left:56.400002pt;margin-top:-46.488274pt;width:479.3pt;height:190.1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北京市朝阳区望京 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天相投顾问、海通 证券、中投证券、 国信证券等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08"/>
                          <w:jc w:val="left"/>
                          <w:rPr>
                            <w:rFonts w:ascii="宋体" w:hAnsi="宋体" w:cs="宋体" w:eastAsia="宋体" w:hint="default"/>
                            <w:sz w:val="18"/>
                            <w:szCs w:val="18"/>
                          </w:rPr>
                        </w:pPr>
                        <w:r>
                          <w:rPr>
                            <w:rFonts w:ascii="宋体" w:hAnsi="宋体" w:cs="宋体" w:eastAsia="宋体" w:hint="default"/>
                            <w:spacing w:val="-4"/>
                            <w:sz w:val="18"/>
                            <w:szCs w:val="18"/>
                          </w:rPr>
                          <w:t>公司竞争优势、市场开拓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竞争对手等情况</w:t>
                        </w:r>
                      </w:p>
                    </w:tc>
                  </w:tr>
                  <w:tr>
                    <w:trPr>
                      <w:trHeight w:val="102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北京市朝阳区望京 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安信证券、兴业证 券、广发证券、中 银基金等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70"/>
                          <w:jc w:val="left"/>
                          <w:rPr>
                            <w:rFonts w:ascii="宋体" w:hAnsi="宋体" w:cs="宋体" w:eastAsia="宋体" w:hint="default"/>
                            <w:sz w:val="18"/>
                            <w:szCs w:val="18"/>
                          </w:rPr>
                        </w:pPr>
                        <w:r>
                          <w:rPr>
                            <w:rFonts w:ascii="宋体" w:hAnsi="宋体" w:cs="宋体" w:eastAsia="宋体" w:hint="default"/>
                            <w:sz w:val="18"/>
                            <w:szCs w:val="18"/>
                          </w:rPr>
                          <w:t>公司全资子公司的经营情 况、市场开拓进展等</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北京市朝阳区望京 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广发证券、华夏基 金、</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诺安基金等</w:t>
                        </w:r>
                      </w:p>
                    </w:tc>
                    <w:tc>
                      <w:tcPr>
                        <w:tcW w:w="208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1" w:right="70"/>
                          <w:jc w:val="left"/>
                          <w:rPr>
                            <w:rFonts w:ascii="宋体" w:hAnsi="宋体" w:cs="宋体" w:eastAsia="宋体" w:hint="default"/>
                            <w:sz w:val="18"/>
                            <w:szCs w:val="18"/>
                          </w:rPr>
                        </w:pPr>
                        <w:r>
                          <w:rPr>
                            <w:rFonts w:ascii="宋体" w:hAnsi="宋体" w:cs="宋体" w:eastAsia="宋体" w:hint="default"/>
                            <w:sz w:val="18"/>
                            <w:szCs w:val="18"/>
                          </w:rPr>
                          <w:t>子公司业务的商业模式、 公司未来成长规划等</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350" w:lineRule="exact"/>
        <w:ind w:left="7666"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01.55pt;height:17.55pt;mso-position-horizontal-relative:char;mso-position-vertical-relative:line" coordorigin="0,0" coordsize="2031,351">
            <v:group style="position:absolute;left:0;top:0;width:2031;height:351" coordorigin="0,0" coordsize="2031,351">
              <v:shape style="position:absolute;left:0;top:0;width:2031;height:351" coordorigin="0,0" coordsize="2031,351" path="m0,350l2031,350,2031,0,0,0,0,350xe" filled="true" fillcolor="#ffffff" stroked="false">
                <v:path arrowok="t"/>
                <v:fill type="solid"/>
              </v:shape>
            </v:group>
          </v:group>
        </w:pict>
      </w:r>
      <w:r>
        <w:rPr>
          <w:rFonts w:ascii="宋体" w:hAnsi="宋体" w:cs="宋体" w:eastAsia="宋体" w:hint="default"/>
          <w:position w:val="-6"/>
          <w:sz w:val="20"/>
          <w:szCs w:val="20"/>
        </w:rPr>
      </w:r>
    </w:p>
    <w:p>
      <w:pPr>
        <w:spacing w:after="0" w:line="350" w:lineRule="exact"/>
        <w:rPr>
          <w:rFonts w:ascii="宋体" w:hAnsi="宋体" w:cs="宋体" w:eastAsia="宋体" w:hint="default"/>
          <w:sz w:val="20"/>
          <w:szCs w:val="20"/>
        </w:rPr>
        <w:sectPr>
          <w:pgSz w:w="11910" w:h="16840"/>
          <w:pgMar w:header="772" w:footer="1006" w:top="108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1"/>
        <w:spacing w:line="240" w:lineRule="auto"/>
        <w:ind w:left="1862" w:right="1861"/>
        <w:jc w:val="center"/>
        <w:rPr>
          <w:b w:val="0"/>
          <w:bCs w:val="0"/>
        </w:rPr>
      </w:pPr>
      <w:bookmarkStart w:name="_TOC_250005"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50" w:lineRule="auto"/>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会计师事务所对资金占用的专项审核意见 无。</w:t>
      </w: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r>
        <w:rPr/>
        <w:t>三、破产重整相关事项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534"/>
        <w:jc w:val="left"/>
      </w:pPr>
      <w:r>
        <w:rPr/>
        <w:t>不适用。 破产重整相关事项临时报告披露网站查询</w:t>
      </w: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bl>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r>
        <w:rPr/>
        <w:t>四、资产交易事项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7"/>
        <w:gridCol w:w="737"/>
        <w:gridCol w:w="734"/>
        <w:gridCol w:w="737"/>
        <w:gridCol w:w="734"/>
        <w:gridCol w:w="737"/>
        <w:gridCol w:w="734"/>
        <w:gridCol w:w="734"/>
        <w:gridCol w:w="737"/>
        <w:gridCol w:w="734"/>
        <w:gridCol w:w="737"/>
      </w:tblGrid>
      <w:tr>
        <w:trPr>
          <w:trHeight w:val="4148"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16" w:lineRule="auto"/>
              <w:ind w:left="92" w:right="89"/>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自购买 日起至 报告期 末为上 市公司 贡献的 净利润</w:t>
            </w:r>
          </w:p>
          <w:p>
            <w:pPr>
              <w:pStyle w:val="TableParagraph"/>
              <w:spacing w:line="240" w:lineRule="auto" w:before="19"/>
              <w:ind w:left="4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319" w:lineRule="auto" w:before="76"/>
              <w:ind w:left="23" w:right="-20" w:firstLine="69"/>
              <w:jc w:val="both"/>
              <w:rPr>
                <w:rFonts w:ascii="宋体" w:hAnsi="宋体" w:cs="宋体" w:eastAsia="宋体" w:hint="default"/>
                <w:sz w:val="18"/>
                <w:szCs w:val="18"/>
              </w:rPr>
            </w:pPr>
            <w:r>
              <w:rPr>
                <w:rFonts w:ascii="宋体" w:hAnsi="宋体" w:cs="宋体" w:eastAsia="宋体" w:hint="default"/>
                <w:sz w:val="18"/>
                <w:szCs w:val="18"/>
              </w:rPr>
              <w:t>（适用 于非同 一控制 下的企 业合并）</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7" w:hanging="41"/>
              <w:jc w:val="center"/>
              <w:rPr>
                <w:rFonts w:ascii="宋体" w:hAnsi="宋体" w:cs="宋体" w:eastAsia="宋体" w:hint="default"/>
                <w:sz w:val="18"/>
                <w:szCs w:val="18"/>
              </w:rPr>
            </w:pPr>
            <w:r>
              <w:rPr>
                <w:rFonts w:ascii="宋体" w:hAnsi="宋体" w:cs="宋体" w:eastAsia="宋体" w:hint="default"/>
                <w:sz w:val="18"/>
                <w:szCs w:val="18"/>
              </w:rPr>
              <w:t>自本期 初至报 告期末 为上市 公司贡 献的净 </w:t>
            </w:r>
            <w:r>
              <w:rPr>
                <w:rFonts w:ascii="宋体" w:hAnsi="宋体" w:cs="宋体" w:eastAsia="宋体" w:hint="default"/>
                <w:spacing w:val="-11"/>
                <w:sz w:val="18"/>
                <w:szCs w:val="18"/>
              </w:rPr>
              <w:t>利润（万</w:t>
            </w:r>
            <w:r>
              <w:rPr>
                <w:rFonts w:ascii="宋体" w:hAnsi="宋体" w:cs="宋体" w:eastAsia="宋体" w:hint="default"/>
                <w:sz w:val="18"/>
                <w:szCs w:val="18"/>
              </w:rPr>
              <w:t> </w:t>
            </w:r>
            <w:r>
              <w:rPr>
                <w:rFonts w:ascii="宋体" w:hAnsi="宋体" w:cs="宋体" w:eastAsia="宋体" w:hint="default"/>
                <w:spacing w:val="-23"/>
                <w:sz w:val="18"/>
                <w:szCs w:val="18"/>
              </w:rPr>
              <w:t>元）（适</w:t>
            </w:r>
            <w:r>
              <w:rPr>
                <w:rFonts w:ascii="宋体" w:hAnsi="宋体" w:cs="宋体" w:eastAsia="宋体" w:hint="default"/>
                <w:sz w:val="18"/>
                <w:szCs w:val="18"/>
              </w:rPr>
              <w:t> 用于同 一控制 下的企 业合并）</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6"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例</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9" w:lineRule="auto"/>
              <w:ind w:left="23" w:right="-20"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bl>
    <w:p>
      <w:pPr>
        <w:pStyle w:val="BodyText"/>
        <w:spacing w:line="240" w:lineRule="auto" w:before="49"/>
        <w:ind w:right="0"/>
        <w:jc w:val="left"/>
      </w:pPr>
      <w:r>
        <w:rPr/>
        <w:t>收购资产情况说明</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1"/>
        <w:gridCol w:w="734"/>
        <w:gridCol w:w="737"/>
        <w:gridCol w:w="737"/>
        <w:gridCol w:w="737"/>
        <w:gridCol w:w="734"/>
        <w:gridCol w:w="737"/>
        <w:gridCol w:w="735"/>
        <w:gridCol w:w="737"/>
        <w:gridCol w:w="737"/>
        <w:gridCol w:w="737"/>
        <w:gridCol w:w="734"/>
        <w:gridCol w:w="737"/>
      </w:tblGrid>
      <w:tr>
        <w:trPr>
          <w:trHeight w:val="2897"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4" w:lineRule="auto"/>
              <w:ind w:left="270" w:right="89"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4" w:lineRule="auto"/>
              <w:ind w:left="184" w:right="89" w:hanging="92"/>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93"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3" w:right="89"/>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50" w:right="46"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资产出 售为上 市公司 贡献的 净利润 占利润 总额的 比例</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20"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bl>
    <w:p>
      <w:pPr>
        <w:pStyle w:val="BodyText"/>
        <w:spacing w:line="240" w:lineRule="auto" w:before="49"/>
        <w:ind w:right="94"/>
        <w:jc w:val="left"/>
      </w:pPr>
      <w:r>
        <w:rPr/>
        <w:t>出售资产情况说明</w:t>
      </w:r>
    </w:p>
    <w:p>
      <w:pPr>
        <w:spacing w:line="240" w:lineRule="auto" w:before="0"/>
        <w:rPr>
          <w:rFonts w:ascii="宋体" w:hAnsi="宋体" w:cs="宋体" w:eastAsia="宋体" w:hint="default"/>
          <w:sz w:val="18"/>
          <w:szCs w:val="18"/>
        </w:rPr>
      </w:pPr>
    </w:p>
    <w:p>
      <w:pPr>
        <w:pStyle w:val="Heading3"/>
        <w:spacing w:line="240" w:lineRule="auto" w:before="121"/>
        <w:ind w:right="94"/>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59" w:lineRule="auto" w:before="120"/>
        <w:ind w:right="94"/>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5"/>
        </w:rPr>
        <w:t> </w:t>
      </w:r>
      <w:r>
        <w:rPr>
          <w:spacing w:val="-65"/>
        </w:rPr>
      </w:r>
      <w:r>
        <w:rPr/>
        <w:t>影响</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五、公司股权激励的实施情况及其影响</w:t>
      </w:r>
      <w:r>
        <w:rPr>
          <w:b w:val="0"/>
          <w:bCs w:val="0"/>
        </w:rPr>
      </w:r>
    </w:p>
    <w:p>
      <w:pPr>
        <w:spacing w:line="240" w:lineRule="auto" w:before="7"/>
        <w:rPr>
          <w:rFonts w:ascii="宋体" w:hAnsi="宋体" w:cs="宋体" w:eastAsia="宋体" w:hint="default"/>
          <w:b/>
          <w:bCs/>
          <w:sz w:val="32"/>
          <w:szCs w:val="32"/>
        </w:rPr>
      </w:pPr>
    </w:p>
    <w:p>
      <w:pPr>
        <w:spacing w:line="477" w:lineRule="auto" w:before="0"/>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（一）公司股权激励的基本情况</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、公司于</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日分别召开了第二届董事会第十四次会议和第二届监事会第十一次会议，审议通过了《北京东</w:t>
      </w:r>
    </w:p>
    <w:p>
      <w:pPr>
        <w:pStyle w:val="BodyText"/>
        <w:spacing w:line="477" w:lineRule="auto" w:before="54"/>
        <w:ind w:right="94"/>
        <w:jc w:val="left"/>
      </w:pPr>
      <w:r>
        <w:rPr>
          <w:spacing w:val="-2"/>
        </w:rPr>
        <w:t>方国信科技股份有限公司股票期权与限制性股票激励计划（草案）》及其摘要，公司独立董事对此发表了独立意见。其后公</w:t>
      </w:r>
      <w:r>
        <w:rPr>
          <w:spacing w:val="-64"/>
        </w:rPr>
        <w:t> </w:t>
      </w:r>
      <w:r>
        <w:rPr>
          <w:spacing w:val="-64"/>
        </w:rPr>
      </w:r>
      <w:r>
        <w:rPr/>
        <w:t>司向中国证监会上报了申请备案材料。</w:t>
      </w:r>
    </w:p>
    <w:p>
      <w:pPr>
        <w:pStyle w:val="BodyText"/>
        <w:spacing w:line="477" w:lineRule="auto" w:before="54"/>
        <w:ind w:right="111" w:firstLine="360"/>
        <w:jc w:val="both"/>
      </w:pPr>
      <w:r>
        <w:rPr>
          <w:rFonts w:ascii="宋体" w:hAnsi="宋体" w:cs="宋体" w:eastAsia="宋体" w:hint="default"/>
        </w:rPr>
        <w:t>2</w:t>
      </w:r>
      <w:r>
        <w:rPr/>
        <w:t>、根据中国证监会的反馈意见，公司对《北京东方国信科技股份有限公司股票期权与限制性股票激励计划（草案）》 </w:t>
      </w:r>
      <w:r>
        <w:rPr>
          <w:spacing w:val="-2"/>
        </w:rPr>
        <w:t>进行了修订，并于</w:t>
      </w:r>
      <w:r>
        <w:rPr>
          <w:rFonts w:ascii="宋体" w:hAnsi="宋体" w:cs="宋体" w:eastAsia="宋体" w:hint="default"/>
          <w:spacing w:val="-2"/>
        </w:rPr>
        <w:t>2013</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6</w:t>
      </w:r>
      <w:r>
        <w:rPr>
          <w:spacing w:val="-2"/>
        </w:rPr>
        <w:t>日召开第二届董事会第十六次会议和第二届监事会第十二次会议，审议通过了《北京东方国信</w:t>
      </w:r>
      <w:r>
        <w:rPr>
          <w:spacing w:val="-63"/>
        </w:rPr>
        <w:t> </w:t>
      </w:r>
      <w:r>
        <w:rPr>
          <w:spacing w:val="-63"/>
        </w:rPr>
      </w:r>
      <w:r>
        <w:rPr/>
        <w:t>科技股份有限公司股票期权与限制性股票激励计划（草案修订稿）》及其摘要，公司独立董事对激励计划发表了独立意见。</w:t>
      </w:r>
    </w:p>
    <w:p>
      <w:pPr>
        <w:pStyle w:val="BodyText"/>
        <w:spacing w:line="477" w:lineRule="auto" w:before="55"/>
        <w:ind w:right="189" w:firstLine="360"/>
        <w:jc w:val="both"/>
      </w:pPr>
      <w:r>
        <w:rPr>
          <w:rFonts w:ascii="宋体" w:hAnsi="宋体" w:cs="宋体" w:eastAsia="宋体" w:hint="default"/>
          <w:spacing w:val="-5"/>
        </w:rPr>
        <w:t>3</w:t>
      </w:r>
      <w:r>
        <w:rPr>
          <w:spacing w:val="-5"/>
        </w:rPr>
        <w:t>、公司股权激励计划经中国证监会备案无异议后，公司于</w:t>
      </w:r>
      <w:r>
        <w:rPr>
          <w:rFonts w:ascii="宋体" w:hAnsi="宋体" w:cs="宋体" w:eastAsia="宋体" w:hint="default"/>
          <w:spacing w:val="-5"/>
        </w:rPr>
        <w:t>2013</w:t>
      </w:r>
      <w:r>
        <w:rPr>
          <w:spacing w:val="-5"/>
        </w:rPr>
        <w:t>年</w:t>
      </w:r>
      <w:r>
        <w:rPr>
          <w:rFonts w:ascii="宋体" w:hAnsi="宋体" w:cs="宋体" w:eastAsia="宋体" w:hint="default"/>
          <w:spacing w:val="-5"/>
        </w:rPr>
        <w:t>2</w:t>
      </w:r>
      <w:r>
        <w:rPr>
          <w:spacing w:val="-5"/>
        </w:rPr>
        <w:t>月</w:t>
      </w:r>
      <w:r>
        <w:rPr>
          <w:rFonts w:ascii="宋体" w:hAnsi="宋体" w:cs="宋体" w:eastAsia="宋体" w:hint="default"/>
          <w:spacing w:val="-5"/>
        </w:rPr>
        <w:t>25</w:t>
      </w:r>
      <w:r>
        <w:rPr>
          <w:spacing w:val="-5"/>
        </w:rPr>
        <w:t>日召开</w:t>
      </w:r>
      <w:r>
        <w:rPr>
          <w:rFonts w:ascii="宋体" w:hAnsi="宋体" w:cs="宋体" w:eastAsia="宋体" w:hint="default"/>
          <w:spacing w:val="-5"/>
        </w:rPr>
        <w:t>2013</w:t>
      </w:r>
      <w:r>
        <w:rPr>
          <w:spacing w:val="-5"/>
        </w:rPr>
        <w:t>年第一次临时股东大会审议通过了《北</w:t>
      </w:r>
      <w:r>
        <w:rPr/>
        <w:t> </w:t>
      </w:r>
      <w:r>
        <w:rPr>
          <w:spacing w:val="-2"/>
        </w:rPr>
        <w:t>京东方国信科技股份有限公司股票期权与限制性股票激励计划（修订稿）》及摘要，本次股权激励计划拟向激励对象授予权</w:t>
      </w:r>
      <w:r>
        <w:rPr>
          <w:spacing w:val="-66"/>
        </w:rPr>
        <w:t> </w:t>
      </w:r>
      <w:r>
        <w:rPr>
          <w:spacing w:val="-66"/>
        </w:rPr>
      </w:r>
      <w:r>
        <w:rPr/>
        <w:t>益总计</w:t>
      </w:r>
      <w:r>
        <w:rPr>
          <w:rFonts w:ascii="宋体" w:hAnsi="宋体" w:cs="宋体" w:eastAsia="宋体" w:hint="default"/>
        </w:rPr>
        <w:t>542.00</w:t>
      </w:r>
      <w:r>
        <w:rPr/>
        <w:t>万份，涉及的标的股票种类为人民币</w:t>
      </w:r>
      <w:r>
        <w:rPr>
          <w:rFonts w:ascii="宋体" w:hAnsi="宋体" w:cs="宋体" w:eastAsia="宋体" w:hint="default"/>
        </w:rPr>
        <w:t>A</w:t>
      </w:r>
      <w:r>
        <w:rPr>
          <w:rFonts w:ascii="宋体" w:hAnsi="宋体" w:cs="宋体" w:eastAsia="宋体" w:hint="default"/>
          <w:spacing w:val="-4"/>
        </w:rPr>
        <w:t> </w:t>
      </w:r>
      <w:r>
        <w:rPr/>
        <w:t>股普通股，其中首次授予权益</w:t>
      </w:r>
      <w:r>
        <w:rPr>
          <w:rFonts w:ascii="宋体" w:hAnsi="宋体" w:cs="宋体" w:eastAsia="宋体" w:hint="default"/>
        </w:rPr>
        <w:t>492.00</w:t>
      </w:r>
      <w:r>
        <w:rPr/>
        <w:t>万份，预留</w:t>
      </w:r>
      <w:r>
        <w:rPr>
          <w:rFonts w:ascii="宋体" w:hAnsi="宋体" w:cs="宋体" w:eastAsia="宋体" w:hint="default"/>
        </w:rPr>
        <w:t>50</w:t>
      </w:r>
      <w:r>
        <w:rPr/>
        <w:t>万份。</w:t>
      </w:r>
    </w:p>
    <w:p>
      <w:pPr>
        <w:pStyle w:val="BodyText"/>
        <w:spacing w:line="477" w:lineRule="auto" w:before="54"/>
        <w:ind w:right="190" w:firstLine="360"/>
        <w:jc w:val="both"/>
      </w:pPr>
      <w:r>
        <w:rPr>
          <w:rFonts w:ascii="宋体" w:hAnsi="宋体" w:cs="宋体" w:eastAsia="宋体" w:hint="default"/>
          <w:spacing w:val="-2"/>
        </w:rPr>
        <w:t>4</w:t>
      </w:r>
      <w:r>
        <w:rPr>
          <w:spacing w:val="-2"/>
        </w:rPr>
        <w:t>、公司于</w:t>
      </w:r>
      <w:r>
        <w:rPr>
          <w:rFonts w:ascii="宋体" w:hAnsi="宋体" w:cs="宋体" w:eastAsia="宋体" w:hint="default"/>
          <w:spacing w:val="-2"/>
        </w:rPr>
        <w:t>2013</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18</w:t>
      </w:r>
      <w:r>
        <w:rPr>
          <w:spacing w:val="-2"/>
        </w:rPr>
        <w:t>日分别召开第二届董事会第十七次会议和第二届监事会第十三次会议，审议通过了《关于公司股</w:t>
      </w:r>
      <w:r>
        <w:rPr/>
        <w:t> 票期权与限制性股票激励计划首次授予有关事项的议案》，确定以</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18</w:t>
      </w:r>
      <w:r>
        <w:rPr/>
        <w:t>日作为本次股权激励计划股票期权和限制性</w:t>
      </w:r>
      <w:r>
        <w:rPr>
          <w:spacing w:val="-85"/>
        </w:rPr>
        <w:t> </w:t>
      </w:r>
      <w:r>
        <w:rPr>
          <w:spacing w:val="-85"/>
        </w:rPr>
      </w:r>
      <w:r>
        <w:rPr/>
        <w:t>股票的首次授予日，向</w:t>
      </w:r>
      <w:r>
        <w:rPr>
          <w:rFonts w:ascii="宋体" w:hAnsi="宋体" w:cs="宋体" w:eastAsia="宋体" w:hint="default"/>
        </w:rPr>
        <w:t>150</w:t>
      </w:r>
      <w:r>
        <w:rPr/>
        <w:t>名激励对象授予</w:t>
      </w:r>
      <w:r>
        <w:rPr>
          <w:rFonts w:ascii="宋体" w:hAnsi="宋体" w:cs="宋体" w:eastAsia="宋体" w:hint="default"/>
        </w:rPr>
        <w:t>245.25</w:t>
      </w:r>
      <w:r>
        <w:rPr/>
        <w:t>万份股票期权和</w:t>
      </w:r>
      <w:r>
        <w:rPr>
          <w:rFonts w:ascii="宋体" w:hAnsi="宋体" w:cs="宋体" w:eastAsia="宋体" w:hint="default"/>
        </w:rPr>
        <w:t>246.75</w:t>
      </w:r>
      <w:r>
        <w:rPr/>
        <w:t>万股限制性股票。</w:t>
      </w:r>
    </w:p>
    <w:p>
      <w:pPr>
        <w:spacing w:after="0" w:line="477" w:lineRule="auto"/>
        <w:jc w:val="both"/>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r>
        <w:rPr/>
        <w:pict>
          <v:shape style="position:absolute;margin-left:184.923004pt;margin-top:669.700012pt;width:191pt;height:19.6pt;mso-position-horizontal-relative:page;mso-position-vertical-relative:page;z-index:-876376" type="#_x0000_t202" filled="false" stroked="false">
            <v:textbox inset="0,0,0,0">
              <w:txbxContent>
                <w:p>
                  <w:pPr>
                    <w:pStyle w:val="BodyText"/>
                    <w:spacing w:line="240" w:lineRule="auto" w:before="49"/>
                    <w:ind w:left="0" w:right="0"/>
                    <w:jc w:val="left"/>
                  </w:pPr>
                  <w:r>
                    <w:rPr/>
                    <w:t>（草案）</w:t>
                  </w:r>
                </w:p>
              </w:txbxContent>
            </v:textbox>
            <w10:wrap type="none"/>
          </v:shape>
        </w:pict>
      </w:r>
      <w:r>
        <w:rPr/>
        <w:pict>
          <v:group style="position:absolute;margin-left:218.089996pt;margin-top:669.099976pt;width:157.85pt;height:20.8pt;mso-position-horizontal-relative:page;mso-position-vertical-relative:page;z-index:-876352" coordorigin="4362,13382" coordsize="3157,416">
            <v:group style="position:absolute;left:4374;top:13394;width:2;height:392" coordorigin="4374,13394" coordsize="2,392">
              <v:shape style="position:absolute;left:4374;top:13394;width:2;height:392" coordorigin="4374,13394" coordsize="0,392" path="m4374,13394l4374,13785e" filled="false" stroked="true" strokeweight="1.2pt" strokecolor="#ffffff">
                <v:path arrowok="t"/>
              </v:shape>
            </v:group>
            <v:group style="position:absolute;left:4386;top:13394;width:3133;height:392" coordorigin="4386,13394" coordsize="3133,392">
              <v:shape style="position:absolute;left:4386;top:13394;width:3133;height:392" coordorigin="4386,13394" coordsize="3133,392" path="m4386,13785l7518,13785,7518,13394,4386,13394,4386,13785xe" filled="true" fillcolor="#ffffff" stroked="false">
                <v:path arrowok="t"/>
                <v:fill type="solid"/>
              </v:shape>
            </v:group>
            <w10:wrap type="none"/>
          </v:group>
        </w:pict>
      </w:r>
    </w:p>
    <w:p>
      <w:pPr>
        <w:spacing w:line="477" w:lineRule="auto" w:before="44"/>
        <w:ind w:left="513" w:right="344" w:firstLine="0"/>
        <w:jc w:val="left"/>
        <w:rPr>
          <w:rFonts w:ascii="宋体" w:hAnsi="宋体" w:cs="宋体" w:eastAsia="宋体" w:hint="default"/>
          <w:sz w:val="18"/>
          <w:szCs w:val="18"/>
        </w:rPr>
      </w:pPr>
      <w:r>
        <w:rPr>
          <w:rFonts w:ascii="宋体" w:hAnsi="宋体" w:cs="宋体" w:eastAsia="宋体" w:hint="default"/>
          <w:b/>
          <w:bCs/>
          <w:sz w:val="18"/>
          <w:szCs w:val="18"/>
        </w:rPr>
        <w:t>（二）截止本报告日股权激励计划实施进展</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公司已向深圳证券交易所和中国证券登记结算有限责任公司提交股权激励实施申请资料，尚未完成相关股票期权和限制</w:t>
      </w:r>
    </w:p>
    <w:p>
      <w:pPr>
        <w:pStyle w:val="BodyText"/>
        <w:spacing w:line="240" w:lineRule="auto" w:before="54"/>
        <w:ind w:right="0"/>
        <w:jc w:val="both"/>
      </w:pPr>
      <w:r>
        <w:rPr/>
        <w:t>性股票的授予登记工作。</w:t>
      </w:r>
    </w:p>
    <w:p>
      <w:pPr>
        <w:spacing w:line="240" w:lineRule="auto" w:before="10"/>
        <w:rPr>
          <w:rFonts w:ascii="宋体" w:hAnsi="宋体" w:cs="宋体" w:eastAsia="宋体" w:hint="default"/>
          <w:sz w:val="17"/>
          <w:szCs w:val="17"/>
        </w:rPr>
      </w:pPr>
    </w:p>
    <w:p>
      <w:pPr>
        <w:spacing w:line="477" w:lineRule="auto" w:before="0"/>
        <w:ind w:left="513" w:right="344" w:firstLine="0"/>
        <w:jc w:val="left"/>
        <w:rPr>
          <w:rFonts w:ascii="宋体" w:hAnsi="宋体" w:cs="宋体" w:eastAsia="宋体" w:hint="default"/>
          <w:sz w:val="18"/>
          <w:szCs w:val="18"/>
        </w:rPr>
      </w:pPr>
      <w:r>
        <w:rPr>
          <w:rFonts w:ascii="宋体" w:hAnsi="宋体" w:cs="宋体" w:eastAsia="宋体" w:hint="default"/>
          <w:b/>
          <w:bCs/>
          <w:sz w:val="18"/>
          <w:szCs w:val="18"/>
        </w:rPr>
        <w:t>（三）实施股权激励计划对公司本报告期及以后年度财务状况和经营成果的影响</w:t>
      </w:r>
      <w:r>
        <w:rPr>
          <w:rFonts w:ascii="宋体" w:hAnsi="宋体" w:cs="宋体" w:eastAsia="宋体" w:hint="default"/>
          <w:b/>
          <w:bCs/>
          <w:w w:val="99"/>
          <w:sz w:val="18"/>
          <w:szCs w:val="18"/>
        </w:rPr>
        <w:t> </w:t>
      </w:r>
      <w:r>
        <w:rPr>
          <w:rFonts w:ascii="宋体" w:hAnsi="宋体" w:cs="宋体" w:eastAsia="宋体" w:hint="default"/>
          <w:spacing w:val="-2"/>
          <w:sz w:val="18"/>
          <w:szCs w:val="18"/>
        </w:rPr>
        <w:t>根据《企业会计准则第</w:t>
      </w:r>
      <w:r>
        <w:rPr>
          <w:rFonts w:ascii="宋体" w:hAnsi="宋体" w:cs="宋体" w:eastAsia="宋体" w:hint="default"/>
          <w:spacing w:val="-2"/>
          <w:sz w:val="18"/>
          <w:szCs w:val="18"/>
        </w:rPr>
        <w:t>11</w:t>
      </w:r>
      <w:r>
        <w:rPr>
          <w:rFonts w:ascii="宋体" w:hAnsi="宋体" w:cs="宋体" w:eastAsia="宋体" w:hint="default"/>
          <w:spacing w:val="-2"/>
          <w:sz w:val="18"/>
          <w:szCs w:val="18"/>
        </w:rPr>
        <w:t>号——股份支付》和《企业会计准则第</w:t>
      </w:r>
      <w:r>
        <w:rPr>
          <w:rFonts w:ascii="宋体" w:hAnsi="宋体" w:cs="宋体" w:eastAsia="宋体" w:hint="default"/>
          <w:spacing w:val="-2"/>
          <w:sz w:val="18"/>
          <w:szCs w:val="18"/>
        </w:rPr>
        <w:t>22</w:t>
      </w:r>
      <w:r>
        <w:rPr>
          <w:rFonts w:ascii="宋体" w:hAnsi="宋体" w:cs="宋体" w:eastAsia="宋体" w:hint="default"/>
          <w:spacing w:val="-2"/>
          <w:sz w:val="18"/>
          <w:szCs w:val="18"/>
        </w:rPr>
        <w:t>号——金融工具确认和计量》中关于公允价值确定的</w:t>
      </w:r>
    </w:p>
    <w:p>
      <w:pPr>
        <w:pStyle w:val="BodyText"/>
        <w:spacing w:line="477" w:lineRule="auto" w:before="54"/>
        <w:ind w:right="351"/>
        <w:jc w:val="both"/>
      </w:pPr>
      <w:r>
        <w:rPr>
          <w:spacing w:val="-2"/>
        </w:rPr>
        <w:t>相关规定，企业需要选择适当的估值模型对股票期权与限制性股票的公允价值进行计算。公司本次激励计划股票期权与限制</w:t>
      </w:r>
      <w:r>
        <w:rPr>
          <w:spacing w:val="-63"/>
        </w:rPr>
        <w:t> </w:t>
      </w:r>
      <w:r>
        <w:rPr>
          <w:spacing w:val="-63"/>
        </w:rPr>
      </w:r>
      <w:r>
        <w:rPr/>
        <w:t>性股票的授予对公司相关年度的财务状况和经营成果将产生一定的影响。董事会已确定激励计划的首次授予日为</w:t>
      </w:r>
      <w:r>
        <w:rPr>
          <w:rFonts w:ascii="宋体" w:hAnsi="宋体" w:cs="宋体" w:eastAsia="宋体" w:hint="default"/>
        </w:rPr>
        <w:t>2013</w:t>
      </w:r>
      <w:r>
        <w:rPr/>
        <w:t>年</w:t>
      </w:r>
      <w:r>
        <w:rPr>
          <w:rFonts w:ascii="宋体" w:hAnsi="宋体" w:cs="宋体" w:eastAsia="宋体" w:hint="default"/>
        </w:rPr>
        <w:t>3</w:t>
      </w:r>
      <w:r>
        <w:rPr/>
        <w:t>月</w:t>
      </w:r>
      <w:r>
        <w:rPr>
          <w:spacing w:val="-84"/>
        </w:rPr>
        <w:t> </w:t>
      </w:r>
      <w:r>
        <w:rPr>
          <w:rFonts w:ascii="宋体" w:hAnsi="宋体" w:cs="宋体" w:eastAsia="宋体" w:hint="default"/>
        </w:rPr>
        <w:t>18</w:t>
      </w:r>
      <w:r>
        <w:rPr/>
        <w:t>日，根据授予日股票期权与限制性股票的公允价值总额分别确认股票期权与限制性股票激励成本。</w:t>
      </w:r>
    </w:p>
    <w:p>
      <w:pPr>
        <w:pStyle w:val="BodyText"/>
        <w:spacing w:line="477" w:lineRule="auto" w:before="55"/>
        <w:ind w:right="344" w:firstLine="360"/>
        <w:jc w:val="left"/>
      </w:pPr>
      <w:r>
        <w:rPr/>
        <w:t>经测算，预计未来四年股票期权与限制性股票激励成本合计为</w:t>
      </w:r>
      <w:r>
        <w:rPr>
          <w:rFonts w:ascii="宋体" w:hAnsi="宋体" w:cs="宋体" w:eastAsia="宋体" w:hint="default"/>
        </w:rPr>
        <w:t>1,496.94</w:t>
      </w:r>
      <w:r>
        <w:rPr/>
        <w:t>万元，则</w:t>
      </w:r>
      <w:r>
        <w:rPr>
          <w:rFonts w:ascii="宋体" w:hAnsi="宋体" w:cs="宋体" w:eastAsia="宋体" w:hint="default"/>
        </w:rPr>
        <w:t>2013</w:t>
      </w:r>
      <w:r>
        <w:rPr/>
        <w:t>年</w:t>
      </w:r>
      <w:r>
        <w:rPr>
          <w:rFonts w:ascii="宋体" w:hAnsi="宋体" w:cs="宋体" w:eastAsia="宋体" w:hint="default"/>
        </w:rPr>
        <w:t>-2016</w:t>
      </w:r>
      <w:r>
        <w:rPr/>
        <w:t>年股票期权与限制性股票 成本摊销情况见下表：</w:t>
      </w:r>
    </w:p>
    <w:p>
      <w:pPr>
        <w:spacing w:line="240" w:lineRule="auto" w:before="5"/>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971"/>
        <w:gridCol w:w="1971"/>
        <w:gridCol w:w="1971"/>
        <w:gridCol w:w="1973"/>
        <w:gridCol w:w="1970"/>
      </w:tblGrid>
      <w:tr>
        <w:trPr>
          <w:trHeight w:val="437" w:hRule="exact"/>
        </w:trPr>
        <w:tc>
          <w:tcPr>
            <w:tcW w:w="1971" w:type="dxa"/>
            <w:tcBorders>
              <w:top w:val="single" w:sz="8" w:space="0" w:color="000000"/>
              <w:left w:val="single" w:sz="8" w:space="0" w:color="000000"/>
              <w:bottom w:val="single" w:sz="12" w:space="0" w:color="000000"/>
              <w:right w:val="single" w:sz="12" w:space="0" w:color="000000"/>
            </w:tcBorders>
            <w:shd w:val="clear" w:color="auto" w:fill="BEBEBE"/>
          </w:tcPr>
          <w:p>
            <w:pPr>
              <w:pStyle w:val="TableParagraph"/>
              <w:spacing w:line="240" w:lineRule="auto" w:before="58"/>
              <w:ind w:left="2" w:right="-36"/>
              <w:jc w:val="center"/>
              <w:rPr>
                <w:rFonts w:ascii="宋体" w:hAnsi="宋体" w:cs="宋体" w:eastAsia="宋体" w:hint="default"/>
                <w:sz w:val="18"/>
                <w:szCs w:val="18"/>
              </w:rPr>
            </w:pPr>
            <w:r>
              <w:rPr>
                <w:rFonts w:ascii="宋体" w:hAnsi="宋体" w:cs="宋体" w:eastAsia="宋体" w:hint="default"/>
                <w:sz w:val="18"/>
                <w:szCs w:val="18"/>
              </w:rPr>
              <w:t>需摊销的总费用（万元）</w:t>
            </w:r>
          </w:p>
        </w:tc>
        <w:tc>
          <w:tcPr>
            <w:tcW w:w="1971" w:type="dxa"/>
            <w:tcBorders>
              <w:top w:val="single" w:sz="8" w:space="0" w:color="000000"/>
              <w:left w:val="single" w:sz="12" w:space="0" w:color="000000"/>
              <w:bottom w:val="single" w:sz="12" w:space="0" w:color="000000"/>
              <w:right w:val="single" w:sz="12" w:space="0" w:color="000000"/>
            </w:tcBorders>
            <w:shd w:val="clear" w:color="auto" w:fill="BEBEBE"/>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年（万元）</w:t>
            </w:r>
          </w:p>
        </w:tc>
        <w:tc>
          <w:tcPr>
            <w:tcW w:w="1971" w:type="dxa"/>
            <w:tcBorders>
              <w:top w:val="single" w:sz="8" w:space="0" w:color="000000"/>
              <w:left w:val="single" w:sz="12" w:space="0" w:color="000000"/>
              <w:bottom w:val="single" w:sz="12" w:space="0" w:color="000000"/>
              <w:right w:val="single" w:sz="12" w:space="0" w:color="000000"/>
            </w:tcBorders>
            <w:shd w:val="clear" w:color="auto" w:fill="BEBEBE"/>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年（万元）</w:t>
            </w:r>
          </w:p>
        </w:tc>
        <w:tc>
          <w:tcPr>
            <w:tcW w:w="1973" w:type="dxa"/>
            <w:tcBorders>
              <w:top w:val="single" w:sz="8" w:space="0" w:color="000000"/>
              <w:left w:val="single" w:sz="12" w:space="0" w:color="000000"/>
              <w:bottom w:val="single" w:sz="12" w:space="0" w:color="000000"/>
              <w:right w:val="single" w:sz="12" w:space="0" w:color="000000"/>
            </w:tcBorders>
            <w:shd w:val="clear" w:color="auto" w:fill="BEBEBE"/>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年（万元）</w:t>
            </w:r>
          </w:p>
        </w:tc>
        <w:tc>
          <w:tcPr>
            <w:tcW w:w="1970" w:type="dxa"/>
            <w:tcBorders>
              <w:top w:val="single" w:sz="8" w:space="0" w:color="000000"/>
              <w:left w:val="single" w:sz="12" w:space="0" w:color="000000"/>
              <w:bottom w:val="single" w:sz="12" w:space="0" w:color="000000"/>
              <w:right w:val="single" w:sz="12" w:space="0" w:color="000000"/>
            </w:tcBorders>
            <w:shd w:val="clear" w:color="auto" w:fill="BEBEBE"/>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年（万元）</w:t>
            </w:r>
          </w:p>
        </w:tc>
      </w:tr>
      <w:tr>
        <w:trPr>
          <w:trHeight w:val="432" w:hRule="exact"/>
        </w:trPr>
        <w:tc>
          <w:tcPr>
            <w:tcW w:w="1971"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1,496.94</w:t>
            </w:r>
          </w:p>
        </w:tc>
        <w:tc>
          <w:tcPr>
            <w:tcW w:w="19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6"/>
              <w:jc w:val="center"/>
              <w:rPr>
                <w:rFonts w:ascii="宋体" w:hAnsi="宋体" w:cs="宋体" w:eastAsia="宋体" w:hint="default"/>
                <w:sz w:val="18"/>
                <w:szCs w:val="18"/>
              </w:rPr>
            </w:pPr>
            <w:r>
              <w:rPr>
                <w:rFonts w:ascii="宋体"/>
                <w:sz w:val="18"/>
              </w:rPr>
              <w:t>654.91</w:t>
            </w:r>
          </w:p>
        </w:tc>
        <w:tc>
          <w:tcPr>
            <w:tcW w:w="19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536.40</w:t>
            </w:r>
          </w:p>
        </w:tc>
        <w:tc>
          <w:tcPr>
            <w:tcW w:w="19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255.73</w:t>
            </w:r>
          </w:p>
        </w:tc>
        <w:tc>
          <w:tcPr>
            <w:tcW w:w="19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sz w:val="18"/>
              </w:rPr>
              <w:t>49.90</w:t>
            </w:r>
          </w:p>
        </w:tc>
      </w:tr>
    </w:tbl>
    <w:p>
      <w:pPr>
        <w:spacing w:line="240" w:lineRule="auto" w:before="2"/>
        <w:rPr>
          <w:rFonts w:ascii="宋体" w:hAnsi="宋体" w:cs="宋体" w:eastAsia="宋体" w:hint="default"/>
          <w:sz w:val="27"/>
          <w:szCs w:val="27"/>
        </w:rPr>
      </w:pPr>
    </w:p>
    <w:p>
      <w:pPr>
        <w:pStyle w:val="BodyText"/>
        <w:spacing w:line="477" w:lineRule="auto" w:before="44"/>
        <w:ind w:right="353" w:firstLine="300"/>
        <w:jc w:val="both"/>
      </w:pPr>
      <w:r>
        <w:rPr>
          <w:spacing w:val="-1"/>
        </w:rPr>
        <w:t>本计划股票期权与限制性股票的成本将在经常性损益中列支。本次股票期权与限制性股票激励计划在行权和解锁期内实</w:t>
      </w:r>
      <w:r>
        <w:rPr/>
        <w:t> </w:t>
      </w:r>
      <w:r>
        <w:rPr>
          <w:spacing w:val="-2"/>
        </w:rPr>
        <w:t>际行权和解锁数量可能发生变动，期权和限制性股票的实际成本可能会与以上数据存在差异（由于存在业绩考核不达标或在</w:t>
      </w:r>
      <w:r>
        <w:rPr>
          <w:spacing w:val="-64"/>
        </w:rPr>
        <w:t> </w:t>
      </w:r>
      <w:r>
        <w:rPr>
          <w:spacing w:val="-64"/>
        </w:rPr>
      </w:r>
      <w:r>
        <w:rPr>
          <w:spacing w:val="-2"/>
        </w:rPr>
        <w:t>股票期权和限制性股票的等待期内激励对象离职等情况，获授股票期权和限制性股票可能有部分最终不能行权和解锁，实际</w:t>
      </w:r>
      <w:r>
        <w:rPr>
          <w:spacing w:val="-64"/>
        </w:rPr>
        <w:t> </w:t>
      </w:r>
      <w:r>
        <w:rPr>
          <w:spacing w:val="-64"/>
        </w:rPr>
      </w:r>
      <w:r>
        <w:rPr>
          <w:spacing w:val="-2"/>
        </w:rPr>
        <w:t>总成本可能会小于本次测算的成本），上述对公司财务状况和经营成果的影响仅为测算数据，应以会计师事务所出具的年度</w:t>
      </w:r>
      <w:r>
        <w:rPr>
          <w:spacing w:val="-66"/>
        </w:rPr>
        <w:t> </w:t>
      </w:r>
      <w:r>
        <w:rPr>
          <w:spacing w:val="-66"/>
        </w:rPr>
      </w:r>
      <w:r>
        <w:rPr/>
        <w:t>审计报告为准。</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BodyText"/>
        <w:spacing w:line="240" w:lineRule="auto"/>
        <w:ind w:right="344"/>
        <w:jc w:val="left"/>
      </w:pPr>
      <w:r>
        <w:rPr/>
        <w:t>股权激励事项临时报告披露网站查询</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第二届董事会第十四次会议决议公告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7"/>
              <w:jc w:val="left"/>
              <w:rPr>
                <w:rFonts w:ascii="Times New Roman" w:hAnsi="Times New Roman" w:cs="Times New Roman" w:eastAsia="Times New Roman" w:hint="default"/>
                <w:sz w:val="18"/>
                <w:szCs w:val="18"/>
              </w:rPr>
            </w:pPr>
            <w:hyperlink r:id="rId16">
              <w:r>
                <w:rPr>
                  <w:rFonts w:ascii="Times New Roman"/>
                  <w:spacing w:val="-1"/>
                  <w:sz w:val="18"/>
                </w:rPr>
                <w:t>http://www.cninfo.com.cn/finalpage/2012-</w:t>
              </w:r>
            </w:hyperlink>
            <w:r>
              <w:rPr>
                <w:rFonts w:ascii="Times New Roman"/>
                <w:spacing w:val="-23"/>
                <w:sz w:val="18"/>
              </w:rPr>
              <w:t> </w:t>
            </w:r>
            <w:r>
              <w:rPr>
                <w:rFonts w:ascii="Times New Roman"/>
                <w:spacing w:val="-23"/>
                <w:sz w:val="18"/>
              </w:rPr>
            </w:r>
            <w:r>
              <w:rPr>
                <w:rFonts w:ascii="Times New Roman"/>
                <w:sz w:val="18"/>
              </w:rPr>
              <w:t>12-14/61907580.PDF</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独立董事关于公司股票期权与限制性股 票激励计划（草案）的独立意见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7"/>
              <w:jc w:val="left"/>
              <w:rPr>
                <w:rFonts w:ascii="Times New Roman" w:hAnsi="Times New Roman" w:cs="Times New Roman" w:eastAsia="Times New Roman" w:hint="default"/>
                <w:sz w:val="18"/>
                <w:szCs w:val="18"/>
              </w:rPr>
            </w:pPr>
            <w:hyperlink r:id="rId16">
              <w:r>
                <w:rPr>
                  <w:rFonts w:ascii="Times New Roman"/>
                  <w:spacing w:val="-1"/>
                  <w:sz w:val="18"/>
                </w:rPr>
                <w:t>http://www.cninfo.com.cn/finalpage/2012-</w:t>
              </w:r>
            </w:hyperlink>
            <w:r>
              <w:rPr>
                <w:rFonts w:ascii="Times New Roman"/>
                <w:spacing w:val="-23"/>
                <w:sz w:val="18"/>
              </w:rPr>
              <w:t> </w:t>
            </w:r>
            <w:r>
              <w:rPr>
                <w:rFonts w:ascii="Times New Roman"/>
                <w:spacing w:val="-23"/>
                <w:sz w:val="18"/>
              </w:rPr>
            </w:r>
            <w:r>
              <w:rPr>
                <w:rFonts w:ascii="Times New Roman"/>
                <w:sz w:val="18"/>
              </w:rPr>
              <w:t>12-14/61907582.PDF</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第二届监事会第十一次会议决议公告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7"/>
              <w:jc w:val="left"/>
              <w:rPr>
                <w:rFonts w:ascii="Times New Roman" w:hAnsi="Times New Roman" w:cs="Times New Roman" w:eastAsia="Times New Roman" w:hint="default"/>
                <w:sz w:val="18"/>
                <w:szCs w:val="18"/>
              </w:rPr>
            </w:pPr>
            <w:hyperlink r:id="rId16">
              <w:r>
                <w:rPr>
                  <w:rFonts w:ascii="Times New Roman"/>
                  <w:spacing w:val="-1"/>
                  <w:sz w:val="18"/>
                </w:rPr>
                <w:t>http://www.cninfo.com.cn/finalpage/2012-</w:t>
              </w:r>
            </w:hyperlink>
            <w:r>
              <w:rPr>
                <w:rFonts w:ascii="Times New Roman"/>
                <w:spacing w:val="-23"/>
                <w:sz w:val="18"/>
              </w:rPr>
              <w:t> </w:t>
            </w:r>
            <w:r>
              <w:rPr>
                <w:rFonts w:ascii="Times New Roman"/>
                <w:spacing w:val="-23"/>
                <w:sz w:val="18"/>
              </w:rPr>
            </w:r>
            <w:r>
              <w:rPr>
                <w:rFonts w:ascii="Times New Roman"/>
                <w:sz w:val="18"/>
              </w:rPr>
              <w:t>12-14/61907581.PDF</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7"/>
              <w:jc w:val="left"/>
              <w:rPr>
                <w:rFonts w:ascii="Times New Roman" w:hAnsi="Times New Roman" w:cs="Times New Roman" w:eastAsia="Times New Roman" w:hint="default"/>
                <w:sz w:val="18"/>
                <w:szCs w:val="18"/>
              </w:rPr>
            </w:pPr>
            <w:hyperlink r:id="rId16">
              <w:r>
                <w:rPr>
                  <w:rFonts w:ascii="Times New Roman"/>
                  <w:spacing w:val="-1"/>
                  <w:sz w:val="18"/>
                </w:rPr>
                <w:t>http://www.cninfo.com.cn/finalpage/2012-</w:t>
              </w:r>
            </w:hyperlink>
            <w:r>
              <w:rPr>
                <w:rFonts w:ascii="Times New Roman"/>
                <w:spacing w:val="-23"/>
                <w:sz w:val="18"/>
              </w:rPr>
              <w:t> </w:t>
            </w:r>
            <w:r>
              <w:rPr>
                <w:rFonts w:ascii="Times New Roman"/>
                <w:spacing w:val="-23"/>
                <w:sz w:val="18"/>
              </w:rPr>
            </w:r>
            <w:r>
              <w:rPr>
                <w:rFonts w:ascii="Times New Roman"/>
                <w:sz w:val="18"/>
              </w:rPr>
              <w:t>12-14/61907578.PDF</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股权激励对象名单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7"/>
              <w:jc w:val="left"/>
              <w:rPr>
                <w:rFonts w:ascii="Times New Roman" w:hAnsi="Times New Roman" w:cs="Times New Roman" w:eastAsia="Times New Roman" w:hint="default"/>
                <w:sz w:val="18"/>
                <w:szCs w:val="18"/>
              </w:rPr>
            </w:pPr>
            <w:hyperlink r:id="rId16">
              <w:r>
                <w:rPr>
                  <w:rFonts w:ascii="Times New Roman"/>
                  <w:spacing w:val="-1"/>
                  <w:sz w:val="18"/>
                </w:rPr>
                <w:t>http://www.cninfo.com.cn/finalpage/2012-</w:t>
              </w:r>
            </w:hyperlink>
            <w:r>
              <w:rPr>
                <w:rFonts w:ascii="Times New Roman"/>
                <w:spacing w:val="-23"/>
                <w:sz w:val="18"/>
              </w:rPr>
              <w:t> </w:t>
            </w:r>
            <w:r>
              <w:rPr>
                <w:rFonts w:ascii="Times New Roman"/>
                <w:spacing w:val="-23"/>
                <w:sz w:val="18"/>
              </w:rPr>
            </w:r>
            <w:r>
              <w:rPr>
                <w:rFonts w:ascii="Times New Roman"/>
                <w:sz w:val="18"/>
              </w:rPr>
              <w:t>12-14/61907584.PDF</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股票期权与限制性股票激励计划实施考 核管理办法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7"/>
              <w:jc w:val="left"/>
              <w:rPr>
                <w:rFonts w:ascii="Times New Roman" w:hAnsi="Times New Roman" w:cs="Times New Roman" w:eastAsia="Times New Roman" w:hint="default"/>
                <w:sz w:val="18"/>
                <w:szCs w:val="18"/>
              </w:rPr>
            </w:pPr>
            <w:hyperlink r:id="rId16">
              <w:r>
                <w:rPr>
                  <w:rFonts w:ascii="Times New Roman"/>
                  <w:spacing w:val="-1"/>
                  <w:sz w:val="18"/>
                </w:rPr>
                <w:t>http://www.cninfo.com.cn/finalpage/2012-</w:t>
              </w:r>
            </w:hyperlink>
            <w:r>
              <w:rPr>
                <w:rFonts w:ascii="Times New Roman"/>
                <w:spacing w:val="-23"/>
                <w:sz w:val="18"/>
              </w:rPr>
              <w:t> </w:t>
            </w:r>
            <w:r>
              <w:rPr>
                <w:rFonts w:ascii="Times New Roman"/>
                <w:spacing w:val="-23"/>
                <w:sz w:val="18"/>
              </w:rPr>
            </w:r>
            <w:r>
              <w:rPr>
                <w:rFonts w:ascii="Times New Roman"/>
                <w:sz w:val="18"/>
              </w:rPr>
              <w:t>12-14/61907583.PDF</w:t>
            </w:r>
          </w:p>
        </w:tc>
      </w:tr>
    </w:tbl>
    <w:p>
      <w:pPr>
        <w:spacing w:after="0" w:line="362" w:lineRule="auto"/>
        <w:jc w:val="left"/>
        <w:rPr>
          <w:rFonts w:ascii="Times New Roman" w:hAnsi="Times New Roman" w:cs="Times New Roman" w:eastAsia="Times New Roman" w:hint="default"/>
          <w:sz w:val="18"/>
          <w:szCs w:val="18"/>
        </w:rPr>
        <w:sectPr>
          <w:pgSz w:w="11910" w:h="16840"/>
          <w:pgMar w:header="772" w:footer="1006" w:top="1080" w:bottom="1200" w:left="980" w:right="780"/>
        </w:sectPr>
      </w:pPr>
    </w:p>
    <w:p>
      <w:pPr>
        <w:spacing w:line="240" w:lineRule="auto" w:before="0"/>
        <w:rPr>
          <w:rFonts w:ascii="Times New Roman" w:hAnsi="Times New Roman" w:cs="Times New Roman" w:eastAsia="Times New Roman" w:hint="default"/>
          <w:sz w:val="20"/>
          <w:szCs w:val="20"/>
        </w:rPr>
      </w:pPr>
      <w:r>
        <w:rPr/>
        <w:pict>
          <v:shape style="position:absolute;margin-left:184.923004pt;margin-top:77.705605pt;width:191pt;height:22.2pt;mso-position-horizontal-relative:page;mso-position-vertical-relative:page;z-index:-876328" type="#_x0000_t202" filled="false" stroked="false">
            <v:textbox inset="0,0,0,0">
              <w:txbxContent>
                <w:p>
                  <w:pPr>
                    <w:pStyle w:val="BodyText"/>
                    <w:spacing w:line="180" w:lineRule="exact"/>
                    <w:ind w:left="0" w:right="0"/>
                    <w:jc w:val="left"/>
                  </w:pPr>
                  <w:r>
                    <w:rPr/>
                    <w:t>（草案）</w:t>
                  </w:r>
                </w:p>
              </w:txbxContent>
            </v:textbox>
            <w10:wrap type="none"/>
          </v:shape>
        </w:pict>
      </w:r>
      <w:r>
        <w:rPr/>
        <w:pict>
          <v:group style="position:absolute;margin-left:218.089996pt;margin-top:72.47998pt;width:159.050pt;height:28pt;mso-position-horizontal-relative:page;mso-position-vertical-relative:page;z-index:-876304" coordorigin="4362,1450" coordsize="3181,560">
            <v:group style="position:absolute;left:4362;top:1450;width:3181;height:156" coordorigin="4362,1450" coordsize="3181,156">
              <v:shape style="position:absolute;left:4362;top:1450;width:3181;height:156" coordorigin="4362,1450" coordsize="3181,156" path="m4362,1606l7542,1606,7542,1450,4362,1450,4362,1606xe" filled="true" fillcolor="#ffffff" stroked="false">
                <v:path arrowok="t"/>
                <v:fill type="solid"/>
              </v:shape>
            </v:group>
            <v:group style="position:absolute;left:4374;top:1606;width:2;height:392" coordorigin="4374,1606" coordsize="2,392">
              <v:shape style="position:absolute;left:4374;top:1606;width:2;height:392" coordorigin="4374,1606" coordsize="0,392" path="m4374,1606l4374,1997e" filled="false" stroked="true" strokeweight="1.2pt" strokecolor="#ffffff">
                <v:path arrowok="t"/>
              </v:shape>
            </v:group>
            <v:group style="position:absolute;left:4386;top:1606;width:3133;height:392" coordorigin="4386,1606" coordsize="3133,392">
              <v:shape style="position:absolute;left:4386;top:1606;width:3133;height:392" coordorigin="4386,1606" coordsize="3133,392" path="m4386,1997l7518,1997,7518,1606,4386,1606,4386,1997xe" filled="true" fillcolor="#ffffff" stroked="false">
                <v:path arrowok="t"/>
                <v:fill type="solid"/>
              </v:shape>
            </v:group>
            <w10:wrap type="none"/>
          </v:group>
        </w:pict>
      </w:r>
    </w:p>
    <w:p>
      <w:pPr>
        <w:spacing w:line="240" w:lineRule="auto" w:before="1"/>
        <w:rPr>
          <w:rFonts w:ascii="Times New Roman" w:hAnsi="Times New Roman" w:cs="Times New Roman" w:eastAsia="Times New Roman" w:hint="default"/>
          <w:sz w:val="10"/>
          <w:szCs w:val="10"/>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36"/>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 摘要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7"/>
              <w:jc w:val="left"/>
              <w:rPr>
                <w:rFonts w:ascii="Times New Roman" w:hAnsi="Times New Roman" w:cs="Times New Roman" w:eastAsia="Times New Roman" w:hint="default"/>
                <w:sz w:val="18"/>
                <w:szCs w:val="18"/>
              </w:rPr>
            </w:pPr>
            <w:hyperlink r:id="rId16">
              <w:r>
                <w:rPr>
                  <w:rFonts w:ascii="Times New Roman"/>
                  <w:spacing w:val="-1"/>
                  <w:sz w:val="18"/>
                </w:rPr>
                <w:t>http://www.cninfo.com.cn/finalpage/2012-</w:t>
              </w:r>
            </w:hyperlink>
            <w:r>
              <w:rPr>
                <w:rFonts w:ascii="Times New Roman"/>
                <w:spacing w:val="-23"/>
                <w:sz w:val="18"/>
              </w:rPr>
              <w:t> </w:t>
            </w:r>
            <w:r>
              <w:rPr>
                <w:rFonts w:ascii="Times New Roman"/>
                <w:spacing w:val="-23"/>
                <w:sz w:val="18"/>
              </w:rPr>
            </w:r>
            <w:r>
              <w:rPr>
                <w:rFonts w:ascii="Times New Roman"/>
                <w:sz w:val="18"/>
              </w:rPr>
              <w:t>12-14/61907579.PDF</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上海荣正投资咨询有限公司关于股票期 权与限制性股票激励计划（草案）之独 立财务顾问报告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0" w:lineRule="auto"/>
              <w:ind w:left="23" w:right="77"/>
              <w:jc w:val="left"/>
              <w:rPr>
                <w:rFonts w:ascii="Times New Roman" w:hAnsi="Times New Roman" w:cs="Times New Roman" w:eastAsia="Times New Roman" w:hint="default"/>
                <w:sz w:val="18"/>
                <w:szCs w:val="18"/>
              </w:rPr>
            </w:pPr>
            <w:hyperlink r:id="rId16">
              <w:r>
                <w:rPr>
                  <w:rFonts w:ascii="Times New Roman"/>
                  <w:spacing w:val="-1"/>
                  <w:sz w:val="18"/>
                </w:rPr>
                <w:t>http://www.cninfo.com.cn/finalpage/2012-</w:t>
              </w:r>
            </w:hyperlink>
            <w:r>
              <w:rPr>
                <w:rFonts w:ascii="Times New Roman"/>
                <w:spacing w:val="-23"/>
                <w:sz w:val="18"/>
              </w:rPr>
              <w:t> </w:t>
            </w:r>
            <w:r>
              <w:rPr>
                <w:rFonts w:ascii="Times New Roman"/>
                <w:spacing w:val="-23"/>
                <w:sz w:val="18"/>
              </w:rPr>
            </w:r>
            <w:r>
              <w:rPr>
                <w:rFonts w:ascii="Times New Roman"/>
                <w:sz w:val="18"/>
              </w:rPr>
              <w:t>12-14/61907585.PDF</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关于股票期权与限制性股票激励计划</w:t>
            </w:r>
          </w:p>
          <w:p>
            <w:pPr>
              <w:pStyle w:val="TableParagraph"/>
              <w:spacing w:line="316" w:lineRule="auto" w:before="76"/>
              <w:ind w:left="24" w:right="96"/>
              <w:jc w:val="left"/>
              <w:rPr>
                <w:rFonts w:ascii="宋体" w:hAnsi="宋体" w:cs="宋体" w:eastAsia="宋体" w:hint="default"/>
                <w:sz w:val="18"/>
                <w:szCs w:val="18"/>
              </w:rPr>
            </w:pPr>
            <w:r>
              <w:rPr>
                <w:rFonts w:ascii="宋体" w:hAnsi="宋体" w:cs="宋体" w:eastAsia="宋体" w:hint="default"/>
                <w:sz w:val="18"/>
                <w:szCs w:val="18"/>
              </w:rPr>
              <w:t>（草案）获得中国证监会备案无异议的 公告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02-05/62108905.PDF</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年第一次临时股东大会的 通知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02-07/62120319.PDF</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独立董事公开征集委托投票权报告书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02-07/62120320.PDF</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股票期权与限制性股票激励计划（草案 修订稿）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02-07/62120312.PDF</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独立董事关于公司股票期权与限制性股 票激励计划（草案修订稿）的独立意见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02-07/62120317.PDF</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北京金诚同达律师事务所关于公司股票 期权与限制性股票激励计划（草案修订 稿）的法律意见书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0" w:lineRule="auto"/>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02-07/62120318.PDF</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股票期权与限制性股票激励计划激励对 象名单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02-07/62120314.PDF</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第二届董事会第十六次会议决议公告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4"/>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02-07/62120315.PDF</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第二届监事会第十二次会议决议公告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02-07/62120316.PDF</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股票期权与限制性股票激励计划实施考 核管理办法（修订稿）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02-07/62120311.PDF</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上海荣正投资咨询有限公司关于公司股 票期权与限制性股票激励计划（草案修 订稿）之独立财务顾问报告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02-07/62120310.PDF</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股票期权与限制性股票激励计划（草案 修订稿）摘要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02-07/62120313.PDF</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年第一次临时股东大会的法律意见 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02-26/62151488.PDF</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02-26/62151487.PDF</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关于股票期权与限制性股票激励计划首 次授予有关事项的公告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03-20/62231473.PDF</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北京金诚同达律师事务所关于公司股票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hyperlink r:id="rId17">
              <w:r>
                <w:rPr>
                  <w:rFonts w:ascii="Times New Roman"/>
                  <w:sz w:val="18"/>
                </w:rPr>
                <w:t>http://www.cninfo.com.cn/finalpage/2013-</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67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96"/>
              <w:jc w:val="left"/>
              <w:rPr>
                <w:rFonts w:ascii="宋体" w:hAnsi="宋体" w:cs="宋体" w:eastAsia="宋体" w:hint="default"/>
                <w:sz w:val="18"/>
                <w:szCs w:val="18"/>
              </w:rPr>
            </w:pPr>
            <w:r>
              <w:rPr>
                <w:rFonts w:ascii="宋体" w:hAnsi="宋体" w:cs="宋体" w:eastAsia="宋体" w:hint="default"/>
                <w:sz w:val="18"/>
                <w:szCs w:val="18"/>
              </w:rPr>
              <w:t>期权与限制性股票激励计划所涉股票期 权及限制性股票首次授予的法律意见书</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03-20/62231475.PDF</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独立董事关于股票期权与限制性股票激 励计划首次授予相关事项的独立意见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03-20/62231474.PDF</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第二届董事会第十七次会议决议公告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03-20/62231471.PDF</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第二届监事会第十三次会议决议公告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7"/>
              <w:jc w:val="left"/>
              <w:rPr>
                <w:rFonts w:ascii="Times New Roman" w:hAnsi="Times New Roman" w:cs="Times New Roman" w:eastAsia="Times New Roman" w:hint="default"/>
                <w:sz w:val="18"/>
                <w:szCs w:val="18"/>
              </w:rPr>
            </w:pPr>
            <w:hyperlink r:id="rId17">
              <w:r>
                <w:rPr>
                  <w:rFonts w:ascii="Times New Roman"/>
                  <w:spacing w:val="-1"/>
                  <w:sz w:val="18"/>
                </w:rPr>
                <w:t>http://www.cninfo.com.cn/finalpage/2013-</w:t>
              </w:r>
            </w:hyperlink>
            <w:r>
              <w:rPr>
                <w:rFonts w:ascii="Times New Roman"/>
                <w:spacing w:val="-23"/>
                <w:sz w:val="18"/>
              </w:rPr>
              <w:t> </w:t>
            </w:r>
            <w:r>
              <w:rPr>
                <w:rFonts w:ascii="Times New Roman"/>
                <w:spacing w:val="-23"/>
                <w:sz w:val="18"/>
              </w:rPr>
            </w:r>
            <w:r>
              <w:rPr>
                <w:rFonts w:ascii="Times New Roman"/>
                <w:sz w:val="18"/>
              </w:rPr>
              <w:t>03-20/62231472.PDF</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1"/>
        <w:gridCol w:w="799"/>
        <w:gridCol w:w="794"/>
        <w:gridCol w:w="817"/>
        <w:gridCol w:w="797"/>
        <w:gridCol w:w="799"/>
        <w:gridCol w:w="797"/>
        <w:gridCol w:w="799"/>
        <w:gridCol w:w="797"/>
        <w:gridCol w:w="800"/>
        <w:gridCol w:w="797"/>
        <w:gridCol w:w="785"/>
      </w:tblGrid>
      <w:tr>
        <w:trPr>
          <w:trHeight w:val="1649"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301" w:right="29"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215"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3" w:right="33"/>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6"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35" w:right="32"/>
              <w:jc w:val="left"/>
              <w:rPr>
                <w:rFonts w:ascii="宋体" w:hAnsi="宋体" w:cs="宋体" w:eastAsia="宋体" w:hint="default"/>
                <w:sz w:val="18"/>
                <w:szCs w:val="18"/>
              </w:rPr>
            </w:pPr>
            <w:r>
              <w:rPr>
                <w:rFonts w:ascii="宋体" w:hAnsi="宋体" w:cs="宋体" w:eastAsia="宋体" w:hint="default"/>
                <w:sz w:val="18"/>
                <w:szCs w:val="18"/>
              </w:rPr>
              <w:t>对公司利 润的影响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6"/>
              <w:jc w:val="center"/>
              <w:rPr>
                <w:rFonts w:ascii="宋体" w:hAnsi="宋体" w:cs="宋体" w:eastAsia="宋体" w:hint="default"/>
                <w:sz w:val="18"/>
                <w:szCs w:val="18"/>
              </w:rPr>
            </w:pPr>
            <w:r>
              <w:rPr>
                <w:rFonts w:ascii="宋体" w:hAnsi="宋体" w:cs="宋体" w:eastAsia="宋体" w:hint="default"/>
                <w:sz w:val="18"/>
                <w:szCs w:val="18"/>
              </w:rPr>
              <w:t>交易价格 与市场参 考价格差 异较大的 原因</w:t>
            </w:r>
          </w:p>
        </w:tc>
      </w:tr>
      <w:tr>
        <w:trPr>
          <w:trHeight w:val="403" w:hRule="exact"/>
        </w:trPr>
        <w:tc>
          <w:tcPr>
            <w:tcW w:w="320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报告期内公司向关联方销售（采购）产品和提供（接受）劳务的情况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99"/>
        <w:gridCol w:w="1846"/>
        <w:gridCol w:w="1845"/>
        <w:gridCol w:w="1839"/>
        <w:gridCol w:w="1817"/>
      </w:tblGrid>
      <w:tr>
        <w:trPr>
          <w:trHeight w:val="398" w:hRule="exact"/>
        </w:trPr>
        <w:tc>
          <w:tcPr>
            <w:tcW w:w="21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6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3"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166" w:hRule="exact"/>
        </w:trPr>
        <w:tc>
          <w:tcPr>
            <w:tcW w:w="21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19"/>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2" w:right="0"/>
              <w:jc w:val="center"/>
              <w:rPr>
                <w:rFonts w:ascii="宋体" w:hAnsi="宋体" w:cs="宋体" w:eastAsia="宋体" w:hint="default"/>
                <w:sz w:val="18"/>
                <w:szCs w:val="18"/>
              </w:rPr>
            </w:pPr>
            <w:r>
              <w:rPr>
                <w:rFonts w:ascii="宋体" w:hAnsi="宋体" w:cs="宋体" w:eastAsia="宋体" w:hint="default"/>
                <w:sz w:val="18"/>
                <w:szCs w:val="18"/>
              </w:rPr>
              <w:t>占同类交易金额的比例</w:t>
            </w:r>
          </w:p>
          <w:p>
            <w:pPr>
              <w:pStyle w:val="TableParagraph"/>
              <w:spacing w:line="240" w:lineRule="auto" w:before="116"/>
              <w:ind w:left="12" w:right="0"/>
              <w:jc w:val="center"/>
              <w:rPr>
                <w:rFonts w:ascii="Times New Roman" w:hAnsi="Times New Roman" w:cs="Times New Roman" w:eastAsia="Times New Roman" w:hint="default"/>
                <w:sz w:val="18"/>
                <w:szCs w:val="18"/>
              </w:rPr>
            </w:pPr>
            <w:r>
              <w:rPr>
                <w:rFonts w:ascii="Times New Roman"/>
                <w:sz w:val="18"/>
              </w:rPr>
              <w:t>(%)</w:t>
            </w:r>
          </w:p>
        </w:tc>
        <w:tc>
          <w:tcPr>
            <w:tcW w:w="18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4"/>
              <w:ind w:left="685" w:right="85"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占同类交易金额的比 例</w:t>
            </w:r>
            <w:r>
              <w:rPr>
                <w:rFonts w:ascii="Times New Roman" w:hAnsi="Times New Roman" w:cs="Times New Roman" w:eastAsia="Times New Roman" w:hint="default"/>
                <w:sz w:val="18"/>
                <w:szCs w:val="18"/>
              </w:rPr>
              <w:t>(%)</w:t>
            </w:r>
          </w:p>
        </w:tc>
      </w:tr>
      <w:tr>
        <w:trPr>
          <w:trHeight w:val="190" w:hRule="exact"/>
        </w:trPr>
        <w:tc>
          <w:tcPr>
            <w:tcW w:w="2199" w:type="dxa"/>
            <w:vMerge/>
            <w:tcBorders>
              <w:left w:val="single" w:sz="4" w:space="0" w:color="000000"/>
              <w:bottom w:val="nil" w:sz="6" w:space="0" w:color="auto"/>
              <w:right w:val="single" w:sz="4" w:space="0" w:color="000000"/>
            </w:tcBorders>
            <w:shd w:val="clear" w:color="auto" w:fill="D2D2D2"/>
          </w:tcPr>
          <w:p>
            <w:pPr/>
          </w:p>
        </w:tc>
        <w:tc>
          <w:tcPr>
            <w:tcW w:w="18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45" w:type="dxa"/>
            <w:vMerge/>
            <w:tcBorders>
              <w:left w:val="single" w:sz="4" w:space="0" w:color="000000"/>
              <w:right w:val="single" w:sz="4" w:space="0" w:color="000000"/>
            </w:tcBorders>
            <w:shd w:val="clear" w:color="auto" w:fill="D2D2D2"/>
          </w:tcPr>
          <w:p>
            <w:pPr/>
          </w:p>
        </w:tc>
        <w:tc>
          <w:tcPr>
            <w:tcW w:w="18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0"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17" w:type="dxa"/>
            <w:vMerge/>
            <w:tcBorders>
              <w:left w:val="single" w:sz="4" w:space="0" w:color="000000"/>
              <w:right w:val="single" w:sz="4" w:space="0" w:color="000000"/>
            </w:tcBorders>
            <w:shd w:val="clear" w:color="auto" w:fill="D2D2D2"/>
          </w:tcPr>
          <w:p>
            <w:pPr/>
          </w:p>
        </w:tc>
      </w:tr>
      <w:tr>
        <w:trPr>
          <w:trHeight w:val="202" w:hRule="exact"/>
        </w:trPr>
        <w:tc>
          <w:tcPr>
            <w:tcW w:w="2199" w:type="dxa"/>
            <w:vMerge w:val="restart"/>
            <w:tcBorders>
              <w:top w:val="nil" w:sz="6" w:space="0" w:color="auto"/>
              <w:left w:val="single" w:sz="4" w:space="0" w:color="000000"/>
              <w:right w:val="single" w:sz="4" w:space="0" w:color="000000"/>
            </w:tcBorders>
            <w:shd w:val="clear" w:color="auto" w:fill="D2D2D2"/>
          </w:tcPr>
          <w:p>
            <w:pPr/>
          </w:p>
        </w:tc>
        <w:tc>
          <w:tcPr>
            <w:tcW w:w="1846" w:type="dxa"/>
            <w:vMerge/>
            <w:tcBorders>
              <w:left w:val="single" w:sz="4" w:space="0" w:color="000000"/>
              <w:bottom w:val="nil" w:sz="6" w:space="0" w:color="auto"/>
              <w:right w:val="single" w:sz="4" w:space="0" w:color="000000"/>
            </w:tcBorders>
            <w:shd w:val="clear" w:color="auto" w:fill="D2D2D2"/>
          </w:tcPr>
          <w:p>
            <w:pPr/>
          </w:p>
        </w:tc>
        <w:tc>
          <w:tcPr>
            <w:tcW w:w="1845" w:type="dxa"/>
            <w:vMerge/>
            <w:tcBorders>
              <w:left w:val="single" w:sz="4" w:space="0" w:color="000000"/>
              <w:right w:val="single" w:sz="4" w:space="0" w:color="000000"/>
            </w:tcBorders>
            <w:shd w:val="clear" w:color="auto" w:fill="D2D2D2"/>
          </w:tcPr>
          <w:p>
            <w:pPr/>
          </w:p>
        </w:tc>
        <w:tc>
          <w:tcPr>
            <w:tcW w:w="1839" w:type="dxa"/>
            <w:vMerge/>
            <w:tcBorders>
              <w:left w:val="single" w:sz="4" w:space="0" w:color="000000"/>
              <w:bottom w:val="nil" w:sz="6" w:space="0" w:color="auto"/>
              <w:right w:val="single" w:sz="4" w:space="0" w:color="000000"/>
            </w:tcBorders>
            <w:shd w:val="clear" w:color="auto" w:fill="D2D2D2"/>
          </w:tcPr>
          <w:p>
            <w:pPr/>
          </w:p>
        </w:tc>
        <w:tc>
          <w:tcPr>
            <w:tcW w:w="1817" w:type="dxa"/>
            <w:vMerge/>
            <w:tcBorders>
              <w:left w:val="single" w:sz="4" w:space="0" w:color="000000"/>
              <w:right w:val="single" w:sz="4" w:space="0" w:color="000000"/>
            </w:tcBorders>
            <w:shd w:val="clear" w:color="auto" w:fill="D2D2D2"/>
          </w:tcPr>
          <w:p>
            <w:pPr/>
          </w:p>
        </w:tc>
      </w:tr>
      <w:tr>
        <w:trPr>
          <w:trHeight w:val="161" w:hRule="exact"/>
        </w:trPr>
        <w:tc>
          <w:tcPr>
            <w:tcW w:w="2199" w:type="dxa"/>
            <w:vMerge/>
            <w:tcBorders>
              <w:left w:val="single" w:sz="4" w:space="0" w:color="000000"/>
              <w:bottom w:val="single" w:sz="4" w:space="0" w:color="000000"/>
              <w:right w:val="single" w:sz="4" w:space="0" w:color="000000"/>
            </w:tcBorders>
            <w:shd w:val="clear" w:color="auto" w:fill="D2D2D2"/>
          </w:tcPr>
          <w:p>
            <w:pPr/>
          </w:p>
        </w:tc>
        <w:tc>
          <w:tcPr>
            <w:tcW w:w="1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5"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1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其中：报告期内公司向控股股东及其子公司销售产品或提供劳务的关联交易金额万元。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1"/>
        <w:gridCol w:w="739"/>
        <w:gridCol w:w="737"/>
        <w:gridCol w:w="737"/>
        <w:gridCol w:w="737"/>
        <w:gridCol w:w="734"/>
        <w:gridCol w:w="739"/>
        <w:gridCol w:w="737"/>
        <w:gridCol w:w="737"/>
        <w:gridCol w:w="737"/>
        <w:gridCol w:w="737"/>
        <w:gridCol w:w="730"/>
        <w:gridCol w:w="732"/>
      </w:tblGrid>
      <w:tr>
        <w:trPr>
          <w:trHeight w:val="2275"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75" w:right="9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3"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3" w:right="92"/>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5"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6"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19"/>
              <w:ind w:left="24" w:right="-17"/>
              <w:jc w:val="left"/>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转让价 格与账 面价值 或评估 价值差 异较大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9" w:lineRule="auto"/>
              <w:ind w:left="93" w:right="92"/>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91" w:right="86"/>
              <w:jc w:val="both"/>
              <w:rPr>
                <w:rFonts w:ascii="宋体" w:hAnsi="宋体" w:cs="宋体" w:eastAsia="宋体" w:hint="default"/>
                <w:sz w:val="18"/>
                <w:szCs w:val="18"/>
              </w:rPr>
            </w:pPr>
            <w:r>
              <w:rPr>
                <w:rFonts w:ascii="宋体" w:hAnsi="宋体" w:cs="宋体" w:eastAsia="宋体" w:hint="default"/>
                <w:sz w:val="18"/>
                <w:szCs w:val="18"/>
              </w:rPr>
              <w:t>对公司 经营成 果与财 务状况 的影响 情况</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3" w:right="86"/>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19"/>
              <w:ind w:left="26" w:right="0"/>
              <w:jc w:val="both"/>
              <w:rPr>
                <w:rFonts w:ascii="宋体" w:hAnsi="宋体" w:cs="宋体" w:eastAsia="宋体" w:hint="default"/>
                <w:sz w:val="18"/>
                <w:szCs w:val="18"/>
              </w:rPr>
            </w:pPr>
            <w:r>
              <w:rPr>
                <w:rFonts w:ascii="宋体" w:hAnsi="宋体" w:cs="宋体" w:eastAsia="宋体" w:hint="default"/>
                <w:sz w:val="18"/>
                <w:szCs w:val="18"/>
              </w:rPr>
              <w:t>（万元）</w:t>
            </w:r>
          </w:p>
        </w:tc>
      </w:tr>
    </w:tbl>
    <w:p>
      <w:pPr>
        <w:pStyle w:val="BodyText"/>
        <w:spacing w:line="357" w:lineRule="auto" w:before="50"/>
        <w:ind w:right="1674"/>
        <w:jc w:val="left"/>
      </w:pPr>
      <w:r>
        <w:rPr/>
        <w:t>资产收购、出售发生的关联交易价格与账面价值或评估价值、市场公允价值差异较大的，应当说明原因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4"/>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1055"/>
        <w:gridCol w:w="1064"/>
        <w:gridCol w:w="1066"/>
        <w:gridCol w:w="1067"/>
        <w:gridCol w:w="1064"/>
        <w:gridCol w:w="1062"/>
        <w:gridCol w:w="1062"/>
        <w:gridCol w:w="1063"/>
        <w:gridCol w:w="1045"/>
      </w:tblGrid>
      <w:tr>
        <w:trPr>
          <w:trHeight w:val="383"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67"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6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9" w:right="0"/>
              <w:jc w:val="left"/>
              <w:rPr>
                <w:rFonts w:ascii="宋体" w:hAnsi="宋体" w:cs="宋体" w:eastAsia="宋体" w:hint="default"/>
                <w:sz w:val="18"/>
                <w:szCs w:val="18"/>
              </w:rPr>
            </w:pPr>
            <w:r>
              <w:rPr>
                <w:rFonts w:ascii="宋体" w:hAnsi="宋体" w:cs="宋体" w:eastAsia="宋体" w:hint="default"/>
                <w:sz w:val="18"/>
                <w:szCs w:val="18"/>
              </w:rPr>
              <w:t>被投资企业</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9" w:right="0"/>
              <w:jc w:val="left"/>
              <w:rPr>
                <w:rFonts w:ascii="宋体" w:hAnsi="宋体" w:cs="宋体" w:eastAsia="宋体" w:hint="default"/>
                <w:sz w:val="18"/>
                <w:szCs w:val="18"/>
              </w:rPr>
            </w:pPr>
            <w:r>
              <w:rPr>
                <w:rFonts w:ascii="宋体" w:hAnsi="宋体" w:cs="宋体" w:eastAsia="宋体" w:hint="default"/>
                <w:sz w:val="18"/>
                <w:szCs w:val="18"/>
              </w:rPr>
              <w:t>被投资企业</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5" w:right="0"/>
              <w:jc w:val="left"/>
              <w:rPr>
                <w:rFonts w:ascii="宋体" w:hAnsi="宋体" w:cs="宋体" w:eastAsia="宋体" w:hint="default"/>
                <w:sz w:val="18"/>
                <w:szCs w:val="18"/>
              </w:rPr>
            </w:pPr>
            <w:r>
              <w:rPr>
                <w:rFonts w:ascii="宋体" w:hAnsi="宋体" w:cs="宋体" w:eastAsia="宋体" w:hint="default"/>
                <w:sz w:val="18"/>
                <w:szCs w:val="18"/>
              </w:rPr>
              <w:t>被投资企业</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5" w:right="0"/>
              <w:jc w:val="left"/>
              <w:rPr>
                <w:rFonts w:ascii="宋体" w:hAnsi="宋体" w:cs="宋体" w:eastAsia="宋体" w:hint="default"/>
                <w:sz w:val="18"/>
                <w:szCs w:val="18"/>
              </w:rPr>
            </w:pPr>
            <w:r>
              <w:rPr>
                <w:rFonts w:ascii="宋体" w:hAnsi="宋体" w:cs="宋体" w:eastAsia="宋体" w:hint="default"/>
                <w:sz w:val="18"/>
                <w:szCs w:val="18"/>
              </w:rPr>
              <w:t>被投资企业</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6" w:right="0"/>
              <w:jc w:val="left"/>
              <w:rPr>
                <w:rFonts w:ascii="宋体" w:hAnsi="宋体" w:cs="宋体" w:eastAsia="宋体" w:hint="default"/>
                <w:sz w:val="18"/>
                <w:szCs w:val="18"/>
              </w:rPr>
            </w:pPr>
            <w:r>
              <w:rPr>
                <w:rFonts w:ascii="宋体" w:hAnsi="宋体" w:cs="宋体" w:eastAsia="宋体" w:hint="default"/>
                <w:sz w:val="18"/>
                <w:szCs w:val="18"/>
              </w:rPr>
              <w:t>被投资企业</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5" w:right="0"/>
              <w:jc w:val="left"/>
              <w:rPr>
                <w:rFonts w:ascii="宋体" w:hAnsi="宋体" w:cs="宋体" w:eastAsia="宋体" w:hint="default"/>
                <w:sz w:val="18"/>
                <w:szCs w:val="18"/>
              </w:rPr>
            </w:pPr>
            <w:r>
              <w:rPr>
                <w:rFonts w:ascii="宋体" w:hAnsi="宋体" w:cs="宋体" w:eastAsia="宋体" w:hint="default"/>
                <w:sz w:val="18"/>
                <w:szCs w:val="18"/>
              </w:rPr>
              <w:t>被投资企业</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4" w:right="0"/>
              <w:jc w:val="left"/>
              <w:rPr>
                <w:rFonts w:ascii="宋体" w:hAnsi="宋体" w:cs="宋体" w:eastAsia="宋体" w:hint="default"/>
                <w:sz w:val="18"/>
                <w:szCs w:val="18"/>
              </w:rPr>
            </w:pPr>
            <w:r>
              <w:rPr>
                <w:rFonts w:ascii="宋体" w:hAnsi="宋体" w:cs="宋体" w:eastAsia="宋体" w:hint="default"/>
                <w:sz w:val="18"/>
                <w:szCs w:val="18"/>
              </w:rPr>
              <w:t>被投资企业</w:t>
            </w:r>
          </w:p>
        </w:tc>
      </w:tr>
    </w:tbl>
    <w:p>
      <w:pPr>
        <w:spacing w:after="0" w:line="240" w:lineRule="auto"/>
        <w:jc w:val="left"/>
        <w:rPr>
          <w:rFonts w:ascii="宋体" w:hAnsi="宋体" w:cs="宋体" w:eastAsia="宋体"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6"/>
        <w:gridCol w:w="1066"/>
        <w:gridCol w:w="1064"/>
        <w:gridCol w:w="1063"/>
        <w:gridCol w:w="1061"/>
        <w:gridCol w:w="1064"/>
        <w:gridCol w:w="1056"/>
      </w:tblGrid>
      <w:tr>
        <w:trPr>
          <w:trHeight w:val="987"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9" w:right="0"/>
              <w:jc w:val="left"/>
              <w:rPr>
                <w:rFonts w:ascii="宋体" w:hAnsi="宋体" w:cs="宋体" w:eastAsia="宋体" w:hint="default"/>
                <w:sz w:val="18"/>
                <w:szCs w:val="18"/>
              </w:rPr>
            </w:pPr>
            <w:r>
              <w:rPr>
                <w:rFonts w:ascii="宋体" w:hAnsi="宋体" w:cs="宋体" w:eastAsia="宋体" w:hint="default"/>
                <w:sz w:val="18"/>
                <w:szCs w:val="18"/>
              </w:rPr>
              <w:t>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9" w:right="0"/>
              <w:jc w:val="left"/>
              <w:rPr>
                <w:rFonts w:ascii="宋体" w:hAnsi="宋体" w:cs="宋体" w:eastAsia="宋体" w:hint="default"/>
                <w:sz w:val="18"/>
                <w:szCs w:val="18"/>
              </w:rPr>
            </w:pPr>
            <w:r>
              <w:rPr>
                <w:rFonts w:ascii="宋体" w:hAnsi="宋体" w:cs="宋体" w:eastAsia="宋体" w:hint="default"/>
                <w:sz w:val="18"/>
                <w:szCs w:val="18"/>
              </w:rPr>
              <w:t>的主营业务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的注册资本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345" w:right="21" w:hanging="322"/>
              <w:jc w:val="left"/>
              <w:rPr>
                <w:rFonts w:ascii="宋体" w:hAnsi="宋体" w:cs="宋体" w:eastAsia="宋体" w:hint="default"/>
                <w:sz w:val="18"/>
                <w:szCs w:val="18"/>
              </w:rPr>
            </w:pPr>
            <w:r>
              <w:rPr>
                <w:rFonts w:ascii="宋体" w:hAnsi="宋体" w:cs="宋体" w:eastAsia="宋体" w:hint="default"/>
                <w:spacing w:val="-13"/>
                <w:sz w:val="18"/>
                <w:szCs w:val="18"/>
              </w:rPr>
              <w:t>的总资产（万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345" w:right="19" w:hanging="322"/>
              <w:jc w:val="left"/>
              <w:rPr>
                <w:rFonts w:ascii="宋体" w:hAnsi="宋体" w:cs="宋体" w:eastAsia="宋体" w:hint="default"/>
                <w:sz w:val="18"/>
                <w:szCs w:val="18"/>
              </w:rPr>
            </w:pPr>
            <w:r>
              <w:rPr>
                <w:rFonts w:ascii="宋体" w:hAnsi="宋体" w:cs="宋体" w:eastAsia="宋体" w:hint="default"/>
                <w:spacing w:val="-13"/>
                <w:sz w:val="18"/>
                <w:szCs w:val="18"/>
              </w:rPr>
              <w:t>的净资产（万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346" w:right="22" w:hanging="323"/>
              <w:jc w:val="left"/>
              <w:rPr>
                <w:rFonts w:ascii="宋体" w:hAnsi="宋体" w:cs="宋体" w:eastAsia="宋体" w:hint="default"/>
                <w:sz w:val="18"/>
                <w:szCs w:val="18"/>
              </w:rPr>
            </w:pPr>
            <w:r>
              <w:rPr>
                <w:rFonts w:ascii="宋体" w:hAnsi="宋体" w:cs="宋体" w:eastAsia="宋体" w:hint="default"/>
                <w:spacing w:val="-13"/>
                <w:sz w:val="18"/>
                <w:szCs w:val="18"/>
              </w:rPr>
              <w:t>的净利润（万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74" w:right="71"/>
              <w:jc w:val="center"/>
              <w:rPr>
                <w:rFonts w:ascii="宋体" w:hAnsi="宋体" w:cs="宋体" w:eastAsia="宋体" w:hint="default"/>
                <w:sz w:val="18"/>
                <w:szCs w:val="18"/>
              </w:rPr>
            </w:pPr>
            <w:r>
              <w:rPr>
                <w:rFonts w:ascii="宋体" w:hAnsi="宋体" w:cs="宋体" w:eastAsia="宋体" w:hint="default"/>
                <w:sz w:val="18"/>
                <w:szCs w:val="18"/>
              </w:rPr>
              <w:t>的重大在建 项目的进展 情况</w:t>
            </w:r>
          </w:p>
        </w:tc>
      </w:tr>
    </w:tbl>
    <w:p>
      <w:pPr>
        <w:pStyle w:val="BodyText"/>
        <w:spacing w:line="357" w:lineRule="auto" w:before="49"/>
        <w:ind w:right="6714"/>
        <w:jc w:val="left"/>
      </w:pPr>
      <w:r>
        <w:rPr/>
        <w:t>共同对外投资的重大关联交易情况说明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是否存在非经营性关联债权债务往来</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2"/>
        <w:gridCol w:w="1112"/>
        <w:gridCol w:w="648"/>
        <w:gridCol w:w="508"/>
        <w:gridCol w:w="444"/>
        <w:gridCol w:w="563"/>
        <w:gridCol w:w="509"/>
        <w:gridCol w:w="538"/>
        <w:gridCol w:w="645"/>
        <w:gridCol w:w="507"/>
        <w:gridCol w:w="450"/>
        <w:gridCol w:w="563"/>
        <w:gridCol w:w="509"/>
        <w:gridCol w:w="435"/>
      </w:tblGrid>
      <w:tr>
        <w:trPr>
          <w:trHeight w:val="403" w:hRule="exact"/>
        </w:trPr>
        <w:tc>
          <w:tcPr>
            <w:tcW w:w="21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向关联方提供资金（万元）</w:t>
            </w:r>
          </w:p>
        </w:tc>
        <w:tc>
          <w:tcPr>
            <w:tcW w:w="310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关联方向上市公司提供资金（万元）</w:t>
            </w:r>
          </w:p>
        </w:tc>
      </w:tr>
      <w:tr>
        <w:trPr>
          <w:trHeight w:val="351" w:hRule="exact"/>
        </w:trPr>
        <w:tc>
          <w:tcPr>
            <w:tcW w:w="21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9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7" w:right="50"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5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57" w:right="67" w:hanging="89"/>
              <w:jc w:val="left"/>
              <w:rPr>
                <w:rFonts w:ascii="宋体" w:hAnsi="宋体" w:cs="宋体" w:eastAsia="宋体" w:hint="default"/>
                <w:sz w:val="18"/>
                <w:szCs w:val="18"/>
              </w:rPr>
            </w:pPr>
            <w:r>
              <w:rPr>
                <w:rFonts w:ascii="宋体" w:hAnsi="宋体" w:cs="宋体" w:eastAsia="宋体" w:hint="default"/>
                <w:sz w:val="18"/>
                <w:szCs w:val="18"/>
              </w:rPr>
              <w:t>发生 额</w:t>
            </w:r>
          </w:p>
        </w:tc>
        <w:tc>
          <w:tcPr>
            <w:tcW w:w="4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偿还 额</w:t>
            </w: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5" w:right="96"/>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5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 w:right="68"/>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5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3" w:right="82"/>
              <w:jc w:val="left"/>
              <w:rPr>
                <w:rFonts w:ascii="宋体" w:hAnsi="宋体" w:cs="宋体" w:eastAsia="宋体" w:hint="default"/>
                <w:sz w:val="18"/>
                <w:szCs w:val="18"/>
              </w:rPr>
            </w:pPr>
            <w:r>
              <w:rPr>
                <w:rFonts w:ascii="宋体" w:hAnsi="宋体" w:cs="宋体" w:eastAsia="宋体" w:hint="default"/>
                <w:sz w:val="18"/>
                <w:szCs w:val="18"/>
              </w:rPr>
              <w:t>利息 支出</w:t>
            </w:r>
          </w:p>
        </w:tc>
        <w:tc>
          <w:tcPr>
            <w:tcW w:w="6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5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58" w:right="65" w:hanging="89"/>
              <w:jc w:val="left"/>
              <w:rPr>
                <w:rFonts w:ascii="宋体" w:hAnsi="宋体" w:cs="宋体" w:eastAsia="宋体" w:hint="default"/>
                <w:sz w:val="18"/>
                <w:szCs w:val="18"/>
              </w:rPr>
            </w:pPr>
            <w:r>
              <w:rPr>
                <w:rFonts w:ascii="宋体" w:hAnsi="宋体" w:cs="宋体" w:eastAsia="宋体" w:hint="default"/>
                <w:sz w:val="18"/>
                <w:szCs w:val="18"/>
              </w:rPr>
              <w:t>发生 额</w:t>
            </w:r>
          </w:p>
        </w:tc>
        <w:tc>
          <w:tcPr>
            <w:tcW w:w="4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9" w:right="38" w:hanging="90"/>
              <w:jc w:val="left"/>
              <w:rPr>
                <w:rFonts w:ascii="宋体" w:hAnsi="宋体" w:cs="宋体" w:eastAsia="宋体" w:hint="default"/>
                <w:sz w:val="18"/>
                <w:szCs w:val="18"/>
              </w:rPr>
            </w:pPr>
            <w:r>
              <w:rPr>
                <w:rFonts w:ascii="宋体" w:hAnsi="宋体" w:cs="宋体" w:eastAsia="宋体" w:hint="default"/>
                <w:sz w:val="18"/>
                <w:szCs w:val="18"/>
              </w:rPr>
              <w:t>偿还 额</w:t>
            </w: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7" w:right="94"/>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5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 w:right="68"/>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4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7" w:right="25"/>
              <w:jc w:val="left"/>
              <w:rPr>
                <w:rFonts w:ascii="宋体" w:hAnsi="宋体" w:cs="宋体" w:eastAsia="宋体" w:hint="default"/>
                <w:sz w:val="18"/>
                <w:szCs w:val="18"/>
              </w:rPr>
            </w:pPr>
            <w:r>
              <w:rPr>
                <w:rFonts w:ascii="宋体" w:hAnsi="宋体" w:cs="宋体" w:eastAsia="宋体" w:hint="default"/>
                <w:sz w:val="18"/>
                <w:szCs w:val="18"/>
              </w:rPr>
              <w:t>利息 支出</w:t>
            </w:r>
          </w:p>
        </w:tc>
      </w:tr>
      <w:tr>
        <w:trPr>
          <w:trHeight w:val="362" w:hRule="exact"/>
        </w:trPr>
        <w:tc>
          <w:tcPr>
            <w:tcW w:w="21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c>
          <w:tcPr>
            <w:tcW w:w="508" w:type="dxa"/>
            <w:vMerge/>
            <w:tcBorders>
              <w:left w:val="single" w:sz="4" w:space="0" w:color="000000"/>
              <w:bottom w:val="single" w:sz="4" w:space="0" w:color="000000"/>
              <w:right w:val="single" w:sz="4" w:space="0" w:color="000000"/>
            </w:tcBorders>
            <w:shd w:val="clear" w:color="auto" w:fill="D2D2D2"/>
          </w:tcPr>
          <w:p>
            <w:pPr/>
          </w:p>
        </w:tc>
        <w:tc>
          <w:tcPr>
            <w:tcW w:w="444"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09" w:type="dxa"/>
            <w:vMerge/>
            <w:tcBorders>
              <w:left w:val="single" w:sz="4" w:space="0" w:color="000000"/>
              <w:bottom w:val="single" w:sz="4" w:space="0" w:color="000000"/>
              <w:right w:val="single" w:sz="4" w:space="0" w:color="000000"/>
            </w:tcBorders>
            <w:shd w:val="clear" w:color="auto" w:fill="D2D2D2"/>
          </w:tcPr>
          <w:p>
            <w:pPr/>
          </w:p>
        </w:tc>
        <w:tc>
          <w:tcPr>
            <w:tcW w:w="538" w:type="dxa"/>
            <w:vMerge/>
            <w:tcBorders>
              <w:left w:val="single" w:sz="4" w:space="0" w:color="000000"/>
              <w:bottom w:val="single" w:sz="4" w:space="0" w:color="000000"/>
              <w:right w:val="single" w:sz="4" w:space="0" w:color="000000"/>
            </w:tcBorders>
            <w:shd w:val="clear" w:color="auto" w:fill="D2D2D2"/>
          </w:tcPr>
          <w:p>
            <w:pPr/>
          </w:p>
        </w:tc>
        <w:tc>
          <w:tcPr>
            <w:tcW w:w="645" w:type="dxa"/>
            <w:vMerge/>
            <w:tcBorders>
              <w:left w:val="single" w:sz="4" w:space="0" w:color="000000"/>
              <w:bottom w:val="single" w:sz="4" w:space="0" w:color="000000"/>
              <w:right w:val="single" w:sz="4" w:space="0" w:color="000000"/>
            </w:tcBorders>
            <w:shd w:val="clear" w:color="auto" w:fill="D2D2D2"/>
          </w:tcPr>
          <w:p>
            <w:pPr/>
          </w:p>
        </w:tc>
        <w:tc>
          <w:tcPr>
            <w:tcW w:w="507" w:type="dxa"/>
            <w:vMerge/>
            <w:tcBorders>
              <w:left w:val="single" w:sz="4" w:space="0" w:color="000000"/>
              <w:bottom w:val="single" w:sz="4" w:space="0" w:color="000000"/>
              <w:right w:val="single" w:sz="4" w:space="0" w:color="000000"/>
            </w:tcBorders>
            <w:shd w:val="clear" w:color="auto" w:fill="D2D2D2"/>
          </w:tcPr>
          <w:p>
            <w:pPr/>
          </w:p>
        </w:tc>
        <w:tc>
          <w:tcPr>
            <w:tcW w:w="450"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09" w:type="dxa"/>
            <w:vMerge/>
            <w:tcBorders>
              <w:left w:val="single" w:sz="4" w:space="0" w:color="000000"/>
              <w:bottom w:val="single" w:sz="4" w:space="0" w:color="000000"/>
              <w:right w:val="single" w:sz="4" w:space="0" w:color="000000"/>
            </w:tcBorders>
            <w:shd w:val="clear" w:color="auto" w:fill="D2D2D2"/>
          </w:tcPr>
          <w:p>
            <w:pPr/>
          </w:p>
        </w:tc>
        <w:tc>
          <w:tcPr>
            <w:tcW w:w="43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62"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非经营性</w:t>
            </w:r>
          </w:p>
        </w:tc>
      </w:tr>
      <w:tr>
        <w:trPr>
          <w:trHeight w:val="401" w:hRule="exact"/>
        </w:trPr>
        <w:tc>
          <w:tcPr>
            <w:tcW w:w="9562"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经营性</w:t>
            </w:r>
          </w:p>
        </w:tc>
      </w:tr>
      <w:tr>
        <w:trPr>
          <w:trHeight w:val="403" w:hRule="exact"/>
        </w:trPr>
        <w:tc>
          <w:tcPr>
            <w:tcW w:w="32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本报告期，公司无其他重大关联交易。</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694"/>
        <w:jc w:val="left"/>
      </w:pPr>
      <w:r>
        <w:rPr/>
        <w:t>托管情况说明 无。</w:t>
      </w:r>
    </w:p>
    <w:p>
      <w:pPr>
        <w:pStyle w:val="BodyText"/>
        <w:spacing w:line="240" w:lineRule="auto" w:before="27"/>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7434"/>
        <w:jc w:val="left"/>
      </w:pPr>
      <w:r>
        <w:rPr/>
        <w:t>承包情况说明 本报告期，公司无承包情况。</w:t>
      </w:r>
    </w:p>
    <w:p>
      <w:pPr>
        <w:pStyle w:val="BodyText"/>
        <w:spacing w:line="240" w:lineRule="auto" w:before="29"/>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租赁情况说明</w:t>
      </w:r>
    </w:p>
    <w:p>
      <w:pPr>
        <w:spacing w:after="0" w:line="240" w:lineRule="auto"/>
        <w:jc w:val="left"/>
        <w:sectPr>
          <w:footerReference w:type="default" r:id="rId18"/>
          <w:pgSz w:w="11910" w:h="16840"/>
          <w:pgMar w:footer="1006" w:header="772" w:top="1080" w:bottom="1200" w:left="980" w:right="980"/>
          <w:pgNumType w:start="43"/>
        </w:sectPr>
      </w:pPr>
    </w:p>
    <w:p>
      <w:pPr>
        <w:spacing w:line="240" w:lineRule="auto" w:before="9"/>
        <w:rPr>
          <w:rFonts w:ascii="宋体" w:hAnsi="宋体" w:cs="宋体" w:eastAsia="宋体" w:hint="default"/>
          <w:sz w:val="23"/>
          <w:szCs w:val="23"/>
        </w:rPr>
      </w:pPr>
    </w:p>
    <w:p>
      <w:pPr>
        <w:pStyle w:val="BodyText"/>
        <w:spacing w:line="240" w:lineRule="auto" w:before="44"/>
        <w:ind w:right="0"/>
        <w:jc w:val="left"/>
      </w:pPr>
      <w:r>
        <w:rPr/>
        <w:t>无。</w:t>
      </w:r>
    </w:p>
    <w:p>
      <w:pPr>
        <w:pStyle w:val="BodyText"/>
        <w:spacing w:line="240" w:lineRule="auto" w:before="117"/>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5"/>
        <w:gridCol w:w="940"/>
        <w:gridCol w:w="935"/>
        <w:gridCol w:w="1212"/>
        <w:gridCol w:w="1179"/>
        <w:gridCol w:w="1097"/>
        <w:gridCol w:w="1015"/>
        <w:gridCol w:w="803"/>
        <w:gridCol w:w="787"/>
      </w:tblGrid>
      <w:tr>
        <w:trPr>
          <w:trHeight w:val="40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40"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9"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9"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4"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03"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、报告期内或报告期继续发生的委托理财情况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08"/>
        <w:gridCol w:w="797"/>
        <w:gridCol w:w="799"/>
        <w:gridCol w:w="797"/>
        <w:gridCol w:w="799"/>
        <w:gridCol w:w="797"/>
        <w:gridCol w:w="800"/>
        <w:gridCol w:w="797"/>
        <w:gridCol w:w="780"/>
      </w:tblGrid>
      <w:tr>
        <w:trPr>
          <w:trHeight w:val="163" w:hRule="exact"/>
        </w:trPr>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01" w:right="30" w:hanging="272"/>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3" w:right="30"/>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7" w:right="39"/>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13"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6" w:right="31"/>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13" w:right="33"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16" w:right="31"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6"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1" w:hRule="exact"/>
        </w:trPr>
        <w:tc>
          <w:tcPr>
            <w:tcW w:w="7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报告期末衍生品投资的持仓情况</w:t>
      </w:r>
    </w:p>
    <w:p>
      <w:pPr>
        <w:pStyle w:val="BodyText"/>
        <w:spacing w:line="240" w:lineRule="auto" w:before="11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2"/>
        <w:gridCol w:w="1094"/>
        <w:gridCol w:w="1348"/>
        <w:gridCol w:w="1349"/>
        <w:gridCol w:w="1350"/>
        <w:gridCol w:w="1349"/>
        <w:gridCol w:w="1337"/>
      </w:tblGrid>
      <w:tr>
        <w:trPr>
          <w:trHeight w:val="403" w:hRule="exact"/>
        </w:trPr>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0"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是否关联方</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8"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贷款期限</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8"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8" w:right="0"/>
              <w:jc w:val="left"/>
              <w:rPr>
                <w:rFonts w:ascii="宋体" w:hAnsi="宋体" w:cs="宋体" w:eastAsia="宋体" w:hint="default"/>
                <w:sz w:val="18"/>
                <w:szCs w:val="18"/>
              </w:rPr>
            </w:pPr>
            <w:r>
              <w:rPr>
                <w:rFonts w:ascii="宋体" w:hAnsi="宋体" w:cs="宋体" w:eastAsia="宋体" w:hint="default"/>
                <w:sz w:val="18"/>
                <w:szCs w:val="18"/>
              </w:rPr>
              <w:t>是否逾期</w:t>
            </w:r>
          </w:p>
        </w:tc>
      </w:tr>
    </w:tbl>
    <w:p>
      <w:pPr>
        <w:spacing w:after="0" w:line="240" w:lineRule="auto"/>
        <w:jc w:val="left"/>
        <w:rPr>
          <w:rFonts w:ascii="宋体" w:hAnsi="宋体" w:cs="宋体" w:eastAsia="宋体" w:hint="default"/>
          <w:sz w:val="18"/>
          <w:szCs w:val="18"/>
        </w:rPr>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52"/>
        <w:gridCol w:w="850"/>
        <w:gridCol w:w="5103"/>
        <w:gridCol w:w="994"/>
        <w:gridCol w:w="991"/>
        <w:gridCol w:w="780"/>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宋体" w:hAnsi="宋体" w:cs="宋体" w:eastAsia="宋体" w:hint="default"/>
                <w:sz w:val="18"/>
                <w:szCs w:val="18"/>
              </w:rPr>
              <w:t>股改承诺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资产置换 时所作承 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发行时所 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管连平、 霍卫平</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（一）避免同业竞争承诺：公司控股股东和实际控制人管连平和 </w:t>
            </w:r>
            <w:r>
              <w:rPr>
                <w:rFonts w:ascii="宋体" w:hAnsi="宋体" w:cs="宋体" w:eastAsia="宋体" w:hint="default"/>
                <w:spacing w:val="-4"/>
                <w:sz w:val="18"/>
                <w:szCs w:val="18"/>
              </w:rPr>
              <w:t>霍卫平承诺：（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）本人、本人控股和参股的公司以及本人实际控</w:t>
            </w:r>
            <w:r>
              <w:rPr>
                <w:rFonts w:ascii="宋体" w:hAnsi="宋体" w:cs="宋体" w:eastAsia="宋体" w:hint="default"/>
                <w:spacing w:val="-65"/>
                <w:sz w:val="18"/>
                <w:szCs w:val="18"/>
              </w:rPr>
              <w:t> </w:t>
            </w:r>
            <w:r>
              <w:rPr>
                <w:rFonts w:ascii="宋体" w:hAnsi="宋体" w:cs="宋体" w:eastAsia="宋体" w:hint="default"/>
                <w:sz w:val="18"/>
                <w:szCs w:val="18"/>
              </w:rPr>
              <w:t>制的公司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附属公司</w:t>
            </w:r>
            <w:r>
              <w:rPr>
                <w:rFonts w:ascii="Times New Roman" w:hAnsi="Times New Roman" w:cs="Times New Roman" w:eastAsia="Times New Roman" w:hint="default"/>
                <w:sz w:val="18"/>
                <w:szCs w:val="18"/>
              </w:rPr>
              <w:t>”)</w:t>
            </w:r>
            <w:r>
              <w:rPr>
                <w:rFonts w:ascii="宋体" w:hAnsi="宋体" w:cs="宋体" w:eastAsia="宋体" w:hint="default"/>
                <w:sz w:val="18"/>
                <w:szCs w:val="18"/>
              </w:rPr>
              <w:t>目前并没有直接或间接地从事任何与股份 公司以及股份公司的控股子公司实际从事的业务存在竞争的任何 </w:t>
            </w:r>
            <w:r>
              <w:rPr>
                <w:rFonts w:ascii="宋体" w:hAnsi="宋体" w:cs="宋体" w:eastAsia="宋体" w:hint="default"/>
                <w:spacing w:val="-4"/>
                <w:sz w:val="18"/>
                <w:szCs w:val="18"/>
              </w:rPr>
              <w:t>业务活动。（</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）本人及附属公司在今后的任何时间不会直接或间</w:t>
            </w:r>
            <w:r>
              <w:rPr>
                <w:rFonts w:ascii="宋体" w:hAnsi="宋体" w:cs="宋体" w:eastAsia="宋体" w:hint="default"/>
                <w:spacing w:val="-65"/>
                <w:sz w:val="18"/>
                <w:szCs w:val="18"/>
              </w:rPr>
              <w:t> </w:t>
            </w:r>
            <w:r>
              <w:rPr>
                <w:rFonts w:ascii="宋体" w:hAnsi="宋体" w:cs="宋体" w:eastAsia="宋体" w:hint="default"/>
                <w:sz w:val="18"/>
                <w:szCs w:val="18"/>
              </w:rPr>
              <w:t>接地以任何方式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包括但不限于自营、合资或联营</w:t>
            </w:r>
            <w:r>
              <w:rPr>
                <w:rFonts w:ascii="Times New Roman" w:hAnsi="Times New Roman" w:cs="Times New Roman" w:eastAsia="Times New Roman" w:hint="default"/>
                <w:sz w:val="18"/>
                <w:szCs w:val="18"/>
              </w:rPr>
              <w:t>)</w:t>
            </w:r>
            <w:r>
              <w:rPr>
                <w:rFonts w:ascii="宋体" w:hAnsi="宋体" w:cs="宋体" w:eastAsia="宋体" w:hint="default"/>
                <w:sz w:val="18"/>
                <w:szCs w:val="18"/>
              </w:rPr>
              <w:t>参与或进行与 股份公司以及股份公司的控股子公司实际从事的业务存在直接或 间接竞争的任何业务活动。凡本人及附属公司有任何商业机会可 从事、参与或入股任何可能会与股份公司以及股份公司的控股子 公司生产经营构成竞争的业务，本人及附属公司会将上述商业机 </w:t>
            </w:r>
            <w:r>
              <w:rPr>
                <w:rFonts w:ascii="宋体" w:hAnsi="宋体" w:cs="宋体" w:eastAsia="宋体" w:hint="default"/>
                <w:spacing w:val="-4"/>
                <w:sz w:val="18"/>
                <w:szCs w:val="18"/>
              </w:rPr>
              <w:t>会让予股份公司或者股份公司的控股子公司。（</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）本人将充分尊</w:t>
            </w:r>
            <w:r>
              <w:rPr>
                <w:rFonts w:ascii="宋体" w:hAnsi="宋体" w:cs="宋体" w:eastAsia="宋体" w:hint="default"/>
                <w:spacing w:val="-64"/>
                <w:sz w:val="18"/>
                <w:szCs w:val="18"/>
              </w:rPr>
              <w:t> </w:t>
            </w:r>
            <w:r>
              <w:rPr>
                <w:rFonts w:ascii="宋体" w:hAnsi="宋体" w:cs="宋体" w:eastAsia="宋体" w:hint="default"/>
                <w:sz w:val="18"/>
                <w:szCs w:val="18"/>
              </w:rPr>
              <w:t>重股份公司的独立法人地位，严格遵守股份公司的公司章程，保 证股份公司独立经营、自主决策。本人将严格按照公司法以及股 份公司的公司章程规定，促使经本人提名的股份公司董事依法履 </w:t>
            </w:r>
            <w:r>
              <w:rPr>
                <w:rFonts w:ascii="宋体" w:hAnsi="宋体" w:cs="宋体" w:eastAsia="宋体" w:hint="default"/>
                <w:spacing w:val="-4"/>
                <w:sz w:val="18"/>
                <w:szCs w:val="18"/>
              </w:rPr>
              <w:t>行其应尽的诚信和勤勉责任。（</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）本人将善意履行作为股份公司</w:t>
            </w:r>
            <w:r>
              <w:rPr>
                <w:rFonts w:ascii="宋体" w:hAnsi="宋体" w:cs="宋体" w:eastAsia="宋体" w:hint="default"/>
                <w:spacing w:val="-62"/>
                <w:sz w:val="18"/>
                <w:szCs w:val="18"/>
              </w:rPr>
              <w:t> </w:t>
            </w:r>
            <w:r>
              <w:rPr>
                <w:rFonts w:ascii="宋体" w:hAnsi="宋体" w:cs="宋体" w:eastAsia="宋体" w:hint="default"/>
                <w:sz w:val="18"/>
                <w:szCs w:val="18"/>
              </w:rPr>
              <w:t>的股东和实际控制人的义务，不利用该股东地位，就股份公司与 本人或附属公司相关的任何关联交易采取任何不利于股份公司的 行动，或故意促使股份公司的股东大会或董事会作出侵犯股份公 司其他股东合法权益的决议。如果股份公司必须与本人或附属公 司发生任何关联交易，则本人承诺将促使上述交易按照公平合理 的和正常商业交易条件进行。本人及附属公司将不会要求或接受 股份公司给予比任何一项市场公平交易中第三者更优惠的条件。</w:t>
            </w:r>
          </w:p>
          <w:p>
            <w:pPr>
              <w:pStyle w:val="TableParagraph"/>
              <w:spacing w:line="309" w:lineRule="auto" w:before="22"/>
              <w:ind w:left="23" w:right="21"/>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）本人及附属公司将严格和善意地履行与股份公司签订的各种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关联交易协议。本人承诺将不会向股份公司谋求任何超出上述协 </w:t>
            </w:r>
            <w:r>
              <w:rPr>
                <w:rFonts w:ascii="宋体" w:hAnsi="宋体" w:cs="宋体" w:eastAsia="宋体" w:hint="default"/>
                <w:spacing w:val="-4"/>
                <w:sz w:val="18"/>
                <w:szCs w:val="18"/>
              </w:rPr>
              <w:t>议规定以外的利益或收益。（</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）如果本人违反上述声明、保证与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316" w:lineRule="auto"/>
              <w:ind w:left="23" w:right="55"/>
              <w:jc w:val="both"/>
              <w:rPr>
                <w:rFonts w:ascii="宋体" w:hAnsi="宋体" w:cs="宋体" w:eastAsia="宋体" w:hint="default"/>
                <w:sz w:val="18"/>
                <w:szCs w:val="18"/>
              </w:rPr>
            </w:pPr>
            <w:r>
              <w:rPr>
                <w:rFonts w:ascii="宋体" w:hAnsi="宋体" w:cs="宋体" w:eastAsia="宋体" w:hint="default"/>
                <w:sz w:val="18"/>
                <w:szCs w:val="18"/>
              </w:rPr>
              <w:t>避免同业竞 争承诺期限 为：长期； 股份锁定承 诺期限为： 自股票上市 之日起三十 六个月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72" w:footer="1006" w:top="1080" w:bottom="120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90.97702pt;margin-top:500.709991pt;width:55.4pt;height:31.2pt;mso-position-horizontal-relative:page;mso-position-vertical-relative:page;z-index:-876232"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292.007019pt;margin-top:567.190002pt;width:154.4pt;height:31.2pt;mso-position-horizontal-relative:page;mso-position-vertical-relative:page;z-index:-876208" type="#_x0000_t202" filled="false" stroked="false">
            <v:textbox inset="0,0,0,0">
              <w:txbxContent>
                <w:p>
                  <w:pPr>
                    <w:pStyle w:val="BodyText"/>
                    <w:spacing w:line="203" w:lineRule="exact"/>
                    <w:ind w:left="0" w:right="0"/>
                    <w:jc w:val="left"/>
                  </w:pPr>
                  <w:r>
                    <w:rPr/>
                    <w:t>（包括但不限于补缴义务、</w:t>
                  </w:r>
                </w:p>
              </w:txbxContent>
            </v:textbox>
            <w10:wrap type="none"/>
          </v:shape>
        </w:pict>
      </w: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852"/>
        <w:gridCol w:w="850"/>
        <w:gridCol w:w="5103"/>
        <w:gridCol w:w="994"/>
        <w:gridCol w:w="991"/>
        <w:gridCol w:w="780"/>
      </w:tblGrid>
      <w:tr>
        <w:trPr>
          <w:trHeight w:val="4731"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20"/>
              <w:jc w:val="left"/>
              <w:rPr>
                <w:rFonts w:ascii="宋体" w:hAnsi="宋体" w:cs="宋体" w:eastAsia="宋体" w:hint="default"/>
                <w:sz w:val="18"/>
                <w:szCs w:val="18"/>
              </w:rPr>
            </w:pPr>
            <w:r>
              <w:rPr>
                <w:rFonts w:ascii="宋体" w:hAnsi="宋体" w:cs="宋体" w:eastAsia="宋体" w:hint="default"/>
                <w:spacing w:val="-4"/>
                <w:sz w:val="18"/>
                <w:szCs w:val="18"/>
              </w:rPr>
              <w:t>承诺，本人同意给予股份公司赔偿。（</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）本声明、承诺与保证将</w:t>
            </w:r>
            <w:r>
              <w:rPr>
                <w:rFonts w:ascii="宋体" w:hAnsi="宋体" w:cs="宋体" w:eastAsia="宋体" w:hint="default"/>
                <w:spacing w:val="-65"/>
                <w:sz w:val="18"/>
                <w:szCs w:val="18"/>
              </w:rPr>
              <w:t> </w:t>
            </w:r>
            <w:r>
              <w:rPr>
                <w:rFonts w:ascii="宋体" w:hAnsi="宋体" w:cs="宋体" w:eastAsia="宋体" w:hint="default"/>
                <w:sz w:val="18"/>
                <w:szCs w:val="18"/>
              </w:rPr>
              <w:t>持续有效，直至本人不再为持有股份公司的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 </w:t>
            </w:r>
            <w:r>
              <w:rPr>
                <w:rFonts w:ascii="宋体" w:hAnsi="宋体" w:cs="宋体" w:eastAsia="宋体" w:hint="default"/>
                <w:spacing w:val="-4"/>
                <w:sz w:val="18"/>
                <w:szCs w:val="18"/>
              </w:rPr>
              <w:t>或股份公司的实际控制人的地位为止。（</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）本声明、承诺与保证</w:t>
            </w:r>
            <w:r>
              <w:rPr>
                <w:rFonts w:ascii="宋体" w:hAnsi="宋体" w:cs="宋体" w:eastAsia="宋体" w:hint="default"/>
                <w:spacing w:val="-65"/>
                <w:sz w:val="18"/>
                <w:szCs w:val="18"/>
              </w:rPr>
              <w:t> </w:t>
            </w:r>
            <w:r>
              <w:rPr>
                <w:rFonts w:ascii="宋体" w:hAnsi="宋体" w:cs="宋体" w:eastAsia="宋体" w:hint="default"/>
                <w:sz w:val="18"/>
                <w:szCs w:val="18"/>
              </w:rPr>
              <w:t>可被视为对股份公司及其他股东共同和分别作出的声明、承诺和 </w:t>
            </w:r>
            <w:r>
              <w:rPr>
                <w:rFonts w:ascii="宋体" w:hAnsi="宋体" w:cs="宋体" w:eastAsia="宋体" w:hint="default"/>
                <w:spacing w:val="-4"/>
                <w:sz w:val="18"/>
                <w:szCs w:val="18"/>
              </w:rPr>
              <w:t>保证。（</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）截至本承诺函出具之日，除投资东方国信并通过仁邦</w:t>
            </w:r>
            <w:r>
              <w:rPr>
                <w:rFonts w:ascii="宋体" w:hAnsi="宋体" w:cs="宋体" w:eastAsia="宋体" w:hint="default"/>
                <w:spacing w:val="-65"/>
                <w:sz w:val="18"/>
                <w:szCs w:val="18"/>
              </w:rPr>
              <w:t> </w:t>
            </w:r>
            <w:r>
              <w:rPr>
                <w:rFonts w:ascii="宋体" w:hAnsi="宋体" w:cs="宋体" w:eastAsia="宋体" w:hint="default"/>
                <w:sz w:val="18"/>
                <w:szCs w:val="18"/>
              </w:rPr>
              <w:t>翰威和仁邦时代持有东方国信股份之外，本人不存在其他直接或 间接对外投资行为。但是本人在此确认，上述承诺将适用于本人 在未来控制</w:t>
            </w:r>
            <w:r>
              <w:rPr>
                <w:rFonts w:ascii="Times New Roman" w:hAnsi="Times New Roman" w:cs="Times New Roman" w:eastAsia="Times New Roman" w:hint="default"/>
                <w:sz w:val="18"/>
                <w:szCs w:val="18"/>
              </w:rPr>
              <w:t>(</w:t>
            </w:r>
            <w:r>
              <w:rPr>
                <w:rFonts w:ascii="宋体" w:hAnsi="宋体" w:cs="宋体" w:eastAsia="宋体" w:hint="default"/>
                <w:sz w:val="18"/>
                <w:szCs w:val="18"/>
              </w:rPr>
              <w:t>包括直接控制和间接控制</w:t>
            </w:r>
            <w:r>
              <w:rPr>
                <w:rFonts w:ascii="Times New Roman" w:hAnsi="Times New Roman" w:cs="Times New Roman" w:eastAsia="Times New Roman" w:hint="default"/>
                <w:sz w:val="18"/>
                <w:szCs w:val="18"/>
              </w:rPr>
              <w:t>)</w:t>
            </w:r>
            <w:r>
              <w:rPr>
                <w:rFonts w:ascii="宋体" w:hAnsi="宋体" w:cs="宋体" w:eastAsia="宋体" w:hint="default"/>
                <w:sz w:val="18"/>
                <w:szCs w:val="18"/>
              </w:rPr>
              <w:t>的除股份公司及其控股子 </w:t>
            </w:r>
            <w:r>
              <w:rPr>
                <w:rFonts w:ascii="宋体" w:hAnsi="宋体" w:cs="宋体" w:eastAsia="宋体" w:hint="default"/>
                <w:spacing w:val="-6"/>
                <w:sz w:val="18"/>
                <w:szCs w:val="18"/>
              </w:rPr>
              <w:t>企业以外的其他子企业。（二）股份锁定承诺公司共同实际控制人</w:t>
            </w:r>
            <w:r>
              <w:rPr>
                <w:rFonts w:ascii="宋体" w:hAnsi="宋体" w:cs="宋体" w:eastAsia="宋体" w:hint="default"/>
                <w:sz w:val="18"/>
                <w:szCs w:val="18"/>
              </w:rPr>
              <w:t> 管连平和霍卫平承诺：自公司股票上市之日起三十六个月内，不 转让或者委托他人管理其直接或者间接持有的公司公开发行股票 前已发行的股份，也不由公司回购其直接或者间接持有的公司公 开发行股票已持有的股份。除前述锁定期外，本人在公司任职期 间每年转让的股份不超过所持有公司股份总数的百分之二十五； 离职后半年内，不转让所持有的公司股份。</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852"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95"/>
              <w:jc w:val="left"/>
              <w:rPr>
                <w:rFonts w:ascii="宋体" w:hAnsi="宋体" w:cs="宋体" w:eastAsia="宋体" w:hint="default"/>
                <w:sz w:val="18"/>
                <w:szCs w:val="18"/>
              </w:rPr>
            </w:pPr>
            <w:r>
              <w:rPr>
                <w:rFonts w:ascii="宋体" w:hAnsi="宋体" w:cs="宋体" w:eastAsia="宋体" w:hint="default"/>
                <w:sz w:val="18"/>
                <w:szCs w:val="18"/>
              </w:rPr>
              <w:t>管连平、 霍卫平</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公司控股股东和共同实际控制人管连平和霍卫平先生分别出具了</w:t>
            </w:r>
          </w:p>
          <w:p>
            <w:pPr>
              <w:pStyle w:val="TableParagraph"/>
              <w:spacing w:line="316" w:lineRule="auto" w:before="76"/>
              <w:ind w:left="23" w:right="27"/>
              <w:jc w:val="both"/>
              <w:rPr>
                <w:rFonts w:ascii="Times New Roman" w:hAnsi="Times New Roman" w:cs="Times New Roman" w:eastAsia="Times New Roman" w:hint="default"/>
                <w:sz w:val="18"/>
                <w:szCs w:val="18"/>
              </w:rPr>
            </w:pPr>
            <w:r>
              <w:rPr>
                <w:rFonts w:ascii="宋体" w:hAnsi="宋体" w:cs="宋体" w:eastAsia="宋体" w:hint="default"/>
                <w:spacing w:val="-4"/>
                <w:w w:val="100"/>
                <w:sz w:val="18"/>
                <w:szCs w:val="18"/>
              </w:rPr>
              <w:t>《减少和规范关联交易承诺函》，承诺：</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截至本承诺函出具日，</w:t>
            </w:r>
            <w:r>
              <w:rPr>
                <w:rFonts w:ascii="宋体" w:hAnsi="宋体" w:cs="宋体" w:eastAsia="宋体" w:hint="default"/>
                <w:spacing w:val="-64"/>
                <w:w w:val="100"/>
                <w:sz w:val="18"/>
                <w:szCs w:val="18"/>
              </w:rPr>
              <w:t> </w:t>
            </w:r>
            <w:r>
              <w:rPr>
                <w:rFonts w:ascii="宋体" w:hAnsi="宋体" w:cs="宋体" w:eastAsia="宋体" w:hint="default"/>
                <w:sz w:val="18"/>
                <w:szCs w:val="18"/>
              </w:rPr>
              <w:t>本人与股份公司之间不存在关联交易；本人将尽量避免与股份公 司之间产生关联交易事项，对于不可避免发生的关联业务往来或 交易，将在平等、自愿的基础上，按照公平、公允和等价有偿的 原则进行，交易价格将按照市场公认的合理价格确定。本人将严 格遵守股份公司章程中关于关联交易事项的回避规定，所涉及的 关联交易均将按照股份公司关联交易决策程序进行，并将履行合 法程序，及时对关联交易事项进行信息披露。本人保证不会利用 关联交易转移股份公司利润，不会通过影响股份公司的经营决策 来损害股份公司及其他股东的合法权益。保证未来不以任何形式 占用公司资金。</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3" w:hRule="exact"/>
        </w:trPr>
        <w:tc>
          <w:tcPr>
            <w:tcW w:w="852"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管连平、 霍卫平</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宋体" w:hAnsi="宋体" w:cs="宋体" w:eastAsia="宋体" w:hint="default"/>
                <w:spacing w:val="-6"/>
                <w:sz w:val="18"/>
                <w:szCs w:val="18"/>
              </w:rPr>
              <w:t>公司的控股股东和共同实际控制人管连平、霍卫平出具《承诺函》</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如果对于报告期内公司员工社会保险需要补缴的，本人将为公司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承担补缴产生的所有费用（包括但不限于补缴义务、罚款、滞纳 金等）</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如果对于报告期内公司员工住房公积金需要补缴的， 本人将为公司承担补缴产生的所有费用</w:t>
            </w:r>
          </w:p>
          <w:p>
            <w:pPr>
              <w:pStyle w:val="TableParagraph"/>
              <w:spacing w:line="240" w:lineRule="auto" w:before="24"/>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罚款、滞纳金等）</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49.15pt;height:31.2pt;mso-position-horizontal-relative:char;mso-position-vertical-relative:line" coordorigin="0,0" coordsize="983,624">
                  <v:group style="position:absolute;left:0;top:0;width:983;height:624" coordorigin="0,0" coordsize="983,624">
                    <v:shape style="position:absolute;left:0;top:0;width:983;height:624" coordorigin="0,0" coordsize="983,624" path="m0,624l982,624,982,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624"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49.15pt;height:31.2pt;mso-position-horizontal-relative:char;mso-position-vertical-relative:line" coordorigin="0,0" coordsize="983,624">
                  <v:group style="position:absolute;left:0;top:0;width:983;height:624" coordorigin="0,0" coordsize="983,624">
                    <v:shape style="position:absolute;left:0;top:0;width:983;height:624" coordorigin="0,0" coordsize="983,624" path="m0,624l982,624,982,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7" w:hRule="exact"/>
        </w:trPr>
        <w:tc>
          <w:tcPr>
            <w:tcW w:w="852"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95"/>
              <w:jc w:val="left"/>
              <w:rPr>
                <w:rFonts w:ascii="宋体" w:hAnsi="宋体" w:cs="宋体" w:eastAsia="宋体" w:hint="default"/>
                <w:sz w:val="18"/>
                <w:szCs w:val="18"/>
              </w:rPr>
            </w:pPr>
            <w:r>
              <w:rPr>
                <w:rFonts w:ascii="宋体" w:hAnsi="宋体" w:cs="宋体" w:eastAsia="宋体" w:hint="default"/>
                <w:sz w:val="18"/>
                <w:szCs w:val="18"/>
              </w:rPr>
              <w:t>仁邦翰 威、仁邦 时代</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7"/>
              <w:jc w:val="both"/>
              <w:rPr>
                <w:rFonts w:ascii="宋体" w:hAnsi="宋体" w:cs="宋体" w:eastAsia="宋体" w:hint="default"/>
                <w:sz w:val="18"/>
                <w:szCs w:val="18"/>
              </w:rPr>
            </w:pPr>
            <w:r>
              <w:rPr>
                <w:rFonts w:ascii="宋体" w:hAnsi="宋体" w:cs="宋体" w:eastAsia="宋体" w:hint="default"/>
                <w:sz w:val="18"/>
                <w:szCs w:val="18"/>
              </w:rPr>
              <w:t>公司股东仁邦翰威和仁邦时代承诺：自公司股票上市之日起三十 六个月内，不转让或者委托他人管理其直接或者间接持有的公司 公开发行股票前已发行的股份，也不由公司回购其直接或者间接 持有的公司公开发行股票前已发行的股份。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55"/>
              <w:jc w:val="both"/>
              <w:rPr>
                <w:rFonts w:ascii="宋体" w:hAnsi="宋体" w:cs="宋体" w:eastAsia="宋体" w:hint="default"/>
                <w:sz w:val="18"/>
                <w:szCs w:val="18"/>
              </w:rPr>
            </w:pPr>
            <w:r>
              <w:rPr>
                <w:rFonts w:ascii="宋体" w:hAnsi="宋体" w:cs="宋体" w:eastAsia="宋体" w:hint="default"/>
                <w:sz w:val="18"/>
                <w:szCs w:val="18"/>
              </w:rPr>
              <w:t>自股票上市 之日起三十 六个月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9" w:hRule="exact"/>
        </w:trPr>
        <w:tc>
          <w:tcPr>
            <w:tcW w:w="852"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毛自力</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1"/>
              <w:jc w:val="both"/>
              <w:rPr>
                <w:rFonts w:ascii="宋体" w:hAnsi="宋体" w:cs="宋体" w:eastAsia="宋体" w:hint="default"/>
                <w:sz w:val="18"/>
                <w:szCs w:val="18"/>
              </w:rPr>
            </w:pPr>
            <w:r>
              <w:rPr>
                <w:rFonts w:ascii="宋体" w:hAnsi="宋体" w:cs="宋体" w:eastAsia="宋体" w:hint="default"/>
                <w:spacing w:val="-4"/>
                <w:sz w:val="18"/>
                <w:szCs w:val="18"/>
              </w:rPr>
              <w:t>公司股东毛自力承诺：自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日起三十六个月内，且在</w:t>
            </w:r>
            <w:r>
              <w:rPr>
                <w:rFonts w:ascii="宋体" w:hAnsi="宋体" w:cs="宋体" w:eastAsia="宋体" w:hint="default"/>
                <w:sz w:val="18"/>
                <w:szCs w:val="18"/>
              </w:rPr>
              <w:t> 股票上市之日起十二个月内，不转让或者委托他人管理其直接或 者间接持有的公司公开发行股票前已发行的股份，也不由公司回 购其直接或者间接持有的公司公开发行股票前已发行的股份。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p>
          <w:p>
            <w:pPr>
              <w:pStyle w:val="TableParagraph"/>
              <w:spacing w:line="300" w:lineRule="auto" w:before="63"/>
              <w:ind w:left="23" w:right="5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日起三 十六个月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3" w:hRule="exact"/>
        </w:trPr>
        <w:tc>
          <w:tcPr>
            <w:tcW w:w="852"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金凤、张 靖</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公司股东金凤和张靖承诺</w:t>
            </w:r>
            <w:r>
              <w:rPr>
                <w:rFonts w:ascii="宋体" w:hAnsi="宋体" w:cs="宋体" w:eastAsia="宋体" w:hint="default"/>
                <w:spacing w:val="-77"/>
                <w:sz w:val="18"/>
                <w:szCs w:val="18"/>
              </w:rPr>
              <w:t>：</w:t>
            </w:r>
            <w:r>
              <w:rPr>
                <w:rFonts w:ascii="宋体" w:hAnsi="宋体" w:cs="宋体" w:eastAsia="宋体" w:hint="default"/>
                <w:sz w:val="18"/>
                <w:szCs w:val="18"/>
              </w:rPr>
              <w:t>自其在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日完成对</w:t>
            </w:r>
            <w:r>
              <w:rPr>
                <w:rFonts w:ascii="宋体" w:hAnsi="宋体" w:cs="宋体" w:eastAsia="宋体" w:hint="default"/>
                <w:spacing w:val="-3"/>
                <w:sz w:val="18"/>
                <w:szCs w:val="18"/>
              </w:rPr>
              <w:t>公</w:t>
            </w:r>
            <w:r>
              <w:rPr>
                <w:rFonts w:ascii="宋体" w:hAnsi="宋体" w:cs="宋体" w:eastAsia="宋体" w:hint="default"/>
                <w:sz w:val="18"/>
                <w:szCs w:val="18"/>
              </w:rPr>
              <w:t>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4"/>
                <w:sz w:val="18"/>
                <w:szCs w:val="18"/>
              </w:rPr>
              <w:t>增资扩股新增的股份，自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日起三十六个月内，不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72" w:footer="1006" w:top="1080" w:bottom="120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64.77301pt;margin-top:72.475983pt;width:181.6pt;height:95.7pt;mso-position-horizontal-relative:page;mso-position-vertical-relative:page;z-index:-8761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0" w:right="0"/>
                    <w:jc w:val="left"/>
                  </w:pPr>
                  <w:r>
                    <w:rPr/>
                    <w:t>资本公积金转增股本增加的股份，</w:t>
                  </w:r>
                </w:p>
              </w:txbxContent>
            </v:textbox>
            <w10:wrap type="none"/>
          </v:shape>
        </w:pict>
      </w:r>
      <w:r>
        <w:rPr/>
        <w:pict>
          <v:shape style="position:absolute;margin-left:336.97702pt;margin-top:368.089996pt;width:108.35pt;height:22.05pt;mso-position-horizontal-relative:page;mso-position-vertical-relative:page;z-index:-876112"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240" w:lineRule="auto"/>
                    <w:ind w:left="0" w:right="0"/>
                    <w:jc w:val="left"/>
                  </w:pPr>
                  <w:r>
                    <w:rPr/>
                    <w:t>公司当时承诺：</w:t>
                  </w:r>
                </w:p>
              </w:txbxContent>
            </v:textbox>
            <w10:wrap type="none"/>
          </v:shape>
        </w:pict>
      </w: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852"/>
        <w:gridCol w:w="850"/>
        <w:gridCol w:w="5103"/>
        <w:gridCol w:w="994"/>
        <w:gridCol w:w="991"/>
        <w:gridCol w:w="780"/>
      </w:tblGrid>
      <w:tr>
        <w:trPr>
          <w:trHeight w:val="1923" w:hRule="exact"/>
        </w:trPr>
        <w:tc>
          <w:tcPr>
            <w:tcW w:w="852"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7"/>
              <w:jc w:val="both"/>
              <w:rPr>
                <w:rFonts w:ascii="宋体" w:hAnsi="宋体" w:cs="宋体" w:eastAsia="宋体" w:hint="default"/>
                <w:sz w:val="18"/>
                <w:szCs w:val="18"/>
              </w:rPr>
            </w:pPr>
            <w:r>
              <w:rPr>
                <w:rFonts w:ascii="宋体" w:hAnsi="宋体" w:cs="宋体" w:eastAsia="宋体" w:hint="default"/>
                <w:sz w:val="18"/>
                <w:szCs w:val="18"/>
              </w:rPr>
              <w:t>转让或者委托他人管理该等股份，也不由公司回购该等股份；自 其在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日因公司</w:t>
            </w:r>
          </w:p>
          <w:p>
            <w:pPr>
              <w:pStyle w:val="TableParagraph"/>
              <w:spacing w:line="312" w:lineRule="auto"/>
              <w:ind w:left="23" w:right="19"/>
              <w:jc w:val="both"/>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日起三十六月内不转让或者委托他人管理该等 股份，也不由公司回购该等股份；且在东方国信上市之日起十二 个月内，不转让或者委托他人管理前述股份，也不由公司回购前 述股份。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13"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49.15pt;height:95.7pt;mso-position-horizontal-relative:char;mso-position-vertical-relative:line" coordorigin="0,0" coordsize="983,1914">
                  <v:group style="position:absolute;left:0;top:0;width:983;height:1914" coordorigin="0,0" coordsize="983,1914">
                    <v:shape style="position:absolute;left:0;top:0;width:983;height:1914" coordorigin="0,0" coordsize="983,1914" path="m0,1913l982,1913,982,0,0,0,0,1913xe" filled="true" fillcolor="#ffffff" stroked="false">
                      <v:path arrowok="t"/>
                      <v:fill type="solid"/>
                    </v:shape>
                  </v:group>
                </v:group>
              </w:pict>
            </w:r>
            <w:r>
              <w:rPr>
                <w:rFonts w:ascii="Times New Roman" w:hAnsi="Times New Roman" w:cs="Times New Roman" w:eastAsia="Times New Roman" w:hint="default"/>
                <w:position w:val="-37"/>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起三十六个 </w:t>
            </w:r>
            <w:r>
              <w:rPr>
                <w:rFonts w:ascii="宋体" w:hAnsi="宋体" w:cs="宋体" w:eastAsia="宋体" w:hint="default"/>
                <w:spacing w:val="-4"/>
                <w:sz w:val="18"/>
                <w:szCs w:val="18"/>
              </w:rPr>
              <w:t>月；自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2009</w:t>
            </w:r>
          </w:p>
          <w:p>
            <w:pPr>
              <w:pStyle w:val="TableParagraph"/>
              <w:spacing w:line="309" w:lineRule="auto"/>
              <w:ind w:left="23" w:right="5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日起三十六 月</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852"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管连平、 霍卫平、 金正皓、 胡淑瑜、 朱军峰、 王红庆、 陈桂霞、 彭岩、冯 志宏、赵 光宇</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7"/>
              <w:jc w:val="both"/>
              <w:rPr>
                <w:rFonts w:ascii="宋体" w:hAnsi="宋体" w:cs="宋体" w:eastAsia="宋体" w:hint="default"/>
                <w:sz w:val="18"/>
                <w:szCs w:val="18"/>
              </w:rPr>
            </w:pPr>
            <w:r>
              <w:rPr>
                <w:rFonts w:ascii="宋体" w:hAnsi="宋体" w:cs="宋体" w:eastAsia="宋体" w:hint="default"/>
                <w:sz w:val="18"/>
                <w:szCs w:val="18"/>
              </w:rPr>
              <w:t>公司董事管连平、霍卫平，监事彭岩、冯志宏和高级管理人员赵 光宇分别作出承诺：自东方国信股票上市之日起三十六个月内， 不转让或者委托他人管理本人所持有的北京仁邦时代投资咨询有 限公司的股权；在前述限售期满后，本人在仁邦时代间接持有的 东方国信的股份在本人任职期间每年转让的比例不超过所持股份 总数的百分之二十五，在离职后半年内不进行转让，在申报离任 六个月后的十二个月内通过证券交易所挂牌交易出售间接持有的 东方国信股票数量占所持东方国信股票总数的比例不超过百分之 五十。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55"/>
              <w:jc w:val="both"/>
              <w:rPr>
                <w:rFonts w:ascii="宋体" w:hAnsi="宋体" w:cs="宋体" w:eastAsia="宋体" w:hint="default"/>
                <w:sz w:val="18"/>
                <w:szCs w:val="18"/>
              </w:rPr>
            </w:pPr>
            <w:r>
              <w:rPr>
                <w:rFonts w:ascii="宋体" w:hAnsi="宋体" w:cs="宋体" w:eastAsia="宋体" w:hint="default"/>
                <w:sz w:val="18"/>
                <w:szCs w:val="18"/>
              </w:rPr>
              <w:t>自股票上市 之日起三十 六个月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27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北京东方 国信科技 股份有限 公司</w:t>
            </w:r>
          </w:p>
        </w:tc>
        <w:tc>
          <w:tcPr>
            <w:tcW w:w="5103" w:type="dxa"/>
            <w:tcBorders>
              <w:top w:val="single" w:sz="4" w:space="0" w:color="000000"/>
              <w:left w:val="single" w:sz="4" w:space="0" w:color="000000"/>
              <w:bottom w:val="single" w:sz="4" w:space="0" w:color="000000"/>
              <w:right w:val="single" w:sz="13" w:space="0" w:color="FFFFFF"/>
            </w:tcBorders>
          </w:tcPr>
          <w:p>
            <w:pPr>
              <w:pStyle w:val="TableParagraph"/>
              <w:spacing w:line="312"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日召开第二届董事会第四次会议，审议通 </w:t>
            </w:r>
            <w:r>
              <w:rPr>
                <w:rFonts w:ascii="宋体" w:hAnsi="宋体" w:cs="宋体" w:eastAsia="宋体" w:hint="default"/>
                <w:spacing w:val="-6"/>
                <w:sz w:val="18"/>
                <w:szCs w:val="18"/>
              </w:rPr>
              <w:t>过了《关于使用部分超募资金永久补充流动资金的议案》，决定使</w:t>
            </w:r>
            <w:r>
              <w:rPr>
                <w:rFonts w:ascii="宋体" w:hAnsi="宋体" w:cs="宋体" w:eastAsia="宋体" w:hint="default"/>
                <w:sz w:val="18"/>
                <w:szCs w:val="18"/>
              </w:rPr>
              <w:t> 用超募资金人民币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万元永久补充流动资金，并按照中国证 券监督管理委员会和深圳证券交易所的有关规定， 公司最近十二个月内未进行证券投资、委托理财、衍生品投资、 创业投资等高风险投资；并承诺本次使用超募资金补充流动资金 后未来十二个月内不进行此类高风险投资。</w:t>
            </w:r>
          </w:p>
        </w:tc>
        <w:tc>
          <w:tcPr>
            <w:tcW w:w="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352" w:lineRule="exact"/>
              <w:ind w:left="12"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6.95pt;height:17.650pt;mso-position-horizontal-relative:char;mso-position-vertical-relative:line" coordorigin="0,0" coordsize="939,353">
                  <v:group style="position:absolute;left:0;top:0;width:939;height:353" coordorigin="0,0" coordsize="939,353">
                    <v:shape style="position:absolute;left:0;top:0;width:939;height:353" coordorigin="0,0" coordsize="939,353" path="m0,353l939,353,939,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已经履行 完毕</w:t>
            </w:r>
          </w:p>
        </w:tc>
      </w:tr>
      <w:tr>
        <w:trPr>
          <w:trHeight w:val="5706"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东华信通 原股东</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7" w:lineRule="auto"/>
              <w:ind w:left="23" w:right="19"/>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秦宏伟、姜艳杰承诺：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以东华信通</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年三</w:t>
            </w:r>
            <w:r>
              <w:rPr>
                <w:rFonts w:ascii="宋体" w:hAnsi="宋体" w:cs="宋体" w:eastAsia="宋体" w:hint="default"/>
                <w:spacing w:val="-88"/>
                <w:sz w:val="18"/>
                <w:szCs w:val="18"/>
              </w:rPr>
              <w:t> </w:t>
            </w:r>
            <w:r>
              <w:rPr>
                <w:rFonts w:ascii="宋体" w:hAnsi="宋体" w:cs="宋体" w:eastAsia="宋体" w:hint="default"/>
                <w:sz w:val="18"/>
                <w:szCs w:val="18"/>
              </w:rPr>
              <w:t>年平均净利润为基础，东华信通未来两年经审计归属于东华信通 母公司股东合并净利润年增长率不低于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以扣除 </w:t>
            </w:r>
            <w:r>
              <w:rPr>
                <w:rFonts w:ascii="宋体" w:hAnsi="宋体" w:cs="宋体" w:eastAsia="宋体" w:hint="default"/>
                <w:spacing w:val="-5"/>
                <w:w w:val="100"/>
                <w:sz w:val="18"/>
                <w:szCs w:val="18"/>
              </w:rPr>
              <w:t>非经常性损益前后孰低者为计算依据）。</w:t>
            </w:r>
            <w:r>
              <w:rPr>
                <w:rFonts w:ascii="Times New Roman" w:hAnsi="Times New Roman" w:cs="Times New Roman" w:eastAsia="Times New Roman" w:hint="default"/>
                <w:spacing w:val="-5"/>
                <w:w w:val="100"/>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东华信通</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3" w:right="24"/>
              <w:jc w:val="both"/>
              <w:rPr>
                <w:rFonts w:ascii="宋体" w:hAnsi="宋体" w:cs="宋体" w:eastAsia="宋体" w:hint="default"/>
                <w:sz w:val="18"/>
                <w:szCs w:val="18"/>
              </w:rPr>
            </w:pPr>
            <w:r>
              <w:rPr>
                <w:rFonts w:ascii="宋体" w:hAnsi="宋体" w:cs="宋体" w:eastAsia="宋体" w:hint="default"/>
                <w:sz w:val="18"/>
                <w:szCs w:val="18"/>
              </w:rPr>
              <w:t>度财务报 表已经北 京兴华会 计师事务 所有限公 司审计，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40" w:lineRule="auto"/>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度实现净 利润为 </w:t>
            </w:r>
            <w:r>
              <w:rPr>
                <w:rFonts w:ascii="Times New Roman" w:hAnsi="Times New Roman" w:cs="Times New Roman" w:eastAsia="Times New Roman" w:hint="default"/>
                <w:sz w:val="18"/>
                <w:szCs w:val="18"/>
              </w:rPr>
              <w:t>11,901,15</w:t>
            </w:r>
          </w:p>
          <w:p>
            <w:pPr>
              <w:pStyle w:val="TableParagraph"/>
              <w:spacing w:line="22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16" w:lineRule="auto" w:before="63"/>
              <w:ind w:left="23" w:right="24"/>
              <w:jc w:val="both"/>
              <w:rPr>
                <w:rFonts w:ascii="宋体" w:hAnsi="宋体" w:cs="宋体" w:eastAsia="宋体" w:hint="default"/>
                <w:sz w:val="18"/>
                <w:szCs w:val="18"/>
              </w:rPr>
            </w:pPr>
            <w:r>
              <w:rPr>
                <w:rFonts w:ascii="宋体" w:hAnsi="宋体" w:cs="宋体" w:eastAsia="宋体" w:hint="default"/>
                <w:sz w:val="18"/>
                <w:szCs w:val="18"/>
              </w:rPr>
              <w:t>完成股权 收购协议 中关于业 绩承诺的 约定。</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承诺是否 及时履行</w:t>
            </w:r>
          </w:p>
        </w:tc>
        <w:tc>
          <w:tcPr>
            <w:tcW w:w="871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72" w:footer="1006" w:top="108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839"/>
        <w:gridCol w:w="8730"/>
      </w:tblGrid>
      <w:tr>
        <w:trPr>
          <w:trHeight w:val="1337"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both"/>
              <w:rPr>
                <w:rFonts w:ascii="宋体" w:hAnsi="宋体" w:cs="宋体" w:eastAsia="宋体" w:hint="default"/>
                <w:sz w:val="18"/>
                <w:szCs w:val="18"/>
              </w:rPr>
            </w:pPr>
            <w:r>
              <w:rPr>
                <w:rFonts w:ascii="宋体" w:hAnsi="宋体" w:cs="宋体" w:eastAsia="宋体" w:hint="default"/>
                <w:sz w:val="18"/>
                <w:szCs w:val="18"/>
              </w:rPr>
              <w:t>未完成履 行的具体 原因及下 一步计划</w:t>
            </w:r>
          </w:p>
        </w:tc>
        <w:tc>
          <w:tcPr>
            <w:tcW w:w="87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3"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是否就导 致的同业 竞争和关 联交易问 题作出承 诺</w:t>
            </w:r>
          </w:p>
        </w:tc>
        <w:tc>
          <w:tcPr>
            <w:tcW w:w="87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承诺的解 决期限</w:t>
            </w:r>
          </w:p>
        </w:tc>
        <w:tc>
          <w:tcPr>
            <w:tcW w:w="87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87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承诺的履 行情况</w:t>
            </w:r>
          </w:p>
        </w:tc>
        <w:tc>
          <w:tcPr>
            <w:tcW w:w="87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报告期内，公司、股东、董事、监事和高管人员均严格履行了所做承诺事项，不存在违反承诺事项的情形。</w:t>
            </w:r>
          </w:p>
        </w:tc>
      </w:tr>
    </w:tbl>
    <w:p>
      <w:pPr>
        <w:spacing w:line="240" w:lineRule="auto" w:before="10"/>
        <w:rPr>
          <w:rFonts w:ascii="Times New Roman" w:hAnsi="Times New Roman" w:cs="Times New Roman" w:eastAsia="Times New Roman" w:hint="default"/>
          <w:sz w:val="21"/>
          <w:szCs w:val="21"/>
        </w:rPr>
      </w:pPr>
    </w:p>
    <w:p>
      <w:pPr>
        <w:pStyle w:val="Heading3"/>
        <w:spacing w:line="256"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7974"/>
        <w:jc w:val="left"/>
      </w:pPr>
      <w:r>
        <w:rPr/>
        <w:t>无。 盈利预测相关披露索引</w:t>
      </w: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盈利预测披露日期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盈利预测披露媒体名称</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盈利预测公告名称</w:t>
            </w:r>
          </w:p>
        </w:tc>
      </w:tr>
    </w:tbl>
    <w:p>
      <w:pPr>
        <w:spacing w:line="240" w:lineRule="auto" w:before="4"/>
        <w:rPr>
          <w:rFonts w:ascii="宋体" w:hAnsi="宋体" w:cs="宋体" w:eastAsia="宋体" w:hint="default"/>
          <w:sz w:val="19"/>
          <w:szCs w:val="19"/>
        </w:rPr>
      </w:pPr>
    </w:p>
    <w:p>
      <w:pPr>
        <w:pStyle w:val="Heading2"/>
        <w:spacing w:line="240" w:lineRule="auto" w:before="26"/>
        <w:ind w:right="0"/>
        <w:jc w:val="left"/>
        <w:rPr>
          <w:b w:val="0"/>
          <w:bCs w:val="0"/>
        </w:rPr>
      </w:pPr>
      <w:r>
        <w:rPr/>
        <w:t>九、聘任、解聘会计师事务所情况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北京兴华会计师事务所有限责任公司</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姜照东、马莉</w:t>
            </w:r>
          </w:p>
        </w:tc>
      </w:tr>
    </w:tbl>
    <w:p>
      <w:pPr>
        <w:pStyle w:val="BodyText"/>
        <w:spacing w:line="240" w:lineRule="auto" w:before="49"/>
        <w:ind w:right="0"/>
        <w:jc w:val="left"/>
      </w:pPr>
      <w:r>
        <w:rPr/>
        <w:t>是否改聘会计师事务所</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36"/>
        <w:jc w:val="left"/>
        <w:rPr>
          <w:b w:val="0"/>
          <w:bCs w:val="0"/>
        </w:rPr>
      </w:pPr>
      <w:r>
        <w:rPr/>
        <w:t>十、上市公司及其董事、监事、高级管理人员、公司股东、实际控制人和收购人处罚及整改</w:t>
      </w:r>
      <w:r>
        <w:rPr>
          <w:w w:val="99"/>
        </w:rPr>
        <w:t> </w:t>
      </w:r>
      <w:r>
        <w:rPr/>
        <w:t>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上市公司及其子公司是否被列入环保部门公布的污染严重企业名单</w:t>
      </w:r>
    </w:p>
    <w:p>
      <w:pPr>
        <w:pStyle w:val="BodyText"/>
        <w:spacing w:line="338" w:lineRule="auto" w:before="43"/>
        <w:ind w:right="5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上市公司及其子公司是否存在其他重大社会安全问题</w:t>
      </w:r>
    </w:p>
    <w:p>
      <w:pPr>
        <w:spacing w:after="0" w:line="338" w:lineRule="auto"/>
        <w:jc w:val="left"/>
        <w:sectPr>
          <w:pgSz w:w="11910" w:h="16840"/>
          <w:pgMar w:header="772" w:footer="1006" w:top="1080" w:bottom="1200" w:left="980" w:right="980"/>
        </w:sectPr>
      </w:pPr>
    </w:p>
    <w:p>
      <w:pPr>
        <w:spacing w:line="240" w:lineRule="auto" w:before="9"/>
        <w:rPr>
          <w:rFonts w:ascii="宋体" w:hAnsi="宋体" w:cs="宋体" w:eastAsia="宋体" w:hint="default"/>
          <w:sz w:val="23"/>
          <w:szCs w:val="23"/>
        </w:rPr>
      </w:pPr>
    </w:p>
    <w:p>
      <w:pPr>
        <w:pStyle w:val="BodyText"/>
        <w:spacing w:line="340" w:lineRule="auto" w:before="44"/>
        <w:ind w:right="78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报告期内是否被行政处罚</w:t>
      </w:r>
    </w:p>
    <w:p>
      <w:pPr>
        <w:pStyle w:val="BodyText"/>
        <w:spacing w:line="240" w:lineRule="auto" w:before="39"/>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十一、公司股东及其一致行动人在报告期提出或实施股份增持计划的情况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318" w:right="21"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6"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6"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bl>
    <w:p>
      <w:pPr>
        <w:pStyle w:val="BodyText"/>
        <w:spacing w:line="240" w:lineRule="auto" w:before="50"/>
        <w:ind w:right="94"/>
        <w:jc w:val="left"/>
      </w:pPr>
      <w:r>
        <w:rPr/>
        <w:t>其他情况说明</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64"/>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7"/>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3" w:hanging="1"/>
              <w:jc w:val="center"/>
              <w:rPr>
                <w:rFonts w:ascii="宋体" w:hAnsi="宋体" w:cs="宋体" w:eastAsia="宋体" w:hint="default"/>
                <w:sz w:val="18"/>
                <w:szCs w:val="18"/>
              </w:rPr>
            </w:pPr>
            <w:r>
              <w:rPr>
                <w:rFonts w:ascii="宋体" w:hAnsi="宋体" w:cs="宋体" w:eastAsia="宋体" w:hint="default"/>
                <w:sz w:val="18"/>
                <w:szCs w:val="18"/>
              </w:rPr>
              <w:t>董事、监事、高级管理 </w:t>
            </w:r>
            <w:r>
              <w:rPr>
                <w:rFonts w:ascii="宋体" w:hAnsi="宋体" w:cs="宋体" w:eastAsia="宋体" w:hint="default"/>
                <w:spacing w:val="-10"/>
                <w:sz w:val="18"/>
                <w:szCs w:val="18"/>
              </w:rPr>
              <w:t>人员、持股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 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81" w:right="50" w:hanging="629"/>
              <w:jc w:val="left"/>
              <w:rPr>
                <w:rFonts w:ascii="宋体" w:hAnsi="宋体" w:cs="宋体" w:eastAsia="宋体" w:hint="default"/>
                <w:sz w:val="18"/>
                <w:szCs w:val="18"/>
              </w:rPr>
            </w:pPr>
            <w:r>
              <w:rPr>
                <w:rFonts w:ascii="宋体" w:hAnsi="宋体" w:cs="宋体" w:eastAsia="宋体" w:hint="default"/>
                <w:sz w:val="18"/>
                <w:szCs w:val="18"/>
              </w:rPr>
              <w:t>违规买卖公司股票的具 体情况</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81" w:right="51" w:hanging="629"/>
              <w:jc w:val="left"/>
              <w:rPr>
                <w:rFonts w:ascii="宋体" w:hAnsi="宋体" w:cs="宋体" w:eastAsia="宋体" w:hint="default"/>
                <w:sz w:val="18"/>
                <w:szCs w:val="18"/>
              </w:rPr>
            </w:pPr>
            <w:r>
              <w:rPr>
                <w:rFonts w:ascii="宋体" w:hAnsi="宋体" w:cs="宋体" w:eastAsia="宋体" w:hint="default"/>
                <w:sz w:val="18"/>
                <w:szCs w:val="18"/>
              </w:rPr>
              <w:t>涉嫌违规所得收益收回 的时间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涉嫌违规所得收益收回 的金额（元）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53" w:right="0"/>
              <w:jc w:val="left"/>
              <w:rPr>
                <w:rFonts w:ascii="宋体" w:hAnsi="宋体" w:cs="宋体" w:eastAsia="宋体" w:hint="default"/>
                <w:sz w:val="18"/>
                <w:szCs w:val="18"/>
              </w:rPr>
            </w:pPr>
            <w:r>
              <w:rPr>
                <w:rFonts w:ascii="宋体" w:hAnsi="宋体" w:cs="宋体" w:eastAsia="宋体" w:hint="default"/>
                <w:sz w:val="18"/>
                <w:szCs w:val="18"/>
              </w:rPr>
              <w:t>董事会采取的问责措施</w:t>
            </w:r>
          </w:p>
        </w:tc>
      </w:tr>
    </w:tbl>
    <w:p>
      <w:pPr>
        <w:spacing w:line="240" w:lineRule="auto" w:before="1"/>
        <w:rPr>
          <w:rFonts w:ascii="宋体" w:hAnsi="宋体" w:cs="宋体" w:eastAsia="宋体" w:hint="default"/>
          <w:b/>
          <w:bCs/>
          <w:sz w:val="18"/>
          <w:szCs w:val="18"/>
        </w:rPr>
      </w:pPr>
    </w:p>
    <w:p>
      <w:pPr>
        <w:pStyle w:val="Heading2"/>
        <w:spacing w:line="240" w:lineRule="auto" w:before="26"/>
        <w:ind w:right="94"/>
        <w:jc w:val="left"/>
        <w:rPr>
          <w:b w:val="0"/>
          <w:bCs w:val="0"/>
        </w:rPr>
      </w:pPr>
      <w:r>
        <w:rPr/>
        <w:t>十三、违规对外担保情况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91"/>
        <w:jc w:val="right"/>
      </w:pPr>
      <w:r>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6"/>
        <w:gridCol w:w="1995"/>
        <w:gridCol w:w="1983"/>
        <w:gridCol w:w="1980"/>
        <w:gridCol w:w="1983"/>
      </w:tblGrid>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违规对外担保类型</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报告期增加金额</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报告期减少金额</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both"/>
              <w:rPr>
                <w:rFonts w:ascii="宋体" w:hAnsi="宋体" w:cs="宋体" w:eastAsia="宋体" w:hint="default"/>
                <w:sz w:val="18"/>
                <w:szCs w:val="18"/>
              </w:rPr>
            </w:pPr>
            <w:r>
              <w:rPr>
                <w:rFonts w:ascii="宋体" w:hAnsi="宋体" w:cs="宋体" w:eastAsia="宋体" w:hint="default"/>
                <w:sz w:val="18"/>
                <w:szCs w:val="18"/>
              </w:rPr>
              <w:t>违规对外担保情况 及解决措施情况说 明</w:t>
            </w:r>
          </w:p>
        </w:tc>
        <w:tc>
          <w:tcPr>
            <w:tcW w:w="7941"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r>
        <w:rPr/>
        <w:t>十四、年度报告披露后面临暂停上市和终止上市情况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十五、其他重大事项的说明</w:t>
      </w:r>
      <w:r>
        <w:rPr>
          <w:b w:val="0"/>
          <w:bCs w:val="0"/>
        </w:rPr>
      </w:r>
    </w:p>
    <w:p>
      <w:pPr>
        <w:spacing w:line="240" w:lineRule="auto" w:before="4"/>
        <w:rPr>
          <w:rFonts w:ascii="宋体" w:hAnsi="宋体" w:cs="宋体" w:eastAsia="宋体" w:hint="default"/>
          <w:b/>
          <w:bCs/>
          <w:sz w:val="32"/>
          <w:szCs w:val="32"/>
        </w:rPr>
      </w:pPr>
    </w:p>
    <w:p>
      <w:pPr>
        <w:pStyle w:val="BodyText"/>
        <w:spacing w:line="477" w:lineRule="auto"/>
        <w:ind w:right="94" w:firstLine="360"/>
        <w:jc w:val="left"/>
      </w:pPr>
      <w:r>
        <w:rPr>
          <w:spacing w:val="-2"/>
        </w:rPr>
        <w:t>报告期内发生的《证券法》第六十七条、《上市公司信息披露管理办法》第三十条所列的重大事件以及公司董事会判断</w:t>
      </w:r>
      <w:r>
        <w:rPr/>
        <w:t> 为重大事件的事项，如下：</w:t>
      </w:r>
    </w:p>
    <w:p>
      <w:pPr>
        <w:pStyle w:val="BodyText"/>
        <w:spacing w:line="477" w:lineRule="auto" w:before="55"/>
        <w:ind w:right="94" w:firstLine="360"/>
        <w:jc w:val="left"/>
      </w:pPr>
      <w:r>
        <w:rPr>
          <w:rFonts w:ascii="宋体" w:hAnsi="宋体" w:cs="宋体" w:eastAsia="宋体" w:hint="default"/>
          <w:spacing w:val="-4"/>
        </w:rPr>
        <w:t>1</w:t>
      </w:r>
      <w:r>
        <w:rPr>
          <w:spacing w:val="-4"/>
        </w:rPr>
        <w:t>、公司经营范围增加经营项目，其中增加许可经营项目：因特网信息服务业务</w:t>
      </w:r>
      <w:r>
        <w:rPr>
          <w:rFonts w:ascii="宋体" w:hAnsi="宋体" w:cs="宋体" w:eastAsia="宋体" w:hint="default"/>
          <w:spacing w:val="-4"/>
        </w:rPr>
        <w:t>(</w:t>
      </w:r>
      <w:r>
        <w:rPr>
          <w:spacing w:val="-4"/>
        </w:rPr>
        <w:t>除新闻、出版、教育、医疗保健、药品、</w:t>
      </w:r>
      <w:r>
        <w:rPr/>
        <w:t> </w:t>
      </w:r>
      <w:r>
        <w:rPr>
          <w:spacing w:val="-2"/>
        </w:rPr>
        <w:t>医疗器械和</w:t>
      </w:r>
      <w:r>
        <w:rPr>
          <w:rFonts w:ascii="宋体" w:hAnsi="宋体" w:cs="宋体" w:eastAsia="宋体" w:hint="default"/>
          <w:spacing w:val="-2"/>
        </w:rPr>
        <w:t>BBS</w:t>
      </w:r>
      <w:r>
        <w:rPr>
          <w:spacing w:val="-2"/>
        </w:rPr>
        <w:t>以外的内容</w:t>
      </w:r>
      <w:r>
        <w:rPr>
          <w:rFonts w:ascii="宋体" w:hAnsi="宋体" w:cs="宋体" w:eastAsia="宋体" w:hint="default"/>
          <w:spacing w:val="-2"/>
        </w:rPr>
        <w:t>)</w:t>
      </w:r>
      <w:r>
        <w:rPr>
          <w:spacing w:val="-2"/>
        </w:rPr>
        <w:t>（电信与信息服务许可证有效期至</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7</w:t>
      </w:r>
      <w:r>
        <w:rPr>
          <w:spacing w:val="-2"/>
        </w:rPr>
        <w:t>日）；利用信息网络经营游戏产品（含网络游戏虚</w:t>
      </w:r>
      <w:r>
        <w:rPr>
          <w:spacing w:val="-57"/>
        </w:rPr>
        <w:t> </w:t>
      </w:r>
      <w:r>
        <w:rPr>
          <w:spacing w:val="-57"/>
        </w:rPr>
      </w:r>
      <w:r>
        <w:rPr>
          <w:spacing w:val="-2"/>
        </w:rPr>
        <w:t>拟货币发行）（网络文化经营许可证有效期至</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w:t>
      </w:r>
      <w:r>
        <w:rPr>
          <w:spacing w:val="-2"/>
        </w:rPr>
        <w:t>日）；第二类增值电信业务中的信息服务业务（不含固定网电话信</w:t>
      </w:r>
      <w:r>
        <w:rPr>
          <w:spacing w:val="-63"/>
        </w:rPr>
        <w:t> </w:t>
      </w:r>
      <w:r>
        <w:rPr>
          <w:spacing w:val="-63"/>
        </w:rPr>
      </w:r>
      <w:r>
        <w:rPr/>
        <w:t>息服务和互联网信息服务）（增值电信业务许可证有效期至</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15</w:t>
      </w:r>
      <w:r>
        <w:rPr/>
        <w:t>日）。增加一般经营项目：销售电子产品、通讯设</w:t>
      </w:r>
      <w:r>
        <w:rPr>
          <w:spacing w:val="-84"/>
        </w:rPr>
        <w:t> </w:t>
      </w:r>
      <w:r>
        <w:rPr>
          <w:spacing w:val="-84"/>
        </w:rPr>
      </w:r>
      <w:r>
        <w:rPr>
          <w:spacing w:val="-2"/>
        </w:rPr>
        <w:t>备；货物进出口、技术进出口、代理进出口。以上经营范围变更事项已经公司召开的</w:t>
      </w:r>
      <w:r>
        <w:rPr>
          <w:rFonts w:ascii="宋体" w:hAnsi="宋体" w:cs="宋体" w:eastAsia="宋体" w:hint="default"/>
          <w:spacing w:val="-2"/>
        </w:rPr>
        <w:t>2011</w:t>
      </w:r>
      <w:r>
        <w:rPr>
          <w:spacing w:val="-2"/>
        </w:rPr>
        <w:t>年度股东大会、</w:t>
      </w:r>
      <w:r>
        <w:rPr>
          <w:rFonts w:ascii="宋体" w:hAnsi="宋体" w:cs="宋体" w:eastAsia="宋体" w:hint="default"/>
          <w:spacing w:val="-2"/>
        </w:rPr>
        <w:t>2012</w:t>
      </w:r>
      <w:r>
        <w:rPr>
          <w:spacing w:val="-2"/>
        </w:rPr>
        <w:t>年第二次临时</w:t>
      </w:r>
      <w:r>
        <w:rPr>
          <w:spacing w:val="-61"/>
        </w:rPr>
        <w:t> </w:t>
      </w:r>
      <w:r>
        <w:rPr>
          <w:spacing w:val="-61"/>
        </w:rPr>
      </w:r>
      <w:r>
        <w:rPr/>
        <w:t>股东大会和</w:t>
      </w:r>
      <w:r>
        <w:rPr>
          <w:rFonts w:ascii="宋体" w:hAnsi="宋体" w:cs="宋体" w:eastAsia="宋体" w:hint="default"/>
        </w:rPr>
        <w:t>2012</w:t>
      </w:r>
      <w:r>
        <w:rPr/>
        <w:t>年第三次临时股东大会审议通过。</w:t>
      </w:r>
    </w:p>
    <w:p>
      <w:pPr>
        <w:spacing w:after="0" w:line="477"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477" w:lineRule="auto" w:before="44"/>
        <w:ind w:left="513" w:right="1133"/>
        <w:jc w:val="left"/>
      </w:pPr>
      <w:r>
        <w:rPr>
          <w:rFonts w:ascii="宋体" w:hAnsi="宋体" w:cs="宋体" w:eastAsia="宋体" w:hint="default"/>
        </w:rPr>
        <w:t>2</w:t>
      </w:r>
      <w:r>
        <w:rPr/>
        <w:t>、股权激励事项，请参见本报告本节“五、公司股权激励的实施情况及其影响”相关内容。 公司目前指定信息披露媒体为《中国证券报》、《上海证券报》、中国证监会指定创业板信息披露网站。</w:t>
      </w:r>
    </w:p>
    <w:p>
      <w:pPr>
        <w:spacing w:after="0" w:line="477" w:lineRule="auto"/>
        <w:jc w:val="left"/>
        <w:sectPr>
          <w:pgSz w:w="11910" w:h="16840"/>
          <w:pgMar w:header="772" w:footer="1006" w:top="108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1"/>
        <w:spacing w:line="240" w:lineRule="auto"/>
        <w:ind w:left="2964" w:right="94"/>
        <w:jc w:val="left"/>
        <w:rPr>
          <w:b w:val="0"/>
          <w:bCs w:val="0"/>
        </w:rPr>
      </w:pPr>
      <w:bookmarkStart w:name="_TOC_250004"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679"/>
        <w:gridCol w:w="1005"/>
        <w:gridCol w:w="850"/>
        <w:gridCol w:w="850"/>
        <w:gridCol w:w="569"/>
        <w:gridCol w:w="992"/>
        <w:gridCol w:w="850"/>
        <w:gridCol w:w="994"/>
        <w:gridCol w:w="991"/>
        <w:gridCol w:w="775"/>
      </w:tblGrid>
      <w:tr>
        <w:trPr>
          <w:trHeight w:val="206"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4"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3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4254" w:type="dxa"/>
            <w:gridSpan w:val="5"/>
            <w:vMerge/>
            <w:tcBorders>
              <w:left w:val="single" w:sz="4" w:space="0" w:color="000000"/>
              <w:bottom w:val="single" w:sz="4" w:space="0" w:color="000000"/>
              <w:right w:val="single" w:sz="4" w:space="0" w:color="000000"/>
            </w:tcBorders>
            <w:shd w:val="clear" w:color="auto" w:fill="D2D2D2"/>
          </w:tcPr>
          <w:p>
            <w:pPr/>
          </w:p>
        </w:tc>
        <w:tc>
          <w:tcPr>
            <w:tcW w:w="176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4"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30,324,000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74.87%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-6,982,500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53,665,500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83,989,500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69.13%</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30,324,000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74.87%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-6,982,500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53,665,500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83,989,500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69.13%</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23,940,000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22,344,000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55.17%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44,688,000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-6,982,500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37,705,500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60,049,500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49.42%</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6,982,500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27,334,500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37,510,500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30.87%</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6,982,500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27,334,500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37,510,500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30.87%</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121,500,000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436" w:lineRule="auto" w:before="49"/>
        <w:ind w:left="513" w:right="183" w:hanging="361"/>
        <w:jc w:val="left"/>
      </w:pPr>
      <w:r>
        <w:rPr/>
        <w:t>股份变动的原因 </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21</w:t>
      </w:r>
      <w:r>
        <w:rPr/>
        <w:t>日经公司</w:t>
      </w:r>
      <w:r>
        <w:rPr>
          <w:rFonts w:ascii="宋体" w:hAnsi="宋体" w:cs="宋体" w:eastAsia="宋体" w:hint="default"/>
        </w:rPr>
        <w:t>2011</w:t>
      </w:r>
      <w:r>
        <w:rPr/>
        <w:t>年度股东大会决议，以截止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4,050.00</w:t>
      </w:r>
      <w:r>
        <w:rPr/>
        <w:t>万股为基数，向全体股东每</w:t>
      </w:r>
    </w:p>
    <w:p>
      <w:pPr>
        <w:pStyle w:val="BodyText"/>
        <w:spacing w:line="477" w:lineRule="auto" w:before="85"/>
        <w:ind w:right="94"/>
        <w:jc w:val="left"/>
      </w:pP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股，共计转增</w:t>
      </w:r>
      <w:r>
        <w:rPr>
          <w:rFonts w:ascii="宋体" w:hAnsi="宋体" w:cs="宋体" w:eastAsia="宋体" w:hint="default"/>
          <w:spacing w:val="-2"/>
        </w:rPr>
        <w:t>4,050.00</w:t>
      </w:r>
      <w:r>
        <w:rPr>
          <w:spacing w:val="-2"/>
        </w:rPr>
        <w:t>万股，将资本公积</w:t>
      </w:r>
      <w:r>
        <w:rPr>
          <w:rFonts w:ascii="宋体" w:hAnsi="宋体" w:cs="宋体" w:eastAsia="宋体" w:hint="default"/>
          <w:spacing w:val="-2"/>
        </w:rPr>
        <w:t>40,500,000.00</w:t>
      </w:r>
      <w:r>
        <w:rPr>
          <w:spacing w:val="-2"/>
        </w:rPr>
        <w:t>元转增股本，增加注册资本人民币</w:t>
      </w:r>
      <w:r>
        <w:rPr>
          <w:rFonts w:ascii="宋体" w:hAnsi="宋体" w:cs="宋体" w:eastAsia="宋体" w:hint="default"/>
          <w:spacing w:val="-2"/>
        </w:rPr>
        <w:t>40,500,000.00</w:t>
      </w:r>
      <w:r>
        <w:rPr>
          <w:spacing w:val="-2"/>
        </w:rPr>
        <w:t>元，变</w:t>
      </w:r>
      <w:r>
        <w:rPr>
          <w:spacing w:val="-39"/>
        </w:rPr>
        <w:t> </w:t>
      </w:r>
      <w:r>
        <w:rPr>
          <w:spacing w:val="-39"/>
        </w:rPr>
      </w:r>
      <w:r>
        <w:rPr/>
        <w:t>更后注册资本为人民币</w:t>
      </w:r>
      <w:r>
        <w:rPr>
          <w:rFonts w:ascii="宋体" w:hAnsi="宋体" w:cs="宋体" w:eastAsia="宋体" w:hint="default"/>
        </w:rPr>
        <w:t>81,000,000.00</w:t>
      </w:r>
      <w:r>
        <w:rPr/>
        <w:t>元。</w:t>
      </w:r>
    </w:p>
    <w:p>
      <w:pPr>
        <w:pStyle w:val="BodyText"/>
        <w:spacing w:line="477" w:lineRule="auto" w:before="54"/>
        <w:ind w:right="186" w:firstLine="360"/>
        <w:jc w:val="both"/>
      </w:pP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22</w:t>
      </w:r>
      <w:r>
        <w:rPr>
          <w:spacing w:val="-2"/>
        </w:rPr>
        <w:t>日经公司</w:t>
      </w:r>
      <w:r>
        <w:rPr>
          <w:rFonts w:ascii="宋体" w:hAnsi="宋体" w:cs="宋体" w:eastAsia="宋体" w:hint="default"/>
          <w:spacing w:val="-2"/>
        </w:rPr>
        <w:t>2012</w:t>
      </w:r>
      <w:r>
        <w:rPr>
          <w:spacing w:val="-2"/>
        </w:rPr>
        <w:t>年第三次临时股东大会决议，以截止</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日公司总股本</w:t>
      </w:r>
      <w:r>
        <w:rPr>
          <w:rFonts w:ascii="宋体" w:hAnsi="宋体" w:cs="宋体" w:eastAsia="宋体" w:hint="default"/>
          <w:spacing w:val="-2"/>
        </w:rPr>
        <w:t>8,100.00</w:t>
      </w:r>
      <w:r>
        <w:rPr>
          <w:spacing w:val="-2"/>
        </w:rPr>
        <w:t>万股为基数，向全体</w:t>
      </w:r>
      <w:r>
        <w:rPr/>
        <w:t> 股东每</w:t>
      </w:r>
      <w:r>
        <w:rPr>
          <w:rFonts w:ascii="宋体" w:hAnsi="宋体" w:cs="宋体" w:eastAsia="宋体" w:hint="default"/>
        </w:rPr>
        <w:t>10</w:t>
      </w:r>
      <w:r>
        <w:rPr/>
        <w:t>股转增</w:t>
      </w:r>
      <w:r>
        <w:rPr>
          <w:rFonts w:ascii="宋体" w:hAnsi="宋体" w:cs="宋体" w:eastAsia="宋体" w:hint="default"/>
        </w:rPr>
        <w:t>5</w:t>
      </w:r>
      <w:r>
        <w:rPr/>
        <w:t>股，共计转增</w:t>
      </w:r>
      <w:r>
        <w:rPr>
          <w:rFonts w:ascii="宋体" w:hAnsi="宋体" w:cs="宋体" w:eastAsia="宋体" w:hint="default"/>
        </w:rPr>
        <w:t>4,050.00</w:t>
      </w:r>
      <w:r>
        <w:rPr/>
        <w:t>万股，将资本公积</w:t>
      </w:r>
      <w:r>
        <w:rPr>
          <w:rFonts w:ascii="宋体" w:hAnsi="宋体" w:cs="宋体" w:eastAsia="宋体" w:hint="default"/>
        </w:rPr>
        <w:t>40,500,000.00</w:t>
      </w:r>
      <w:r>
        <w:rPr/>
        <w:t>元转增股本，增加注册资本人民币</w:t>
      </w:r>
      <w:r>
        <w:rPr>
          <w:rFonts w:ascii="宋体" w:hAnsi="宋体" w:cs="宋体" w:eastAsia="宋体" w:hint="default"/>
        </w:rPr>
        <w:t>40,500,000.00 </w:t>
      </w:r>
      <w:r>
        <w:rPr/>
        <w:t>元，变更后注册资本为人民币</w:t>
      </w:r>
      <w:r>
        <w:rPr>
          <w:rFonts w:ascii="宋体" w:hAnsi="宋体" w:cs="宋体" w:eastAsia="宋体" w:hint="default"/>
        </w:rPr>
        <w:t>121,500,000.00</w:t>
      </w:r>
      <w:r>
        <w:rPr/>
        <w:t>元。</w:t>
      </w:r>
    </w:p>
    <w:p>
      <w:pPr>
        <w:pStyle w:val="BodyText"/>
        <w:spacing w:line="477" w:lineRule="auto" w:before="54"/>
        <w:ind w:right="100" w:firstLine="360"/>
        <w:jc w:val="both"/>
      </w:pPr>
      <w:r>
        <w:rPr>
          <w:rFonts w:ascii="宋体" w:hAnsi="宋体" w:cs="宋体" w:eastAsia="宋体" w:hint="default"/>
          <w:spacing w:val="-3"/>
        </w:rPr>
        <w:t>2012</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23</w:t>
      </w:r>
      <w:r>
        <w:rPr>
          <w:spacing w:val="-3"/>
        </w:rPr>
        <w:t>日，公司自然人股东金凤、张靖已履行上市公告书中所作承诺，申请解除限售股份</w:t>
      </w:r>
      <w:r>
        <w:rPr>
          <w:rFonts w:ascii="宋体" w:hAnsi="宋体" w:cs="宋体" w:eastAsia="宋体" w:hint="default"/>
          <w:spacing w:val="-3"/>
        </w:rPr>
        <w:t>5,250,000.00</w:t>
      </w:r>
      <w:r>
        <w:rPr>
          <w:spacing w:val="-3"/>
        </w:rPr>
        <w:t>股，其中：</w:t>
      </w:r>
      <w:r>
        <w:rPr/>
        <w:t> 金凤申请解除限售股份</w:t>
      </w:r>
      <w:r>
        <w:rPr>
          <w:rFonts w:ascii="宋体" w:hAnsi="宋体" w:cs="宋体" w:eastAsia="宋体" w:hint="default"/>
        </w:rPr>
        <w:t>2,850,000.00</w:t>
      </w:r>
      <w:r>
        <w:rPr/>
        <w:t>股，张靖申请解除限售股份</w:t>
      </w:r>
      <w:r>
        <w:rPr>
          <w:rFonts w:ascii="宋体" w:hAnsi="宋体" w:cs="宋体" w:eastAsia="宋体" w:hint="default"/>
        </w:rPr>
        <w:t>2,400,000.00</w:t>
      </w:r>
      <w:r>
        <w:rPr/>
        <w:t>股。</w:t>
      </w:r>
    </w:p>
    <w:p>
      <w:pPr>
        <w:pStyle w:val="BodyText"/>
        <w:spacing w:line="477" w:lineRule="auto" w:before="54"/>
        <w:ind w:right="100" w:firstLine="360"/>
        <w:jc w:val="both"/>
      </w:pPr>
      <w:r>
        <w:rPr>
          <w:rFonts w:ascii="宋体" w:hAnsi="宋体" w:cs="宋体" w:eastAsia="宋体" w:hint="default"/>
          <w:spacing w:val="-3"/>
        </w:rPr>
        <w:t>2012</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24</w:t>
      </w:r>
      <w:r>
        <w:rPr>
          <w:spacing w:val="-3"/>
        </w:rPr>
        <w:t>日，公司自然人股东金凤、张靖已履行上市公告书中所作承诺，申请解除限售股份</w:t>
      </w:r>
      <w:r>
        <w:rPr>
          <w:rFonts w:ascii="宋体" w:hAnsi="宋体" w:cs="宋体" w:eastAsia="宋体" w:hint="default"/>
          <w:spacing w:val="-3"/>
        </w:rPr>
        <w:t>1,732,500.00</w:t>
      </w:r>
      <w:r>
        <w:rPr>
          <w:spacing w:val="-3"/>
        </w:rPr>
        <w:t>股，其中：</w:t>
      </w:r>
      <w:r>
        <w:rPr/>
        <w:t> 金凤申请解除限售股份</w:t>
      </w:r>
      <w:r>
        <w:rPr>
          <w:rFonts w:ascii="宋体" w:hAnsi="宋体" w:cs="宋体" w:eastAsia="宋体" w:hint="default"/>
        </w:rPr>
        <w:t>940,500.00</w:t>
      </w:r>
      <w:r>
        <w:rPr/>
        <w:t>股，张靖申请解除限售股份</w:t>
      </w:r>
      <w:r>
        <w:rPr>
          <w:rFonts w:ascii="宋体" w:hAnsi="宋体" w:cs="宋体" w:eastAsia="宋体" w:hint="default"/>
        </w:rPr>
        <w:t>792,000.00</w:t>
      </w:r>
      <w:r>
        <w:rPr/>
        <w:t>股。</w:t>
      </w:r>
    </w:p>
    <w:p>
      <w:pPr>
        <w:pStyle w:val="BodyText"/>
        <w:spacing w:line="240" w:lineRule="auto" w:before="54"/>
        <w:ind w:left="513" w:right="94"/>
        <w:jc w:val="left"/>
      </w:pPr>
      <w:r>
        <w:rPr/>
        <w:t>本年资本公积转增股本共计</w:t>
      </w:r>
      <w:r>
        <w:rPr>
          <w:rFonts w:ascii="宋体" w:hAnsi="宋体" w:cs="宋体" w:eastAsia="宋体" w:hint="default"/>
        </w:rPr>
        <w:t>81,000,000.00</w:t>
      </w:r>
      <w:r>
        <w:rPr/>
        <w:t>元，解除限售股份共计</w:t>
      </w:r>
      <w:r>
        <w:rPr>
          <w:rFonts w:ascii="宋体" w:hAnsi="宋体" w:cs="宋体" w:eastAsia="宋体" w:hint="default"/>
        </w:rPr>
        <w:t>6,982,500.00</w:t>
      </w:r>
      <w:r>
        <w:rPr/>
        <w:t>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BodyText"/>
        <w:spacing w:line="240" w:lineRule="auto"/>
        <w:ind w:right="94"/>
        <w:jc w:val="left"/>
      </w:pPr>
      <w:r>
        <w:rPr/>
        <w:t>股份变动的批准情况</w:t>
      </w:r>
    </w:p>
    <w:p>
      <w:pPr>
        <w:pStyle w:val="BodyText"/>
        <w:spacing w:line="415" w:lineRule="auto" w:before="115"/>
        <w:ind w:left="513" w:right="183" w:hanging="361"/>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spacing w:val="-3"/>
        </w:rPr>
        <w:t>2012</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18</w:t>
      </w:r>
      <w:r>
        <w:rPr>
          <w:spacing w:val="-3"/>
        </w:rPr>
        <w:t>日召开二届六次董事会、二届四次监事会审议通过《</w:t>
      </w:r>
      <w:r>
        <w:rPr>
          <w:rFonts w:ascii="宋体" w:hAnsi="宋体" w:cs="宋体" w:eastAsia="宋体" w:hint="default"/>
          <w:spacing w:val="-3"/>
        </w:rPr>
        <w:t>2011</w:t>
      </w:r>
      <w:r>
        <w:rPr>
          <w:spacing w:val="-3"/>
        </w:rPr>
        <w:t>年度利润分配及资本公积金转增股本预案》，</w:t>
      </w:r>
      <w:r>
        <w:rPr>
          <w:rFonts w:ascii="宋体" w:hAnsi="宋体" w:cs="宋体" w:eastAsia="宋体" w:hint="default"/>
          <w:spacing w:val="-3"/>
        </w:rPr>
        <w:t>2012</w:t>
      </w:r>
    </w:p>
    <w:p>
      <w:pPr>
        <w:pStyle w:val="BodyText"/>
        <w:spacing w:line="240" w:lineRule="auto" w:before="101"/>
        <w:ind w:right="94"/>
        <w:jc w:val="left"/>
      </w:pPr>
      <w:r>
        <w:rPr/>
        <w:t>年</w:t>
      </w:r>
      <w:r>
        <w:rPr>
          <w:rFonts w:ascii="宋体" w:hAnsi="宋体" w:cs="宋体" w:eastAsia="宋体" w:hint="default"/>
        </w:rPr>
        <w:t>2</w:t>
      </w:r>
      <w:r>
        <w:rPr/>
        <w:t>月</w:t>
      </w:r>
      <w:r>
        <w:rPr>
          <w:rFonts w:ascii="宋体" w:hAnsi="宋体" w:cs="宋体" w:eastAsia="宋体" w:hint="default"/>
        </w:rPr>
        <w:t>10</w:t>
      </w:r>
      <w:r>
        <w:rPr/>
        <w:t>日，</w:t>
      </w:r>
      <w:r>
        <w:rPr>
          <w:rFonts w:ascii="宋体" w:hAnsi="宋体" w:cs="宋体" w:eastAsia="宋体" w:hint="default"/>
        </w:rPr>
        <w:t>2011</w:t>
      </w:r>
      <w:r>
        <w:rPr/>
        <w:t>年度股东大会审议通过了董事会拟定的《</w:t>
      </w:r>
      <w:r>
        <w:rPr>
          <w:rFonts w:ascii="宋体" w:hAnsi="宋体" w:cs="宋体" w:eastAsia="宋体" w:hint="default"/>
        </w:rPr>
        <w:t>2011</w:t>
      </w:r>
      <w:r>
        <w:rPr/>
        <w:t>年度利润分配及资本公积金转增股本预案》，即以公司总股</w:t>
      </w:r>
    </w:p>
    <w:p>
      <w:pPr>
        <w:spacing w:after="0" w:line="240"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477" w:lineRule="auto" w:before="44"/>
        <w:ind w:right="184"/>
        <w:jc w:val="left"/>
      </w:pPr>
      <w:r>
        <w:rPr/>
        <w:t>本</w:t>
      </w:r>
      <w:r>
        <w:rPr>
          <w:rFonts w:ascii="宋体" w:hAnsi="宋体" w:cs="宋体" w:eastAsia="宋体" w:hint="default"/>
        </w:rPr>
        <w:t>4,050</w:t>
      </w:r>
      <w:r>
        <w:rPr/>
        <w:t>万股为基数，向全体股东每</w:t>
      </w:r>
      <w:r>
        <w:rPr>
          <w:rFonts w:ascii="宋体" w:hAnsi="宋体" w:cs="宋体" w:eastAsia="宋体" w:hint="default"/>
        </w:rPr>
        <w:t>10</w:t>
      </w:r>
      <w:r>
        <w:rPr/>
        <w:t>股派发现金红利</w:t>
      </w:r>
      <w:r>
        <w:rPr>
          <w:rFonts w:ascii="宋体" w:hAnsi="宋体" w:cs="宋体" w:eastAsia="宋体" w:hint="default"/>
        </w:rPr>
        <w:t>2</w:t>
      </w:r>
      <w:r>
        <w:rPr/>
        <w:t>元（含税），现金分红</w:t>
      </w:r>
      <w:r>
        <w:rPr>
          <w:rFonts w:ascii="宋体" w:hAnsi="宋体" w:cs="宋体" w:eastAsia="宋体" w:hint="default"/>
        </w:rPr>
        <w:t>810</w:t>
      </w:r>
      <w:r>
        <w:rPr/>
        <w:t>万元（含税）；同时以资本公积金向全体 股东转增股本，每</w:t>
      </w:r>
      <w:r>
        <w:rPr>
          <w:rFonts w:ascii="宋体" w:hAnsi="宋体" w:cs="宋体" w:eastAsia="宋体" w:hint="default"/>
        </w:rPr>
        <w:t>10</w:t>
      </w:r>
      <w:r>
        <w:rPr/>
        <w:t>股转增</w:t>
      </w:r>
      <w:r>
        <w:rPr>
          <w:rFonts w:ascii="宋体" w:hAnsi="宋体" w:cs="宋体" w:eastAsia="宋体" w:hint="default"/>
        </w:rPr>
        <w:t>10</w:t>
      </w:r>
      <w:r>
        <w:rPr/>
        <w:t>股，共计转增</w:t>
      </w:r>
      <w:r>
        <w:rPr>
          <w:rFonts w:ascii="宋体" w:hAnsi="宋体" w:cs="宋体" w:eastAsia="宋体" w:hint="default"/>
        </w:rPr>
        <w:t>4050</w:t>
      </w:r>
      <w:r>
        <w:rPr/>
        <w:t>万股，转增后公司总股本变更为</w:t>
      </w:r>
      <w:r>
        <w:rPr>
          <w:rFonts w:ascii="宋体" w:hAnsi="宋体" w:cs="宋体" w:eastAsia="宋体" w:hint="default"/>
        </w:rPr>
        <w:t>8100</w:t>
      </w:r>
      <w:r>
        <w:rPr/>
        <w:t>万股。</w:t>
      </w:r>
    </w:p>
    <w:p>
      <w:pPr>
        <w:pStyle w:val="BodyText"/>
        <w:spacing w:line="240" w:lineRule="auto" w:before="54"/>
        <w:ind w:left="513" w:right="94"/>
        <w:jc w:val="left"/>
      </w:pP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24</w:t>
      </w:r>
      <w:r>
        <w:rPr>
          <w:spacing w:val="-2"/>
        </w:rPr>
        <w:t>日，公司召开的二届十次董事会、二届八次监事会审议通过了《</w:t>
      </w:r>
      <w:r>
        <w:rPr>
          <w:rFonts w:ascii="宋体" w:hAnsi="宋体" w:cs="宋体" w:eastAsia="宋体" w:hint="default"/>
          <w:spacing w:val="-2"/>
        </w:rPr>
        <w:t>2012</w:t>
      </w:r>
      <w:r>
        <w:rPr>
          <w:spacing w:val="-2"/>
        </w:rPr>
        <w:t>年半年度资本公积金转增股本预案》，</w:t>
      </w:r>
    </w:p>
    <w:p>
      <w:pPr>
        <w:spacing w:line="240" w:lineRule="auto" w:before="10"/>
        <w:rPr>
          <w:rFonts w:ascii="宋体" w:hAnsi="宋体" w:cs="宋体" w:eastAsia="宋体" w:hint="default"/>
          <w:sz w:val="17"/>
          <w:szCs w:val="17"/>
        </w:rPr>
      </w:pPr>
    </w:p>
    <w:p>
      <w:pPr>
        <w:pStyle w:val="BodyText"/>
        <w:spacing w:line="477" w:lineRule="auto"/>
        <w:ind w:right="187"/>
        <w:jc w:val="both"/>
      </w:pP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13</w:t>
      </w:r>
      <w:r>
        <w:rPr/>
        <w:t>日，公司</w:t>
      </w:r>
      <w:r>
        <w:rPr>
          <w:rFonts w:ascii="宋体" w:hAnsi="宋体" w:cs="宋体" w:eastAsia="宋体" w:hint="default"/>
        </w:rPr>
        <w:t>2012</w:t>
      </w:r>
      <w:r>
        <w:rPr/>
        <w:t>年第三次临时股东大会审议通过了《</w:t>
      </w:r>
      <w:r>
        <w:rPr>
          <w:rFonts w:ascii="宋体" w:hAnsi="宋体" w:cs="宋体" w:eastAsia="宋体" w:hint="default"/>
        </w:rPr>
        <w:t>2012</w:t>
      </w:r>
      <w:r>
        <w:rPr/>
        <w:t>年半年度资本公积金转增股本预案》，以截止</w:t>
      </w:r>
      <w:r>
        <w:rPr>
          <w:rFonts w:ascii="宋体" w:hAnsi="宋体" w:cs="宋体" w:eastAsia="宋体" w:hint="default"/>
        </w:rPr>
        <w:t>2012</w:t>
      </w:r>
      <w:r>
        <w:rPr/>
        <w:t>年</w:t>
      </w:r>
      <w:r>
        <w:rPr>
          <w:rFonts w:ascii="宋体" w:hAnsi="宋体" w:cs="宋体" w:eastAsia="宋体" w:hint="default"/>
        </w:rPr>
        <w:t>6</w:t>
      </w:r>
      <w:r>
        <w:rPr>
          <w:rFonts w:ascii="宋体" w:hAnsi="宋体" w:cs="宋体" w:eastAsia="宋体" w:hint="default"/>
          <w:spacing w:val="-3"/>
        </w:rPr>
        <w:t> </w:t>
      </w:r>
      <w:r>
        <w:rPr/>
        <w:t>月</w:t>
      </w:r>
      <w:r>
        <w:rPr>
          <w:rFonts w:ascii="宋体" w:hAnsi="宋体" w:cs="宋体" w:eastAsia="宋体" w:hint="default"/>
        </w:rPr>
        <w:t>30</w:t>
      </w:r>
      <w:r>
        <w:rPr/>
        <w:t>日公司总股本</w:t>
      </w:r>
      <w:r>
        <w:rPr>
          <w:rFonts w:ascii="宋体" w:hAnsi="宋体" w:cs="宋体" w:eastAsia="宋体" w:hint="default"/>
        </w:rPr>
        <w:t>8,100</w:t>
      </w:r>
      <w:r>
        <w:rPr/>
        <w:t>万股为基数，向全体股东每</w:t>
      </w:r>
      <w:r>
        <w:rPr>
          <w:rFonts w:ascii="宋体" w:hAnsi="宋体" w:cs="宋体" w:eastAsia="宋体" w:hint="default"/>
        </w:rPr>
        <w:t>10</w:t>
      </w:r>
      <w:r>
        <w:rPr/>
        <w:t>股转增</w:t>
      </w:r>
      <w:r>
        <w:rPr>
          <w:rFonts w:ascii="宋体" w:hAnsi="宋体" w:cs="宋体" w:eastAsia="宋体" w:hint="default"/>
        </w:rPr>
        <w:t>5</w:t>
      </w:r>
      <w:r>
        <w:rPr/>
        <w:t>股，共计转增</w:t>
      </w:r>
      <w:r>
        <w:rPr>
          <w:rFonts w:ascii="宋体" w:hAnsi="宋体" w:cs="宋体" w:eastAsia="宋体" w:hint="default"/>
        </w:rPr>
        <w:t>4,050</w:t>
      </w:r>
      <w:r>
        <w:rPr/>
        <w:t>万股，转增后公司总股本增加至</w:t>
      </w:r>
      <w:r>
        <w:rPr>
          <w:rFonts w:ascii="宋体" w:hAnsi="宋体" w:cs="宋体" w:eastAsia="宋体" w:hint="default"/>
        </w:rPr>
        <w:t>12,150</w:t>
      </w:r>
      <w:r>
        <w:rPr/>
        <w:t>万</w:t>
      </w:r>
      <w:r>
        <w:rPr>
          <w:spacing w:val="-87"/>
        </w:rPr>
        <w:t> </w:t>
      </w:r>
      <w:r>
        <w:rPr/>
        <w:t>股。</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477" w:lineRule="auto"/>
        <w:ind w:left="513" w:right="183" w:hanging="361"/>
        <w:jc w:val="left"/>
      </w:pPr>
      <w:r>
        <w:rPr/>
        <w:t>股份变动的过户情况 根据</w:t>
      </w:r>
      <w:r>
        <w:rPr>
          <w:rFonts w:ascii="宋体" w:hAnsi="宋体" w:cs="宋体" w:eastAsia="宋体" w:hint="default"/>
        </w:rPr>
        <w:t>2011</w:t>
      </w:r>
      <w:r>
        <w:rPr/>
        <w:t>年度股东大会决议，公司于</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15</w:t>
      </w:r>
      <w:r>
        <w:rPr/>
        <w:t>日发布了《</w:t>
      </w:r>
      <w:r>
        <w:rPr>
          <w:rFonts w:ascii="宋体" w:hAnsi="宋体" w:cs="宋体" w:eastAsia="宋体" w:hint="default"/>
        </w:rPr>
        <w:t>2011</w:t>
      </w:r>
      <w:r>
        <w:rPr/>
        <w:t>年度权益分派实施公告》，本次权益分派股权登记日</w:t>
      </w:r>
    </w:p>
    <w:p>
      <w:pPr>
        <w:pStyle w:val="BodyText"/>
        <w:spacing w:line="477" w:lineRule="auto" w:before="54"/>
        <w:ind w:right="94"/>
        <w:jc w:val="left"/>
      </w:pPr>
      <w:r>
        <w:rPr>
          <w:spacing w:val="-5"/>
        </w:rPr>
        <w:t>为：</w:t>
      </w:r>
      <w:r>
        <w:rPr>
          <w:rFonts w:ascii="宋体" w:hAnsi="宋体" w:cs="宋体" w:eastAsia="宋体" w:hint="default"/>
          <w:spacing w:val="-5"/>
        </w:rPr>
        <w:t>2012</w:t>
      </w:r>
      <w:r>
        <w:rPr>
          <w:spacing w:val="-5"/>
        </w:rPr>
        <w:t>年</w:t>
      </w:r>
      <w:r>
        <w:rPr>
          <w:rFonts w:ascii="宋体" w:hAnsi="宋体" w:cs="宋体" w:eastAsia="宋体" w:hint="default"/>
          <w:spacing w:val="-5"/>
        </w:rPr>
        <w:t>02</w:t>
      </w:r>
      <w:r>
        <w:rPr>
          <w:spacing w:val="-5"/>
        </w:rPr>
        <w:t>月</w:t>
      </w:r>
      <w:r>
        <w:rPr>
          <w:rFonts w:ascii="宋体" w:hAnsi="宋体" w:cs="宋体" w:eastAsia="宋体" w:hint="default"/>
          <w:spacing w:val="-5"/>
        </w:rPr>
        <w:t>20</w:t>
      </w:r>
      <w:r>
        <w:rPr>
          <w:spacing w:val="-5"/>
        </w:rPr>
        <w:t>日，除权除息日、红利发放日、转增股到账日、本次所（转增）的无限售条件流通股的起始交易日为：</w:t>
      </w:r>
      <w:r>
        <w:rPr>
          <w:rFonts w:ascii="宋体" w:hAnsi="宋体" w:cs="宋体" w:eastAsia="宋体" w:hint="default"/>
          <w:spacing w:val="-5"/>
        </w:rPr>
        <w:t>2012</w:t>
      </w:r>
      <w:r>
        <w:rPr>
          <w:rFonts w:ascii="宋体" w:hAnsi="宋体" w:cs="宋体" w:eastAsia="宋体" w:hint="default"/>
          <w:spacing w:val="-52"/>
        </w:rPr>
        <w:t> </w:t>
      </w:r>
      <w:r>
        <w:rPr>
          <w:rFonts w:ascii="宋体" w:hAnsi="宋体" w:cs="宋体" w:eastAsia="宋体" w:hint="default"/>
          <w:spacing w:val="-52"/>
        </w:rPr>
      </w:r>
      <w:r>
        <w:rPr/>
        <w:t>年</w:t>
      </w:r>
      <w:r>
        <w:rPr>
          <w:rFonts w:ascii="宋体" w:hAnsi="宋体" w:cs="宋体" w:eastAsia="宋体" w:hint="default"/>
        </w:rPr>
        <w:t>02</w:t>
      </w:r>
      <w:r>
        <w:rPr/>
        <w:t>月</w:t>
      </w:r>
      <w:r>
        <w:rPr>
          <w:rFonts w:ascii="宋体" w:hAnsi="宋体" w:cs="宋体" w:eastAsia="宋体" w:hint="default"/>
        </w:rPr>
        <w:t>21</w:t>
      </w:r>
      <w:r>
        <w:rPr/>
        <w:t>日。</w:t>
      </w:r>
    </w:p>
    <w:p>
      <w:pPr>
        <w:pStyle w:val="BodyText"/>
        <w:spacing w:line="477" w:lineRule="auto" w:before="54"/>
        <w:ind w:right="188" w:firstLine="360"/>
        <w:jc w:val="both"/>
      </w:pPr>
      <w:r>
        <w:rPr/>
        <w:t>根据公司</w:t>
      </w:r>
      <w:r>
        <w:rPr>
          <w:rFonts w:ascii="宋体" w:hAnsi="宋体" w:cs="宋体" w:eastAsia="宋体" w:hint="default"/>
        </w:rPr>
        <w:t>2012</w:t>
      </w:r>
      <w:r>
        <w:rPr/>
        <w:t>年第三次临时股东大会决议，公司于</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15</w:t>
      </w:r>
      <w:r>
        <w:rPr/>
        <w:t>日公布了《</w:t>
      </w:r>
      <w:r>
        <w:rPr>
          <w:rFonts w:ascii="宋体" w:hAnsi="宋体" w:cs="宋体" w:eastAsia="宋体" w:hint="default"/>
        </w:rPr>
        <w:t>2012</w:t>
      </w:r>
      <w:r>
        <w:rPr/>
        <w:t>年半年度权益分派实施公告》，本次权 </w:t>
      </w:r>
      <w:r>
        <w:rPr>
          <w:spacing w:val="-2"/>
        </w:rPr>
        <w:t>益分派股权登记日为：</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21</w:t>
      </w:r>
      <w:r>
        <w:rPr>
          <w:spacing w:val="-2"/>
        </w:rPr>
        <w:t>日，除权除息日为：</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22</w:t>
      </w:r>
      <w:r>
        <w:rPr>
          <w:spacing w:val="-2"/>
        </w:rPr>
        <w:t>日，</w:t>
      </w:r>
      <w:r>
        <w:rPr>
          <w:spacing w:val="29"/>
        </w:rPr>
        <w:t> </w:t>
      </w:r>
      <w:r>
        <w:rPr>
          <w:spacing w:val="-2"/>
        </w:rPr>
        <w:t>本次所送（转）股于</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22</w:t>
      </w:r>
      <w:r>
        <w:rPr>
          <w:spacing w:val="-2"/>
        </w:rPr>
        <w:t>日直接记入股东</w:t>
      </w:r>
      <w:r>
        <w:rPr>
          <w:spacing w:val="-80"/>
        </w:rPr>
        <w:t> </w:t>
      </w:r>
      <w:r>
        <w:rPr>
          <w:spacing w:val="-80"/>
        </w:rPr>
      </w:r>
      <w:r>
        <w:rPr/>
        <w:t>证券账户。</w:t>
      </w:r>
    </w:p>
    <w:p>
      <w:pPr>
        <w:spacing w:line="240" w:lineRule="auto" w:before="1"/>
        <w:rPr>
          <w:rFonts w:ascii="宋体" w:hAnsi="宋体" w:cs="宋体" w:eastAsia="宋体" w:hint="default"/>
          <w:sz w:val="25"/>
          <w:szCs w:val="25"/>
        </w:rPr>
      </w:pPr>
    </w:p>
    <w:p>
      <w:pPr>
        <w:pStyle w:val="BodyText"/>
        <w:spacing w:line="240" w:lineRule="auto"/>
        <w:ind w:right="0"/>
        <w:jc w:val="both"/>
      </w:pPr>
      <w:r>
        <w:rPr/>
        <w:t>股份变动对最近一年和最近一期基本每股收益和稀释每股收益、归属于公司普通股股东的每股净资产等财务指标的影响</w:t>
      </w:r>
    </w:p>
    <w:p>
      <w:pPr>
        <w:pStyle w:val="BodyText"/>
        <w:spacing w:line="340" w:lineRule="auto" w:before="115"/>
        <w:ind w:right="5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北京仁邦翰威投 资咨询有限公司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9,576,000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14,364,000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北京仁邦时代投 资咨询有限公司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9,576,000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毛自力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1,396,500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1,263,500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3,790,500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首发承诺到期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2,850,000 </w:t>
            </w:r>
            <w:r>
              <w:rPr>
                <w:rFonts w:ascii="宋体" w:hAnsi="宋体" w:cs="宋体" w:eastAsia="宋体" w:hint="default"/>
                <w:sz w:val="18"/>
                <w:szCs w:val="18"/>
              </w:rPr>
              <w:t>股于</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r>
    </w:tbl>
    <w:p>
      <w:pPr>
        <w:spacing w:after="0" w:line="240" w:lineRule="auto"/>
        <w:jc w:val="left"/>
        <w:rPr>
          <w:rFonts w:ascii="Times New Roman" w:hAnsi="Times New Roman" w:cs="Times New Roman" w:eastAsia="Times New Roman" w:hint="default"/>
          <w:sz w:val="18"/>
          <w:szCs w:val="18"/>
        </w:rPr>
        <w:sectPr>
          <w:pgSz w:w="11910" w:h="16840"/>
          <w:pgMar w:header="772" w:footer="1006" w:top="1080" w:bottom="1200" w:left="980" w:right="940"/>
        </w:sectPr>
      </w:pP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299"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日上市流通；</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940,500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日上市流通。</w:t>
            </w:r>
          </w:p>
        </w:tc>
      </w:tr>
      <w:tr>
        <w:trPr>
          <w:trHeight w:val="19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1"/>
                <w:sz w:val="18"/>
                <w:szCs w:val="18"/>
              </w:rPr>
              <w:t> </w:t>
            </w:r>
            <w:r>
              <w:rPr>
                <w:rFonts w:ascii="宋体" w:hAnsi="宋体" w:cs="宋体" w:eastAsia="宋体" w:hint="default"/>
                <w:sz w:val="18"/>
                <w:szCs w:val="18"/>
              </w:rPr>
              <w:t>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首发承诺到期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2,400,000 </w:t>
            </w:r>
            <w:r>
              <w:rPr>
                <w:rFonts w:ascii="宋体" w:hAnsi="宋体" w:cs="宋体" w:eastAsia="宋体" w:hint="default"/>
                <w:sz w:val="18"/>
                <w:szCs w:val="18"/>
              </w:rPr>
              <w:t>股于</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日上市流通；</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日上市流通。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83,989,500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60" w:lineRule="auto" w:before="49"/>
        <w:ind w:right="8154"/>
        <w:jc w:val="left"/>
      </w:pPr>
      <w:r>
        <w:rPr/>
        <w:t>证券发行情况的说明 不适用。</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55" w:firstLine="504"/>
        <w:jc w:val="both"/>
      </w:pP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10</w:t>
      </w:r>
      <w:r>
        <w:rPr/>
        <w:t>日，公司召开</w:t>
      </w:r>
      <w:r>
        <w:rPr>
          <w:rFonts w:ascii="宋体" w:hAnsi="宋体" w:cs="宋体" w:eastAsia="宋体" w:hint="default"/>
        </w:rPr>
        <w:t>2011</w:t>
      </w:r>
      <w:r>
        <w:rPr/>
        <w:t>年度股东大会审议通过了《</w:t>
      </w:r>
      <w:r>
        <w:rPr>
          <w:rFonts w:ascii="宋体" w:hAnsi="宋体" w:cs="宋体" w:eastAsia="宋体" w:hint="default"/>
        </w:rPr>
        <w:t>2011</w:t>
      </w:r>
      <w:r>
        <w:rPr/>
        <w:t>年度利润分配及资本公积金转增股本预案》，以公司 总股本</w:t>
      </w:r>
      <w:r>
        <w:rPr>
          <w:rFonts w:ascii="宋体" w:hAnsi="宋体" w:cs="宋体" w:eastAsia="宋体" w:hint="default"/>
        </w:rPr>
        <w:t>4,050</w:t>
      </w:r>
      <w:r>
        <w:rPr/>
        <w:t>万股为基数，向全体股东每</w:t>
      </w:r>
      <w:r>
        <w:rPr>
          <w:rFonts w:ascii="宋体" w:hAnsi="宋体" w:cs="宋体" w:eastAsia="宋体" w:hint="default"/>
        </w:rPr>
        <w:t>10</w:t>
      </w:r>
      <w:r>
        <w:rPr/>
        <w:t>股派发现金红利</w:t>
      </w:r>
      <w:r>
        <w:rPr>
          <w:rFonts w:ascii="宋体" w:hAnsi="宋体" w:cs="宋体" w:eastAsia="宋体" w:hint="default"/>
        </w:rPr>
        <w:t>2</w:t>
      </w:r>
      <w:r>
        <w:rPr/>
        <w:t>元（含税），现金分红</w:t>
      </w:r>
      <w:r>
        <w:rPr>
          <w:rFonts w:ascii="宋体" w:hAnsi="宋体" w:cs="宋体" w:eastAsia="宋体" w:hint="default"/>
        </w:rPr>
        <w:t>810</w:t>
      </w:r>
      <w:r>
        <w:rPr/>
        <w:t>万元（含税）；同时以资本公积金向 全体股东转增股本，每</w:t>
      </w:r>
      <w:r>
        <w:rPr>
          <w:rFonts w:ascii="宋体" w:hAnsi="宋体" w:cs="宋体" w:eastAsia="宋体" w:hint="default"/>
        </w:rPr>
        <w:t>10</w:t>
      </w:r>
      <w:r>
        <w:rPr/>
        <w:t>股转增</w:t>
      </w:r>
      <w:r>
        <w:rPr>
          <w:rFonts w:ascii="宋体" w:hAnsi="宋体" w:cs="宋体" w:eastAsia="宋体" w:hint="default"/>
        </w:rPr>
        <w:t>10</w:t>
      </w:r>
      <w:r>
        <w:rPr/>
        <w:t>股，共计转增</w:t>
      </w:r>
      <w:r>
        <w:rPr>
          <w:rFonts w:ascii="宋体" w:hAnsi="宋体" w:cs="宋体" w:eastAsia="宋体" w:hint="default"/>
        </w:rPr>
        <w:t>4050</w:t>
      </w:r>
      <w:r>
        <w:rPr/>
        <w:t>万股，转增后公司总股本变更为</w:t>
      </w:r>
      <w:r>
        <w:rPr>
          <w:rFonts w:ascii="宋体" w:hAnsi="宋体" w:cs="宋体" w:eastAsia="宋体" w:hint="default"/>
        </w:rPr>
        <w:t>8100</w:t>
      </w:r>
      <w:r>
        <w:rPr/>
        <w:t>万股。</w:t>
      </w:r>
    </w:p>
    <w:p>
      <w:pPr>
        <w:pStyle w:val="BodyText"/>
        <w:spacing w:line="477" w:lineRule="auto" w:before="54"/>
        <w:ind w:right="146" w:firstLine="451"/>
        <w:jc w:val="both"/>
      </w:pP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13</w:t>
      </w:r>
      <w:r>
        <w:rPr>
          <w:spacing w:val="-2"/>
        </w:rPr>
        <w:t>日，公司</w:t>
      </w:r>
      <w:r>
        <w:rPr>
          <w:rFonts w:ascii="宋体" w:hAnsi="宋体" w:cs="宋体" w:eastAsia="宋体" w:hint="default"/>
          <w:spacing w:val="-2"/>
        </w:rPr>
        <w:t>2012</w:t>
      </w:r>
      <w:r>
        <w:rPr>
          <w:spacing w:val="-2"/>
        </w:rPr>
        <w:t>年第三次临时股东大会审议通过了《</w:t>
      </w:r>
      <w:r>
        <w:rPr>
          <w:rFonts w:ascii="宋体" w:hAnsi="宋体" w:cs="宋体" w:eastAsia="宋体" w:hint="default"/>
          <w:spacing w:val="-2"/>
        </w:rPr>
        <w:t>2012</w:t>
      </w:r>
      <w:r>
        <w:rPr>
          <w:spacing w:val="-2"/>
        </w:rPr>
        <w:t>年半年度资本公积金转增股本预案》，以截止</w:t>
      </w:r>
      <w:r>
        <w:rPr>
          <w:rFonts w:ascii="宋体" w:hAnsi="宋体" w:cs="宋体" w:eastAsia="宋体" w:hint="default"/>
          <w:spacing w:val="-2"/>
        </w:rPr>
        <w:t>2012</w:t>
      </w:r>
      <w:r>
        <w:rPr>
          <w:rFonts w:ascii="宋体" w:hAnsi="宋体" w:cs="宋体" w:eastAsia="宋体" w:hint="default"/>
          <w:spacing w:val="1"/>
        </w:rPr>
        <w:t> </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日公司总股本</w:t>
      </w:r>
      <w:r>
        <w:rPr>
          <w:rFonts w:ascii="宋体" w:hAnsi="宋体" w:cs="宋体" w:eastAsia="宋体" w:hint="default"/>
          <w:spacing w:val="-2"/>
        </w:rPr>
        <w:t>8,100</w:t>
      </w:r>
      <w:r>
        <w:rPr>
          <w:spacing w:val="-2"/>
        </w:rPr>
        <w:t>万股为基数，向全体股东每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5</w:t>
      </w:r>
      <w:r>
        <w:rPr>
          <w:spacing w:val="-2"/>
        </w:rPr>
        <w:t>股，共计转增</w:t>
      </w:r>
      <w:r>
        <w:rPr>
          <w:rFonts w:ascii="宋体" w:hAnsi="宋体" w:cs="宋体" w:eastAsia="宋体" w:hint="default"/>
          <w:spacing w:val="-2"/>
        </w:rPr>
        <w:t>4,050</w:t>
      </w:r>
      <w:r>
        <w:rPr>
          <w:spacing w:val="-2"/>
        </w:rPr>
        <w:t>万股，转增后公司总股本增加至</w:t>
      </w:r>
      <w:r>
        <w:rPr>
          <w:rFonts w:ascii="宋体" w:hAnsi="宋体" w:cs="宋体" w:eastAsia="宋体" w:hint="default"/>
          <w:spacing w:val="-2"/>
        </w:rPr>
        <w:t>12,150</w:t>
      </w:r>
      <w:r>
        <w:rPr>
          <w:rFonts w:ascii="宋体" w:hAnsi="宋体" w:cs="宋体" w:eastAsia="宋体" w:hint="default"/>
          <w:spacing w:val="-50"/>
        </w:rPr>
        <w:t> </w:t>
      </w:r>
      <w:r>
        <w:rPr>
          <w:rFonts w:ascii="宋体" w:hAnsi="宋体" w:cs="宋体" w:eastAsia="宋体" w:hint="default"/>
          <w:spacing w:val="-50"/>
        </w:rPr>
      </w:r>
      <w:r>
        <w:rPr/>
        <w:t>万股。</w:t>
      </w:r>
    </w:p>
    <w:p>
      <w:pPr>
        <w:pStyle w:val="BodyText"/>
        <w:spacing w:line="477" w:lineRule="auto" w:before="54"/>
        <w:ind w:right="148" w:firstLine="360"/>
        <w:jc w:val="both"/>
      </w:pPr>
      <w:r>
        <w:rPr>
          <w:spacing w:val="-2"/>
        </w:rPr>
        <w:t>公司于</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日披露了《股票期权和限制性股票激励计划（草案）》，截至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日，公司股票期权和限</w:t>
      </w:r>
      <w:r>
        <w:rPr/>
        <w:t> 制性股票尚未行权和解锁，未对公司股份总数及股东结构、公司资产负债结构造成影响。</w:t>
      </w:r>
    </w:p>
    <w:p>
      <w:pPr>
        <w:spacing w:after="0" w:line="477" w:lineRule="auto"/>
        <w:jc w:val="both"/>
        <w:sectPr>
          <w:pgSz w:w="11910" w:h="16840"/>
          <w:pgMar w:header="772" w:footer="1006" w:top="1080" w:bottom="1200" w:left="980" w:right="980"/>
        </w:sectPr>
      </w:pPr>
    </w:p>
    <w:p>
      <w:pPr>
        <w:spacing w:line="240" w:lineRule="auto" w:before="8"/>
        <w:rPr>
          <w:rFonts w:ascii="宋体" w:hAnsi="宋体" w:cs="宋体" w:eastAsia="宋体" w:hint="default"/>
          <w:sz w:val="21"/>
          <w:szCs w:val="21"/>
        </w:rPr>
      </w:pPr>
    </w:p>
    <w:p>
      <w:pPr>
        <w:pStyle w:val="Heading2"/>
        <w:spacing w:line="240" w:lineRule="auto" w:before="26"/>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4"/>
        <w:gridCol w:w="1365"/>
        <w:gridCol w:w="1378"/>
        <w:gridCol w:w="1362"/>
        <w:gridCol w:w="1368"/>
        <w:gridCol w:w="1365"/>
        <w:gridCol w:w="1372"/>
      </w:tblGrid>
      <w:tr>
        <w:trPr>
          <w:trHeight w:val="408"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78"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7,758</w:t>
            </w:r>
          </w:p>
        </w:tc>
        <w:tc>
          <w:tcPr>
            <w:tcW w:w="40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6,685</w:t>
            </w:r>
          </w:p>
        </w:tc>
      </w:tr>
      <w:tr>
        <w:trPr>
          <w:trHeight w:val="39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30"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5"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5" w:type="dxa"/>
            <w:vMerge/>
            <w:tcBorders>
              <w:left w:val="single" w:sz="4" w:space="0" w:color="000000"/>
              <w:bottom w:val="single" w:sz="4" w:space="0" w:color="000000"/>
              <w:right w:val="single" w:sz="4" w:space="0" w:color="000000"/>
            </w:tcBorders>
            <w:shd w:val="clear" w:color="auto" w:fill="D2D2D2"/>
          </w:tcPr>
          <w:p>
            <w:pPr/>
          </w:p>
        </w:tc>
        <w:tc>
          <w:tcPr>
            <w:tcW w:w="137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26.27%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31,920,000</w:t>
            </w:r>
          </w:p>
        </w:tc>
        <w:tc>
          <w:tcPr>
            <w:tcW w:w="1368"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31,920,000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14,250,000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19.7%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23,940,000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北京仁邦翰威投 资咨询有限公司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11.82%</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14,364,000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14,364,000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北京仁邦时代投 资咨询有限公司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7.88%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9,576,000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9,576,000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毛自力</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3.45%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4,189,500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金凤</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3.12%</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3,790,500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张靖</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2.38%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鸿阳证券投资基 金</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0.84%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中国建设银行－ 宝盈资源优选股 票型证券投资基 金</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刘伯新</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0.37%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1" w:hRule="exact"/>
        </w:trPr>
        <w:tc>
          <w:tcPr>
            <w:tcW w:w="27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62"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3" w:hRule="exact"/>
        </w:trPr>
        <w:tc>
          <w:tcPr>
            <w:tcW w:w="2728" w:type="dxa"/>
            <w:gridSpan w:val="2"/>
            <w:vMerge/>
            <w:tcBorders>
              <w:left w:val="single" w:sz="4" w:space="0" w:color="000000"/>
              <w:bottom w:val="single" w:sz="4" w:space="0" w:color="000000"/>
              <w:right w:val="single" w:sz="4" w:space="0" w:color="000000"/>
            </w:tcBorders>
            <w:shd w:val="clear" w:color="auto" w:fill="D2D2D2"/>
          </w:tcPr>
          <w:p>
            <w:pPr/>
          </w:p>
        </w:tc>
        <w:tc>
          <w:tcPr>
            <w:tcW w:w="4108" w:type="dxa"/>
            <w:gridSpan w:val="3"/>
            <w:vMerge/>
            <w:tcBorders>
              <w:left w:val="single" w:sz="4" w:space="0" w:color="000000"/>
              <w:bottom w:val="single" w:sz="4" w:space="0" w:color="000000"/>
              <w:right w:val="single" w:sz="4" w:space="0" w:color="000000"/>
            </w:tcBorders>
            <w:shd w:val="clear" w:color="auto" w:fill="D2D2D2"/>
          </w:tcPr>
          <w:p>
            <w:pP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金凤</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3,790,500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3,790,500</w:t>
            </w:r>
          </w:p>
        </w:tc>
      </w:tr>
      <w:tr>
        <w:trPr>
          <w:trHeight w:val="403"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张靖</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2,892,000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2,892,000</w:t>
            </w:r>
          </w:p>
        </w:tc>
      </w:tr>
      <w:tr>
        <w:trPr>
          <w:trHeight w:val="401"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鸿阳证券投资基金</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1,016,260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1,016,260</w:t>
            </w:r>
          </w:p>
        </w:tc>
      </w:tr>
      <w:tr>
        <w:trPr>
          <w:trHeight w:val="715"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2"/>
              <w:jc w:val="left"/>
              <w:rPr>
                <w:rFonts w:ascii="宋体" w:hAnsi="宋体" w:cs="宋体" w:eastAsia="宋体" w:hint="default"/>
                <w:sz w:val="18"/>
                <w:szCs w:val="18"/>
              </w:rPr>
            </w:pPr>
            <w:r>
              <w:rPr>
                <w:rFonts w:ascii="宋体" w:hAnsi="宋体" w:cs="宋体" w:eastAsia="宋体" w:hint="default"/>
                <w:sz w:val="18"/>
                <w:szCs w:val="18"/>
              </w:rPr>
              <w:t>中国建设银行－宝盈资源优选股 票型证券投资基金</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851,602</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851,602</w:t>
            </w:r>
          </w:p>
        </w:tc>
      </w:tr>
      <w:tr>
        <w:trPr>
          <w:trHeight w:val="401"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刘伯新</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452,259</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452,259</w:t>
            </w:r>
          </w:p>
        </w:tc>
      </w:tr>
      <w:tr>
        <w:trPr>
          <w:trHeight w:val="403"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李松</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333,022</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333,022</w:t>
            </w:r>
          </w:p>
        </w:tc>
      </w:tr>
      <w:tr>
        <w:trPr>
          <w:trHeight w:val="713"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2"/>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中国银行－华夏行业精选股票型 证券投资基金</w:t>
            </w:r>
            <w:r>
              <w:rPr>
                <w:rFonts w:ascii="Times New Roman" w:hAnsi="Times New Roman" w:cs="Times New Roman" w:eastAsia="Times New Roman" w:hint="default"/>
                <w:sz w:val="18"/>
                <w:szCs w:val="18"/>
              </w:rPr>
              <w:t>(LOF)</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199,950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199,950</w:t>
            </w:r>
          </w:p>
        </w:tc>
      </w:tr>
      <w:tr>
        <w:trPr>
          <w:trHeight w:val="403"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张思柯</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731"/>
        <w:gridCol w:w="4104"/>
        <w:gridCol w:w="1369"/>
        <w:gridCol w:w="1368"/>
      </w:tblGrid>
      <w:tr>
        <w:trPr>
          <w:trHeight w:val="401"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林泽明</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159,750</w:t>
            </w:r>
          </w:p>
        </w:tc>
      </w:tr>
      <w:tr>
        <w:trPr>
          <w:trHeight w:val="715"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中融国际信托有限公司－融新</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349</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156,300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156,300</w:t>
            </w:r>
          </w:p>
        </w:tc>
      </w:tr>
      <w:tr>
        <w:trPr>
          <w:trHeight w:val="2002" w:hRule="exact"/>
        </w:trPr>
        <w:tc>
          <w:tcPr>
            <w:tcW w:w="2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316" w:lineRule="auto"/>
              <w:ind w:left="22"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公司股东管连平和霍卫平已共同签署关于一致行动的《协议书》，认定为一致行动人，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两人为公司的共同实际控制人，且管连平分别持有北京仁邦翰威投资咨询有限公司和北</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京仁邦时代投资咨询有限公司的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和</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3.37%</w:t>
            </w:r>
            <w:r>
              <w:rPr>
                <w:rFonts w:ascii="宋体" w:hAnsi="宋体" w:cs="宋体" w:eastAsia="宋体" w:hint="default"/>
                <w:spacing w:val="-4"/>
                <w:sz w:val="18"/>
                <w:szCs w:val="18"/>
              </w:rPr>
              <w:t>的股权，霍卫平分别持有北京仁邦翰威投</w:t>
            </w:r>
            <w:r>
              <w:rPr>
                <w:rFonts w:ascii="宋体" w:hAnsi="宋体" w:cs="宋体" w:eastAsia="宋体" w:hint="default"/>
                <w:sz w:val="18"/>
                <w:szCs w:val="18"/>
              </w:rPr>
              <w:t> 资咨询有限公司和北京仁邦时代投资咨询有限公司的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1.27%</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宋体" w:hAnsi="宋体" w:cs="宋体" w:eastAsia="宋体" w:hint="default"/>
                <w:sz w:val="18"/>
                <w:szCs w:val="18"/>
              </w:rPr>
              <w:t>的股权。 </w:t>
            </w:r>
            <w:r>
              <w:rPr>
                <w:rFonts w:ascii="宋体" w:hAnsi="宋体" w:cs="宋体" w:eastAsia="宋体" w:hint="default"/>
                <w:spacing w:val="-2"/>
                <w:sz w:val="18"/>
                <w:szCs w:val="18"/>
              </w:rPr>
              <w:t>除以上股东之间的关联关系外，公司未知其他股东之间是否存在关联关系，也未知是否</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属于《上市公司收购管理办法》规定的一致行动人。</w:t>
            </w:r>
          </w:p>
        </w:tc>
      </w:tr>
    </w:tbl>
    <w:p>
      <w:pPr>
        <w:spacing w:line="240" w:lineRule="auto" w:before="3"/>
        <w:rPr>
          <w:rFonts w:ascii="宋体" w:hAnsi="宋体" w:cs="宋体" w:eastAsia="宋体" w:hint="default"/>
          <w:b/>
          <w:bCs/>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94" w:firstLine="420"/>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日，管连平和霍卫平分别直接持有公司</w:t>
      </w:r>
      <w:r>
        <w:rPr>
          <w:rFonts w:ascii="宋体" w:hAnsi="宋体" w:cs="宋体" w:eastAsia="宋体" w:hint="default"/>
        </w:rPr>
        <w:t>26.27%</w:t>
      </w:r>
      <w:r>
        <w:rPr/>
        <w:t>和</w:t>
      </w:r>
      <w:r>
        <w:rPr>
          <w:rFonts w:ascii="宋体" w:hAnsi="宋体" w:cs="宋体" w:eastAsia="宋体" w:hint="default"/>
        </w:rPr>
        <w:t>19.70%</w:t>
      </w:r>
      <w:r>
        <w:rPr/>
        <w:t>的股权，分列公司第一、二大股东，两人为 公司的共同实际控制人，报告期内未发生变化。</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94" w:firstLine="360"/>
        <w:jc w:val="left"/>
      </w:pPr>
      <w:r>
        <w:rPr>
          <w:spacing w:val="-2"/>
        </w:rPr>
        <w:t>截止</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日，管连平和霍卫平分别直接持有公司</w:t>
      </w:r>
      <w:r>
        <w:rPr>
          <w:rFonts w:ascii="宋体" w:hAnsi="宋体" w:cs="宋体" w:eastAsia="宋体" w:hint="default"/>
          <w:spacing w:val="-2"/>
        </w:rPr>
        <w:t>26.27%</w:t>
      </w:r>
      <w:r>
        <w:rPr>
          <w:spacing w:val="-2"/>
        </w:rPr>
        <w:t>和</w:t>
      </w:r>
      <w:r>
        <w:rPr>
          <w:rFonts w:ascii="宋体" w:hAnsi="宋体" w:cs="宋体" w:eastAsia="宋体" w:hint="default"/>
          <w:spacing w:val="-2"/>
        </w:rPr>
        <w:t>19.70%</w:t>
      </w:r>
      <w:r>
        <w:rPr>
          <w:spacing w:val="-2"/>
        </w:rPr>
        <w:t>的股权，分列公司第一、二大股东，两人为公</w:t>
      </w:r>
      <w:r>
        <w:rPr/>
        <w:t> 司的共同实际控制人。</w:t>
      </w:r>
    </w:p>
    <w:p>
      <w:pPr>
        <w:pStyle w:val="BodyText"/>
        <w:spacing w:line="477" w:lineRule="auto" w:before="54"/>
        <w:ind w:right="88" w:firstLine="360"/>
        <w:jc w:val="left"/>
      </w:pPr>
      <w:r>
        <w:rPr>
          <w:rFonts w:ascii="宋体" w:hAnsi="宋体" w:cs="宋体" w:eastAsia="宋体" w:hint="default"/>
          <w:b/>
          <w:bCs/>
          <w:spacing w:val="-2"/>
        </w:rPr>
        <w:t>管连平</w:t>
      </w:r>
      <w:r>
        <w:rPr>
          <w:spacing w:val="-2"/>
        </w:rPr>
        <w:t>先生，</w:t>
      </w:r>
      <w:r>
        <w:rPr>
          <w:rFonts w:ascii="宋体" w:hAnsi="宋体" w:cs="宋体" w:eastAsia="宋体" w:hint="default"/>
          <w:spacing w:val="-2"/>
        </w:rPr>
        <w:t>1966</w:t>
      </w:r>
      <w:r>
        <w:rPr>
          <w:spacing w:val="-2"/>
        </w:rPr>
        <w:t>年生，中国籍，未取得其他国家或地区居留权，本科学历，毕业于西安理工大学，获学士学位，公司</w:t>
      </w:r>
      <w:r>
        <w:rPr/>
        <w:t> </w:t>
      </w:r>
      <w:r>
        <w:rPr>
          <w:spacing w:val="-3"/>
        </w:rPr>
        <w:t>主要创始人；</w:t>
      </w:r>
      <w:r>
        <w:rPr>
          <w:rFonts w:ascii="宋体" w:hAnsi="宋体" w:cs="宋体" w:eastAsia="宋体" w:hint="default"/>
          <w:spacing w:val="-3"/>
        </w:rPr>
        <w:t>1991</w:t>
      </w:r>
      <w:r>
        <w:rPr>
          <w:spacing w:val="-3"/>
        </w:rPr>
        <w:t>年至</w:t>
      </w:r>
      <w:r>
        <w:rPr>
          <w:rFonts w:ascii="宋体" w:hAnsi="宋体" w:cs="宋体" w:eastAsia="宋体" w:hint="default"/>
          <w:spacing w:val="-3"/>
        </w:rPr>
        <w:t>1997</w:t>
      </w:r>
      <w:r>
        <w:rPr>
          <w:spacing w:val="-3"/>
        </w:rPr>
        <w:t>年，曾任国营七〇〇厂设计主管和销售主管；</w:t>
      </w:r>
      <w:r>
        <w:rPr>
          <w:rFonts w:ascii="宋体" w:hAnsi="宋体" w:cs="宋体" w:eastAsia="宋体" w:hint="default"/>
          <w:spacing w:val="-3"/>
        </w:rPr>
        <w:t>1997</w:t>
      </w:r>
      <w:r>
        <w:rPr>
          <w:spacing w:val="-3"/>
        </w:rPr>
        <w:t>年</w:t>
      </w:r>
      <w:r>
        <w:rPr>
          <w:rFonts w:ascii="宋体" w:hAnsi="宋体" w:cs="宋体" w:eastAsia="宋体" w:hint="default"/>
          <w:spacing w:val="-3"/>
        </w:rPr>
        <w:t>7</w:t>
      </w:r>
      <w:r>
        <w:rPr>
          <w:spacing w:val="-3"/>
        </w:rPr>
        <w:t>月至</w:t>
      </w:r>
      <w:r>
        <w:rPr>
          <w:rFonts w:ascii="宋体" w:hAnsi="宋体" w:cs="宋体" w:eastAsia="宋体" w:hint="default"/>
          <w:spacing w:val="-3"/>
        </w:rPr>
        <w:t>2008</w:t>
      </w:r>
      <w:r>
        <w:rPr>
          <w:spacing w:val="-3"/>
        </w:rPr>
        <w:t>年</w:t>
      </w:r>
      <w:r>
        <w:rPr>
          <w:rFonts w:ascii="宋体" w:hAnsi="宋体" w:cs="宋体" w:eastAsia="宋体" w:hint="default"/>
          <w:spacing w:val="-3"/>
        </w:rPr>
        <w:t>6</w:t>
      </w:r>
      <w:r>
        <w:rPr>
          <w:spacing w:val="-3"/>
        </w:rPr>
        <w:t>月担任东方国信有限执行董事；</w:t>
      </w:r>
      <w:r>
        <w:rPr>
          <w:spacing w:val="-76"/>
        </w:rPr>
        <w:t> </w:t>
      </w:r>
      <w:r>
        <w:rPr>
          <w:rFonts w:ascii="宋体" w:hAnsi="宋体" w:cs="宋体" w:eastAsia="宋体" w:hint="default"/>
        </w:rPr>
        <w:t>2008</w:t>
      </w:r>
      <w:r>
        <w:rPr/>
        <w:t>年</w:t>
      </w:r>
      <w:r>
        <w:rPr>
          <w:rFonts w:ascii="宋体" w:hAnsi="宋体" w:cs="宋体" w:eastAsia="宋体" w:hint="default"/>
        </w:rPr>
        <w:t>6</w:t>
      </w:r>
      <w:r>
        <w:rPr/>
        <w:t>月至今担任公司董事长及总经理。管连平先生目前直接持有公司</w:t>
      </w:r>
      <w:r>
        <w:rPr>
          <w:rFonts w:ascii="宋体" w:hAnsi="宋体" w:cs="宋体" w:eastAsia="宋体" w:hint="default"/>
        </w:rPr>
        <w:t>26.27%</w:t>
      </w:r>
      <w:r>
        <w:rPr/>
        <w:t>股权，为公司控股股东及实际控制人，未受</w:t>
      </w:r>
      <w:r>
        <w:rPr>
          <w:spacing w:val="-86"/>
        </w:rPr>
        <w:t> </w:t>
      </w:r>
      <w:r>
        <w:rPr>
          <w:spacing w:val="-86"/>
        </w:rPr>
      </w:r>
      <w:r>
        <w:rPr>
          <w:spacing w:val="-4"/>
        </w:rPr>
        <w:t>过中国证监会及其他有关部门的处罚和证券交易所惩戒，不存在《创业板上市公司规范运作指引》第</w:t>
      </w:r>
      <w:r>
        <w:rPr>
          <w:rFonts w:ascii="宋体" w:hAnsi="宋体" w:cs="宋体" w:eastAsia="宋体" w:hint="default"/>
          <w:spacing w:val="-4"/>
        </w:rPr>
        <w:t>3.1.3</w:t>
      </w:r>
      <w:r>
        <w:rPr>
          <w:rFonts w:ascii="宋体" w:hAnsi="宋体" w:cs="宋体" w:eastAsia="宋体" w:hint="default"/>
          <w:spacing w:val="22"/>
        </w:rPr>
        <w:t> </w:t>
      </w:r>
      <w:r>
        <w:rPr/>
        <w:t>条所规定的情形。</w:t>
      </w:r>
    </w:p>
    <w:p>
      <w:pPr>
        <w:pStyle w:val="BodyText"/>
        <w:spacing w:line="477" w:lineRule="auto" w:before="54"/>
        <w:ind w:right="92" w:firstLine="360"/>
        <w:jc w:val="left"/>
      </w:pPr>
      <w:r>
        <w:rPr>
          <w:rFonts w:ascii="宋体" w:hAnsi="宋体" w:cs="宋体" w:eastAsia="宋体" w:hint="default"/>
          <w:b/>
          <w:bCs/>
        </w:rPr>
        <w:t>霍卫平</w:t>
      </w:r>
      <w:r>
        <w:rPr/>
        <w:t>先生，</w:t>
      </w:r>
      <w:r>
        <w:rPr>
          <w:rFonts w:ascii="宋体" w:hAnsi="宋体" w:cs="宋体" w:eastAsia="宋体" w:hint="default"/>
        </w:rPr>
        <w:t>1970</w:t>
      </w:r>
      <w:r>
        <w:rPr/>
        <w:t>年生，中国籍，未取得其他国家或地区居留权，本科学历，毕业于吉林大学计算机科学与技术专业， </w:t>
      </w:r>
      <w:r>
        <w:rPr>
          <w:spacing w:val="-2"/>
        </w:rPr>
        <w:t>获学士学位；曾任国营北京有线电总厂京信交换系统设备厂团支部书记、技术室主任；</w:t>
      </w:r>
      <w:r>
        <w:rPr>
          <w:rFonts w:ascii="宋体" w:hAnsi="宋体" w:cs="宋体" w:eastAsia="宋体" w:hint="default"/>
          <w:spacing w:val="-2"/>
        </w:rPr>
        <w:t>1997</w:t>
      </w:r>
      <w:r>
        <w:rPr>
          <w:spacing w:val="-2"/>
        </w:rPr>
        <w:t>年与管连平先生共同创办东方国</w:t>
      </w:r>
      <w:r>
        <w:rPr>
          <w:spacing w:val="-59"/>
        </w:rPr>
        <w:t> </w:t>
      </w:r>
      <w:r>
        <w:rPr/>
        <w:t>信；</w:t>
      </w:r>
      <w:r>
        <w:rPr>
          <w:rFonts w:ascii="宋体" w:hAnsi="宋体" w:cs="宋体" w:eastAsia="宋体" w:hint="default"/>
        </w:rPr>
        <w:t>1997</w:t>
      </w:r>
      <w:r>
        <w:rPr/>
        <w:t>年</w:t>
      </w:r>
      <w:r>
        <w:rPr>
          <w:rFonts w:ascii="宋体" w:hAnsi="宋体" w:cs="宋体" w:eastAsia="宋体" w:hint="default"/>
        </w:rPr>
        <w:t>7</w:t>
      </w:r>
      <w:r>
        <w:rPr/>
        <w:t>月至</w:t>
      </w:r>
      <w:r>
        <w:rPr>
          <w:rFonts w:ascii="宋体" w:hAnsi="宋体" w:cs="宋体" w:eastAsia="宋体" w:hint="default"/>
        </w:rPr>
        <w:t>2008</w:t>
      </w:r>
      <w:r>
        <w:rPr/>
        <w:t>年</w:t>
      </w:r>
      <w:r>
        <w:rPr>
          <w:rFonts w:ascii="宋体" w:hAnsi="宋体" w:cs="宋体" w:eastAsia="宋体" w:hint="default"/>
        </w:rPr>
        <w:t>6</w:t>
      </w:r>
      <w:r>
        <w:rPr/>
        <w:t>月担任东方国信有限公司总经理；</w:t>
      </w:r>
      <w:r>
        <w:rPr>
          <w:rFonts w:ascii="宋体" w:hAnsi="宋体" w:cs="宋体" w:eastAsia="宋体" w:hint="default"/>
        </w:rPr>
        <w:t>2008</w:t>
      </w:r>
      <w:r>
        <w:rPr/>
        <w:t>年</w:t>
      </w:r>
      <w:r>
        <w:rPr>
          <w:rFonts w:ascii="宋体" w:hAnsi="宋体" w:cs="宋体" w:eastAsia="宋体" w:hint="default"/>
        </w:rPr>
        <w:t>6</w:t>
      </w:r>
      <w:r>
        <w:rPr/>
        <w:t>月至今任公司董事兼常务副总经理，现任公司董事、副</w:t>
      </w:r>
      <w:r>
        <w:rPr>
          <w:spacing w:val="-87"/>
        </w:rPr>
        <w:t> </w:t>
      </w:r>
      <w:r>
        <w:rPr>
          <w:spacing w:val="-87"/>
        </w:rPr>
      </w:r>
      <w:r>
        <w:rPr>
          <w:spacing w:val="-2"/>
        </w:rPr>
        <w:t>总经理。霍卫平先生目前直接持有公司</w:t>
      </w:r>
      <w:r>
        <w:rPr>
          <w:rFonts w:ascii="宋体" w:hAnsi="宋体" w:cs="宋体" w:eastAsia="宋体" w:hint="default"/>
          <w:spacing w:val="-2"/>
        </w:rPr>
        <w:t>19.70%</w:t>
      </w:r>
      <w:r>
        <w:rPr>
          <w:spacing w:val="-2"/>
        </w:rPr>
        <w:t>股权，与管连平先生为一致行动人，为公司控股股东及实际控制人，未受过中</w:t>
      </w:r>
      <w:r>
        <w:rPr>
          <w:spacing w:val="-60"/>
        </w:rPr>
        <w:t> </w:t>
      </w:r>
      <w:r>
        <w:rPr>
          <w:spacing w:val="-60"/>
        </w:rPr>
      </w:r>
      <w:r>
        <w:rPr/>
        <w:t>国证监会及其他有关部门的处罚和证券交易所惩戒，不存在《创业板上市公司规范运作指引》第</w:t>
      </w:r>
      <w:r>
        <w:rPr>
          <w:rFonts w:ascii="宋体" w:hAnsi="宋体" w:cs="宋体" w:eastAsia="宋体" w:hint="default"/>
        </w:rPr>
        <w:t>3.1.3 </w:t>
      </w:r>
      <w:r>
        <w:rPr/>
        <w:t>条所规定的情形。</w:t>
      </w:r>
    </w:p>
    <w:p>
      <w:pPr>
        <w:pStyle w:val="BodyText"/>
        <w:spacing w:line="240" w:lineRule="auto" w:before="55"/>
        <w:ind w:left="513" w:right="94"/>
        <w:jc w:val="left"/>
      </w:pPr>
      <w:r>
        <w:rPr/>
        <w:t>公司与实际控制人之间的产权及控制关系的方框图：</w:t>
      </w:r>
    </w:p>
    <w:p>
      <w:pPr>
        <w:spacing w:after="0" w:line="240" w:lineRule="auto"/>
        <w:jc w:val="left"/>
        <w:sectPr>
          <w:pgSz w:w="11910" w:h="16840"/>
          <w:pgMar w:header="772" w:footer="1006" w:top="1080" w:bottom="1200" w:left="980" w:right="9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p>
      <w:pPr>
        <w:spacing w:line="4560" w:lineRule="exact"/>
        <w:ind w:left="1355"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4591575" cy="2895600"/>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9" cstate="print"/>
                    <a:stretch>
                      <a:fillRect/>
                    </a:stretch>
                  </pic:blipFill>
                  <pic:spPr>
                    <a:xfrm>
                      <a:off x="0" y="0"/>
                      <a:ext cx="4591575" cy="2895600"/>
                    </a:xfrm>
                    <a:prstGeom prst="rect">
                      <a:avLst/>
                    </a:prstGeom>
                  </pic:spPr>
                </pic:pic>
              </a:graphicData>
            </a:graphic>
          </wp:inline>
        </w:drawing>
      </w:r>
      <w:r>
        <w:rPr>
          <w:rFonts w:ascii="宋体" w:hAnsi="宋体" w:cs="宋体" w:eastAsia="宋体" w:hint="default"/>
          <w:position w:val="-90"/>
          <w:sz w:val="20"/>
          <w:szCs w:val="20"/>
        </w:rPr>
      </w:r>
    </w:p>
    <w:p>
      <w:pPr>
        <w:spacing w:line="240" w:lineRule="auto" w:before="4"/>
        <w:rPr>
          <w:rFonts w:ascii="宋体" w:hAnsi="宋体" w:cs="宋体" w:eastAsia="宋体" w:hint="default"/>
          <w:sz w:val="17"/>
          <w:szCs w:val="17"/>
        </w:rPr>
      </w:pPr>
    </w:p>
    <w:p>
      <w:pPr>
        <w:pStyle w:val="BodyText"/>
        <w:spacing w:line="240" w:lineRule="auto" w:before="44"/>
        <w:ind w:right="0"/>
        <w:jc w:val="left"/>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182"/>
        <w:gridCol w:w="1095"/>
        <w:gridCol w:w="1543"/>
        <w:gridCol w:w="1145"/>
        <w:gridCol w:w="1801"/>
        <w:gridCol w:w="1802"/>
      </w:tblGrid>
      <w:tr>
        <w:trPr>
          <w:trHeight w:val="715"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注册资本（元）</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0" w:right="83"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71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北京仁邦翰威投资咨询有 限公司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67236649-4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360,000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投资咨询</w:t>
            </w:r>
          </w:p>
        </w:tc>
      </w:tr>
      <w:tr>
        <w:trPr>
          <w:trHeight w:val="40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情况说明</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名有限售条件股东持股数量及限售条件</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03" w:right="51"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首次公开发行股份锁定 </w:t>
            </w:r>
            <w:r>
              <w:rPr>
                <w:rFonts w:ascii="宋体" w:hAnsi="宋体" w:cs="宋体" w:eastAsia="宋体" w:hint="default"/>
                <w:spacing w:val="-18"/>
                <w:sz w:val="18"/>
                <w:szCs w:val="18"/>
              </w:rPr>
              <w:t>承诺：自</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首次公开发行股份锁定 </w:t>
            </w:r>
            <w:r>
              <w:rPr>
                <w:rFonts w:ascii="宋体" w:hAnsi="宋体" w:cs="宋体" w:eastAsia="宋体" w:hint="default"/>
                <w:spacing w:val="-18"/>
                <w:sz w:val="18"/>
                <w:szCs w:val="18"/>
              </w:rPr>
              <w:t>承诺：自</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北京仁邦翰威投资咨询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14,364,000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首次公开发行股份锁定 </w:t>
            </w:r>
            <w:r>
              <w:rPr>
                <w:rFonts w:ascii="宋体" w:hAnsi="宋体" w:cs="宋体" w:eastAsia="宋体" w:hint="default"/>
                <w:spacing w:val="-18"/>
                <w:sz w:val="18"/>
                <w:szCs w:val="18"/>
              </w:rPr>
              <w:t>承诺：自</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北京仁邦时代投资咨询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9,576,000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首次公开发行股份锁定 </w:t>
            </w:r>
            <w:r>
              <w:rPr>
                <w:rFonts w:ascii="宋体" w:hAnsi="宋体" w:cs="宋体" w:eastAsia="宋体" w:hint="default"/>
                <w:spacing w:val="-18"/>
                <w:sz w:val="18"/>
                <w:szCs w:val="18"/>
              </w:rPr>
              <w:t>承诺：自</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tc>
      </w:tr>
    </w:tbl>
    <w:p>
      <w:pPr>
        <w:spacing w:after="0" w:line="316" w:lineRule="auto"/>
        <w:jc w:val="lef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毛自力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64" w:right="0"/>
              <w:jc w:val="left"/>
              <w:rPr>
                <w:rFonts w:ascii="Times New Roman" w:hAnsi="Times New Roman" w:cs="Times New Roman" w:eastAsia="Times New Roman" w:hint="default"/>
                <w:sz w:val="18"/>
                <w:szCs w:val="18"/>
              </w:rPr>
            </w:pPr>
            <w:r>
              <w:rPr>
                <w:rFonts w:ascii="Times New Roman"/>
                <w:sz w:val="18"/>
              </w:rPr>
              <w:t>4,189,500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首次公开发行股份锁定 </w:t>
            </w:r>
            <w:r>
              <w:rPr>
                <w:rFonts w:ascii="宋体" w:hAnsi="宋体" w:cs="宋体" w:eastAsia="宋体" w:hint="default"/>
                <w:spacing w:val="-8"/>
                <w:sz w:val="18"/>
                <w:szCs w:val="18"/>
              </w:rPr>
              <w:t>承诺：自</w:t>
            </w:r>
            <w:r>
              <w:rPr>
                <w:rFonts w:ascii="宋体" w:hAnsi="宋体" w:cs="宋体" w:eastAsia="宋体" w:hint="default"/>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bl>
    <w:p>
      <w:pPr>
        <w:spacing w:after="0" w:line="248" w:lineRule="exact"/>
        <w:jc w:val="left"/>
        <w:rPr>
          <w:rFonts w:ascii="宋体" w:hAnsi="宋体" w:cs="宋体" w:eastAsia="宋体" w:hint="default"/>
          <w:sz w:val="18"/>
          <w:szCs w:val="18"/>
        </w:rPr>
        <w:sectPr>
          <w:pgSz w:w="11910" w:h="16840"/>
          <w:pgMar w:header="772" w:footer="1006" w:top="108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6"/>
          <w:szCs w:val="26"/>
        </w:rPr>
      </w:pPr>
    </w:p>
    <w:p>
      <w:pPr>
        <w:pStyle w:val="Heading1"/>
        <w:spacing w:line="240" w:lineRule="auto"/>
        <w:ind w:left="1679" w:right="0"/>
        <w:jc w:val="left"/>
        <w:rPr>
          <w:b w:val="0"/>
          <w:bCs w:val="0"/>
        </w:rPr>
      </w:pPr>
      <w:bookmarkStart w:name="_TOC_250003"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pict>
          <v:shape style="position:absolute;margin-left:408.070007pt;margin-top:113.021599pt;width:57.15pt;height:17.7pt;mso-position-horizontal-relative:page;mso-position-vertical-relative:paragraph;z-index:-876088" type="#_x0000_t202" filled="false" stroked="false">
            <v:textbox inset="0,0,0,0">
              <w:txbxContent>
                <w:p>
                  <w:pPr>
                    <w:pStyle w:val="BodyText"/>
                    <w:spacing w:line="240" w:lineRule="auto" w:before="8"/>
                    <w:ind w:left="0" w:right="0"/>
                    <w:jc w:val="left"/>
                  </w:pPr>
                  <w:r>
                    <w:rPr/>
                    <w:t>（股）</w:t>
                  </w:r>
                </w:p>
              </w:txbxContent>
            </v:textbox>
            <w10:wrap type="none"/>
          </v:shape>
        </w:pict>
      </w:r>
      <w:r>
        <w:rPr/>
        <w:pict>
          <v:shape style="position:absolute;margin-left:476.983002pt;margin-top:99.461601pt;width:57.75pt;height:31.25pt;mso-position-horizontal-relative:page;mso-position-vertical-relative:paragraph;z-index:-876064" type="#_x0000_t202" filled="false" stroked="false">
            <v:textbox inset="0,0,0,0">
              <w:txbxContent>
                <w:p>
                  <w:pPr>
                    <w:pStyle w:val="BodyText"/>
                    <w:spacing w:line="203" w:lineRule="exact"/>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478"/>
        <w:gridCol w:w="566"/>
        <w:gridCol w:w="711"/>
        <w:gridCol w:w="708"/>
        <w:gridCol w:w="960"/>
        <w:gridCol w:w="677"/>
        <w:gridCol w:w="631"/>
        <w:gridCol w:w="902"/>
        <w:gridCol w:w="516"/>
        <w:gridCol w:w="682"/>
        <w:gridCol w:w="684"/>
        <w:gridCol w:w="70"/>
        <w:gridCol w:w="614"/>
      </w:tblGrid>
      <w:tr>
        <w:trPr>
          <w:trHeight w:val="1964"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5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79" w:right="80"/>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2" w:right="6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6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40" w:right="38"/>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40"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86" w:right="84"/>
              <w:jc w:val="left"/>
              <w:rPr>
                <w:rFonts w:ascii="宋体" w:hAnsi="宋体" w:cs="宋体" w:eastAsia="宋体" w:hint="default"/>
                <w:sz w:val="18"/>
                <w:szCs w:val="18"/>
              </w:rPr>
            </w:pPr>
            <w:r>
              <w:rPr>
                <w:rFonts w:ascii="宋体" w:hAnsi="宋体" w:cs="宋体" w:eastAsia="宋体" w:hint="default"/>
                <w:sz w:val="18"/>
                <w:szCs w:val="18"/>
              </w:rPr>
              <w:t>期末持股 数（股）</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2"/>
              <w:jc w:val="both"/>
              <w:rPr>
                <w:rFonts w:ascii="宋体" w:hAnsi="宋体" w:cs="宋体" w:eastAsia="宋体" w:hint="default"/>
                <w:sz w:val="18"/>
                <w:szCs w:val="18"/>
              </w:rPr>
            </w:pPr>
            <w:r>
              <w:rPr>
                <w:rFonts w:ascii="宋体" w:hAnsi="宋体" w:cs="宋体" w:eastAsia="宋体" w:hint="default"/>
                <w:sz w:val="18"/>
                <w:szCs w:val="18"/>
              </w:rPr>
              <w:t>期初 持有 股票 期权 数量</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3"/>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 w:right="62"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w:t>
            </w:r>
          </w:p>
        </w:tc>
        <w:tc>
          <w:tcPr>
            <w:tcW w:w="70" w:type="dxa"/>
            <w:tcBorders>
              <w:top w:val="single" w:sz="4" w:space="0" w:color="000000"/>
              <w:left w:val="single" w:sz="4" w:space="0" w:color="000000"/>
              <w:bottom w:val="single" w:sz="4" w:space="0" w:color="000000"/>
              <w:right w:val="nil" w:sz="6" w:space="0" w:color="auto"/>
            </w:tcBorders>
            <w:shd w:val="clear" w:color="auto" w:fill="D2D2D2"/>
          </w:tcPr>
          <w:p>
            <w:pPr/>
          </w:p>
        </w:tc>
        <w:tc>
          <w:tcPr>
            <w:tcW w:w="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84" w:right="62"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3" w:right="57"/>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r>
              <w:rPr>
                <w:rFonts w:ascii="宋体" w:hAnsi="宋体" w:cs="宋体" w:eastAsia="宋体" w:hint="default"/>
                <w:sz w:val="18"/>
                <w:szCs w:val="18"/>
              </w:rPr>
              <w:t>总经理</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10,828,914</w:t>
            </w:r>
          </w:p>
        </w:tc>
        <w:tc>
          <w:tcPr>
            <w:tcW w:w="67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32,486,742</w:t>
            </w:r>
          </w:p>
        </w:tc>
        <w:tc>
          <w:tcPr>
            <w:tcW w:w="51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积金转 增股本</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常 务副总 经理</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8,120,980</w:t>
            </w:r>
          </w:p>
        </w:tc>
        <w:tc>
          <w:tcPr>
            <w:tcW w:w="67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24,362,940</w:t>
            </w:r>
          </w:p>
        </w:tc>
        <w:tc>
          <w:tcPr>
            <w:tcW w:w="51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积金转 增股本</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499,405</w:t>
            </w:r>
          </w:p>
        </w:tc>
        <w:tc>
          <w:tcPr>
            <w:tcW w:w="67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1,498,215</w:t>
            </w:r>
          </w:p>
        </w:tc>
        <w:tc>
          <w:tcPr>
            <w:tcW w:w="51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积金转 增股本</w:t>
            </w:r>
          </w:p>
        </w:tc>
      </w:tr>
      <w:tr>
        <w:trPr>
          <w:trHeight w:val="102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积金转 增股本</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韩松林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积金转 增股本</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李晓慧</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积金转 增股本</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彭岩</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401,234</w:t>
            </w:r>
          </w:p>
        </w:tc>
        <w:tc>
          <w:tcPr>
            <w:tcW w:w="67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1,203,702</w:t>
            </w:r>
          </w:p>
        </w:tc>
        <w:tc>
          <w:tcPr>
            <w:tcW w:w="51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积金转 增股本</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胡淑瑜</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442,905</w:t>
            </w:r>
          </w:p>
        </w:tc>
        <w:tc>
          <w:tcPr>
            <w:tcW w:w="67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1,328,715</w:t>
            </w:r>
          </w:p>
        </w:tc>
        <w:tc>
          <w:tcPr>
            <w:tcW w:w="51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积金转 增股本</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朱军峰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248,984</w:t>
            </w:r>
          </w:p>
        </w:tc>
        <w:tc>
          <w:tcPr>
            <w:tcW w:w="67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746,952</w:t>
            </w:r>
          </w:p>
        </w:tc>
        <w:tc>
          <w:tcPr>
            <w:tcW w:w="51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积金转 增股本</w:t>
            </w:r>
          </w:p>
        </w:tc>
      </w:tr>
      <w:tr>
        <w:trPr>
          <w:trHeight w:val="67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冯志宏</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504,336</w:t>
            </w:r>
          </w:p>
        </w:tc>
        <w:tc>
          <w:tcPr>
            <w:tcW w:w="67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1,513,008</w:t>
            </w:r>
          </w:p>
        </w:tc>
        <w:tc>
          <w:tcPr>
            <w:tcW w:w="51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left"/>
              <w:rPr>
                <w:rFonts w:ascii="宋体" w:hAnsi="宋体" w:cs="宋体" w:eastAsia="宋体" w:hint="default"/>
                <w:sz w:val="18"/>
                <w:szCs w:val="18"/>
              </w:rPr>
            </w:pPr>
            <w:r>
              <w:rPr>
                <w:rFonts w:ascii="宋体" w:hAnsi="宋体" w:cs="宋体" w:eastAsia="宋体" w:hint="default"/>
                <w:sz w:val="18"/>
                <w:szCs w:val="18"/>
              </w:rPr>
              <w:t>资本公 积金转</w:t>
            </w:r>
          </w:p>
        </w:tc>
      </w:tr>
    </w:tbl>
    <w:p>
      <w:pPr>
        <w:spacing w:after="0" w:line="316" w:lineRule="auto"/>
        <w:jc w:val="left"/>
        <w:rPr>
          <w:rFonts w:ascii="宋体" w:hAnsi="宋体" w:cs="宋体" w:eastAsia="宋体"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478"/>
        <w:gridCol w:w="566"/>
        <w:gridCol w:w="711"/>
        <w:gridCol w:w="708"/>
        <w:gridCol w:w="960"/>
        <w:gridCol w:w="677"/>
        <w:gridCol w:w="631"/>
        <w:gridCol w:w="902"/>
        <w:gridCol w:w="516"/>
        <w:gridCol w:w="682"/>
        <w:gridCol w:w="684"/>
        <w:gridCol w:w="684"/>
      </w:tblGrid>
      <w:tr>
        <w:trPr>
          <w:trHeight w:val="363"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center"/>
              <w:rPr>
                <w:rFonts w:ascii="宋体" w:hAnsi="宋体" w:cs="宋体" w:eastAsia="宋体" w:hint="default"/>
                <w:sz w:val="18"/>
                <w:szCs w:val="18"/>
              </w:rPr>
            </w:pPr>
            <w:r>
              <w:rPr>
                <w:rFonts w:ascii="宋体" w:hAnsi="宋体" w:cs="宋体" w:eastAsia="宋体" w:hint="default"/>
                <w:sz w:val="18"/>
                <w:szCs w:val="18"/>
              </w:rPr>
              <w:t>增股本</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王红庆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511,375</w:t>
            </w:r>
          </w:p>
        </w:tc>
        <w:tc>
          <w:tcPr>
            <w:tcW w:w="67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1,534,125</w:t>
            </w:r>
          </w:p>
        </w:tc>
        <w:tc>
          <w:tcPr>
            <w:tcW w:w="51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积金转 增股本</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赵光宇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492,845</w:t>
            </w:r>
          </w:p>
        </w:tc>
        <w:tc>
          <w:tcPr>
            <w:tcW w:w="67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1,478,535</w:t>
            </w:r>
          </w:p>
        </w:tc>
        <w:tc>
          <w:tcPr>
            <w:tcW w:w="51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积金转 增股本</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陈桂霞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301,654</w:t>
            </w:r>
          </w:p>
        </w:tc>
        <w:tc>
          <w:tcPr>
            <w:tcW w:w="67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904,962</w:t>
            </w:r>
          </w:p>
        </w:tc>
        <w:tc>
          <w:tcPr>
            <w:tcW w:w="51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资本公 积金转 增股本</w:t>
            </w:r>
          </w:p>
        </w:tc>
      </w:tr>
      <w:tr>
        <w:trPr>
          <w:trHeight w:val="102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8"/>
              <w:jc w:val="right"/>
              <w:rPr>
                <w:rFonts w:ascii="宋体" w:hAnsi="宋体" w:cs="宋体" w:eastAsia="宋体" w:hint="default"/>
                <w:sz w:val="18"/>
                <w:szCs w:val="18"/>
              </w:rPr>
            </w:pPr>
            <w:r>
              <w:rPr>
                <w:rFonts w:ascii="宋体" w:hAnsi="宋体" w:cs="宋体" w:eastAsia="宋体" w:hint="default"/>
                <w:sz w:val="18"/>
                <w:szCs w:val="18"/>
              </w:rPr>
              <w:t>刘彦斐</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副总经 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 会秘书</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
              <w:jc w:val="righ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22,352,632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67,057,896</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94"/>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3602" w:hanging="361"/>
        <w:jc w:val="left"/>
      </w:pPr>
      <w:r>
        <w:rPr/>
        <w:t>公司现任董事、监事、高级管理人员最近</w:t>
      </w:r>
      <w:r>
        <w:rPr>
          <w:spacing w:val="-45"/>
        </w:rPr>
        <w:t> </w:t>
      </w:r>
      <w:r>
        <w:rPr>
          <w:rFonts w:ascii="Times New Roman" w:hAnsi="Times New Roman" w:cs="Times New Roman" w:eastAsia="Times New Roman" w:hint="default"/>
        </w:rPr>
        <w:t>5 </w:t>
      </w:r>
      <w:r>
        <w:rPr/>
        <w:t>年的主要工作经历 管连平先生主要工作经历，详见“第六节</w:t>
      </w:r>
      <w:r>
        <w:rPr>
          <w:spacing w:val="1"/>
        </w:rPr>
        <w:t> </w:t>
      </w:r>
      <w:r>
        <w:rPr/>
        <w:t>三、股东及实际控制人情况”。</w:t>
      </w:r>
    </w:p>
    <w:p>
      <w:pPr>
        <w:pStyle w:val="BodyText"/>
        <w:spacing w:line="477" w:lineRule="auto" w:before="118"/>
        <w:ind w:left="513" w:right="94"/>
        <w:jc w:val="left"/>
      </w:pPr>
      <w:r>
        <w:rPr/>
        <w:t>霍卫平先生主要工作经历，详见“第六节</w:t>
      </w:r>
      <w:r>
        <w:rPr>
          <w:spacing w:val="1"/>
        </w:rPr>
        <w:t> </w:t>
      </w:r>
      <w:r>
        <w:rPr/>
        <w:t>三、股东及实际控制人情况”。</w:t>
      </w:r>
      <w:r>
        <w:rPr/>
        <w:t> </w:t>
      </w:r>
      <w:r>
        <w:rPr>
          <w:spacing w:val="-2"/>
        </w:rPr>
        <w:t>金正皓先生，</w:t>
      </w:r>
      <w:r>
        <w:rPr>
          <w:rFonts w:ascii="宋体" w:hAnsi="宋体" w:cs="宋体" w:eastAsia="宋体" w:hint="default"/>
          <w:spacing w:val="-2"/>
        </w:rPr>
        <w:t>1971</w:t>
      </w:r>
      <w:r>
        <w:rPr>
          <w:spacing w:val="-2"/>
        </w:rPr>
        <w:t>年生，中国籍，硕士学历，毕业于中国科学院数学和系统科学研究院；自</w:t>
      </w:r>
      <w:r>
        <w:rPr>
          <w:rFonts w:ascii="宋体" w:hAnsi="宋体" w:cs="宋体" w:eastAsia="宋体" w:hint="default"/>
          <w:spacing w:val="-2"/>
        </w:rPr>
        <w:t>2000</w:t>
      </w:r>
      <w:r>
        <w:rPr>
          <w:spacing w:val="-2"/>
        </w:rPr>
        <w:t>年至今历任公司开发部</w:t>
      </w:r>
    </w:p>
    <w:p>
      <w:pPr>
        <w:pStyle w:val="BodyText"/>
        <w:spacing w:line="477" w:lineRule="auto" w:before="54"/>
        <w:ind w:right="184"/>
        <w:jc w:val="left"/>
      </w:pPr>
      <w:r>
        <w:rPr/>
        <w:t>经理，设计中心经理，战略规划设计部总经理，现任公司董事。金正皓先生目前间接持有公司</w:t>
      </w:r>
      <w:r>
        <w:rPr>
          <w:rFonts w:ascii="宋体" w:hAnsi="宋体" w:cs="宋体" w:eastAsia="宋体" w:hint="default"/>
        </w:rPr>
        <w:t>1.23%</w:t>
      </w:r>
      <w:r>
        <w:rPr/>
        <w:t>股权，未受过中国证监</w:t>
      </w:r>
      <w:r>
        <w:rPr>
          <w:spacing w:val="-83"/>
        </w:rPr>
        <w:t> </w:t>
      </w:r>
      <w:r>
        <w:rPr>
          <w:spacing w:val="-83"/>
        </w:rPr>
      </w:r>
      <w:r>
        <w:rPr/>
        <w:t>会及其他有关部门的处罚和证券交易所惩戒，不存在《创业板上市公司规范运作指引》第</w:t>
      </w:r>
      <w:r>
        <w:rPr>
          <w:rFonts w:ascii="宋体" w:hAnsi="宋体" w:cs="宋体" w:eastAsia="宋体" w:hint="default"/>
        </w:rPr>
        <w:t>3.1.3</w:t>
      </w:r>
      <w:r>
        <w:rPr>
          <w:rFonts w:ascii="宋体" w:hAnsi="宋体" w:cs="宋体" w:eastAsia="宋体" w:hint="default"/>
          <w:spacing w:val="4"/>
        </w:rPr>
        <w:t> </w:t>
      </w:r>
      <w:r>
        <w:rPr/>
        <w:t>条所规定的情形。</w:t>
      </w:r>
    </w:p>
    <w:p>
      <w:pPr>
        <w:pStyle w:val="BodyText"/>
        <w:spacing w:line="477" w:lineRule="auto" w:before="54"/>
        <w:ind w:right="110" w:firstLine="360"/>
        <w:jc w:val="left"/>
      </w:pPr>
      <w:r>
        <w:rPr/>
        <w:t>佘元冠先生，</w:t>
      </w:r>
      <w:r>
        <w:rPr>
          <w:rFonts w:ascii="宋体" w:hAnsi="宋体" w:cs="宋体" w:eastAsia="宋体" w:hint="default"/>
        </w:rPr>
        <w:t>1948</w:t>
      </w:r>
      <w:r>
        <w:rPr/>
        <w:t>年生，中国籍，硕士学位，教授，博士生导师；</w:t>
      </w:r>
      <w:r>
        <w:rPr>
          <w:rFonts w:ascii="宋体" w:hAnsi="宋体" w:cs="宋体" w:eastAsia="宋体" w:hint="default"/>
        </w:rPr>
        <w:t>1987</w:t>
      </w:r>
      <w:r>
        <w:rPr/>
        <w:t>年获北京钢铁学院工业管理工程专业硕士学位； </w:t>
      </w:r>
      <w:r>
        <w:rPr>
          <w:rFonts w:ascii="宋体" w:hAnsi="宋体" w:cs="宋体" w:eastAsia="宋体" w:hint="default"/>
        </w:rPr>
        <w:t>1990</w:t>
      </w:r>
      <w:r>
        <w:rPr/>
        <w:t>年至</w:t>
      </w:r>
      <w:r>
        <w:rPr>
          <w:rFonts w:ascii="宋体" w:hAnsi="宋体" w:cs="宋体" w:eastAsia="宋体" w:hint="default"/>
        </w:rPr>
        <w:t>1991</w:t>
      </w:r>
      <w:r>
        <w:rPr/>
        <w:t>年在加拿大</w:t>
      </w:r>
      <w:r>
        <w:rPr>
          <w:rFonts w:ascii="宋体" w:hAnsi="宋体" w:cs="宋体" w:eastAsia="宋体" w:hint="default"/>
        </w:rPr>
        <w:t>McMaster</w:t>
      </w:r>
      <w:r>
        <w:rPr>
          <w:rFonts w:ascii="宋体" w:hAnsi="宋体" w:cs="宋体" w:eastAsia="宋体" w:hint="default"/>
          <w:spacing w:val="-1"/>
        </w:rPr>
        <w:t> </w:t>
      </w:r>
      <w:r>
        <w:rPr/>
        <w:t>大学商学院任访问学者；</w:t>
      </w:r>
      <w:r>
        <w:rPr>
          <w:rFonts w:ascii="宋体" w:hAnsi="宋体" w:cs="宋体" w:eastAsia="宋体" w:hint="default"/>
        </w:rPr>
        <w:t>1994</w:t>
      </w:r>
      <w:r>
        <w:rPr/>
        <w:t>年</w:t>
      </w:r>
      <w:r>
        <w:rPr>
          <w:rFonts w:ascii="宋体" w:hAnsi="宋体" w:cs="宋体" w:eastAsia="宋体" w:hint="default"/>
        </w:rPr>
        <w:t>-1999</w:t>
      </w:r>
      <w:r>
        <w:rPr/>
        <w:t>年任北京科技大学管理学院副院长；</w:t>
      </w:r>
      <w:r>
        <w:rPr>
          <w:rFonts w:ascii="宋体" w:hAnsi="宋体" w:cs="宋体" w:eastAsia="宋体" w:hint="default"/>
        </w:rPr>
        <w:t>2000</w:t>
      </w:r>
      <w:r>
        <w:rPr/>
        <w:t>年</w:t>
      </w:r>
      <w:r>
        <w:rPr>
          <w:rFonts w:ascii="宋体" w:hAnsi="宋体" w:cs="宋体" w:eastAsia="宋体" w:hint="default"/>
        </w:rPr>
        <w:t>-2004 </w:t>
      </w:r>
      <w:r>
        <w:rPr/>
        <w:t>年任北京科技大学管庄校区院长；</w:t>
      </w:r>
      <w:r>
        <w:rPr>
          <w:rFonts w:ascii="宋体" w:hAnsi="宋体" w:cs="宋体" w:eastAsia="宋体" w:hint="default"/>
        </w:rPr>
        <w:t>2005</w:t>
      </w:r>
      <w:r>
        <w:rPr/>
        <w:t>年</w:t>
      </w:r>
      <w:r>
        <w:rPr>
          <w:rFonts w:ascii="宋体" w:hAnsi="宋体" w:cs="宋体" w:eastAsia="宋体" w:hint="default"/>
        </w:rPr>
        <w:t>-2008</w:t>
      </w:r>
      <w:r>
        <w:rPr/>
        <w:t>年任北京科技大学管庄文法学院院长。佘元冠教授现任北京科技大学经济管</w:t>
      </w:r>
      <w:r>
        <w:rPr>
          <w:spacing w:val="-86"/>
        </w:rPr>
        <w:t> </w:t>
      </w:r>
      <w:r>
        <w:rPr>
          <w:spacing w:val="-86"/>
        </w:rPr>
      </w:r>
      <w:r>
        <w:rPr>
          <w:spacing w:val="-2"/>
        </w:rPr>
        <w:t>理学院教授、博士生导师。佘元冠教授是中国企业管理研究会常务理事、国家标准化委员会全国信用标准化工作组委员、中</w:t>
      </w:r>
      <w:r>
        <w:rPr>
          <w:spacing w:val="-66"/>
        </w:rPr>
        <w:t> </w:t>
      </w:r>
      <w:r>
        <w:rPr>
          <w:spacing w:val="-66"/>
        </w:rPr>
      </w:r>
      <w:r>
        <w:rPr/>
        <w:t>国质量协会常务理事兼学术培训委员会委员、新加坡亚太管理中心兼职教授；现任公司独立董事。</w:t>
      </w:r>
    </w:p>
    <w:p>
      <w:pPr>
        <w:pStyle w:val="BodyText"/>
        <w:spacing w:line="477" w:lineRule="auto" w:before="54"/>
        <w:ind w:right="190" w:firstLine="360"/>
        <w:jc w:val="both"/>
      </w:pPr>
      <w:r>
        <w:rPr>
          <w:spacing w:val="-2"/>
        </w:rPr>
        <w:t>佘元冠先生与持有公司</w:t>
      </w:r>
      <w:r>
        <w:rPr>
          <w:rFonts w:ascii="宋体" w:hAnsi="宋体" w:cs="宋体" w:eastAsia="宋体" w:hint="default"/>
          <w:spacing w:val="-2"/>
        </w:rPr>
        <w:t>5%</w:t>
      </w:r>
      <w:r>
        <w:rPr>
          <w:spacing w:val="-2"/>
        </w:rPr>
        <w:t>以上股份的股东、实际控制人之间不存在关联关系，其本人不持有本公司股份，也不存在《公</w:t>
      </w:r>
      <w:r>
        <w:rPr/>
        <w:t> </w:t>
      </w:r>
      <w:r>
        <w:rPr>
          <w:spacing w:val="-2"/>
        </w:rPr>
        <w:t>司法》及中国证监会相关规定中不得担任公司独立董事的情形，其任职资格符合担任上市公司独立董事人员的条件，符合中</w:t>
      </w:r>
      <w:r>
        <w:rPr>
          <w:spacing w:val="-63"/>
        </w:rPr>
        <w:t> </w:t>
      </w:r>
      <w:r>
        <w:rPr>
          <w:spacing w:val="-63"/>
        </w:rPr>
      </w:r>
      <w:r>
        <w:rPr>
          <w:spacing w:val="-2"/>
        </w:rPr>
        <w:t>国证监会《关于在上市公司建立独立董事制度的指导意见》中有关独立董事任职资格及独立性等要求以及《公司法》、《公</w:t>
      </w:r>
      <w:r>
        <w:rPr>
          <w:spacing w:val="-69"/>
        </w:rPr>
        <w:t> </w:t>
      </w:r>
      <w:r>
        <w:rPr>
          <w:spacing w:val="-69"/>
        </w:rPr>
      </w:r>
      <w:r>
        <w:rPr/>
        <w:t>司章程》的有关规定。</w:t>
      </w:r>
    </w:p>
    <w:p>
      <w:pPr>
        <w:pStyle w:val="BodyText"/>
        <w:spacing w:line="477" w:lineRule="auto" w:before="54"/>
        <w:ind w:right="94" w:firstLine="451"/>
        <w:jc w:val="left"/>
      </w:pPr>
      <w:r>
        <w:rPr>
          <w:spacing w:val="-2"/>
        </w:rPr>
        <w:t>韩松林先生，</w:t>
      </w:r>
      <w:r>
        <w:rPr>
          <w:rFonts w:ascii="宋体" w:hAnsi="宋体" w:cs="宋体" w:eastAsia="宋体" w:hint="default"/>
          <w:spacing w:val="-2"/>
        </w:rPr>
        <w:t>1943</w:t>
      </w:r>
      <w:r>
        <w:rPr>
          <w:spacing w:val="-2"/>
        </w:rPr>
        <w:t>年生，中国籍，本科学历，</w:t>
      </w:r>
      <w:r>
        <w:rPr>
          <w:rFonts w:ascii="宋体" w:hAnsi="宋体" w:cs="宋体" w:eastAsia="宋体" w:hint="default"/>
          <w:spacing w:val="-2"/>
        </w:rPr>
        <w:t>1968</w:t>
      </w:r>
      <w:r>
        <w:rPr>
          <w:spacing w:val="-2"/>
        </w:rPr>
        <w:t>年毕业于南京邮电学院；曾任南京</w:t>
      </w:r>
      <w:r>
        <w:rPr>
          <w:rFonts w:ascii="宋体" w:hAnsi="宋体" w:cs="宋体" w:eastAsia="宋体" w:hint="default"/>
          <w:spacing w:val="-2"/>
        </w:rPr>
        <w:t>518</w:t>
      </w:r>
      <w:r>
        <w:rPr>
          <w:spacing w:val="-2"/>
        </w:rPr>
        <w:t>厂车间负责人、邮电部电信总</w:t>
      </w:r>
      <w:r>
        <w:rPr/>
        <w:t> 局处长、中国电信总局副局长、长飞光纤光缆有限公司董事长。韩松林先生现已退休，现任公司独立董事。</w:t>
      </w:r>
    </w:p>
    <w:p>
      <w:pPr>
        <w:pStyle w:val="BodyText"/>
        <w:spacing w:line="240" w:lineRule="auto" w:before="54"/>
        <w:ind w:left="513" w:right="0"/>
        <w:jc w:val="left"/>
      </w:pPr>
      <w:r>
        <w:rPr/>
        <w:t>韩松林先生与持有公司</w:t>
      </w:r>
      <w:r>
        <w:rPr>
          <w:rFonts w:ascii="宋体" w:hAnsi="宋体" w:cs="宋体" w:eastAsia="宋体" w:hint="default"/>
        </w:rPr>
        <w:t>5%</w:t>
      </w:r>
      <w:r>
        <w:rPr/>
        <w:t>以上股份的股东、实际控制人之间不存在关联关系，其本人不持有本公司股份，也不存在《公</w:t>
      </w:r>
    </w:p>
    <w:p>
      <w:pPr>
        <w:spacing w:after="0" w:line="240"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477" w:lineRule="auto" w:before="44"/>
        <w:ind w:right="150"/>
        <w:jc w:val="both"/>
      </w:pPr>
      <w:r>
        <w:rPr>
          <w:spacing w:val="-2"/>
        </w:rPr>
        <w:t>司法》及中国证监会相关规定中不得担任公司独立董事的情形，其任职资格符合担任上市公司独立董事人员的条件，符合中</w:t>
      </w:r>
      <w:r>
        <w:rPr>
          <w:spacing w:val="-63"/>
        </w:rPr>
        <w:t> </w:t>
      </w:r>
      <w:r>
        <w:rPr>
          <w:spacing w:val="-63"/>
        </w:rPr>
      </w:r>
      <w:r>
        <w:rPr>
          <w:spacing w:val="-2"/>
        </w:rPr>
        <w:t>国证监会《关于在上市公司建立独立董事制度的指导意见》中有关独立董事任职资格及独立性等要求以及《公司法》、《公</w:t>
      </w:r>
      <w:r>
        <w:rPr>
          <w:spacing w:val="-69"/>
        </w:rPr>
        <w:t> </w:t>
      </w:r>
      <w:r>
        <w:rPr>
          <w:spacing w:val="-69"/>
        </w:rPr>
      </w:r>
      <w:r>
        <w:rPr/>
        <w:t>司章程》的有关规定。</w:t>
      </w:r>
    </w:p>
    <w:p>
      <w:pPr>
        <w:pStyle w:val="BodyText"/>
        <w:spacing w:line="477" w:lineRule="auto" w:before="54"/>
        <w:ind w:right="151" w:firstLine="360"/>
        <w:jc w:val="both"/>
      </w:pPr>
      <w:r>
        <w:rPr/>
        <w:t>李晓慧女士，</w:t>
      </w:r>
      <w:r>
        <w:rPr>
          <w:rFonts w:ascii="宋体" w:hAnsi="宋体" w:cs="宋体" w:eastAsia="宋体" w:hint="default"/>
        </w:rPr>
        <w:t>1967</w:t>
      </w:r>
      <w:r>
        <w:rPr/>
        <w:t>年生，中国籍，经济学博士，中国注册会计师。</w:t>
      </w:r>
      <w:r>
        <w:rPr>
          <w:rFonts w:ascii="宋体" w:hAnsi="宋体" w:cs="宋体" w:eastAsia="宋体" w:hint="default"/>
        </w:rPr>
        <w:t>2003</w:t>
      </w:r>
      <w:r>
        <w:rPr/>
        <w:t>年</w:t>
      </w:r>
      <w:r>
        <w:rPr>
          <w:rFonts w:ascii="宋体" w:hAnsi="宋体" w:cs="宋体" w:eastAsia="宋体" w:hint="default"/>
        </w:rPr>
        <w:t>9</w:t>
      </w:r>
      <w:r>
        <w:rPr/>
        <w:t>月至今，任中央财经大学会计学院副院长， </w:t>
      </w:r>
      <w:r>
        <w:rPr>
          <w:spacing w:val="-2"/>
        </w:rPr>
        <w:t>教授，硕士生导师。李晓慧女士现担任北京国家会计学院、上海国家会计学院的外聘教授；河北省注册会计师协会后续教育</w:t>
      </w:r>
      <w:r>
        <w:rPr>
          <w:spacing w:val="-64"/>
        </w:rPr>
        <w:t> </w:t>
      </w:r>
      <w:r>
        <w:rPr>
          <w:spacing w:val="-64"/>
        </w:rPr>
      </w:r>
      <w:r>
        <w:rPr/>
        <w:t>委员会副主任委员；北京市注册会计师协会执业指导委员会委员；亚洲风险与危机管理协会（</w:t>
      </w:r>
      <w:r>
        <w:rPr>
          <w:rFonts w:ascii="宋体" w:hAnsi="宋体" w:cs="宋体" w:eastAsia="宋体" w:hint="default"/>
        </w:rPr>
        <w:t>AARCM</w:t>
      </w:r>
      <w:r>
        <w:rPr/>
        <w:t>）</w:t>
      </w:r>
      <w:r>
        <w:rPr>
          <w:rFonts w:ascii="宋体" w:hAnsi="宋体" w:cs="宋体" w:eastAsia="宋体" w:hint="default"/>
        </w:rPr>
        <w:t>CERM</w:t>
      </w:r>
      <w:r>
        <w:rPr/>
        <w:t>资格证书专家认</w:t>
      </w:r>
      <w:r>
        <w:rPr>
          <w:spacing w:val="-85"/>
        </w:rPr>
        <w:t> </w:t>
      </w:r>
      <w:r>
        <w:rPr>
          <w:spacing w:val="-85"/>
        </w:rPr>
      </w:r>
      <w:r>
        <w:rPr/>
        <w:t>证（中国）委员会委员；中国注册会计师协会专业技术咨询委员会委员。现任公司独立董事。</w:t>
      </w:r>
    </w:p>
    <w:p>
      <w:pPr>
        <w:pStyle w:val="BodyText"/>
        <w:spacing w:line="477" w:lineRule="auto" w:before="54"/>
        <w:ind w:right="149" w:firstLine="360"/>
        <w:jc w:val="both"/>
      </w:pPr>
      <w:r>
        <w:rPr>
          <w:spacing w:val="-2"/>
        </w:rPr>
        <w:t>李晓慧女士与持有公司</w:t>
      </w:r>
      <w:r>
        <w:rPr>
          <w:rFonts w:ascii="宋体" w:hAnsi="宋体" w:cs="宋体" w:eastAsia="宋体" w:hint="default"/>
          <w:spacing w:val="-2"/>
        </w:rPr>
        <w:t>5%</w:t>
      </w:r>
      <w:r>
        <w:rPr>
          <w:spacing w:val="-2"/>
        </w:rPr>
        <w:t>以上股份的股东、实际控制人之间不存在关联关系，其本人不持有本公司股份，也不存在《公</w:t>
      </w:r>
      <w:r>
        <w:rPr/>
        <w:t> </w:t>
      </w:r>
      <w:r>
        <w:rPr>
          <w:spacing w:val="-2"/>
        </w:rPr>
        <w:t>司法》及中国证监会相关规定中不得担任公司独立董事的情形，其任职资格符合担任上市公司独立董事人员的条件，符合中</w:t>
      </w:r>
      <w:r>
        <w:rPr>
          <w:spacing w:val="-62"/>
        </w:rPr>
        <w:t> </w:t>
      </w:r>
      <w:r>
        <w:rPr>
          <w:spacing w:val="-62"/>
        </w:rPr>
      </w:r>
      <w:r>
        <w:rPr>
          <w:spacing w:val="-2"/>
        </w:rPr>
        <w:t>国证监会《关于在上市公司建立独立董事制度的指导意见》中有关独立董事任职资格及独立性等要求以及《公司法》、《公</w:t>
      </w:r>
      <w:r>
        <w:rPr>
          <w:spacing w:val="-69"/>
        </w:rPr>
        <w:t> </w:t>
      </w:r>
      <w:r>
        <w:rPr>
          <w:spacing w:val="-69"/>
        </w:rPr>
      </w:r>
      <w:r>
        <w:rPr/>
        <w:t>司章程》的有关规定。</w:t>
      </w:r>
    </w:p>
    <w:p>
      <w:pPr>
        <w:pStyle w:val="BodyText"/>
        <w:spacing w:line="477" w:lineRule="auto" w:before="54"/>
        <w:ind w:right="149" w:firstLine="360"/>
        <w:jc w:val="both"/>
      </w:pPr>
      <w:r>
        <w:rPr>
          <w:spacing w:val="-2"/>
        </w:rPr>
        <w:t>彭岩先生，</w:t>
      </w:r>
      <w:r>
        <w:rPr>
          <w:rFonts w:ascii="宋体" w:hAnsi="宋体" w:cs="宋体" w:eastAsia="宋体" w:hint="default"/>
          <w:spacing w:val="-2"/>
        </w:rPr>
        <w:t>1970</w:t>
      </w:r>
      <w:r>
        <w:rPr>
          <w:spacing w:val="-2"/>
        </w:rPr>
        <w:t>年生，中国籍，本科学历，毕业于吉林大学计算机科学系软件专业，获学士学位；曾在首钢计算机公司</w:t>
      </w:r>
      <w:r>
        <w:rPr/>
        <w:t> </w:t>
      </w:r>
      <w:r>
        <w:rPr>
          <w:spacing w:val="-2"/>
        </w:rPr>
        <w:t>担任工程师，长天科技集团任项目经理，同天科技公司任项目经理。</w:t>
      </w:r>
      <w:r>
        <w:rPr>
          <w:rFonts w:ascii="宋体" w:hAnsi="宋体" w:cs="宋体" w:eastAsia="宋体" w:hint="default"/>
          <w:spacing w:val="-2"/>
        </w:rPr>
        <w:t>2003</w:t>
      </w:r>
      <w:r>
        <w:rPr>
          <w:spacing w:val="-2"/>
        </w:rPr>
        <w:t>年加入公司，先后担任项目服务中心经理商务中心</w:t>
      </w:r>
      <w:r>
        <w:rPr>
          <w:spacing w:val="-59"/>
        </w:rPr>
        <w:t> </w:t>
      </w:r>
      <w:r>
        <w:rPr>
          <w:spacing w:val="-59"/>
        </w:rPr>
      </w:r>
      <w:r>
        <w:rPr/>
        <w:t>经理兼数据增值中心经理。现任公司监事会主席、商务部总经理。彭岩先生目前间接持有公司</w:t>
      </w:r>
      <w:r>
        <w:rPr>
          <w:rFonts w:ascii="宋体" w:hAnsi="宋体" w:cs="宋体" w:eastAsia="宋体" w:hint="default"/>
        </w:rPr>
        <w:t>0.99%</w:t>
      </w:r>
      <w:r>
        <w:rPr/>
        <w:t>股权，未受过中国证监</w:t>
      </w:r>
      <w:r>
        <w:rPr>
          <w:spacing w:val="-83"/>
        </w:rPr>
        <w:t> </w:t>
      </w:r>
      <w:r>
        <w:rPr>
          <w:spacing w:val="-83"/>
        </w:rPr>
      </w:r>
      <w:r>
        <w:rPr/>
        <w:t>会及其他有关部门的处罚和证券交易所惩戒，不存在《创业板上市公司规范运作指引》第 </w:t>
      </w:r>
      <w:r>
        <w:rPr>
          <w:rFonts w:ascii="宋体" w:hAnsi="宋体" w:cs="宋体" w:eastAsia="宋体" w:hint="default"/>
        </w:rPr>
        <w:t>3.1.3</w:t>
      </w:r>
      <w:r>
        <w:rPr>
          <w:rFonts w:ascii="宋体" w:hAnsi="宋体" w:cs="宋体" w:eastAsia="宋体" w:hint="default"/>
          <w:spacing w:val="3"/>
        </w:rPr>
        <w:t> </w:t>
      </w:r>
      <w:r>
        <w:rPr/>
        <w:t>条所规定的情形。</w:t>
      </w:r>
    </w:p>
    <w:p>
      <w:pPr>
        <w:pStyle w:val="BodyText"/>
        <w:spacing w:line="477" w:lineRule="auto" w:before="54"/>
        <w:ind w:right="151" w:firstLine="360"/>
        <w:jc w:val="both"/>
      </w:pPr>
      <w:r>
        <w:rPr/>
        <w:t>胡淑瑜先生，</w:t>
      </w:r>
      <w:r>
        <w:rPr>
          <w:rFonts w:ascii="宋体" w:hAnsi="宋体" w:cs="宋体" w:eastAsia="宋体" w:hint="default"/>
        </w:rPr>
        <w:t>1975</w:t>
      </w:r>
      <w:r>
        <w:rPr>
          <w:rFonts w:ascii="宋体" w:hAnsi="宋体" w:cs="宋体" w:eastAsia="宋体" w:hint="default"/>
          <w:spacing w:val="2"/>
        </w:rPr>
        <w:t> </w:t>
      </w:r>
      <w:r>
        <w:rPr/>
        <w:t>年生，中国籍，本科学历，毕业于重庆工商大学数学系计算机应用专业。曾任重庆市科协科技咨询 中心网络部工程师、重庆远望科技信息有限公司网络部责任工程师；</w:t>
      </w:r>
      <w:r>
        <w:rPr>
          <w:rFonts w:ascii="宋体" w:hAnsi="宋体" w:cs="宋体" w:eastAsia="宋体" w:hint="default"/>
        </w:rPr>
        <w:t>2004</w:t>
      </w:r>
      <w:r>
        <w:rPr>
          <w:rFonts w:ascii="宋体" w:hAnsi="宋体" w:cs="宋体" w:eastAsia="宋体" w:hint="default"/>
          <w:spacing w:val="5"/>
        </w:rPr>
        <w:t> </w:t>
      </w:r>
      <w:r>
        <w:rPr/>
        <w:t>年至今先后担任公司数据技术主管、项目经理、 数据软件研发部总经理。现任公司监事、数据软件研发部总经理。胡淑瑜先生目前间接持有公司</w:t>
      </w:r>
      <w:r>
        <w:rPr>
          <w:rFonts w:ascii="宋体" w:hAnsi="宋体" w:cs="宋体" w:eastAsia="宋体" w:hint="default"/>
        </w:rPr>
        <w:t>1.09%</w:t>
      </w:r>
      <w:r>
        <w:rPr/>
        <w:t>股权，未受过中国证</w:t>
      </w:r>
      <w:r>
        <w:rPr>
          <w:spacing w:val="-83"/>
        </w:rPr>
        <w:t> </w:t>
      </w:r>
      <w:r>
        <w:rPr>
          <w:spacing w:val="-83"/>
        </w:rPr>
      </w:r>
      <w:r>
        <w:rPr/>
        <w:t>监会及其他有关部门的处罚和证券交易所惩戒，不存在《创业板上市公司规范运作指引》第 </w:t>
      </w:r>
      <w:r>
        <w:rPr>
          <w:rFonts w:ascii="宋体" w:hAnsi="宋体" w:cs="宋体" w:eastAsia="宋体" w:hint="default"/>
        </w:rPr>
        <w:t>3.1.3</w:t>
      </w:r>
      <w:r>
        <w:rPr>
          <w:rFonts w:ascii="宋体" w:hAnsi="宋体" w:cs="宋体" w:eastAsia="宋体" w:hint="default"/>
          <w:spacing w:val="3"/>
        </w:rPr>
        <w:t> </w:t>
      </w:r>
      <w:r>
        <w:rPr/>
        <w:t>条所规定的情形。</w:t>
      </w:r>
    </w:p>
    <w:p>
      <w:pPr>
        <w:pStyle w:val="BodyText"/>
        <w:spacing w:line="477" w:lineRule="auto" w:before="54"/>
        <w:ind w:right="151" w:firstLine="360"/>
        <w:jc w:val="both"/>
      </w:pPr>
      <w:r>
        <w:rPr/>
        <w:t>朱军峰先生，</w:t>
      </w:r>
      <w:r>
        <w:rPr>
          <w:rFonts w:ascii="宋体" w:hAnsi="宋体" w:cs="宋体" w:eastAsia="宋体" w:hint="default"/>
        </w:rPr>
        <w:t>1978</w:t>
      </w:r>
      <w:r>
        <w:rPr>
          <w:rFonts w:ascii="宋体" w:hAnsi="宋体" w:cs="宋体" w:eastAsia="宋体" w:hint="default"/>
          <w:spacing w:val="2"/>
        </w:rPr>
        <w:t> </w:t>
      </w:r>
      <w:r>
        <w:rPr/>
        <w:t>年生，中国籍，硕士学历，毕业于四川大学计算机科学系软件工程专业，获硕士学位。曾任成都民 </w:t>
      </w:r>
      <w:r>
        <w:rPr>
          <w:spacing w:val="-2"/>
        </w:rPr>
        <w:t>航光电公司软件工程师，中国科学院计算技术研究所工程师。</w:t>
      </w:r>
      <w:r>
        <w:rPr>
          <w:rFonts w:ascii="宋体" w:hAnsi="宋体" w:cs="宋体" w:eastAsia="宋体" w:hint="default"/>
          <w:spacing w:val="-2"/>
        </w:rPr>
        <w:t>1999</w:t>
      </w:r>
      <w:r>
        <w:rPr>
          <w:spacing w:val="-2"/>
        </w:rPr>
        <w:t>年至</w:t>
      </w:r>
      <w:r>
        <w:rPr>
          <w:rFonts w:ascii="宋体" w:hAnsi="宋体" w:cs="宋体" w:eastAsia="宋体" w:hint="default"/>
          <w:spacing w:val="-2"/>
        </w:rPr>
        <w:t>2001</w:t>
      </w:r>
      <w:r>
        <w:rPr>
          <w:spacing w:val="-2"/>
        </w:rPr>
        <w:t>年参与民航多家机场弱电显示软件部分设计和开</w:t>
      </w:r>
      <w:r>
        <w:rPr>
          <w:spacing w:val="-58"/>
        </w:rPr>
        <w:t> </w:t>
      </w:r>
      <w:r>
        <w:rPr>
          <w:spacing w:val="-58"/>
        </w:rPr>
      </w:r>
      <w:r>
        <w:rPr/>
        <w:t>发工作；</w:t>
      </w:r>
      <w:r>
        <w:rPr>
          <w:rFonts w:ascii="宋体" w:hAnsi="宋体" w:cs="宋体" w:eastAsia="宋体" w:hint="default"/>
        </w:rPr>
        <w:t>2003</w:t>
      </w:r>
      <w:r>
        <w:rPr>
          <w:rFonts w:ascii="宋体" w:hAnsi="宋体" w:cs="宋体" w:eastAsia="宋体" w:hint="default"/>
          <w:spacing w:val="4"/>
        </w:rPr>
        <w:t> </w:t>
      </w:r>
      <w:r>
        <w:rPr/>
        <w:t>年加入公司，先后担任公司软件工程师、项目经理、应用软件研发部副总经理。现任公司监事、应用软件研 发部副总经理。朱军峰先生目前间接持有公司</w:t>
      </w:r>
      <w:r>
        <w:rPr>
          <w:rFonts w:ascii="宋体" w:hAnsi="宋体" w:cs="宋体" w:eastAsia="宋体" w:hint="default"/>
        </w:rPr>
        <w:t>0.61%</w:t>
      </w:r>
      <w:r>
        <w:rPr/>
        <w:t>股权，未受过中国证监会及其他有关部门的处罚和证券交易所惩戒，不</w:t>
      </w:r>
      <w:r>
        <w:rPr>
          <w:spacing w:val="-85"/>
        </w:rPr>
        <w:t> </w:t>
      </w:r>
      <w:r>
        <w:rPr>
          <w:spacing w:val="-85"/>
        </w:rPr>
      </w:r>
      <w:r>
        <w:rPr/>
        <w:t>存在《创业板上市公司规范运作指引》第 </w:t>
      </w:r>
      <w:r>
        <w:rPr>
          <w:rFonts w:ascii="宋体" w:hAnsi="宋体" w:cs="宋体" w:eastAsia="宋体" w:hint="default"/>
        </w:rPr>
        <w:t>3.1.3</w:t>
      </w:r>
      <w:r>
        <w:rPr>
          <w:rFonts w:ascii="宋体" w:hAnsi="宋体" w:cs="宋体" w:eastAsia="宋体" w:hint="default"/>
          <w:spacing w:val="-2"/>
        </w:rPr>
        <w:t> </w:t>
      </w:r>
      <w:r>
        <w:rPr/>
        <w:t>条所规定的情形。</w:t>
      </w:r>
    </w:p>
    <w:p>
      <w:pPr>
        <w:pStyle w:val="BodyText"/>
        <w:spacing w:line="477" w:lineRule="auto" w:before="54"/>
        <w:ind w:right="151" w:firstLine="360"/>
        <w:jc w:val="both"/>
      </w:pPr>
      <w:r>
        <w:rPr/>
        <w:t>冯志宏先生，</w:t>
      </w:r>
      <w:r>
        <w:rPr>
          <w:rFonts w:ascii="宋体" w:hAnsi="宋体" w:cs="宋体" w:eastAsia="宋体" w:hint="default"/>
        </w:rPr>
        <w:t>1975</w:t>
      </w:r>
      <w:r>
        <w:rPr>
          <w:rFonts w:ascii="宋体" w:hAnsi="宋体" w:cs="宋体" w:eastAsia="宋体" w:hint="default"/>
          <w:spacing w:val="-41"/>
        </w:rPr>
        <w:t> </w:t>
      </w:r>
      <w:r>
        <w:rPr/>
        <w:t>年生，中国籍，大专学历，毕业于济南大学高分子化学系。</w:t>
      </w:r>
      <w:r>
        <w:rPr>
          <w:rFonts w:ascii="宋体" w:hAnsi="宋体" w:cs="宋体" w:eastAsia="宋体" w:hint="default"/>
        </w:rPr>
        <w:t>1997</w:t>
      </w:r>
      <w:r>
        <w:rPr>
          <w:rFonts w:ascii="宋体" w:hAnsi="宋体" w:cs="宋体" w:eastAsia="宋体" w:hint="default"/>
          <w:spacing w:val="-41"/>
        </w:rPr>
        <w:t> </w:t>
      </w:r>
      <w:r>
        <w:rPr/>
        <w:t>年加入公司，先后担任公司工程部 经理、山西电信项目经理、山西联通项目经理。现任公司监事、高级项目经理。冯志宏先生目前间接持有公司</w:t>
      </w:r>
      <w:r>
        <w:rPr>
          <w:rFonts w:ascii="宋体" w:hAnsi="宋体" w:cs="宋体" w:eastAsia="宋体" w:hint="default"/>
        </w:rPr>
        <w:t>1.25%</w:t>
      </w:r>
      <w:r>
        <w:rPr/>
        <w:t>股权，</w:t>
      </w:r>
      <w:r>
        <w:rPr>
          <w:spacing w:val="-84"/>
        </w:rPr>
        <w:t> </w:t>
      </w:r>
      <w:r>
        <w:rPr>
          <w:spacing w:val="-84"/>
        </w:rPr>
      </w:r>
      <w:r>
        <w:rPr/>
        <w:t>未受过中国证监会及其他有关部门的处罚和证券交易所惩戒，不存在《创业板上市公司规范运作指引》第 </w:t>
      </w:r>
      <w:r>
        <w:rPr>
          <w:rFonts w:ascii="宋体" w:hAnsi="宋体" w:cs="宋体" w:eastAsia="宋体" w:hint="default"/>
        </w:rPr>
        <w:t>3.1.3</w:t>
      </w:r>
      <w:r>
        <w:rPr>
          <w:rFonts w:ascii="宋体" w:hAnsi="宋体" w:cs="宋体" w:eastAsia="宋体" w:hint="default"/>
          <w:spacing w:val="6"/>
        </w:rPr>
        <w:t> </w:t>
      </w:r>
      <w:r>
        <w:rPr/>
        <w:t>条所规定 的情形。</w:t>
      </w:r>
    </w:p>
    <w:p>
      <w:pPr>
        <w:pStyle w:val="BodyText"/>
        <w:spacing w:line="477" w:lineRule="auto" w:before="54"/>
        <w:ind w:right="148" w:firstLine="360"/>
        <w:jc w:val="both"/>
      </w:pPr>
      <w:r>
        <w:rPr>
          <w:spacing w:val="-2"/>
        </w:rPr>
        <w:t>王红庆先生，</w:t>
      </w:r>
      <w:r>
        <w:rPr>
          <w:rFonts w:ascii="宋体" w:hAnsi="宋体" w:cs="宋体" w:eastAsia="宋体" w:hint="default"/>
          <w:spacing w:val="-2"/>
        </w:rPr>
        <w:t>1971</w:t>
      </w:r>
      <w:r>
        <w:rPr>
          <w:spacing w:val="-2"/>
        </w:rPr>
        <w:t>年生，中国籍，本科学历，毕业于江西理工大学自动化系，获电气技术专业学士学位。曾任长岭集团</w:t>
      </w:r>
      <w:r>
        <w:rPr/>
        <w:t> </w:t>
      </w:r>
      <w:r>
        <w:rPr>
          <w:spacing w:val="-2"/>
        </w:rPr>
        <w:t>股份有限公司工程师；</w:t>
      </w:r>
      <w:r>
        <w:rPr>
          <w:rFonts w:ascii="宋体" w:hAnsi="宋体" w:cs="宋体" w:eastAsia="宋体" w:hint="default"/>
          <w:spacing w:val="-2"/>
        </w:rPr>
        <w:t>2000</w:t>
      </w:r>
      <w:r>
        <w:rPr>
          <w:spacing w:val="-2"/>
        </w:rPr>
        <w:t>年加入公司，先后担任北京东方国信科技股份有限公司</w:t>
      </w:r>
      <w:r>
        <w:rPr>
          <w:rFonts w:ascii="宋体" w:hAnsi="宋体" w:cs="宋体" w:eastAsia="宋体" w:hint="default"/>
          <w:spacing w:val="-2"/>
        </w:rPr>
        <w:t>CTI</w:t>
      </w:r>
      <w:r>
        <w:rPr>
          <w:spacing w:val="-2"/>
        </w:rPr>
        <w:t>产品部经理、</w:t>
      </w:r>
      <w:r>
        <w:rPr>
          <w:rFonts w:ascii="宋体" w:hAnsi="宋体" w:cs="宋体" w:eastAsia="宋体" w:hint="default"/>
          <w:spacing w:val="-2"/>
        </w:rPr>
        <w:t>CRM</w:t>
      </w:r>
      <w:r>
        <w:rPr>
          <w:spacing w:val="-2"/>
        </w:rPr>
        <w:t>产品部经理、项目中</w:t>
      </w:r>
    </w:p>
    <w:p>
      <w:pPr>
        <w:spacing w:after="0" w:line="477" w:lineRule="auto"/>
        <w:jc w:val="both"/>
        <w:sectPr>
          <w:footerReference w:type="default" r:id="rId20"/>
          <w:pgSz w:w="11910" w:h="16840"/>
          <w:pgMar w:footer="1006" w:header="772" w:top="1080" w:bottom="1200" w:left="980" w:right="980"/>
          <w:pgNumType w:start="60"/>
        </w:sectPr>
      </w:pPr>
    </w:p>
    <w:p>
      <w:pPr>
        <w:spacing w:line="240" w:lineRule="auto" w:before="10"/>
        <w:rPr>
          <w:rFonts w:ascii="宋体" w:hAnsi="宋体" w:cs="宋体" w:eastAsia="宋体" w:hint="default"/>
          <w:sz w:val="29"/>
          <w:szCs w:val="29"/>
        </w:rPr>
      </w:pPr>
    </w:p>
    <w:p>
      <w:pPr>
        <w:pStyle w:val="BodyText"/>
        <w:spacing w:line="477" w:lineRule="auto" w:before="44"/>
        <w:ind w:right="188"/>
        <w:jc w:val="both"/>
      </w:pPr>
      <w:r>
        <w:rPr/>
        <w:t>心总经理、应用软件研发部总经理。现任北京东方国信科技股份有限公司副总经理。王红庆先生目前间接持有公司</w:t>
      </w:r>
      <w:r>
        <w:rPr>
          <w:rFonts w:ascii="宋体" w:hAnsi="宋体" w:cs="宋体" w:eastAsia="宋体" w:hint="default"/>
        </w:rPr>
        <w:t>1.26%</w:t>
      </w:r>
      <w:r>
        <w:rPr/>
        <w:t>股</w:t>
      </w:r>
      <w:r>
        <w:rPr>
          <w:spacing w:val="-83"/>
        </w:rPr>
        <w:t> </w:t>
      </w:r>
      <w:r>
        <w:rPr>
          <w:spacing w:val="-2"/>
        </w:rPr>
        <w:t>权，未受过中国证监会及其他有关部门的处罚和证券交易所惩戒，不存在《创业板上市公司规范运作指引》第</w:t>
      </w:r>
      <w:r>
        <w:rPr>
          <w:rFonts w:ascii="宋体" w:hAnsi="宋体" w:cs="宋体" w:eastAsia="宋体" w:hint="default"/>
          <w:spacing w:val="-2"/>
        </w:rPr>
        <w:t>3.1.3</w:t>
      </w:r>
      <w:r>
        <w:rPr>
          <w:rFonts w:ascii="宋体" w:hAnsi="宋体" w:cs="宋体" w:eastAsia="宋体" w:hint="default"/>
          <w:spacing w:val="24"/>
        </w:rPr>
        <w:t> </w:t>
      </w:r>
      <w:r>
        <w:rPr>
          <w:spacing w:val="-1"/>
        </w:rPr>
        <w:t>条所规</w:t>
      </w:r>
      <w:r>
        <w:rPr>
          <w:spacing w:val="-88"/>
        </w:rPr>
        <w:t> </w:t>
      </w:r>
      <w:r>
        <w:rPr>
          <w:spacing w:val="-88"/>
        </w:rPr>
      </w:r>
      <w:r>
        <w:rPr/>
        <w:t>定的情形。</w:t>
      </w:r>
    </w:p>
    <w:p>
      <w:pPr>
        <w:pStyle w:val="BodyText"/>
        <w:spacing w:line="477" w:lineRule="auto" w:before="54"/>
        <w:ind w:right="191" w:firstLine="360"/>
        <w:jc w:val="both"/>
      </w:pPr>
      <w:r>
        <w:rPr/>
        <w:t>赵光宇先生，</w:t>
      </w:r>
      <w:r>
        <w:rPr>
          <w:rFonts w:ascii="宋体" w:hAnsi="宋体" w:cs="宋体" w:eastAsia="宋体" w:hint="default"/>
        </w:rPr>
        <w:t>1977</w:t>
      </w:r>
      <w:r>
        <w:rPr>
          <w:rFonts w:ascii="宋体" w:hAnsi="宋体" w:cs="宋体" w:eastAsia="宋体" w:hint="default"/>
          <w:spacing w:val="1"/>
        </w:rPr>
        <w:t> </w:t>
      </w:r>
      <w:r>
        <w:rPr/>
        <w:t>年生，中国籍，</w:t>
      </w:r>
      <w:r>
        <w:rPr>
          <w:rFonts w:ascii="宋体" w:hAnsi="宋体" w:cs="宋体" w:eastAsia="宋体" w:hint="default"/>
        </w:rPr>
        <w:t>1995</w:t>
      </w:r>
      <w:r>
        <w:rPr/>
        <w:t>年进入清华大学工程力学系学习。</w:t>
      </w:r>
      <w:r>
        <w:rPr>
          <w:rFonts w:ascii="宋体" w:hAnsi="宋体" w:cs="宋体" w:eastAsia="宋体" w:hint="default"/>
        </w:rPr>
        <w:t>2004</w:t>
      </w:r>
      <w:r>
        <w:rPr/>
        <w:t>年加入公司，先后任公司软件工程师、 项目经理、基础软件研发部总经理，现任公司总工程师。赵光宇先生目前间接持有公司</w:t>
      </w:r>
      <w:r>
        <w:rPr>
          <w:rFonts w:ascii="宋体" w:hAnsi="宋体" w:cs="宋体" w:eastAsia="宋体" w:hint="default"/>
        </w:rPr>
        <w:t>1.22%</w:t>
      </w:r>
      <w:r>
        <w:rPr/>
        <w:t>股权，未受过中国证监会及其</w:t>
      </w:r>
      <w:r>
        <w:rPr>
          <w:spacing w:val="-84"/>
        </w:rPr>
        <w:t> </w:t>
      </w:r>
      <w:r>
        <w:rPr/>
        <w:t>他有关部门的处罚和证券交易所惩戒，不存在《创业板上市公司规范运作指引》第</w:t>
      </w:r>
      <w:r>
        <w:rPr>
          <w:rFonts w:ascii="宋体" w:hAnsi="宋体" w:cs="宋体" w:eastAsia="宋体" w:hint="default"/>
        </w:rPr>
        <w:t>3.1.3 </w:t>
      </w:r>
      <w:r>
        <w:rPr/>
        <w:t>条所规定的情形。</w:t>
      </w:r>
    </w:p>
    <w:p>
      <w:pPr>
        <w:pStyle w:val="BodyText"/>
        <w:spacing w:line="477" w:lineRule="auto" w:before="54"/>
        <w:ind w:right="191" w:firstLine="360"/>
        <w:jc w:val="both"/>
      </w:pPr>
      <w:r>
        <w:rPr>
          <w:spacing w:val="-2"/>
        </w:rPr>
        <w:t>陈桂霞女士，</w:t>
      </w:r>
      <w:r>
        <w:rPr>
          <w:rFonts w:ascii="宋体" w:hAnsi="宋体" w:cs="宋体" w:eastAsia="宋体" w:hint="default"/>
          <w:spacing w:val="-2"/>
        </w:rPr>
        <w:t>1956</w:t>
      </w:r>
      <w:r>
        <w:rPr>
          <w:spacing w:val="-2"/>
        </w:rPr>
        <w:t>年生，中国籍，大专毕业。</w:t>
      </w:r>
      <w:r>
        <w:rPr>
          <w:rFonts w:ascii="宋体" w:hAnsi="宋体" w:cs="宋体" w:eastAsia="宋体" w:hint="default"/>
          <w:spacing w:val="-2"/>
        </w:rPr>
        <w:t>1982</w:t>
      </w:r>
      <w:r>
        <w:rPr>
          <w:spacing w:val="-2"/>
        </w:rPr>
        <w:t>年－</w:t>
      </w:r>
      <w:r>
        <w:rPr>
          <w:rFonts w:ascii="宋体" w:hAnsi="宋体" w:cs="宋体" w:eastAsia="宋体" w:hint="default"/>
          <w:spacing w:val="-2"/>
        </w:rPr>
        <w:t>1991</w:t>
      </w:r>
      <w:r>
        <w:rPr>
          <w:spacing w:val="-2"/>
        </w:rPr>
        <w:t>年任北京市朝付公司下属基层店财务主管；</w:t>
      </w:r>
      <w:r>
        <w:rPr>
          <w:rFonts w:ascii="宋体" w:hAnsi="宋体" w:cs="宋体" w:eastAsia="宋体" w:hint="default"/>
          <w:spacing w:val="-2"/>
        </w:rPr>
        <w:t>1992</w:t>
      </w:r>
      <w:r>
        <w:rPr>
          <w:spacing w:val="-2"/>
        </w:rPr>
        <w:t>－</w:t>
      </w:r>
      <w:r>
        <w:rPr>
          <w:rFonts w:ascii="宋体" w:hAnsi="宋体" w:cs="宋体" w:eastAsia="宋体" w:hint="default"/>
          <w:spacing w:val="-2"/>
        </w:rPr>
        <w:t>1995</w:t>
      </w:r>
      <w:r>
        <w:rPr>
          <w:spacing w:val="-2"/>
        </w:rPr>
        <w:t>年在</w:t>
      </w:r>
      <w:r>
        <w:rPr/>
        <w:t> 北内集团三产任财务经理；</w:t>
      </w:r>
      <w:r>
        <w:rPr>
          <w:rFonts w:ascii="宋体" w:hAnsi="宋体" w:cs="宋体" w:eastAsia="宋体" w:hint="default"/>
        </w:rPr>
        <w:t>1996</w:t>
      </w:r>
      <w:r>
        <w:rPr/>
        <w:t>年－</w:t>
      </w:r>
      <w:r>
        <w:rPr>
          <w:rFonts w:ascii="宋体" w:hAnsi="宋体" w:cs="宋体" w:eastAsia="宋体" w:hint="default"/>
        </w:rPr>
        <w:t>2001</w:t>
      </w:r>
      <w:r>
        <w:rPr/>
        <w:t>年任北京京客隆集团下属财务经理</w:t>
      </w:r>
      <w:r>
        <w:rPr>
          <w:rFonts w:ascii="宋体" w:hAnsi="宋体" w:cs="宋体" w:eastAsia="宋体" w:hint="default"/>
        </w:rPr>
        <w:t>/</w:t>
      </w:r>
      <w:r>
        <w:rPr/>
        <w:t>总帐主管；</w:t>
      </w:r>
      <w:r>
        <w:rPr>
          <w:rFonts w:ascii="宋体" w:hAnsi="宋体" w:cs="宋体" w:eastAsia="宋体" w:hint="default"/>
        </w:rPr>
        <w:t>2002</w:t>
      </w:r>
      <w:r>
        <w:rPr/>
        <w:t>年加入公司，历任公司财务经 </w:t>
      </w:r>
      <w:r>
        <w:rPr>
          <w:spacing w:val="-2"/>
        </w:rPr>
        <w:t>理、财务总监兼董事会秘书；</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月起至今任公司财务总监。陈桂霞女士目前间接持有公司</w:t>
      </w:r>
      <w:r>
        <w:rPr>
          <w:rFonts w:ascii="宋体" w:hAnsi="宋体" w:cs="宋体" w:eastAsia="宋体" w:hint="default"/>
          <w:spacing w:val="-2"/>
        </w:rPr>
        <w:t>0.74%</w:t>
      </w:r>
      <w:r>
        <w:rPr>
          <w:spacing w:val="-2"/>
        </w:rPr>
        <w:t>股权，未受过中国证监</w:t>
      </w:r>
      <w:r>
        <w:rPr>
          <w:spacing w:val="-60"/>
        </w:rPr>
        <w:t> </w:t>
      </w:r>
      <w:r>
        <w:rPr>
          <w:spacing w:val="-60"/>
        </w:rPr>
      </w:r>
      <w:r>
        <w:rPr/>
        <w:t>会及其他有关部门的处罚和证券交易所惩戒，不存在《创业板上市公司规范运作指引》第</w:t>
      </w:r>
      <w:r>
        <w:rPr>
          <w:rFonts w:ascii="宋体" w:hAnsi="宋体" w:cs="宋体" w:eastAsia="宋体" w:hint="default"/>
        </w:rPr>
        <w:t>3.1.3</w:t>
      </w:r>
      <w:r>
        <w:rPr>
          <w:rFonts w:ascii="宋体" w:hAnsi="宋体" w:cs="宋体" w:eastAsia="宋体" w:hint="default"/>
          <w:spacing w:val="4"/>
        </w:rPr>
        <w:t> </w:t>
      </w:r>
      <w:r>
        <w:rPr/>
        <w:t>条所规定的情形。</w:t>
      </w:r>
    </w:p>
    <w:p>
      <w:pPr>
        <w:pStyle w:val="BodyText"/>
        <w:spacing w:line="477" w:lineRule="auto" w:before="54"/>
        <w:ind w:right="94" w:firstLine="360"/>
        <w:jc w:val="left"/>
      </w:pPr>
      <w:r>
        <w:rPr>
          <w:spacing w:val="-4"/>
        </w:rPr>
        <w:t>刘彦斐女士，</w:t>
      </w:r>
      <w:r>
        <w:rPr>
          <w:rFonts w:ascii="宋体" w:hAnsi="宋体" w:cs="宋体" w:eastAsia="宋体" w:hint="default"/>
          <w:spacing w:val="-4"/>
        </w:rPr>
        <w:t>1980</w:t>
      </w:r>
      <w:r>
        <w:rPr>
          <w:spacing w:val="-4"/>
        </w:rPr>
        <w:t>年生，中国籍，硕士学历，毕业于北京科技大学企业管理专业，获管理学硕士学位；曾任职于</w:t>
      </w:r>
      <w:r>
        <w:rPr>
          <w:rFonts w:ascii="宋体" w:hAnsi="宋体" w:cs="宋体" w:eastAsia="宋体" w:hint="default"/>
          <w:spacing w:val="-4"/>
        </w:rPr>
        <w:t>ABB</w:t>
      </w:r>
      <w:r>
        <w:rPr>
          <w:spacing w:val="-4"/>
        </w:rPr>
        <w:t>（中</w:t>
      </w:r>
      <w:r>
        <w:rPr/>
        <w:t> 国）有限公司，北京菲斯曼供热技术有限公司；</w:t>
      </w:r>
      <w:r>
        <w:rPr>
          <w:rFonts w:ascii="宋体" w:hAnsi="宋体" w:cs="宋体" w:eastAsia="宋体" w:hint="default"/>
        </w:rPr>
        <w:t>2010</w:t>
      </w:r>
      <w:r>
        <w:rPr/>
        <w:t>年</w:t>
      </w:r>
      <w:r>
        <w:rPr>
          <w:rFonts w:ascii="宋体" w:hAnsi="宋体" w:cs="宋体" w:eastAsia="宋体" w:hint="default"/>
        </w:rPr>
        <w:t>1</w:t>
      </w:r>
      <w:r>
        <w:rPr/>
        <w:t>月加入本公司担任财务经理，</w:t>
      </w:r>
      <w:r>
        <w:rPr>
          <w:rFonts w:ascii="宋体" w:hAnsi="宋体" w:cs="宋体" w:eastAsia="宋体" w:hint="default"/>
        </w:rPr>
        <w:t>2011</w:t>
      </w:r>
      <w:r>
        <w:rPr/>
        <w:t>年</w:t>
      </w:r>
      <w:r>
        <w:rPr>
          <w:rFonts w:ascii="宋体" w:hAnsi="宋体" w:cs="宋体" w:eastAsia="宋体" w:hint="default"/>
        </w:rPr>
        <w:t>1</w:t>
      </w:r>
      <w:r>
        <w:rPr/>
        <w:t>月起兼任公司证券事务代表， </w:t>
      </w:r>
      <w:r>
        <w:rPr>
          <w:rFonts w:ascii="宋体" w:hAnsi="宋体" w:cs="宋体" w:eastAsia="宋体" w:hint="default"/>
        </w:rPr>
        <w:t>2012</w:t>
      </w:r>
      <w:r>
        <w:rPr/>
        <w:t>年</w:t>
      </w:r>
      <w:r>
        <w:rPr>
          <w:rFonts w:ascii="宋体" w:hAnsi="宋体" w:cs="宋体" w:eastAsia="宋体" w:hint="default"/>
        </w:rPr>
        <w:t>3</w:t>
      </w:r>
      <w:r>
        <w:rPr/>
        <w:t>月起至今担任公司董事会秘书。</w:t>
      </w:r>
    </w:p>
    <w:p>
      <w:pPr>
        <w:pStyle w:val="BodyText"/>
        <w:spacing w:line="477" w:lineRule="auto" w:before="54"/>
        <w:ind w:right="192" w:firstLine="360"/>
        <w:jc w:val="both"/>
      </w:pPr>
      <w:r>
        <w:rPr>
          <w:spacing w:val="-2"/>
        </w:rPr>
        <w:t>截止目前刘彦斐女士未持有公司股份，与公司其他董事、监事、高级管理人员及持有公司百分之五以上股份的股东、实</w:t>
      </w:r>
      <w:r>
        <w:rPr/>
        <w:t> </w:t>
      </w:r>
      <w:r>
        <w:rPr>
          <w:spacing w:val="-2"/>
        </w:rPr>
        <w:t>际控制人之间不存在关联关系，亦未受过中国证监会及其他有关部门的处罚和证券交易所惩戒，不存在《深圳证券交易所创</w:t>
      </w:r>
      <w:r>
        <w:rPr>
          <w:spacing w:val="-66"/>
        </w:rPr>
        <w:t> </w:t>
      </w:r>
      <w:r>
        <w:rPr>
          <w:spacing w:val="-66"/>
        </w:rPr>
      </w:r>
      <w:r>
        <w:rPr/>
        <w:t>业板上市公司规范运作指引》第</w:t>
      </w:r>
      <w:r>
        <w:rPr>
          <w:spacing w:val="1"/>
        </w:rPr>
        <w:t> </w:t>
      </w:r>
      <w:r>
        <w:rPr>
          <w:rFonts w:ascii="宋体" w:hAnsi="宋体" w:cs="宋体" w:eastAsia="宋体" w:hint="default"/>
        </w:rPr>
        <w:t>3.1.3</w:t>
      </w:r>
      <w:r>
        <w:rPr/>
        <w:t>条所规定的情形。</w:t>
      </w:r>
    </w:p>
    <w:p>
      <w:pPr>
        <w:spacing w:line="240" w:lineRule="auto" w:before="1"/>
        <w:rPr>
          <w:rFonts w:ascii="宋体" w:hAnsi="宋体" w:cs="宋体" w:eastAsia="宋体" w:hint="default"/>
          <w:sz w:val="25"/>
          <w:szCs w:val="25"/>
        </w:rPr>
      </w:pPr>
    </w:p>
    <w:p>
      <w:pPr>
        <w:pStyle w:val="BodyText"/>
        <w:spacing w:line="240" w:lineRule="auto"/>
        <w:ind w:right="0"/>
        <w:jc w:val="both"/>
      </w:pPr>
      <w:r>
        <w:rPr/>
        <w:t>在股东单位任职情况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北京仁邦翰威投资咨询有限公司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0"/>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北京仁邦时代投资咨询有限公司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北京仁邦翰威投资咨询有限公司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北京仁邦时代投资咨询有限公司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0"/>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94"/>
        <w:jc w:val="left"/>
      </w:pPr>
      <w:r>
        <w:rPr/>
        <w:t>在其他单位任职情况</w:t>
      </w:r>
    </w:p>
    <w:p>
      <w:pPr>
        <w:pStyle w:val="BodyText"/>
        <w:spacing w:line="240" w:lineRule="auto" w:before="114"/>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72" w:footer="1006" w:top="1080" w:bottom="1200" w:left="980" w:right="94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李晓慧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副院长、教 </w:t>
            </w:r>
            <w:r>
              <w:rPr>
                <w:rFonts w:ascii="宋体" w:hAnsi="宋体" w:cs="宋体" w:eastAsia="宋体" w:hint="default"/>
                <w:spacing w:val="-12"/>
                <w:sz w:val="18"/>
                <w:szCs w:val="18"/>
              </w:rPr>
              <w:t>授、硕士生导</w:t>
            </w:r>
            <w:r>
              <w:rPr>
                <w:rFonts w:ascii="宋体" w:hAnsi="宋体" w:cs="宋体" w:eastAsia="宋体" w:hint="default"/>
                <w:sz w:val="18"/>
                <w:szCs w:val="18"/>
              </w:rPr>
              <w:t> 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北京科技大学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pStyle w:val="BodyText"/>
        <w:spacing w:line="240" w:lineRule="auto" w:before="44"/>
        <w:ind w:left="0" w:right="159"/>
        <w:jc w:val="right"/>
      </w:pPr>
      <w:r>
        <w:rPr/>
        <w:pict>
          <v:shape style="position:absolute;margin-left:56.459999pt;margin-top:-67.718277pt;width:479.2pt;height:170.1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5"/>
                    <w:gridCol w:w="5975"/>
                  </w:tblGrid>
                  <w:tr>
                    <w:trPr>
                      <w:trHeight w:val="1028"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both"/>
                          <w:rPr>
                            <w:rFonts w:ascii="宋体" w:hAnsi="宋体" w:cs="宋体" w:eastAsia="宋体" w:hint="default"/>
                            <w:sz w:val="18"/>
                            <w:szCs w:val="18"/>
                          </w:rPr>
                        </w:pPr>
                        <w:r>
                          <w:rPr>
                            <w:rFonts w:ascii="宋体" w:hAnsi="宋体" w:cs="宋体" w:eastAsia="宋体" w:hint="default"/>
                            <w:spacing w:val="-1"/>
                            <w:sz w:val="18"/>
                            <w:szCs w:val="18"/>
                          </w:rPr>
                          <w:t>董事、监事薪酬由董事会薪酬与考核委员会拟定薪酬管理制度，经股东大会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决议，公司执行支付；高级管理人员薪酬由董事会薪酬与考核委员会拟定薪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酬管理制度，经董事会决议，公司执行支付。</w:t>
                        </w:r>
                      </w:p>
                    </w:tc>
                  </w:tr>
                  <w:tr>
                    <w:trPr>
                      <w:trHeight w:val="1649"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
                            <w:sz w:val="18"/>
                            <w:szCs w:val="18"/>
                          </w:rPr>
                          <w:t>根据董事、监事的身份和工作性质及所承担的责任、风险、压力等确定不同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的年度薪酬标准；高管人员实行年薪制，由基本年薪、绩效年薪两部分构成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基本年薪是高管年薪中的固定部分，根据任职岗位、年限并结合公司上年度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经营业绩情况及市场薪酬行情综合确定，绩效年薪是高管年薪中的浮动部 分，与个人管理目标直接挂钩，与公司的经营目标间接挂钩。</w:t>
                        </w:r>
                      </w:p>
                    </w:tc>
                  </w:tr>
                  <w:tr>
                    <w:trPr>
                      <w:trHeight w:val="715"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公司现任董事、监事及高级管理人员共</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人，</w:t>
                        </w:r>
                        <w:r>
                          <w:rPr>
                            <w:rFonts w:ascii="Times New Roman" w:hAnsi="Times New Roman" w:cs="Times New Roman" w:eastAsia="Times New Roman" w:hint="default"/>
                            <w:spacing w:val="-7"/>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年度实际支付</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468.07</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万 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44"/>
        <w:ind w:right="0"/>
        <w:jc w:val="left"/>
      </w:pPr>
      <w:r>
        <w:rPr/>
        <w:t>公司报告期内董事、监事和高级管理人员报酬情况</w:t>
      </w:r>
    </w:p>
    <w:p>
      <w:pPr>
        <w:pStyle w:val="BodyText"/>
        <w:spacing w:line="240" w:lineRule="auto" w:before="115"/>
        <w:ind w:left="0" w:right="151"/>
        <w:jc w:val="right"/>
      </w:pPr>
      <w:r>
        <w:rPr/>
        <w:t>单位：万元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常务副总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韩松林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李晓慧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彭岩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30.49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30.49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胡淑瑜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朱军峰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30.67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冯志宏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29.47</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王红庆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35.63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赵光宇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陈桂霞</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34.92</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468.07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468.07</w:t>
            </w:r>
          </w:p>
        </w:tc>
      </w:tr>
    </w:tbl>
    <w:p>
      <w:pPr>
        <w:pStyle w:val="BodyText"/>
        <w:spacing w:line="240" w:lineRule="auto" w:before="49"/>
        <w:ind w:right="0"/>
        <w:jc w:val="left"/>
      </w:pPr>
      <w:r>
        <w:rPr/>
        <w:t>公司董事、监事、高级管理人员报告期内被授予的股权激励情况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67"/>
        <w:gridCol w:w="935"/>
        <w:gridCol w:w="969"/>
        <w:gridCol w:w="955"/>
        <w:gridCol w:w="958"/>
        <w:gridCol w:w="958"/>
        <w:gridCol w:w="958"/>
      </w:tblGrid>
      <w:tr>
        <w:trPr>
          <w:trHeight w:val="161" w:hRule="exact"/>
        </w:trPr>
        <w:tc>
          <w:tcPr>
            <w:tcW w:w="960" w:type="dxa"/>
            <w:vMerge w:val="restart"/>
            <w:tcBorders>
              <w:top w:val="single" w:sz="4" w:space="0" w:color="000000"/>
              <w:left w:val="single" w:sz="4" w:space="0" w:color="000000"/>
              <w:right w:val="single" w:sz="4" w:space="0" w:color="000000"/>
            </w:tcBorders>
            <w:shd w:val="clear" w:color="auto" w:fill="D2D2D2"/>
          </w:tcPr>
          <w:p>
            <w:pPr/>
          </w:p>
        </w:tc>
        <w:tc>
          <w:tcPr>
            <w:tcW w:w="955" w:type="dxa"/>
            <w:vMerge w:val="restart"/>
            <w:tcBorders>
              <w:top w:val="single" w:sz="4" w:space="0" w:color="000000"/>
              <w:left w:val="single" w:sz="4" w:space="0" w:color="000000"/>
              <w:right w:val="single" w:sz="4" w:space="0" w:color="000000"/>
            </w:tcBorders>
            <w:shd w:val="clear" w:color="auto" w:fill="D2D2D2"/>
          </w:tcPr>
          <w:p>
            <w:pPr/>
          </w:p>
        </w:tc>
        <w:tc>
          <w:tcPr>
            <w:tcW w:w="958" w:type="dxa"/>
            <w:vMerge w:val="restart"/>
            <w:tcBorders>
              <w:top w:val="single" w:sz="4" w:space="0" w:color="000000"/>
              <w:left w:val="single" w:sz="4" w:space="0" w:color="000000"/>
              <w:right w:val="single" w:sz="4" w:space="0" w:color="000000"/>
            </w:tcBorders>
            <w:shd w:val="clear" w:color="auto" w:fill="D2D2D2"/>
          </w:tcPr>
          <w:p>
            <w:pPr/>
          </w:p>
        </w:tc>
        <w:tc>
          <w:tcPr>
            <w:tcW w:w="967" w:type="dxa"/>
            <w:vMerge w:val="restart"/>
            <w:tcBorders>
              <w:top w:val="single" w:sz="4" w:space="0" w:color="000000"/>
              <w:left w:val="single" w:sz="4" w:space="0" w:color="000000"/>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49"/>
              <w:ind w:left="11" w:right="9" w:hanging="2"/>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69" w:type="dxa"/>
            <w:vMerge w:val="restart"/>
            <w:tcBorders>
              <w:top w:val="single" w:sz="4" w:space="0" w:color="000000"/>
              <w:left w:val="single" w:sz="4" w:space="0" w:color="000000"/>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960" w:type="dxa"/>
            <w:vMerge/>
            <w:tcBorders>
              <w:left w:val="single" w:sz="4" w:space="0" w:color="000000"/>
              <w:right w:val="single" w:sz="4" w:space="0" w:color="000000"/>
            </w:tcBorders>
            <w:shd w:val="clear" w:color="auto" w:fill="D2D2D2"/>
          </w:tcPr>
          <w:p>
            <w:pPr/>
          </w:p>
        </w:tc>
        <w:tc>
          <w:tcPr>
            <w:tcW w:w="955" w:type="dxa"/>
            <w:vMerge/>
            <w:tcBorders>
              <w:left w:val="single" w:sz="4" w:space="0" w:color="000000"/>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967"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969" w:type="dxa"/>
            <w:vMerge/>
            <w:tcBorders>
              <w:left w:val="single" w:sz="4" w:space="0" w:color="000000"/>
              <w:bottom w:val="nil" w:sz="6" w:space="0" w:color="auto"/>
              <w:right w:val="single" w:sz="4" w:space="0" w:color="000000"/>
            </w:tcBorders>
            <w:shd w:val="clear" w:color="auto" w:fill="D2D2D2"/>
          </w:tcPr>
          <w:p>
            <w:pPr/>
          </w:p>
        </w:tc>
        <w:tc>
          <w:tcPr>
            <w:tcW w:w="95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19"/>
              <w:ind w:left="89"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156" w:hRule="exact"/>
        </w:trPr>
        <w:tc>
          <w:tcPr>
            <w:tcW w:w="960" w:type="dxa"/>
            <w:vMerge/>
            <w:tcBorders>
              <w:left w:val="single" w:sz="4" w:space="0" w:color="000000"/>
              <w:bottom w:val="nil" w:sz="6" w:space="0" w:color="auto"/>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2" w:right="22" w:hanging="89"/>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2" w:right="31" w:hanging="89"/>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35" w:type="dxa"/>
            <w:vMerge/>
            <w:tcBorders>
              <w:left w:val="single" w:sz="4" w:space="0" w:color="000000"/>
              <w:right w:val="single" w:sz="4" w:space="0" w:color="000000"/>
            </w:tcBorders>
            <w:shd w:val="clear" w:color="auto" w:fill="D2D2D2"/>
          </w:tcPr>
          <w:p>
            <w:pPr/>
          </w:p>
        </w:tc>
        <w:tc>
          <w:tcPr>
            <w:tcW w:w="96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4"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5"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r>
      <w:tr>
        <w:trPr>
          <w:trHeight w:val="394" w:hRule="exact"/>
        </w:trPr>
        <w:tc>
          <w:tcPr>
            <w:tcW w:w="9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58" w:type="dxa"/>
            <w:vMerge/>
            <w:tcBorders>
              <w:left w:val="single" w:sz="4" w:space="0" w:color="000000"/>
              <w:right w:val="single" w:sz="4" w:space="0" w:color="000000"/>
            </w:tcBorders>
            <w:shd w:val="clear" w:color="auto" w:fill="D2D2D2"/>
          </w:tcPr>
          <w:p>
            <w:pPr/>
          </w:p>
        </w:tc>
        <w:tc>
          <w:tcPr>
            <w:tcW w:w="96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969" w:type="dxa"/>
            <w:vMerge/>
            <w:tcBorders>
              <w:left w:val="single" w:sz="4" w:space="0" w:color="000000"/>
              <w:right w:val="single" w:sz="4" w:space="0" w:color="000000"/>
            </w:tcBorders>
            <w:shd w:val="clear" w:color="auto" w:fill="D2D2D2"/>
          </w:tcPr>
          <w:p>
            <w:pPr/>
          </w:p>
        </w:tc>
        <w:tc>
          <w:tcPr>
            <w:tcW w:w="955"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r>
      <w:tr>
        <w:trPr>
          <w:trHeight w:val="156" w:hRule="exact"/>
        </w:trPr>
        <w:tc>
          <w:tcPr>
            <w:tcW w:w="960" w:type="dxa"/>
            <w:vMerge w:val="restart"/>
            <w:tcBorders>
              <w:top w:val="nil" w:sz="6" w:space="0" w:color="auto"/>
              <w:left w:val="single" w:sz="4" w:space="0" w:color="000000"/>
              <w:right w:val="single" w:sz="4" w:space="0" w:color="000000"/>
            </w:tcBorders>
            <w:shd w:val="clear" w:color="auto" w:fill="D2D2D2"/>
          </w:tcPr>
          <w:p>
            <w:pPr/>
          </w:p>
        </w:tc>
        <w:tc>
          <w:tcPr>
            <w:tcW w:w="955" w:type="dxa"/>
            <w:vMerge w:val="restart"/>
            <w:tcBorders>
              <w:top w:val="nil" w:sz="6" w:space="0" w:color="auto"/>
              <w:left w:val="single" w:sz="4" w:space="0" w:color="000000"/>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967"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969" w:type="dxa"/>
            <w:vMerge/>
            <w:tcBorders>
              <w:left w:val="single" w:sz="4" w:space="0" w:color="000000"/>
              <w:bottom w:val="nil" w:sz="6" w:space="0" w:color="auto"/>
              <w:right w:val="single" w:sz="4" w:space="0" w:color="000000"/>
            </w:tcBorders>
            <w:shd w:val="clear" w:color="auto" w:fill="D2D2D2"/>
          </w:tcPr>
          <w:p>
            <w:pPr/>
          </w:p>
        </w:tc>
        <w:tc>
          <w:tcPr>
            <w:tcW w:w="955"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r>
      <w:tr>
        <w:trPr>
          <w:trHeight w:val="156" w:hRule="exact"/>
        </w:trPr>
        <w:tc>
          <w:tcPr>
            <w:tcW w:w="960" w:type="dxa"/>
            <w:vMerge/>
            <w:tcBorders>
              <w:left w:val="single" w:sz="4" w:space="0" w:color="000000"/>
              <w:right w:val="single" w:sz="4" w:space="0" w:color="000000"/>
            </w:tcBorders>
            <w:shd w:val="clear" w:color="auto" w:fill="D2D2D2"/>
          </w:tcPr>
          <w:p>
            <w:pPr/>
          </w:p>
        </w:tc>
        <w:tc>
          <w:tcPr>
            <w:tcW w:w="955" w:type="dxa"/>
            <w:vMerge/>
            <w:tcBorders>
              <w:left w:val="single" w:sz="4" w:space="0" w:color="000000"/>
              <w:right w:val="single" w:sz="4" w:space="0" w:color="000000"/>
            </w:tcBorders>
            <w:shd w:val="clear" w:color="auto" w:fill="D2D2D2"/>
          </w:tcPr>
          <w:p>
            <w:pPr/>
          </w:p>
        </w:tc>
        <w:tc>
          <w:tcPr>
            <w:tcW w:w="958" w:type="dxa"/>
            <w:vMerge w:val="restart"/>
            <w:tcBorders>
              <w:top w:val="nil" w:sz="6" w:space="0" w:color="auto"/>
              <w:left w:val="single" w:sz="4" w:space="0" w:color="000000"/>
              <w:right w:val="single" w:sz="4" w:space="0" w:color="000000"/>
            </w:tcBorders>
            <w:shd w:val="clear" w:color="auto" w:fill="D2D2D2"/>
          </w:tcPr>
          <w:p>
            <w:pPr/>
          </w:p>
        </w:tc>
        <w:tc>
          <w:tcPr>
            <w:tcW w:w="967"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969" w:type="dxa"/>
            <w:vMerge w:val="restart"/>
            <w:tcBorders>
              <w:top w:val="nil" w:sz="6" w:space="0" w:color="auto"/>
              <w:left w:val="single" w:sz="4" w:space="0" w:color="000000"/>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60" w:type="dxa"/>
            <w:vMerge/>
            <w:tcBorders>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67"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969" w:type="dxa"/>
            <w:vMerge/>
            <w:tcBorders>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陈桂霞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陈桂霞女士因个人原因请求辞去兼任的董事会秘书职 务</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报告期内，公司核心技术团队或关键技术人员（非董事、监事、高级管理人员）无重大变动，核心技术人员有一定幅度</w:t>
      </w:r>
      <w:r>
        <w:rPr/>
        <w:t> 地增加。</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六、公司员工情况</w:t>
      </w:r>
      <w:r>
        <w:rPr>
          <w:b w:val="0"/>
          <w:bCs w:val="0"/>
        </w:rPr>
      </w:r>
    </w:p>
    <w:p>
      <w:pPr>
        <w:spacing w:line="240" w:lineRule="auto" w:before="4"/>
        <w:rPr>
          <w:rFonts w:ascii="宋体" w:hAnsi="宋体" w:cs="宋体" w:eastAsia="宋体" w:hint="default"/>
          <w:b/>
          <w:bCs/>
          <w:sz w:val="32"/>
          <w:szCs w:val="32"/>
        </w:rPr>
      </w:pPr>
    </w:p>
    <w:p>
      <w:pPr>
        <w:pStyle w:val="BodyText"/>
        <w:spacing w:line="477" w:lineRule="auto"/>
        <w:ind w:right="138" w:firstLine="482"/>
        <w:jc w:val="left"/>
      </w:pPr>
      <w:r>
        <w:rPr/>
        <w:t>截至</w:t>
      </w:r>
      <w:r>
        <w:rPr>
          <w:rFonts w:ascii="宋体" w:hAnsi="宋体" w:cs="宋体" w:eastAsia="宋体" w:hint="default"/>
        </w:rPr>
        <w:t>2012</w:t>
      </w:r>
      <w:r>
        <w:rPr/>
        <w:t>年</w:t>
      </w:r>
      <w:r>
        <w:rPr>
          <w:rFonts w:ascii="宋体" w:hAnsi="宋体" w:cs="宋体" w:eastAsia="宋体" w:hint="default"/>
        </w:rPr>
        <w:t>12 </w:t>
      </w:r>
      <w:r>
        <w:rPr/>
        <w:t>月</w:t>
      </w:r>
      <w:r>
        <w:rPr>
          <w:rFonts w:ascii="宋体" w:hAnsi="宋体" w:cs="宋体" w:eastAsia="宋体" w:hint="default"/>
        </w:rPr>
        <w:t>31</w:t>
      </w:r>
      <w:r>
        <w:rPr>
          <w:rFonts w:ascii="宋体" w:hAnsi="宋体" w:cs="宋体" w:eastAsia="宋体" w:hint="default"/>
          <w:spacing w:val="-26"/>
        </w:rPr>
        <w:t> </w:t>
      </w:r>
      <w:r>
        <w:rPr/>
        <w:t>日，本公司在册员工总数为</w:t>
      </w:r>
      <w:r>
        <w:rPr>
          <w:rFonts w:ascii="宋体" w:hAnsi="宋体" w:cs="宋体" w:eastAsia="宋体" w:hint="default"/>
        </w:rPr>
        <w:t>1,375</w:t>
      </w:r>
      <w:r>
        <w:rPr/>
        <w:t>人（不含子公司），需要承担费用的离退休职工</w:t>
      </w:r>
      <w:r>
        <w:rPr>
          <w:rFonts w:ascii="宋体" w:hAnsi="宋体" w:cs="宋体" w:eastAsia="宋体" w:hint="default"/>
        </w:rPr>
        <w:t>0</w:t>
      </w:r>
      <w:r>
        <w:rPr/>
        <w:t>人，其构成分 布情况如下：</w:t>
      </w:r>
    </w:p>
    <w:p>
      <w:pPr>
        <w:pStyle w:val="BodyText"/>
        <w:spacing w:line="240" w:lineRule="auto" w:before="54"/>
        <w:ind w:left="635" w:right="0"/>
        <w:jc w:val="left"/>
      </w:pPr>
      <w:r>
        <w:rPr/>
        <w:t>（一）专业结构</w:t>
      </w:r>
    </w:p>
    <w:p>
      <w:pPr>
        <w:spacing w:line="240" w:lineRule="auto" w:before="1"/>
        <w:rPr>
          <w:rFonts w:ascii="宋体" w:hAnsi="宋体" w:cs="宋体" w:eastAsia="宋体" w:hint="default"/>
          <w:sz w:val="11"/>
          <w:szCs w:val="11"/>
        </w:rPr>
      </w:pPr>
    </w:p>
    <w:tbl>
      <w:tblPr>
        <w:tblW w:w="0" w:type="auto"/>
        <w:jc w:val="left"/>
        <w:tblInd w:w="705" w:type="dxa"/>
        <w:tblLayout w:type="fixed"/>
        <w:tblCellMar>
          <w:top w:w="0" w:type="dxa"/>
          <w:left w:w="0" w:type="dxa"/>
          <w:bottom w:w="0" w:type="dxa"/>
          <w:right w:w="0" w:type="dxa"/>
        </w:tblCellMar>
        <w:tblLook w:val="01E0"/>
      </w:tblPr>
      <w:tblGrid>
        <w:gridCol w:w="2365"/>
        <w:gridCol w:w="3197"/>
        <w:gridCol w:w="2960"/>
      </w:tblGrid>
      <w:tr>
        <w:trPr>
          <w:trHeight w:val="348" w:hRule="exact"/>
        </w:trPr>
        <w:tc>
          <w:tcPr>
            <w:tcW w:w="23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专业结构</w:t>
            </w:r>
            <w:r>
              <w:rPr>
                <w:rFonts w:ascii="宋体" w:hAnsi="宋体" w:cs="宋体" w:eastAsia="宋体" w:hint="default"/>
                <w:sz w:val="18"/>
                <w:szCs w:val="18"/>
              </w:rPr>
            </w:r>
          </w:p>
        </w:tc>
        <w:tc>
          <w:tcPr>
            <w:tcW w:w="319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人</w:t>
            </w:r>
            <w:r>
              <w:rPr>
                <w:rFonts w:ascii="宋体" w:hAnsi="宋体" w:cs="宋体" w:eastAsia="宋体" w:hint="default"/>
                <w:b/>
                <w:bCs/>
                <w:spacing w:val="90"/>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29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346" w:hRule="exact"/>
        </w:trPr>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市场营销人员</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36</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2.62%</w:t>
            </w:r>
          </w:p>
        </w:tc>
      </w:tr>
      <w:tr>
        <w:trPr>
          <w:trHeight w:val="348" w:hRule="exact"/>
        </w:trPr>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行政及管理人员</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122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8.87%</w:t>
            </w:r>
          </w:p>
        </w:tc>
      </w:tr>
      <w:tr>
        <w:trPr>
          <w:trHeight w:val="346" w:hRule="exact"/>
        </w:trPr>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技术、研发人员</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1,217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88.51%</w:t>
            </w:r>
          </w:p>
        </w:tc>
      </w:tr>
      <w:tr>
        <w:trPr>
          <w:trHeight w:val="349" w:hRule="exact"/>
        </w:trPr>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b/>
                <w:sz w:val="18"/>
              </w:rPr>
              <w:t>1,375</w:t>
            </w:r>
            <w:r>
              <w:rPr>
                <w:rFonts w:ascii="宋体"/>
                <w:sz w:val="18"/>
              </w:rPr>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b/>
                <w:sz w:val="18"/>
              </w:rPr>
              <w:t>100%</w:t>
            </w:r>
            <w:r>
              <w:rPr>
                <w:rFonts w:ascii="宋体"/>
                <w:sz w:val="18"/>
              </w:rPr>
            </w:r>
          </w:p>
        </w:tc>
      </w:tr>
    </w:tbl>
    <w:p>
      <w:pPr>
        <w:spacing w:line="240" w:lineRule="auto" w:before="5"/>
        <w:rPr>
          <w:rFonts w:ascii="宋体" w:hAnsi="宋体" w:cs="宋体" w:eastAsia="宋体" w:hint="default"/>
          <w:sz w:val="6"/>
          <w:szCs w:val="6"/>
        </w:rPr>
      </w:pPr>
    </w:p>
    <w:p>
      <w:pPr>
        <w:pStyle w:val="BodyText"/>
        <w:spacing w:line="240" w:lineRule="auto" w:before="44"/>
        <w:ind w:left="513" w:right="0"/>
        <w:jc w:val="left"/>
      </w:pPr>
      <w:r>
        <w:rPr/>
        <w:t>（二）学历结构</w:t>
      </w:r>
    </w:p>
    <w:p>
      <w:pPr>
        <w:spacing w:line="240" w:lineRule="auto" w:before="3"/>
        <w:rPr>
          <w:rFonts w:ascii="宋体" w:hAnsi="宋体" w:cs="宋体" w:eastAsia="宋体" w:hint="default"/>
          <w:sz w:val="5"/>
          <w:szCs w:val="5"/>
        </w:rPr>
      </w:pPr>
    </w:p>
    <w:tbl>
      <w:tblPr>
        <w:tblW w:w="0" w:type="auto"/>
        <w:jc w:val="left"/>
        <w:tblInd w:w="705" w:type="dxa"/>
        <w:tblLayout w:type="fixed"/>
        <w:tblCellMar>
          <w:top w:w="0" w:type="dxa"/>
          <w:left w:w="0" w:type="dxa"/>
          <w:bottom w:w="0" w:type="dxa"/>
          <w:right w:w="0" w:type="dxa"/>
        </w:tblCellMar>
        <w:tblLook w:val="01E0"/>
      </w:tblPr>
      <w:tblGrid>
        <w:gridCol w:w="2360"/>
        <w:gridCol w:w="3200"/>
        <w:gridCol w:w="2962"/>
      </w:tblGrid>
      <w:tr>
        <w:trPr>
          <w:trHeight w:val="348" w:hRule="exact"/>
        </w:trPr>
        <w:tc>
          <w:tcPr>
            <w:tcW w:w="23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学历结构</w:t>
            </w:r>
            <w:r>
              <w:rPr>
                <w:rFonts w:ascii="宋体" w:hAnsi="宋体" w:cs="宋体" w:eastAsia="宋体" w:hint="default"/>
                <w:sz w:val="18"/>
                <w:szCs w:val="18"/>
              </w:rPr>
            </w:r>
          </w:p>
        </w:tc>
        <w:tc>
          <w:tcPr>
            <w:tcW w:w="320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1322" w:right="0"/>
              <w:jc w:val="left"/>
              <w:rPr>
                <w:rFonts w:ascii="宋体" w:hAnsi="宋体" w:cs="宋体" w:eastAsia="宋体" w:hint="default"/>
                <w:sz w:val="18"/>
                <w:szCs w:val="18"/>
              </w:rPr>
            </w:pPr>
            <w:r>
              <w:rPr>
                <w:rFonts w:ascii="宋体" w:hAnsi="宋体" w:cs="宋体" w:eastAsia="宋体" w:hint="default"/>
                <w:b/>
                <w:bCs/>
                <w:sz w:val="18"/>
                <w:szCs w:val="18"/>
              </w:rPr>
              <w:t>人</w:t>
            </w:r>
            <w:r>
              <w:rPr>
                <w:rFonts w:ascii="宋体" w:hAnsi="宋体" w:cs="宋体" w:eastAsia="宋体" w:hint="default"/>
                <w:b/>
                <w:bCs/>
                <w:spacing w:val="90"/>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29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346"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中专及以下</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10</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0.73%</w:t>
            </w:r>
          </w:p>
        </w:tc>
      </w:tr>
      <w:tr>
        <w:trPr>
          <w:trHeight w:val="348"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大专</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sz w:val="18"/>
              </w:rPr>
              <w:t>221</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16.07%</w:t>
            </w:r>
          </w:p>
        </w:tc>
      </w:tr>
      <w:tr>
        <w:trPr>
          <w:trHeight w:val="348"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本科</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67" w:right="0"/>
              <w:jc w:val="left"/>
              <w:rPr>
                <w:rFonts w:ascii="宋体" w:hAnsi="宋体" w:cs="宋体" w:eastAsia="宋体" w:hint="default"/>
                <w:sz w:val="18"/>
                <w:szCs w:val="18"/>
              </w:rPr>
            </w:pPr>
            <w:r>
              <w:rPr>
                <w:rFonts w:ascii="宋体"/>
                <w:sz w:val="18"/>
              </w:rPr>
              <w:t>1,057</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76.87%</w:t>
            </w:r>
          </w:p>
        </w:tc>
      </w:tr>
      <w:tr>
        <w:trPr>
          <w:trHeight w:val="346"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研究生及以上</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87</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6.33%</w:t>
            </w:r>
          </w:p>
        </w:tc>
      </w:tr>
      <w:tr>
        <w:trPr>
          <w:trHeight w:val="348"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67" w:right="0"/>
              <w:jc w:val="left"/>
              <w:rPr>
                <w:rFonts w:ascii="宋体" w:hAnsi="宋体" w:cs="宋体" w:eastAsia="宋体" w:hint="default"/>
                <w:sz w:val="18"/>
                <w:szCs w:val="18"/>
              </w:rPr>
            </w:pPr>
            <w:r>
              <w:rPr>
                <w:rFonts w:ascii="宋体"/>
                <w:b/>
                <w:sz w:val="18"/>
              </w:rPr>
              <w:t>1,375</w:t>
            </w:r>
            <w:r>
              <w:rPr>
                <w:rFonts w:ascii="宋体"/>
                <w:sz w:val="18"/>
              </w:rPr>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b/>
                <w:sz w:val="18"/>
              </w:rPr>
              <w:t>100%</w:t>
            </w:r>
            <w:r>
              <w:rPr>
                <w:rFonts w:ascii="宋体"/>
                <w:sz w:val="18"/>
              </w:rPr>
            </w:r>
          </w:p>
        </w:tc>
      </w:tr>
    </w:tbl>
    <w:p>
      <w:pPr>
        <w:spacing w:after="0" w:line="240" w:lineRule="auto"/>
        <w:jc w:val="center"/>
        <w:rPr>
          <w:rFonts w:ascii="宋体" w:hAnsi="宋体" w:cs="宋体" w:eastAsia="宋体" w:hint="default"/>
          <w:sz w:val="18"/>
          <w:szCs w:val="18"/>
        </w:rPr>
        <w:sectPr>
          <w:pgSz w:w="11910" w:h="16840"/>
          <w:pgMar w:header="772" w:footer="1006" w:top="1080" w:bottom="1200" w:left="980" w:right="980"/>
        </w:sectPr>
      </w:pPr>
    </w:p>
    <w:p>
      <w:pPr>
        <w:spacing w:line="240" w:lineRule="auto" w:before="9"/>
        <w:rPr>
          <w:rFonts w:ascii="宋体" w:hAnsi="宋体" w:cs="宋体" w:eastAsia="宋体" w:hint="default"/>
          <w:sz w:val="23"/>
          <w:szCs w:val="23"/>
        </w:rPr>
      </w:pPr>
    </w:p>
    <w:p>
      <w:pPr>
        <w:pStyle w:val="BodyText"/>
        <w:spacing w:line="240" w:lineRule="auto" w:before="44"/>
        <w:ind w:left="513" w:right="0"/>
        <w:jc w:val="left"/>
      </w:pPr>
      <w:r>
        <w:rPr/>
        <w:t>（三）年龄结构</w:t>
      </w:r>
    </w:p>
    <w:p>
      <w:pPr>
        <w:spacing w:line="240" w:lineRule="auto" w:before="3"/>
        <w:rPr>
          <w:rFonts w:ascii="宋体" w:hAnsi="宋体" w:cs="宋体" w:eastAsia="宋体" w:hint="default"/>
          <w:sz w:val="5"/>
          <w:szCs w:val="5"/>
        </w:rPr>
      </w:pPr>
    </w:p>
    <w:tbl>
      <w:tblPr>
        <w:tblW w:w="0" w:type="auto"/>
        <w:jc w:val="left"/>
        <w:tblInd w:w="705" w:type="dxa"/>
        <w:tblLayout w:type="fixed"/>
        <w:tblCellMar>
          <w:top w:w="0" w:type="dxa"/>
          <w:left w:w="0" w:type="dxa"/>
          <w:bottom w:w="0" w:type="dxa"/>
          <w:right w:w="0" w:type="dxa"/>
        </w:tblCellMar>
        <w:tblLook w:val="01E0"/>
      </w:tblPr>
      <w:tblGrid>
        <w:gridCol w:w="2458"/>
        <w:gridCol w:w="3147"/>
        <w:gridCol w:w="2917"/>
      </w:tblGrid>
      <w:tr>
        <w:trPr>
          <w:trHeight w:val="348" w:hRule="exact"/>
        </w:trPr>
        <w:tc>
          <w:tcPr>
            <w:tcW w:w="245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8"/>
              <w:ind w:left="991" w:right="0"/>
              <w:jc w:val="left"/>
              <w:rPr>
                <w:rFonts w:ascii="宋体" w:hAnsi="宋体" w:cs="宋体" w:eastAsia="宋体" w:hint="default"/>
                <w:sz w:val="18"/>
                <w:szCs w:val="18"/>
              </w:rPr>
            </w:pPr>
            <w:r>
              <w:rPr>
                <w:rFonts w:ascii="宋体" w:hAnsi="宋体" w:cs="宋体" w:eastAsia="宋体" w:hint="default"/>
                <w:b/>
                <w:bCs/>
                <w:sz w:val="18"/>
                <w:szCs w:val="18"/>
              </w:rPr>
              <w:t>年龄结构</w:t>
            </w:r>
            <w:r>
              <w:rPr>
                <w:rFonts w:ascii="宋体" w:hAnsi="宋体" w:cs="宋体" w:eastAsia="宋体" w:hint="default"/>
                <w:sz w:val="18"/>
                <w:szCs w:val="18"/>
              </w:rPr>
            </w:r>
          </w:p>
        </w:tc>
        <w:tc>
          <w:tcPr>
            <w:tcW w:w="314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人</w:t>
            </w:r>
            <w:r>
              <w:rPr>
                <w:rFonts w:ascii="宋体" w:hAnsi="宋体" w:cs="宋体" w:eastAsia="宋体" w:hint="default"/>
                <w:b/>
                <w:bCs/>
                <w:spacing w:val="90"/>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291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346" w:hRule="exact"/>
        </w:trPr>
        <w:tc>
          <w:tcPr>
            <w:tcW w:w="245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left="815"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3"/>
                <w:sz w:val="18"/>
                <w:szCs w:val="18"/>
              </w:rPr>
              <w:t> </w:t>
            </w:r>
            <w:r>
              <w:rPr>
                <w:rFonts w:ascii="宋体" w:hAnsi="宋体" w:cs="宋体" w:eastAsia="宋体" w:hint="default"/>
                <w:sz w:val="18"/>
                <w:szCs w:val="18"/>
              </w:rPr>
              <w:t>岁以下</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1,057</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76.87%</w:t>
            </w:r>
          </w:p>
        </w:tc>
      </w:tr>
      <w:tr>
        <w:trPr>
          <w:trHeight w:val="3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15"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z w:val="18"/>
                <w:szCs w:val="18"/>
              </w:rPr>
              <w:t>－</w:t>
            </w:r>
            <w:r>
              <w:rPr>
                <w:rFonts w:ascii="宋体" w:hAnsi="宋体" w:cs="宋体" w:eastAsia="宋体" w:hint="default"/>
                <w:sz w:val="18"/>
                <w:szCs w:val="18"/>
              </w:rPr>
              <w:t>40</w:t>
            </w:r>
            <w:r>
              <w:rPr>
                <w:rFonts w:ascii="宋体" w:hAnsi="宋体" w:cs="宋体" w:eastAsia="宋体" w:hint="default"/>
                <w:spacing w:val="2"/>
                <w:sz w:val="18"/>
                <w:szCs w:val="18"/>
              </w:rPr>
              <w:t> </w:t>
            </w:r>
            <w:r>
              <w:rPr>
                <w:rFonts w:ascii="宋体" w:hAnsi="宋体" w:cs="宋体" w:eastAsia="宋体" w:hint="default"/>
                <w:sz w:val="18"/>
                <w:szCs w:val="18"/>
              </w:rPr>
              <w:t>岁</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277</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20.15%</w:t>
            </w:r>
          </w:p>
        </w:tc>
      </w:tr>
      <w:tr>
        <w:trPr>
          <w:trHeight w:val="346"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15" w:right="0"/>
              <w:jc w:val="left"/>
              <w:rPr>
                <w:rFonts w:ascii="宋体" w:hAnsi="宋体" w:cs="宋体" w:eastAsia="宋体" w:hint="default"/>
                <w:sz w:val="18"/>
                <w:szCs w:val="18"/>
              </w:rPr>
            </w:pPr>
            <w:r>
              <w:rPr>
                <w:rFonts w:ascii="宋体" w:hAnsi="宋体" w:cs="宋体" w:eastAsia="宋体" w:hint="default"/>
                <w:sz w:val="18"/>
                <w:szCs w:val="18"/>
              </w:rPr>
              <w:t>41</w:t>
            </w:r>
            <w:r>
              <w:rPr>
                <w:rFonts w:ascii="宋体" w:hAnsi="宋体" w:cs="宋体" w:eastAsia="宋体" w:hint="default"/>
                <w:sz w:val="18"/>
                <w:szCs w:val="18"/>
              </w:rPr>
              <w:t>－</w:t>
            </w:r>
            <w:r>
              <w:rPr>
                <w:rFonts w:ascii="宋体" w:hAnsi="宋体" w:cs="宋体" w:eastAsia="宋体" w:hint="default"/>
                <w:sz w:val="18"/>
                <w:szCs w:val="18"/>
              </w:rPr>
              <w:t>50</w:t>
            </w:r>
            <w:r>
              <w:rPr>
                <w:rFonts w:ascii="宋体" w:hAnsi="宋体" w:cs="宋体" w:eastAsia="宋体" w:hint="default"/>
                <w:spacing w:val="2"/>
                <w:sz w:val="18"/>
                <w:szCs w:val="18"/>
              </w:rPr>
              <w:t> </w:t>
            </w:r>
            <w:r>
              <w:rPr>
                <w:rFonts w:ascii="宋体" w:hAnsi="宋体" w:cs="宋体" w:eastAsia="宋体" w:hint="default"/>
                <w:sz w:val="18"/>
                <w:szCs w:val="18"/>
              </w:rPr>
              <w:t>岁</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36</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2.62%</w:t>
            </w:r>
          </w:p>
        </w:tc>
      </w:tr>
      <w:tr>
        <w:trPr>
          <w:trHeight w:val="3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岁以上</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sz w:val="18"/>
              </w:rPr>
              <w:t>5</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0.36%</w:t>
            </w:r>
          </w:p>
        </w:tc>
      </w:tr>
      <w:tr>
        <w:trPr>
          <w:trHeight w:val="3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b/>
                <w:sz w:val="18"/>
              </w:rPr>
              <w:t>1,375</w:t>
            </w:r>
            <w:r>
              <w:rPr>
                <w:rFonts w:ascii="宋体"/>
                <w:sz w:val="18"/>
              </w:rPr>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b/>
                <w:sz w:val="18"/>
              </w:rPr>
              <w:t>100%</w:t>
            </w:r>
            <w:r>
              <w:rPr>
                <w:rFonts w:ascii="宋体"/>
                <w:sz w:val="18"/>
              </w:rPr>
            </w:r>
          </w:p>
        </w:tc>
      </w:tr>
    </w:tbl>
    <w:p>
      <w:pPr>
        <w:spacing w:after="0" w:line="240" w:lineRule="auto"/>
        <w:jc w:val="center"/>
        <w:rPr>
          <w:rFonts w:ascii="宋体" w:hAnsi="宋体" w:cs="宋体" w:eastAsia="宋体" w:hint="default"/>
          <w:sz w:val="18"/>
          <w:szCs w:val="18"/>
        </w:rPr>
        <w:sectPr>
          <w:pgSz w:w="11910" w:h="16840"/>
          <w:pgMar w:header="772" w:footer="1006" w:top="108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1"/>
        <w:spacing w:line="240" w:lineRule="auto"/>
        <w:ind w:right="653"/>
        <w:jc w:val="center"/>
        <w:rPr>
          <w:b w:val="0"/>
          <w:bCs w:val="0"/>
        </w:rPr>
      </w:pPr>
      <w:bookmarkStart w:name="_TOC_250002"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1" w:firstLine="360"/>
        <w:jc w:val="both"/>
      </w:pPr>
      <w:r>
        <w:rPr>
          <w:spacing w:val="-2"/>
        </w:rPr>
        <w:t>公司严格按照《公司法》、《证券法》、《上市公司治理准则》、《深圳证券交易所创业板股票上市规则》、《深圳证</w:t>
      </w:r>
      <w:r>
        <w:rPr/>
        <w:t> </w:t>
      </w:r>
      <w:r>
        <w:rPr>
          <w:spacing w:val="-2"/>
        </w:rPr>
        <w:t>券交易所创业板上市公司规范运作指引》等法律、法规和中国证监会有关法律法规的要求，确立了股东大会、董事会、监事</w:t>
      </w:r>
      <w:r>
        <w:rPr>
          <w:spacing w:val="-65"/>
        </w:rPr>
        <w:t> </w:t>
      </w:r>
      <w:r>
        <w:rPr>
          <w:spacing w:val="-65"/>
        </w:rPr>
      </w:r>
      <w:r>
        <w:rPr>
          <w:spacing w:val="-2"/>
        </w:rPr>
        <w:t>会及经营管理层的分层治理结构，不断完善公司法人治理结构，建立健全公司内部控制制度，进一步规范公司运作，提高公</w:t>
      </w:r>
      <w:r>
        <w:rPr>
          <w:spacing w:val="-64"/>
        </w:rPr>
        <w:t> </w:t>
      </w:r>
      <w:r>
        <w:rPr>
          <w:spacing w:val="-64"/>
        </w:rPr>
      </w:r>
      <w:r>
        <w:rPr/>
        <w:t>司治理水平。公司治理各方面基本符合《上市公司治理准则》和《深圳证券交易所创业板上市公司规范运作指引》的要求。</w:t>
      </w:r>
    </w:p>
    <w:p>
      <w:pPr>
        <w:pStyle w:val="BodyText"/>
        <w:spacing w:line="477" w:lineRule="auto" w:before="55"/>
        <w:ind w:left="513" w:right="94"/>
        <w:jc w:val="left"/>
      </w:pPr>
      <w:r>
        <w:rPr>
          <w:rFonts w:ascii="宋体" w:hAnsi="宋体" w:cs="宋体" w:eastAsia="宋体" w:hint="default"/>
          <w:b/>
          <w:bCs/>
        </w:rPr>
        <w:t>（一）股东与股东大会</w:t>
      </w:r>
      <w:r>
        <w:rPr>
          <w:rFonts w:ascii="宋体" w:hAnsi="宋体" w:cs="宋体" w:eastAsia="宋体" w:hint="default"/>
          <w:b/>
          <w:bCs/>
          <w:w w:val="99"/>
        </w:rPr>
        <w:t> </w:t>
      </w:r>
      <w:r>
        <w:rPr>
          <w:spacing w:val="-2"/>
        </w:rPr>
        <w:t>公司股东大会均严格按照《上市公司股东大会规则》、《公司章程》、《股东大会议事规则》等规定召集、召开，并尽</w:t>
      </w:r>
    </w:p>
    <w:p>
      <w:pPr>
        <w:pStyle w:val="BodyText"/>
        <w:spacing w:line="477" w:lineRule="auto" w:before="54"/>
        <w:ind w:right="191"/>
        <w:jc w:val="both"/>
      </w:pPr>
      <w:r>
        <w:rPr>
          <w:spacing w:val="-2"/>
        </w:rPr>
        <w:t>可能为股东参加股东大会创造便利条件，对每一项需要审议的事项均设定充裕的时间给股东表达意见，确保所有股东，特别</w:t>
      </w:r>
      <w:r>
        <w:rPr>
          <w:spacing w:val="-65"/>
        </w:rPr>
        <w:t> </w:t>
      </w:r>
      <w:r>
        <w:rPr>
          <w:spacing w:val="-65"/>
        </w:rPr>
      </w:r>
      <w:r>
        <w:rPr>
          <w:spacing w:val="-2"/>
        </w:rPr>
        <w:t>是公众股东的平等地位，充分行使自己的权利。同时，公司聘请专业律师见证股东大会，确保会议召集召开以及表决程序符</w:t>
      </w:r>
      <w:r>
        <w:rPr>
          <w:spacing w:val="-64"/>
        </w:rPr>
        <w:t> </w:t>
      </w:r>
      <w:r>
        <w:rPr>
          <w:spacing w:val="-64"/>
        </w:rPr>
      </w:r>
      <w:r>
        <w:rPr/>
        <w:t>合相关法律规定，维护股东的合法权益。</w:t>
      </w:r>
    </w:p>
    <w:p>
      <w:pPr>
        <w:pStyle w:val="BodyText"/>
        <w:spacing w:line="477" w:lineRule="auto" w:before="54"/>
        <w:ind w:left="513" w:right="94"/>
        <w:jc w:val="left"/>
      </w:pPr>
      <w:r>
        <w:rPr>
          <w:rFonts w:ascii="宋体" w:hAnsi="宋体" w:cs="宋体" w:eastAsia="宋体" w:hint="default"/>
          <w:b/>
          <w:bCs/>
        </w:rPr>
        <w:t>（二）控股股东与上市公司</w:t>
      </w:r>
      <w:r>
        <w:rPr>
          <w:rFonts w:ascii="宋体" w:hAnsi="宋体" w:cs="宋体" w:eastAsia="宋体" w:hint="default"/>
          <w:b/>
          <w:bCs/>
          <w:w w:val="99"/>
        </w:rPr>
        <w:t> </w:t>
      </w:r>
      <w:r>
        <w:rPr>
          <w:spacing w:val="-2"/>
        </w:rPr>
        <w:t>公司严格按照《公司法》、《证券法》、《公司章程》及证券监管部门的有关规定正确处理与控股股东的关系。公司控</w:t>
      </w:r>
    </w:p>
    <w:p>
      <w:pPr>
        <w:pStyle w:val="BodyText"/>
        <w:spacing w:line="477" w:lineRule="auto" w:before="54"/>
        <w:ind w:right="111"/>
        <w:jc w:val="both"/>
      </w:pPr>
      <w:r>
        <w:rPr/>
        <w:t>股股东严格规范自身行为，依法行使其权利并承担相应义务，没有超越股东大会直接或间接干预本公司的决策和经营活动。 公司的人员、资产、财务、机构、业务独立，不存在控股股东占用资金以及公司为控股股东提供担保的情形。</w:t>
      </w:r>
    </w:p>
    <w:p>
      <w:pPr>
        <w:pStyle w:val="BodyText"/>
        <w:spacing w:line="477" w:lineRule="auto" w:before="54"/>
        <w:ind w:left="513" w:right="94"/>
        <w:jc w:val="left"/>
      </w:pPr>
      <w:r>
        <w:rPr>
          <w:rFonts w:ascii="宋体" w:hAnsi="宋体" w:cs="宋体" w:eastAsia="宋体" w:hint="default"/>
          <w:b/>
          <w:bCs/>
        </w:rPr>
        <w:t>（三）董事和董事会</w:t>
      </w:r>
      <w:r>
        <w:rPr>
          <w:rFonts w:ascii="宋体" w:hAnsi="宋体" w:cs="宋体" w:eastAsia="宋体" w:hint="default"/>
          <w:b/>
          <w:bCs/>
          <w:w w:val="99"/>
        </w:rPr>
        <w:t> </w:t>
      </w:r>
      <w:r>
        <w:rPr>
          <w:spacing w:val="-2"/>
        </w:rPr>
        <w:t>根据《公司章程》及《董事会议事规则》的规定，公司董事会由</w:t>
      </w:r>
      <w:r>
        <w:rPr>
          <w:rFonts w:ascii="宋体" w:hAnsi="宋体" w:cs="宋体" w:eastAsia="宋体" w:hint="default"/>
          <w:spacing w:val="-2"/>
        </w:rPr>
        <w:t>6</w:t>
      </w:r>
      <w:r>
        <w:rPr>
          <w:spacing w:val="-2"/>
        </w:rPr>
        <w:t>名董事组成，其中独立董事</w:t>
      </w:r>
      <w:r>
        <w:rPr>
          <w:rFonts w:ascii="宋体" w:hAnsi="宋体" w:cs="宋体" w:eastAsia="宋体" w:hint="default"/>
          <w:spacing w:val="-2"/>
        </w:rPr>
        <w:t>3</w:t>
      </w:r>
      <w:r>
        <w:rPr>
          <w:spacing w:val="-2"/>
        </w:rPr>
        <w:t>名。公司选聘董事，董事</w:t>
      </w:r>
    </w:p>
    <w:p>
      <w:pPr>
        <w:pStyle w:val="BodyText"/>
        <w:spacing w:line="477" w:lineRule="auto" w:before="54"/>
        <w:ind w:right="191"/>
        <w:jc w:val="both"/>
      </w:pPr>
      <w:r>
        <w:rPr>
          <w:spacing w:val="-2"/>
        </w:rPr>
        <w:t>会人数、构成及资格均符合法律、法规和公司规章的规定。公司董事会均严格按照《公司章程》及《董事会议事规则》的程</w:t>
      </w:r>
      <w:r>
        <w:rPr>
          <w:spacing w:val="-73"/>
        </w:rPr>
        <w:t> </w:t>
      </w:r>
      <w:r>
        <w:rPr>
          <w:spacing w:val="-73"/>
        </w:rPr>
      </w:r>
      <w:r>
        <w:rPr>
          <w:spacing w:val="-2"/>
        </w:rPr>
        <w:t>序召集、召开。公司董事能够依据《董事会议事规则》、《独立董事工作制度》、《深圳证券交易所创业板上市公司规范运</w:t>
      </w:r>
      <w:r>
        <w:rPr>
          <w:spacing w:val="-68"/>
        </w:rPr>
        <w:t> </w:t>
      </w:r>
      <w:r>
        <w:rPr>
          <w:spacing w:val="-68"/>
        </w:rPr>
      </w:r>
      <w:r>
        <w:rPr>
          <w:spacing w:val="-2"/>
        </w:rPr>
        <w:t>作指引》等开展工作，出席董事会和股东大会，依法行使职权，勤勉尽责地履行职责和义务，同时积极参加相关培训，熟悉</w:t>
      </w:r>
      <w:r>
        <w:rPr>
          <w:spacing w:val="-67"/>
        </w:rPr>
        <w:t> </w:t>
      </w:r>
      <w:r>
        <w:rPr>
          <w:spacing w:val="-67"/>
        </w:rPr>
      </w:r>
      <w:r>
        <w:rPr/>
        <w:t>相关法律法规。</w:t>
      </w:r>
    </w:p>
    <w:p>
      <w:pPr>
        <w:pStyle w:val="BodyText"/>
        <w:spacing w:line="477" w:lineRule="auto" w:before="55"/>
        <w:ind w:right="188" w:firstLine="360"/>
        <w:jc w:val="both"/>
      </w:pPr>
      <w:r>
        <w:rPr/>
        <w:t>董事会下设薪酬与考核委员会、战略委员会、提名委员会和审计委员会，各委员会中独立董事占比均超过</w:t>
      </w:r>
      <w:r>
        <w:rPr>
          <w:rFonts w:ascii="宋体" w:hAnsi="宋体" w:cs="宋体" w:eastAsia="宋体" w:hint="default"/>
        </w:rPr>
        <w:t>1/2</w:t>
      </w:r>
      <w:r>
        <w:rPr/>
        <w:t>，提高了 董事会履职能力和专业化程度，保障了董事会决策的科学性和规范性。</w:t>
      </w:r>
    </w:p>
    <w:p>
      <w:pPr>
        <w:pStyle w:val="BodyText"/>
        <w:spacing w:line="240" w:lineRule="auto" w:before="54"/>
        <w:ind w:left="513" w:right="94"/>
        <w:jc w:val="left"/>
      </w:pPr>
      <w:r>
        <w:rPr/>
        <w:t>公司独立董事独立履行职责，不受公司主要股东、实际控制人以及其他与公司有利害关系的单位或个人影响。</w:t>
      </w:r>
    </w:p>
    <w:p>
      <w:pPr>
        <w:spacing w:line="240" w:lineRule="auto" w:before="10"/>
        <w:rPr>
          <w:rFonts w:ascii="宋体" w:hAnsi="宋体" w:cs="宋体" w:eastAsia="宋体" w:hint="default"/>
          <w:sz w:val="17"/>
          <w:szCs w:val="17"/>
        </w:rPr>
      </w:pPr>
    </w:p>
    <w:p>
      <w:pPr>
        <w:pStyle w:val="BodyText"/>
        <w:spacing w:line="477" w:lineRule="auto"/>
        <w:ind w:left="513" w:right="94"/>
        <w:jc w:val="left"/>
      </w:pPr>
      <w:r>
        <w:rPr>
          <w:rFonts w:ascii="宋体" w:hAnsi="宋体" w:cs="宋体" w:eastAsia="宋体" w:hint="default"/>
          <w:b/>
          <w:bCs/>
        </w:rPr>
        <w:t>（四）监事和监事会</w:t>
      </w:r>
      <w:r>
        <w:rPr>
          <w:rFonts w:ascii="宋体" w:hAnsi="宋体" w:cs="宋体" w:eastAsia="宋体" w:hint="default"/>
          <w:b/>
          <w:bCs/>
          <w:w w:val="99"/>
        </w:rPr>
        <w:t> </w:t>
      </w:r>
      <w:r>
        <w:rPr>
          <w:spacing w:val="-2"/>
        </w:rPr>
        <w:t>根据《公司章程》及《监事会议事规则》的规定，公司监事会由</w:t>
      </w:r>
      <w:r>
        <w:rPr>
          <w:rFonts w:ascii="宋体" w:hAnsi="宋体" w:cs="宋体" w:eastAsia="宋体" w:hint="default"/>
          <w:spacing w:val="-2"/>
        </w:rPr>
        <w:t>4</w:t>
      </w:r>
      <w:r>
        <w:rPr>
          <w:spacing w:val="-2"/>
        </w:rPr>
        <w:t>名监事组成，其中职工代表和非职工监事各</w:t>
      </w:r>
      <w:r>
        <w:rPr>
          <w:rFonts w:ascii="宋体" w:hAnsi="宋体" w:cs="宋体" w:eastAsia="宋体" w:hint="default"/>
          <w:spacing w:val="-2"/>
        </w:rPr>
        <w:t>2</w:t>
      </w:r>
      <w:r>
        <w:rPr>
          <w:spacing w:val="-2"/>
        </w:rPr>
        <w:t>名。监事</w:t>
      </w:r>
    </w:p>
    <w:p>
      <w:pPr>
        <w:pStyle w:val="BodyText"/>
        <w:spacing w:line="240" w:lineRule="auto" w:before="54"/>
        <w:ind w:right="0"/>
        <w:jc w:val="both"/>
      </w:pPr>
      <w:r>
        <w:rPr/>
        <w:t>会均按照《公司章程》及《监事会议事规则》的程序召集、召开。公司监事会除审议日常事项外，在检查公司的财务、对董</w:t>
      </w:r>
    </w:p>
    <w:p>
      <w:pPr>
        <w:spacing w:after="0" w:line="240" w:lineRule="auto"/>
        <w:jc w:val="both"/>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240" w:lineRule="auto" w:before="44"/>
        <w:ind w:right="0"/>
        <w:jc w:val="both"/>
      </w:pPr>
      <w:r>
        <w:rPr/>
        <w:t>事、高级管理人员履职等方面发挥了良好的监督职能，切实维护公司及股东的合法权益。</w:t>
      </w:r>
    </w:p>
    <w:p>
      <w:pPr>
        <w:spacing w:line="240" w:lineRule="auto" w:before="10"/>
        <w:rPr>
          <w:rFonts w:ascii="宋体" w:hAnsi="宋体" w:cs="宋体" w:eastAsia="宋体" w:hint="default"/>
          <w:sz w:val="17"/>
          <w:szCs w:val="17"/>
        </w:rPr>
      </w:pPr>
    </w:p>
    <w:p>
      <w:pPr>
        <w:spacing w:line="477" w:lineRule="auto" w:before="0"/>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（五）关于绩效评价与激励约束机制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公司已建立企业绩效激励与评价体系，并不断完善。公司董事、监事和高级管理人员的绩效评价标准和激励约束机制公</w:t>
      </w:r>
    </w:p>
    <w:p>
      <w:pPr>
        <w:pStyle w:val="BodyText"/>
        <w:spacing w:line="477" w:lineRule="auto" w:before="54"/>
        <w:ind w:left="513" w:right="94" w:hanging="361"/>
        <w:jc w:val="left"/>
      </w:pPr>
      <w:r>
        <w:rPr/>
        <w:t>开、透明，符合法律、法规的规定。 </w:t>
      </w:r>
      <w:r>
        <w:rPr>
          <w:spacing w:val="-2"/>
        </w:rPr>
        <w:t>公司董事会设立了薪酬与考核委员会，负责薪酬政策及方案的制定与审定。公司高级管理人员均认真履行工作职责，较</w:t>
      </w:r>
    </w:p>
    <w:p>
      <w:pPr>
        <w:pStyle w:val="BodyText"/>
        <w:spacing w:line="240" w:lineRule="auto" w:before="54"/>
        <w:ind w:right="0"/>
        <w:jc w:val="both"/>
      </w:pPr>
      <w:r>
        <w:rPr/>
        <w:t>好地完成了董事会制定的经营管理任务。</w:t>
      </w:r>
    </w:p>
    <w:p>
      <w:pPr>
        <w:spacing w:line="240" w:lineRule="auto" w:before="10"/>
        <w:rPr>
          <w:rFonts w:ascii="宋体" w:hAnsi="宋体" w:cs="宋体" w:eastAsia="宋体" w:hint="default"/>
          <w:sz w:val="17"/>
          <w:szCs w:val="17"/>
        </w:rPr>
      </w:pPr>
    </w:p>
    <w:p>
      <w:pPr>
        <w:pStyle w:val="BodyText"/>
        <w:spacing w:line="477" w:lineRule="auto"/>
        <w:ind w:left="513" w:right="94"/>
        <w:jc w:val="left"/>
      </w:pPr>
      <w:r>
        <w:rPr>
          <w:rFonts w:ascii="宋体" w:hAnsi="宋体" w:cs="宋体" w:eastAsia="宋体" w:hint="default"/>
          <w:b/>
          <w:bCs/>
        </w:rPr>
        <w:t>（六）关于经理层</w:t>
      </w:r>
      <w:r>
        <w:rPr>
          <w:rFonts w:ascii="宋体" w:hAnsi="宋体" w:cs="宋体" w:eastAsia="宋体" w:hint="default"/>
          <w:b/>
          <w:bCs/>
          <w:w w:val="99"/>
        </w:rPr>
        <w:t> </w:t>
      </w:r>
      <w:r>
        <w:rPr>
          <w:spacing w:val="-2"/>
        </w:rPr>
        <w:t>公司已建立《总经理工作细则》等制度，公司经理层能勤勉尽责，切实贯彻、执行董事会的决议。总经理及其他高级管</w:t>
      </w:r>
    </w:p>
    <w:p>
      <w:pPr>
        <w:pStyle w:val="BodyText"/>
        <w:spacing w:line="477" w:lineRule="auto" w:before="55"/>
        <w:ind w:left="513" w:right="94" w:hanging="361"/>
        <w:jc w:val="left"/>
      </w:pPr>
      <w:r>
        <w:rPr/>
        <w:t>理人员职责清晰，能够严格按照公司各项管理制度履行职责。经理层人员的聘任公开、透明、程序规范。 </w:t>
      </w:r>
      <w:r>
        <w:rPr>
          <w:spacing w:val="-2"/>
        </w:rPr>
        <w:t>公司总经理的聘任、管理层的聘任、管理层的考核和激励等方面均严格按照公司规定执行，管理层比较稳定，且忠实履</w:t>
      </w:r>
    </w:p>
    <w:p>
      <w:pPr>
        <w:pStyle w:val="BodyText"/>
        <w:spacing w:line="240" w:lineRule="auto" w:before="54"/>
        <w:ind w:right="0"/>
        <w:jc w:val="both"/>
      </w:pPr>
      <w:r>
        <w:rPr/>
        <w:t>行诚信义务，没有发现违规行为。</w:t>
      </w:r>
    </w:p>
    <w:p>
      <w:pPr>
        <w:spacing w:line="240" w:lineRule="auto" w:before="10"/>
        <w:rPr>
          <w:rFonts w:ascii="宋体" w:hAnsi="宋体" w:cs="宋体" w:eastAsia="宋体" w:hint="default"/>
          <w:sz w:val="17"/>
          <w:szCs w:val="17"/>
        </w:rPr>
      </w:pPr>
    </w:p>
    <w:p>
      <w:pPr>
        <w:spacing w:line="477" w:lineRule="auto" w:before="0"/>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（七）公司内部控制制度的建立健全情况</w:t>
      </w:r>
      <w:r>
        <w:rPr>
          <w:rFonts w:ascii="宋体" w:hAnsi="宋体" w:cs="宋体" w:eastAsia="宋体" w:hint="default"/>
          <w:b/>
          <w:bCs/>
          <w:w w:val="99"/>
          <w:sz w:val="18"/>
          <w:szCs w:val="18"/>
        </w:rPr>
        <w:t> </w:t>
      </w:r>
      <w:r>
        <w:rPr>
          <w:rFonts w:ascii="宋体" w:hAnsi="宋体" w:cs="宋体" w:eastAsia="宋体" w:hint="default"/>
          <w:spacing w:val="-2"/>
          <w:sz w:val="18"/>
          <w:szCs w:val="18"/>
        </w:rPr>
        <w:t>为加强公司内部管理，健全和完善内部控制，提高公司运营效率，控制和规避经营中存在的风险，公司制定了一系列内</w:t>
      </w:r>
    </w:p>
    <w:p>
      <w:pPr>
        <w:pStyle w:val="BodyText"/>
        <w:spacing w:line="477" w:lineRule="auto" w:before="54"/>
        <w:ind w:right="104"/>
        <w:jc w:val="both"/>
      </w:pPr>
      <w:r>
        <w:rPr>
          <w:spacing w:val="-2"/>
        </w:rPr>
        <w:t>部控制制度，并得到了严格贯彻和执行。公司根据《公司法》、《证券法》、《创业板上市公司规范运作指引》等有关法律</w:t>
      </w:r>
      <w:r>
        <w:rPr>
          <w:spacing w:val="-68"/>
        </w:rPr>
        <w:t> </w:t>
      </w:r>
      <w:r>
        <w:rPr>
          <w:spacing w:val="-68"/>
        </w:rPr>
      </w:r>
      <w:r>
        <w:rPr>
          <w:spacing w:val="-4"/>
        </w:rPr>
        <w:t>法规的规定，制定并完善了《公司章程》，依据相关法律法规和公司章程制定《股东大会议事规则》、《董事会议事规则》、</w:t>
      </w:r>
    </w:p>
    <w:p>
      <w:pPr>
        <w:pStyle w:val="BodyText"/>
        <w:spacing w:line="477" w:lineRule="auto" w:before="54"/>
        <w:ind w:right="104"/>
        <w:jc w:val="both"/>
      </w:pPr>
      <w:r>
        <w:rPr>
          <w:spacing w:val="-2"/>
        </w:rPr>
        <w:t>《监事会议事规则》、《独立董事工作制度》、《董事会秘书工作细则》、《审计委员会工作细则》、《提名委员会工作细</w:t>
      </w:r>
      <w:r>
        <w:rPr>
          <w:spacing w:val="-69"/>
        </w:rPr>
        <w:t> </w:t>
      </w:r>
      <w:r>
        <w:rPr>
          <w:spacing w:val="-69"/>
        </w:rPr>
      </w:r>
      <w:r>
        <w:rPr>
          <w:spacing w:val="-2"/>
        </w:rPr>
        <w:t>则》、《战略委员会工作细则》、《独立董事及审计委员会年报工作制度》、《薪酬与考核委员会工作制度》、《总经理工</w:t>
      </w:r>
      <w:r>
        <w:rPr>
          <w:spacing w:val="-69"/>
        </w:rPr>
        <w:t> </w:t>
      </w:r>
      <w:r>
        <w:rPr>
          <w:spacing w:val="-69"/>
        </w:rPr>
      </w:r>
      <w:r>
        <w:rPr>
          <w:spacing w:val="-7"/>
        </w:rPr>
        <w:t>作细则》、《对外担保管理制度》、《对外投资管理制度》、《规范与关联方资金往来的管理制度》、《关联交易决策制度》、</w:t>
      </w:r>
    </w:p>
    <w:p>
      <w:pPr>
        <w:pStyle w:val="BodyText"/>
        <w:spacing w:line="477" w:lineRule="auto" w:before="54"/>
        <w:ind w:right="191"/>
        <w:jc w:val="both"/>
      </w:pPr>
      <w:r>
        <w:rPr>
          <w:spacing w:val="-2"/>
        </w:rPr>
        <w:t>《内部审计制度》、《投资者关系管理制度》、《内幕信息知情人登记管理制度》等公司治理和内部控制相关制度。公司认</w:t>
      </w:r>
      <w:r>
        <w:rPr>
          <w:spacing w:val="-67"/>
        </w:rPr>
        <w:t> </w:t>
      </w:r>
      <w:r>
        <w:rPr>
          <w:spacing w:val="-67"/>
        </w:rPr>
      </w:r>
      <w:r>
        <w:rPr/>
        <w:t>为已经建立了较为完善的内部管理制度体系，各项制度建立之后能够得到有效的贯彻和执行。</w:t>
      </w:r>
    </w:p>
    <w:p>
      <w:pPr>
        <w:spacing w:line="477" w:lineRule="auto" w:before="54"/>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（八）关于信息披露与透明度</w:t>
      </w:r>
      <w:r>
        <w:rPr>
          <w:rFonts w:ascii="宋体" w:hAnsi="宋体" w:cs="宋体" w:eastAsia="宋体" w:hint="default"/>
          <w:b/>
          <w:bCs/>
          <w:w w:val="99"/>
          <w:sz w:val="18"/>
          <w:szCs w:val="18"/>
        </w:rPr>
        <w:t> </w:t>
      </w:r>
      <w:r>
        <w:rPr>
          <w:rFonts w:ascii="宋体" w:hAnsi="宋体" w:cs="宋体" w:eastAsia="宋体" w:hint="default"/>
          <w:spacing w:val="-4"/>
          <w:sz w:val="18"/>
          <w:szCs w:val="18"/>
        </w:rPr>
        <w:t>公司严格按照有关法律法规以及《信息披露管理制度》、《投资者关系管理制度》等的要求，真实、准确、及时、公平、</w:t>
      </w:r>
    </w:p>
    <w:p>
      <w:pPr>
        <w:pStyle w:val="BodyText"/>
        <w:spacing w:line="477" w:lineRule="auto" w:before="54"/>
        <w:ind w:right="190"/>
        <w:jc w:val="both"/>
      </w:pPr>
      <w:r>
        <w:rPr>
          <w:spacing w:val="-2"/>
        </w:rPr>
        <w:t>完整地披露有关信息；并指定公司董事会秘书负责信息披露工作，协调公司与投资者的关系，接待股东来访，回答投资者咨</w:t>
      </w:r>
      <w:r>
        <w:rPr>
          <w:spacing w:val="-64"/>
        </w:rPr>
        <w:t> </w:t>
      </w:r>
      <w:r>
        <w:rPr>
          <w:spacing w:val="-64"/>
        </w:rPr>
      </w:r>
      <w:r>
        <w:rPr>
          <w:spacing w:val="-2"/>
        </w:rPr>
        <w:t>询，向投资者提供公司已披露的资料；并指定巨潮资讯网为公司信息披露的指定网站，确保公司所有股东能够以平等的机会</w:t>
      </w:r>
      <w:r>
        <w:rPr>
          <w:spacing w:val="-63"/>
        </w:rPr>
        <w:t> </w:t>
      </w:r>
      <w:r>
        <w:rPr>
          <w:spacing w:val="-63"/>
        </w:rPr>
      </w:r>
      <w:r>
        <w:rPr/>
        <w:t>获得信息。</w:t>
      </w:r>
    </w:p>
    <w:p>
      <w:pPr>
        <w:pStyle w:val="BodyText"/>
        <w:spacing w:line="477" w:lineRule="auto" w:before="54"/>
        <w:ind w:left="513" w:right="94"/>
        <w:jc w:val="left"/>
      </w:pPr>
      <w:r>
        <w:rPr>
          <w:rFonts w:ascii="宋体" w:hAnsi="宋体" w:cs="宋体" w:eastAsia="宋体" w:hint="default"/>
          <w:b/>
          <w:bCs/>
        </w:rPr>
        <w:t>（九）关于利益相关者</w:t>
      </w:r>
      <w:r>
        <w:rPr>
          <w:rFonts w:ascii="宋体" w:hAnsi="宋体" w:cs="宋体" w:eastAsia="宋体" w:hint="default"/>
          <w:b/>
          <w:bCs/>
          <w:w w:val="99"/>
        </w:rPr>
        <w:t> </w:t>
      </w:r>
      <w:r>
        <w:rPr>
          <w:spacing w:val="-2"/>
        </w:rPr>
        <w:t>公司充分尊重和维护相关利益者的合法权益，积极与相关利益者合作，加强与各方的沟通和交流，实现股东、员工、社</w:t>
      </w:r>
    </w:p>
    <w:p>
      <w:pPr>
        <w:pStyle w:val="BodyText"/>
        <w:spacing w:line="240" w:lineRule="auto" w:before="54"/>
        <w:ind w:right="0"/>
        <w:jc w:val="both"/>
      </w:pPr>
      <w:r>
        <w:rPr/>
        <w:t>会等各方利益的协调平衡，共同推动公司持续、健康的发展。</w:t>
      </w:r>
    </w:p>
    <w:p>
      <w:pPr>
        <w:spacing w:line="240" w:lineRule="auto" w:before="10"/>
        <w:rPr>
          <w:rFonts w:ascii="宋体" w:hAnsi="宋体" w:cs="宋体" w:eastAsia="宋体" w:hint="default"/>
          <w:sz w:val="17"/>
          <w:szCs w:val="17"/>
        </w:rPr>
      </w:pPr>
    </w:p>
    <w:p>
      <w:pPr>
        <w:spacing w:line="477" w:lineRule="auto" w:before="0"/>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（十）报告期内公司治理专项活动开展情况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报告期内，公司积极落实中国证监会的最新法规、要求，结合公司实际情况，修订了公司章程，进一步细化和明确了利</w:t>
      </w:r>
    </w:p>
    <w:p>
      <w:pPr>
        <w:spacing w:after="0" w:line="477" w:lineRule="auto"/>
        <w:jc w:val="left"/>
        <w:rPr>
          <w:rFonts w:ascii="宋体" w:hAnsi="宋体" w:cs="宋体" w:eastAsia="宋体" w:hint="default"/>
          <w:sz w:val="18"/>
          <w:szCs w:val="18"/>
        </w:rPr>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477" w:lineRule="auto" w:before="44"/>
        <w:ind w:right="94"/>
        <w:jc w:val="left"/>
      </w:pPr>
      <w:r>
        <w:rPr>
          <w:spacing w:val="-2"/>
        </w:rPr>
        <w:t>润分配政策。按照监管部门要求，公司认真开展了北京辖区上市公司规范运作自查自纠工作和关于</w:t>
      </w:r>
      <w:r>
        <w:rPr>
          <w:rFonts w:ascii="宋体" w:hAnsi="宋体" w:cs="宋体" w:eastAsia="宋体" w:hint="default"/>
          <w:spacing w:val="-2"/>
        </w:rPr>
        <w:t>2012</w:t>
      </w:r>
      <w:r>
        <w:rPr>
          <w:spacing w:val="-2"/>
        </w:rPr>
        <w:t>年创业板上市公司保</w:t>
      </w:r>
      <w:r>
        <w:rPr>
          <w:spacing w:val="-60"/>
        </w:rPr>
        <w:t> </w:t>
      </w:r>
      <w:r>
        <w:rPr>
          <w:spacing w:val="-60"/>
        </w:rPr>
      </w:r>
      <w:r>
        <w:rPr>
          <w:spacing w:val="-4"/>
        </w:rPr>
        <w:t>荐机构在持续督导中落实现场核查工作，通过深入核查分析公司在治理结构、内部控制、信息披露等方面存在的问题与不足，</w:t>
      </w:r>
      <w:r>
        <w:rPr>
          <w:spacing w:val="-43"/>
        </w:rPr>
        <w:t> </w:t>
      </w:r>
      <w:r>
        <w:rPr>
          <w:spacing w:val="-43"/>
        </w:rPr>
      </w:r>
      <w:r>
        <w:rPr/>
        <w:t>制定整改措施、落实整改责任，切实有效的提高了公司治理水平。</w:t>
      </w:r>
    </w:p>
    <w:p>
      <w:pPr>
        <w:spacing w:line="240" w:lineRule="auto" w:before="1"/>
        <w:rPr>
          <w:rFonts w:ascii="宋体" w:hAnsi="宋体" w:cs="宋体" w:eastAsia="宋体" w:hint="default"/>
          <w:sz w:val="25"/>
          <w:szCs w:val="25"/>
        </w:rPr>
      </w:pPr>
    </w:p>
    <w:p>
      <w:pPr>
        <w:pStyle w:val="BodyText"/>
        <w:spacing w:line="240" w:lineRule="auto"/>
        <w:ind w:right="94"/>
        <w:jc w:val="left"/>
      </w:pPr>
      <w:r>
        <w:rPr/>
        <w:t>公司治理与《公司法》和中国证监会相关规定的要求是否存在差异</w:t>
      </w:r>
    </w:p>
    <w:p>
      <w:pPr>
        <w:pStyle w:val="BodyText"/>
        <w:spacing w:line="240" w:lineRule="auto" w:before="115"/>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87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87"/>
              <w:jc w:val="both"/>
              <w:rPr>
                <w:rFonts w:ascii="Times New Roman" w:hAnsi="Times New Roman" w:cs="Times New Roman" w:eastAsia="Times New Roman" w:hint="default"/>
                <w:sz w:val="18"/>
                <w:szCs w:val="18"/>
              </w:rPr>
            </w:pPr>
            <w:hyperlink r:id="rId21">
              <w:r>
                <w:rPr>
                  <w:rFonts w:ascii="Times New Roman"/>
                  <w:spacing w:val="-1"/>
                  <w:sz w:val="18"/>
                </w:rPr>
                <w:t>http://www.cninfo.com.cn/final</w:t>
              </w:r>
            </w:hyperlink>
            <w:r>
              <w:rPr>
                <w:rFonts w:ascii="Times New Roman"/>
                <w:spacing w:val="-39"/>
                <w:sz w:val="18"/>
              </w:rPr>
              <w:t> </w:t>
            </w:r>
            <w:r>
              <w:rPr>
                <w:rFonts w:ascii="Times New Roman"/>
                <w:spacing w:val="-39"/>
                <w:sz w:val="18"/>
              </w:rPr>
            </w:r>
            <w:r>
              <w:rPr>
                <w:rFonts w:ascii="Times New Roman"/>
                <w:sz w:val="18"/>
              </w:rPr>
              <w:t>page/2012-02-11/60529384.PD</w:t>
            </w:r>
            <w:r>
              <w:rPr>
                <w:rFonts w:ascii="Times New Roman"/>
                <w:w w:val="99"/>
                <w:sz w:val="18"/>
              </w:rPr>
              <w:t> </w:t>
            </w:r>
            <w:r>
              <w:rPr>
                <w:rFonts w:ascii="Times New Roman"/>
                <w:sz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3" w:right="80"/>
              <w:jc w:val="both"/>
              <w:rPr>
                <w:rFonts w:ascii="Times New Roman" w:hAnsi="Times New Roman" w:cs="Times New Roman" w:eastAsia="Times New Roman" w:hint="default"/>
                <w:sz w:val="18"/>
                <w:szCs w:val="18"/>
              </w:rPr>
            </w:pPr>
            <w:hyperlink r:id="rId21">
              <w:r>
                <w:rPr>
                  <w:rFonts w:ascii="Times New Roman"/>
                  <w:sz w:val="18"/>
                </w:rPr>
                <w:t>http://www.cninfo.com.cn/final</w:t>
              </w:r>
            </w:hyperlink>
            <w:r>
              <w:rPr>
                <w:rFonts w:ascii="Times New Roman"/>
                <w:sz w:val="18"/>
              </w:rPr>
              <w:t> page/2012-04-10/60803401.PD</w:t>
            </w:r>
            <w:r>
              <w:rPr>
                <w:rFonts w:ascii="Times New Roman"/>
                <w:w w:val="99"/>
                <w:sz w:val="18"/>
              </w:rPr>
              <w:t> </w:t>
            </w:r>
            <w:r>
              <w:rPr>
                <w:rFonts w:ascii="Times New Roman"/>
                <w:sz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87"/>
              <w:jc w:val="both"/>
              <w:rPr>
                <w:rFonts w:ascii="Times New Roman" w:hAnsi="Times New Roman" w:cs="Times New Roman" w:eastAsia="Times New Roman" w:hint="default"/>
                <w:sz w:val="18"/>
                <w:szCs w:val="18"/>
              </w:rPr>
            </w:pPr>
            <w:hyperlink r:id="rId21">
              <w:r>
                <w:rPr>
                  <w:rFonts w:ascii="Times New Roman"/>
                  <w:spacing w:val="-1"/>
                  <w:sz w:val="18"/>
                </w:rPr>
                <w:t>http://www.cninfo.com.cn/final</w:t>
              </w:r>
            </w:hyperlink>
            <w:r>
              <w:rPr>
                <w:rFonts w:ascii="Times New Roman"/>
                <w:spacing w:val="-39"/>
                <w:sz w:val="18"/>
              </w:rPr>
              <w:t> </w:t>
            </w:r>
            <w:r>
              <w:rPr>
                <w:rFonts w:ascii="Times New Roman"/>
                <w:spacing w:val="-39"/>
                <w:sz w:val="18"/>
              </w:rPr>
            </w:r>
            <w:r>
              <w:rPr>
                <w:rFonts w:ascii="Times New Roman"/>
                <w:sz w:val="18"/>
              </w:rPr>
              <w:t>page/2012-06-28/61189082.PD</w:t>
            </w:r>
            <w:r>
              <w:rPr>
                <w:rFonts w:ascii="Times New Roman"/>
                <w:w w:val="99"/>
                <w:sz w:val="18"/>
              </w:rPr>
              <w:t> </w:t>
            </w:r>
            <w:r>
              <w:rPr>
                <w:rFonts w:ascii="Times New Roman"/>
                <w:sz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3" w:right="80"/>
              <w:jc w:val="both"/>
              <w:rPr>
                <w:rFonts w:ascii="Times New Roman" w:hAnsi="Times New Roman" w:cs="Times New Roman" w:eastAsia="Times New Roman" w:hint="default"/>
                <w:sz w:val="18"/>
                <w:szCs w:val="18"/>
              </w:rPr>
            </w:pPr>
            <w:hyperlink r:id="rId21">
              <w:r>
                <w:rPr>
                  <w:rFonts w:ascii="Times New Roman"/>
                  <w:sz w:val="18"/>
                </w:rPr>
                <w:t>http://www.cninfo.com.cn/final</w:t>
              </w:r>
            </w:hyperlink>
            <w:r>
              <w:rPr>
                <w:rFonts w:ascii="Times New Roman"/>
                <w:sz w:val="18"/>
              </w:rPr>
              <w:t> page/2012-08-14/61414836.PD</w:t>
            </w:r>
            <w:r>
              <w:rPr>
                <w:rFonts w:ascii="Times New Roman"/>
                <w:w w:val="99"/>
                <w:sz w:val="18"/>
              </w:rPr>
              <w:t> </w:t>
            </w:r>
            <w:r>
              <w:rPr>
                <w:rFonts w:ascii="Times New Roman"/>
                <w:sz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94"/>
        <w:jc w:val="left"/>
        <w:rPr>
          <w:b w:val="0"/>
          <w:bCs w:val="0"/>
        </w:rPr>
      </w:pPr>
      <w:r>
        <w:rPr/>
        <w:t>三、报告期董事会召开情况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第二届董事会第六次会议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80"/>
              <w:jc w:val="both"/>
              <w:rPr>
                <w:rFonts w:ascii="Times New Roman" w:hAnsi="Times New Roman" w:cs="Times New Roman" w:eastAsia="Times New Roman" w:hint="default"/>
                <w:sz w:val="18"/>
                <w:szCs w:val="18"/>
              </w:rPr>
            </w:pPr>
            <w:hyperlink r:id="rId21">
              <w:r>
                <w:rPr>
                  <w:rFonts w:ascii="Times New Roman"/>
                  <w:sz w:val="18"/>
                </w:rPr>
                <w:t>http://www.cninfo.com.cn/final</w:t>
              </w:r>
            </w:hyperlink>
            <w:r>
              <w:rPr>
                <w:rFonts w:ascii="Times New Roman"/>
                <w:sz w:val="18"/>
              </w:rPr>
              <w:t> page/2012-01-20/60469580.PD</w:t>
            </w:r>
            <w:r>
              <w:rPr>
                <w:rFonts w:ascii="Times New Roman"/>
                <w:w w:val="99"/>
                <w:sz w:val="18"/>
              </w:rPr>
              <w:t> </w:t>
            </w:r>
            <w:r>
              <w:rPr>
                <w:rFonts w:ascii="Times New Roman"/>
                <w:sz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67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第二届董事会第七次会议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80"/>
              <w:jc w:val="left"/>
              <w:rPr>
                <w:rFonts w:ascii="Times New Roman" w:hAnsi="Times New Roman" w:cs="Times New Roman" w:eastAsia="Times New Roman" w:hint="default"/>
                <w:sz w:val="18"/>
                <w:szCs w:val="18"/>
              </w:rPr>
            </w:pPr>
            <w:hyperlink r:id="rId21">
              <w:r>
                <w:rPr>
                  <w:rFonts w:ascii="Times New Roman"/>
                  <w:sz w:val="18"/>
                </w:rPr>
                <w:t>http://www.cninfo.com.cn/final</w:t>
              </w:r>
            </w:hyperlink>
            <w:r>
              <w:rPr>
                <w:rFonts w:ascii="Times New Roman"/>
                <w:sz w:val="18"/>
              </w:rPr>
              <w:t> page/2012-03-23/60712088.PD</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72" w:footer="1006" w:top="1080" w:bottom="1200" w:left="980" w:right="940"/>
        </w:sectPr>
      </w:pP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第二届董事会第八次会议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80"/>
              <w:jc w:val="both"/>
              <w:rPr>
                <w:rFonts w:ascii="Times New Roman" w:hAnsi="Times New Roman" w:cs="Times New Roman" w:eastAsia="Times New Roman" w:hint="default"/>
                <w:sz w:val="18"/>
                <w:szCs w:val="18"/>
              </w:rPr>
            </w:pPr>
            <w:hyperlink r:id="rId21">
              <w:r>
                <w:rPr>
                  <w:rFonts w:ascii="Times New Roman"/>
                  <w:sz w:val="18"/>
                </w:rPr>
                <w:t>http://www.cninfo.com.cn/final</w:t>
              </w:r>
            </w:hyperlink>
            <w:r>
              <w:rPr>
                <w:rFonts w:ascii="Times New Roman"/>
                <w:sz w:val="18"/>
              </w:rPr>
              <w:t> page/2012-04-24/60888338.PD</w:t>
            </w:r>
            <w:r>
              <w:rPr>
                <w:rFonts w:ascii="Times New Roman"/>
                <w:w w:val="99"/>
                <w:sz w:val="18"/>
              </w:rPr>
              <w:t> </w:t>
            </w:r>
            <w:r>
              <w:rPr>
                <w:rFonts w:ascii="Times New Roman"/>
                <w:sz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第二届董事会第九次会议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94"/>
              <w:jc w:val="both"/>
              <w:rPr>
                <w:rFonts w:ascii="Times New Roman" w:hAnsi="Times New Roman" w:cs="Times New Roman" w:eastAsia="Times New Roman" w:hint="default"/>
                <w:sz w:val="18"/>
                <w:szCs w:val="18"/>
              </w:rPr>
            </w:pPr>
            <w:hyperlink r:id="rId21">
              <w:r>
                <w:rPr>
                  <w:rFonts w:ascii="Times New Roman"/>
                  <w:spacing w:val="-1"/>
                  <w:sz w:val="18"/>
                </w:rPr>
                <w:t>http://www.cninfo.com.cn/final</w:t>
              </w:r>
            </w:hyperlink>
            <w:r>
              <w:rPr>
                <w:rFonts w:ascii="Times New Roman"/>
                <w:spacing w:val="-39"/>
                <w:sz w:val="18"/>
              </w:rPr>
              <w:t> </w:t>
            </w:r>
            <w:r>
              <w:rPr>
                <w:rFonts w:ascii="Times New Roman"/>
                <w:spacing w:val="-39"/>
                <w:sz w:val="18"/>
              </w:rPr>
            </w:r>
            <w:r>
              <w:rPr>
                <w:rFonts w:ascii="Times New Roman"/>
                <w:spacing w:val="-1"/>
                <w:sz w:val="18"/>
              </w:rPr>
              <w:t>page/2012-06-09/61115039.PD</w:t>
            </w:r>
            <w:r>
              <w:rPr>
                <w:rFonts w:ascii="Times New Roman"/>
                <w:spacing w:val="-39"/>
                <w:sz w:val="18"/>
              </w:rPr>
              <w:t> </w:t>
            </w:r>
            <w:r>
              <w:rPr>
                <w:rFonts w:ascii="Times New Roman"/>
                <w:spacing w:val="-39"/>
                <w:sz w:val="18"/>
              </w:rPr>
            </w:r>
            <w:r>
              <w:rPr>
                <w:rFonts w:ascii="Times New Roman"/>
                <w:sz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80"/>
              <w:jc w:val="both"/>
              <w:rPr>
                <w:rFonts w:ascii="Times New Roman" w:hAnsi="Times New Roman" w:cs="Times New Roman" w:eastAsia="Times New Roman" w:hint="default"/>
                <w:sz w:val="18"/>
                <w:szCs w:val="18"/>
              </w:rPr>
            </w:pPr>
            <w:hyperlink r:id="rId21">
              <w:r>
                <w:rPr>
                  <w:rFonts w:ascii="Times New Roman"/>
                  <w:sz w:val="18"/>
                </w:rPr>
                <w:t>http://www.cninfo.com.cn/final</w:t>
              </w:r>
            </w:hyperlink>
            <w:r>
              <w:rPr>
                <w:rFonts w:ascii="Times New Roman"/>
                <w:sz w:val="18"/>
              </w:rPr>
              <w:t> page/2012-07-26/61323842.PD</w:t>
            </w:r>
            <w:r>
              <w:rPr>
                <w:rFonts w:ascii="Times New Roman"/>
                <w:w w:val="99"/>
                <w:sz w:val="18"/>
              </w:rPr>
              <w:t> </w:t>
            </w:r>
            <w:r>
              <w:rPr>
                <w:rFonts w:ascii="Times New Roman"/>
                <w:sz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第二届董事会第十一次会议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80"/>
              <w:jc w:val="both"/>
              <w:rPr>
                <w:rFonts w:ascii="Times New Roman" w:hAnsi="Times New Roman" w:cs="Times New Roman" w:eastAsia="Times New Roman" w:hint="default"/>
                <w:sz w:val="18"/>
                <w:szCs w:val="18"/>
              </w:rPr>
            </w:pPr>
            <w:hyperlink r:id="rId21">
              <w:r>
                <w:rPr>
                  <w:rFonts w:ascii="Times New Roman"/>
                  <w:sz w:val="18"/>
                </w:rPr>
                <w:t>http://www.cninfo.com.cn/final</w:t>
              </w:r>
            </w:hyperlink>
            <w:r>
              <w:rPr>
                <w:rFonts w:ascii="Times New Roman"/>
                <w:sz w:val="18"/>
              </w:rPr>
              <w:t> page/2012-08-23/61463997.PD</w:t>
            </w:r>
            <w:r>
              <w:rPr>
                <w:rFonts w:ascii="Times New Roman"/>
                <w:w w:val="99"/>
                <w:sz w:val="18"/>
              </w:rPr>
              <w:t> </w:t>
            </w:r>
            <w:r>
              <w:rPr>
                <w:rFonts w:ascii="Times New Roman"/>
                <w:sz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80"/>
              <w:jc w:val="both"/>
              <w:rPr>
                <w:rFonts w:ascii="Times New Roman" w:hAnsi="Times New Roman" w:cs="Times New Roman" w:eastAsia="Times New Roman" w:hint="default"/>
                <w:sz w:val="18"/>
                <w:szCs w:val="18"/>
              </w:rPr>
            </w:pPr>
            <w:hyperlink r:id="rId21">
              <w:r>
                <w:rPr>
                  <w:rFonts w:ascii="Times New Roman"/>
                  <w:sz w:val="18"/>
                </w:rPr>
                <w:t>http://www.cninfo.com.cn/final</w:t>
              </w:r>
            </w:hyperlink>
            <w:r>
              <w:rPr>
                <w:rFonts w:ascii="Times New Roman"/>
                <w:sz w:val="18"/>
              </w:rPr>
              <w:t> page/2012-09-10/61546881.PD</w:t>
            </w:r>
            <w:r>
              <w:rPr>
                <w:rFonts w:ascii="Times New Roman"/>
                <w:w w:val="99"/>
                <w:sz w:val="18"/>
              </w:rPr>
              <w:t> </w:t>
            </w:r>
            <w:r>
              <w:rPr>
                <w:rFonts w:ascii="Times New Roman"/>
                <w:sz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80"/>
              <w:jc w:val="both"/>
              <w:rPr>
                <w:rFonts w:ascii="Times New Roman" w:hAnsi="Times New Roman" w:cs="Times New Roman" w:eastAsia="Times New Roman" w:hint="default"/>
                <w:sz w:val="18"/>
                <w:szCs w:val="18"/>
              </w:rPr>
            </w:pPr>
            <w:hyperlink r:id="rId21">
              <w:r>
                <w:rPr>
                  <w:rFonts w:ascii="Times New Roman"/>
                  <w:sz w:val="18"/>
                </w:rPr>
                <w:t>http://www.cninfo.com.cn/final</w:t>
              </w:r>
            </w:hyperlink>
            <w:r>
              <w:rPr>
                <w:rFonts w:ascii="Times New Roman"/>
                <w:sz w:val="18"/>
              </w:rPr>
              <w:t> page/2012-12-14/61907580.PD</w:t>
            </w:r>
            <w:r>
              <w:rPr>
                <w:rFonts w:ascii="Times New Roman"/>
                <w:w w:val="99"/>
                <w:sz w:val="18"/>
              </w:rPr>
              <w:t> </w:t>
            </w:r>
            <w:r>
              <w:rPr>
                <w:rFonts w:ascii="Times New Roman"/>
                <w:sz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年第一次临时董事会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94"/>
        <w:jc w:val="left"/>
        <w:rPr>
          <w:b w:val="0"/>
          <w:bCs w:val="0"/>
        </w:rPr>
      </w:pPr>
      <w:r>
        <w:rPr/>
        <w:t>四、年度报告重大差错责任追究制度的建立与执行情况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02" w:firstLine="360"/>
        <w:jc w:val="both"/>
      </w:pPr>
      <w:r>
        <w:rPr>
          <w:spacing w:val="-6"/>
        </w:rPr>
        <w:t>公司根据《上市公司信息披露管理办法》、《上市公司治理准则》和《深圳证券交易所创业板股票上市规则》等法律、法</w:t>
      </w:r>
      <w:r>
        <w:rPr/>
        <w:t> </w:t>
      </w:r>
      <w:r>
        <w:rPr>
          <w:spacing w:val="-2"/>
        </w:rPr>
        <w:t>规、规范性文件的规定和要求，结合公司的实际情况，已制定了《北京东方国信科技股份有限公司年报信息披露重大差错责</w:t>
      </w:r>
      <w:r>
        <w:rPr>
          <w:spacing w:val="-64"/>
        </w:rPr>
        <w:t> </w:t>
      </w:r>
      <w:r>
        <w:rPr>
          <w:spacing w:val="-64"/>
        </w:rPr>
      </w:r>
      <w:r>
        <w:rPr>
          <w:spacing w:val="-4"/>
        </w:rPr>
        <w:t>任追究制度》，并得到了有效执行。报告期内，公司未发生重大会计差错更正、重大遗漏信息补充以及业绩预告修正等情况。</w:t>
      </w:r>
    </w:p>
    <w:p>
      <w:pPr>
        <w:spacing w:line="240" w:lineRule="auto" w:before="7"/>
        <w:rPr>
          <w:rFonts w:ascii="宋体" w:hAnsi="宋体" w:cs="宋体" w:eastAsia="宋体" w:hint="default"/>
          <w:sz w:val="17"/>
          <w:szCs w:val="17"/>
        </w:rPr>
      </w:pPr>
    </w:p>
    <w:p>
      <w:pPr>
        <w:pStyle w:val="Heading2"/>
        <w:spacing w:line="240" w:lineRule="auto"/>
        <w:ind w:right="94"/>
        <w:jc w:val="left"/>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监事会在报告期内的监督活动是否发现公司存在风险</w:t>
      </w:r>
    </w:p>
    <w:p>
      <w:pPr>
        <w:pStyle w:val="BodyText"/>
        <w:spacing w:line="338" w:lineRule="auto" w:before="118"/>
        <w:ind w:right="6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38" w:lineRule="auto"/>
        <w:jc w:val="left"/>
        <w:sectPr>
          <w:pgSz w:w="11910" w:h="16840"/>
          <w:pgMar w:header="772" w:footer="1006" w:top="1080" w:bottom="120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1"/>
        <w:spacing w:line="240" w:lineRule="auto"/>
        <w:ind w:left="1862" w:right="1861"/>
        <w:jc w:val="center"/>
        <w:rPr>
          <w:b w:val="0"/>
          <w:bCs w:val="0"/>
        </w:rPr>
      </w:pPr>
      <w:bookmarkStart w:name="_TOC_250001" w:id="9"/>
      <w:r>
        <w:rPr/>
        <w:t>第九节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北京兴华会计师事务所有限责任公司</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）京会兴审字第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05012695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772" w:footer="1006" w:top="1080" w:bottom="1200" w:left="980" w:right="98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Heading4"/>
        <w:spacing w:line="240" w:lineRule="auto"/>
        <w:ind w:left="152" w:right="0"/>
        <w:jc w:val="left"/>
      </w:pPr>
      <w:r>
        <w:rPr>
          <w:spacing w:val="-2"/>
        </w:rPr>
        <w:t>北京东方国信科技股份有限公司全体股东：</w:t>
      </w:r>
    </w:p>
    <w:p>
      <w:pPr>
        <w:spacing w:before="42"/>
        <w:ind w:left="65"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审计报告正文</w:t>
      </w:r>
    </w:p>
    <w:p>
      <w:pPr>
        <w:spacing w:after="0"/>
        <w:jc w:val="left"/>
        <w:rPr>
          <w:rFonts w:ascii="宋体" w:hAnsi="宋体" w:cs="宋体" w:eastAsia="宋体" w:hint="default"/>
          <w:sz w:val="24"/>
          <w:szCs w:val="24"/>
        </w:rPr>
        <w:sectPr>
          <w:type w:val="continuous"/>
          <w:pgSz w:w="11910" w:h="16840"/>
          <w:pgMar w:top="1080" w:bottom="1200" w:left="980" w:right="980"/>
          <w:cols w:num="2" w:equalWidth="0">
            <w:col w:w="4148" w:space="40"/>
            <w:col w:w="5762"/>
          </w:cols>
        </w:sectPr>
      </w:pPr>
    </w:p>
    <w:p>
      <w:pPr>
        <w:pStyle w:val="Heading4"/>
        <w:spacing w:line="297" w:lineRule="auto" w:before="66"/>
        <w:ind w:left="152" w:right="146" w:firstLine="420"/>
        <w:jc w:val="both"/>
      </w:pPr>
      <w:r>
        <w:rPr>
          <w:spacing w:val="-2"/>
        </w:rPr>
        <w:t>我们审计了后附的北京东方国信科技股份有限公司（以下简称“东方国信”）财务报表，包括</w:t>
      </w:r>
      <w:r>
        <w:rPr>
          <w:rFonts w:ascii="宋体" w:hAnsi="宋体" w:cs="宋体" w:eastAsia="宋体" w:hint="default"/>
          <w:spacing w:val="-2"/>
        </w:rPr>
        <w:t>2012</w:t>
      </w:r>
      <w:r>
        <w:rPr>
          <w:spacing w:val="-2"/>
        </w:rPr>
        <w:t>年</w:t>
      </w:r>
      <w:r>
        <w:rPr>
          <w:w w:val="100"/>
        </w:rPr>
        <w:t> </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日的合并及母公司资产负债表，</w:t>
      </w:r>
      <w:r>
        <w:rPr>
          <w:rFonts w:ascii="宋体" w:hAnsi="宋体" w:cs="宋体" w:eastAsia="宋体" w:hint="default"/>
          <w:spacing w:val="-2"/>
        </w:rPr>
        <w:t>2012</w:t>
      </w:r>
      <w:r>
        <w:rPr>
          <w:spacing w:val="-2"/>
        </w:rPr>
        <w:t>年度的合并及母公司利润表、合并及母公司现金流量表、合并</w:t>
      </w:r>
      <w:r>
        <w:rPr>
          <w:spacing w:val="-36"/>
        </w:rPr>
        <w:t> </w:t>
      </w:r>
      <w:r>
        <w:rPr>
          <w:spacing w:val="-36"/>
        </w:rPr>
      </w:r>
      <w:r>
        <w:rPr/>
        <w:t>及母公司股东权益变动表，以及财务报表附注。</w:t>
      </w:r>
    </w:p>
    <w:p>
      <w:pPr>
        <w:spacing w:line="295" w:lineRule="auto" w:before="15"/>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z w:val="21"/>
          <w:szCs w:val="21"/>
        </w:rPr>
        <w:t>编制和公允列报财务报表是东方国信管理层的责任，这种责任包括：（</w:t>
      </w:r>
      <w:r>
        <w:rPr>
          <w:rFonts w:ascii="宋体" w:hAnsi="宋体" w:cs="宋体" w:eastAsia="宋体" w:hint="default"/>
          <w:sz w:val="21"/>
          <w:szCs w:val="21"/>
        </w:rPr>
        <w:t>1</w:t>
      </w:r>
      <w:r>
        <w:rPr>
          <w:rFonts w:ascii="宋体" w:hAnsi="宋体" w:cs="宋体" w:eastAsia="宋体" w:hint="default"/>
          <w:sz w:val="21"/>
          <w:szCs w:val="21"/>
        </w:rPr>
        <w:t>）按照企业会计准则的规定</w:t>
      </w:r>
    </w:p>
    <w:p>
      <w:pPr>
        <w:pStyle w:val="Heading4"/>
        <w:spacing w:line="297" w:lineRule="auto" w:before="17"/>
        <w:ind w:left="152" w:right="0"/>
        <w:jc w:val="left"/>
      </w:pPr>
      <w:r>
        <w:rPr/>
        <w:t>编制财务报表，并使其实现公允反映；（</w:t>
      </w:r>
      <w:r>
        <w:rPr>
          <w:rFonts w:ascii="宋体" w:hAnsi="宋体" w:cs="宋体" w:eastAsia="宋体" w:hint="default"/>
        </w:rPr>
        <w:t>2</w:t>
      </w:r>
      <w:r>
        <w:rPr/>
        <w:t>）设计、执行和维护必要的内部控制，以使财务报表不存在由</w:t>
      </w:r>
      <w:r>
        <w:rPr>
          <w:spacing w:val="-23"/>
        </w:rPr>
        <w:t> </w:t>
      </w:r>
      <w:r>
        <w:rPr>
          <w:spacing w:val="-23"/>
        </w:rPr>
      </w:r>
      <w:r>
        <w:rPr/>
        <w:t>于舞弊或错误导致的重大错报。</w:t>
      </w:r>
    </w:p>
    <w:p>
      <w:pPr>
        <w:pStyle w:val="Heading4"/>
        <w:spacing w:line="297" w:lineRule="auto" w:before="13"/>
        <w:ind w:right="0" w:firstLine="2"/>
        <w:jc w:val="left"/>
      </w:pPr>
      <w:r>
        <w:rPr>
          <w:rFonts w:ascii="宋体" w:hAnsi="宋体" w:cs="宋体" w:eastAsia="宋体" w:hint="default"/>
          <w:b/>
          <w:bCs/>
        </w:rPr>
        <w:t>二、注册会计师的责任</w:t>
      </w:r>
      <w:r>
        <w:rPr>
          <w:rFonts w:ascii="宋体" w:hAnsi="宋体" w:cs="宋体" w:eastAsia="宋体" w:hint="default"/>
          <w:b/>
          <w:bCs/>
          <w:w w:val="100"/>
        </w:rPr>
        <w:t> </w:t>
      </w:r>
      <w:r>
        <w:rPr>
          <w:spacing w:val="-2"/>
        </w:rPr>
        <w:t>我们的责任是在执行审计工作的基础上对财务报表发表审计意见。我们按照中国注册会计师审计准则</w:t>
      </w:r>
    </w:p>
    <w:p>
      <w:pPr>
        <w:pStyle w:val="Heading4"/>
        <w:spacing w:line="295" w:lineRule="auto" w:before="16"/>
        <w:ind w:left="152" w:right="0"/>
        <w:jc w:val="left"/>
      </w:pP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Heading4"/>
        <w:spacing w:line="297" w:lineRule="auto" w:before="17"/>
        <w:ind w:left="152" w:right="146"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pStyle w:val="Heading4"/>
        <w:spacing w:line="297" w:lineRule="auto" w:before="13"/>
        <w:ind w:left="575" w:right="1764" w:hanging="3"/>
        <w:jc w:val="left"/>
        <w:rPr>
          <w:rFonts w:ascii="宋体" w:hAnsi="宋体" w:cs="宋体" w:eastAsia="宋体" w:hint="default"/>
        </w:rPr>
      </w:pPr>
      <w:r>
        <w:rPr>
          <w:spacing w:val="-2"/>
        </w:rPr>
        <w:t>我们相信，我们获取的审计证据是充分的、适当的，为发表审计意见提供了基础。</w:t>
      </w:r>
      <w:r>
        <w:rPr>
          <w:spacing w:val="-35"/>
        </w:rPr>
        <w:t> </w:t>
      </w:r>
      <w:r>
        <w:rPr>
          <w:spacing w:val="-35"/>
        </w:rPr>
      </w:r>
      <w:r>
        <w:rPr>
          <w:rFonts w:ascii="宋体" w:hAnsi="宋体" w:cs="宋体" w:eastAsia="宋体" w:hint="default"/>
          <w:b/>
          <w:bCs/>
        </w:rPr>
        <w:t>三、审计意见</w:t>
      </w:r>
      <w:r>
        <w:rPr>
          <w:rFonts w:ascii="宋体" w:hAnsi="宋体" w:cs="宋体" w:eastAsia="宋体" w:hint="default"/>
        </w:rPr>
      </w:r>
    </w:p>
    <w:p>
      <w:pPr>
        <w:pStyle w:val="Heading4"/>
        <w:spacing w:line="295" w:lineRule="auto" w:before="15"/>
        <w:ind w:left="152" w:right="160" w:firstLine="420"/>
        <w:jc w:val="both"/>
      </w:pPr>
      <w:r>
        <w:rPr>
          <w:spacing w:val="2"/>
        </w:rPr>
        <w:t>我们认为，东方国信财务报表在所有重大方面按照企业会计准则的规定编制，公允反映了东方国信</w:t>
      </w:r>
      <w:r>
        <w:rPr>
          <w:w w:val="100"/>
        </w:rPr>
        <w:t> </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2012</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5136" w:val="left" w:leader="none"/>
        </w:tabs>
        <w:spacing w:line="297" w:lineRule="auto" w:before="173"/>
        <w:ind w:left="5088" w:right="2498" w:hanging="4936"/>
        <w:jc w:val="left"/>
      </w:pPr>
      <w:r>
        <w:rPr>
          <w:spacing w:val="-2"/>
        </w:rPr>
        <w:t>北京兴华会计师事务所有限责任公司</w:t>
        <w:tab/>
        <w:tab/>
        <w:t>中国注册会计师：姜照东</w:t>
      </w:r>
      <w:r>
        <w:rPr>
          <w:spacing w:val="-88"/>
        </w:rPr>
        <w:t> </w:t>
      </w:r>
      <w:r>
        <w:rPr>
          <w:spacing w:val="-88"/>
        </w:rPr>
      </w:r>
      <w:r>
        <w:rPr/>
        <w:t>中国注册会计师：马</w:t>
      </w:r>
      <w:r>
        <w:rPr>
          <w:spacing w:val="66"/>
        </w:rPr>
        <w:t> </w:t>
      </w:r>
      <w:r>
        <w:rPr/>
        <w:t>莉</w:t>
      </w:r>
    </w:p>
    <w:p>
      <w:pPr>
        <w:spacing w:line="240" w:lineRule="auto" w:before="1"/>
        <w:rPr>
          <w:rFonts w:ascii="宋体" w:hAnsi="宋体" w:cs="宋体" w:eastAsia="宋体" w:hint="default"/>
          <w:sz w:val="27"/>
          <w:szCs w:val="27"/>
        </w:rPr>
      </w:pPr>
    </w:p>
    <w:p>
      <w:pPr>
        <w:pStyle w:val="Heading4"/>
        <w:tabs>
          <w:tab w:pos="5472" w:val="left" w:leader="none"/>
        </w:tabs>
        <w:spacing w:line="240" w:lineRule="auto"/>
        <w:ind w:left="1233" w:right="0"/>
        <w:jc w:val="left"/>
      </w:pPr>
      <w:r>
        <w:rPr>
          <w:spacing w:val="-20"/>
        </w:rPr>
        <w:t>中国</w:t>
      </w:r>
      <w:r>
        <w:rPr>
          <w:rFonts w:ascii="Times New Roman" w:hAnsi="Times New Roman" w:cs="Times New Roman" w:eastAsia="Times New Roman" w:hint="default"/>
          <w:spacing w:val="-20"/>
        </w:rPr>
        <w:t>·</w:t>
      </w:r>
      <w:r>
        <w:rPr>
          <w:spacing w:val="-20"/>
        </w:rPr>
        <w:t>北京市</w:t>
        <w:tab/>
      </w:r>
      <w:r>
        <w:rPr/>
        <w:t>二</w:t>
      </w:r>
      <w:r>
        <w:rPr>
          <w:rFonts w:ascii="Times New Roman" w:hAnsi="Times New Roman" w:cs="Times New Roman" w:eastAsia="Times New Roman" w:hint="default"/>
        </w:rPr>
        <w:t>○</w:t>
      </w:r>
      <w:r>
        <w:rPr/>
        <w:t>一三年四月十八日</w:t>
      </w:r>
    </w:p>
    <w:p>
      <w:pPr>
        <w:spacing w:after="0" w:line="240" w:lineRule="auto"/>
        <w:jc w:val="left"/>
        <w:sectPr>
          <w:type w:val="continuous"/>
          <w:pgSz w:w="11910" w:h="16840"/>
          <w:pgMar w:top="1080" w:bottom="1200" w:left="980" w:right="980"/>
        </w:sectPr>
      </w:pPr>
    </w:p>
    <w:p>
      <w:pPr>
        <w:spacing w:line="240" w:lineRule="auto" w:before="8"/>
        <w:rPr>
          <w:rFonts w:ascii="宋体" w:hAnsi="宋体" w:cs="宋体" w:eastAsia="宋体" w:hint="default"/>
          <w:sz w:val="21"/>
          <w:szCs w:val="21"/>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编制单位：北京东方国信科技股份有限公司</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347,046,514.14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538,508,344.56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151,679,904.87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101,396,334.26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103,894,588.19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1,419,500.00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1,316,150.47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4,585,714.54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14,424,962.42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16,782,265.73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15,271,592.33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1,453,549.24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633,633,712.42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664,145,708.33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18,046,205.12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14,830,877.41</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47,833,651.06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1,390,082.71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40,462,811.21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19,715,472.78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35,300,223.21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35,300,223.21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3,167,341.81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546,981.32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485,492.16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145,357,213.73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71,722,148.27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778,990,926.15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735,867,856.60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4,502,513.27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3,156,855.00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518,102.80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3,883,400.00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29,238,966.39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23,094,833.53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5,949,229.88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8,131,849.88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5,128,968.10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26,601,278.68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2" w:footer="1006" w:top="108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45,337,780.44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64,868,217.09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375,500.00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375,500.00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45,713,280.44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65,243,717.09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436,180,677.33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517,180,677.33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19,198,553.88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13,511,843.52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156,398,414.50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99,431,618.66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733,277,645.71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670,624,139.51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733,277,645.71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670,624,139.51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778,990,926.15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735,867,856.60</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法定代表人：管连平</w:t>
        <w:tab/>
      </w:r>
      <w:r>
        <w:rPr>
          <w:spacing w:val="-1"/>
        </w:rPr>
        <w:t>主管会计工作负责人：陈桂霞</w:t>
        <w:tab/>
      </w:r>
      <w:r>
        <w:rPr/>
        <w:t>会计机构负责人：姜海青</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编制单位：北京东方国信科技股份有限公司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290"/>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8" w:right="0"/>
              <w:jc w:val="left"/>
              <w:rPr>
                <w:rFonts w:ascii="Times New Roman" w:hAnsi="Times New Roman" w:cs="Times New Roman" w:eastAsia="Times New Roman" w:hint="default"/>
                <w:sz w:val="18"/>
                <w:szCs w:val="18"/>
              </w:rPr>
            </w:pPr>
            <w:r>
              <w:rPr>
                <w:rFonts w:ascii="Times New Roman"/>
                <w:sz w:val="18"/>
              </w:rPr>
              <w:t>308,155,340.75</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512,425,301.97</w:t>
            </w:r>
          </w:p>
        </w:tc>
      </w:tr>
    </w:tbl>
    <w:p>
      <w:pPr>
        <w:spacing w:after="0" w:line="240" w:lineRule="auto"/>
        <w:jc w:val="lef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135,258,175.48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85,768,577.09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98,163,988.75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1,316,150.47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4,585,714.54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18,052,911.09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4,852,974.96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6,026,985.05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1,215,197.24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566,973,551.59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609,447,765.80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64,000,000.00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15,543,141.51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12,814,698.54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47,814,776.44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1,390,082.71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40,462,811.21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19,715,472.78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3,167,341.81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473,169.01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433,058.80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188,461,239.98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98,353,312.83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755,434,791.57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707,801,078.63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2" w:footer="1006" w:top="108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916,424.40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2,585.30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29,152,270.29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22,616,744.13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5,499,675.42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5,027,731.04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2,655,115.10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10,934,986.01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38,226,070.51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39,359,461.18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375,500.00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375,500.00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375,500.00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375,500.00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38,601,570.51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39,734,961.18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436,180,677.33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517,180,677.33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19,198,553.88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13,511,843.52</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139,953,989.85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96,873,596.60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716,833,221.06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668,066,117.45</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755,434,791.57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707,801,078.63</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法定代表人：管连平</w:t>
        <w:tab/>
      </w:r>
      <w:r>
        <w:rPr>
          <w:spacing w:val="-1"/>
        </w:rPr>
        <w:t>主管会计工作负责人：陈桂霞</w:t>
        <w:tab/>
      </w:r>
      <w:r>
        <w:rPr/>
        <w:t>会计机构负责人：姜海青</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编制单位：北京东方国信科技股份有限公司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313,003,233.22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178,811,264.68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313,003,233.22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178,811,264.68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231,468,632.17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120,208,364.42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168,375,448.76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84,473,032.08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6,480,387.86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4,296,824.90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20,182,814.72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10,021,137.64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45,969,915.12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33,321,953.73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-10,188,645.80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-12,483,569.47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648,711.51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578,985.54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81,534,601.05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58,602,900.26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2,228,350.41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8,849,899.78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41,165.69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83,762,751.46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67,411,634.35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13,009,245.26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9,841,054.75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70,753,506.20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57,570,579.60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70,753,506.20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57,570,579.60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70,753,506.20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57,570,579.60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70,753,506.20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57,570,579.60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578" w:val="left" w:leader="none"/>
          <w:tab w:pos="7721" w:val="left" w:leader="none"/>
        </w:tabs>
        <w:spacing w:line="240" w:lineRule="auto" w:before="141"/>
        <w:ind w:right="0"/>
        <w:jc w:val="left"/>
      </w:pPr>
      <w:r>
        <w:rPr/>
        <w:t>法定代表人：管连平</w:t>
        <w:tab/>
      </w:r>
      <w:r>
        <w:rPr>
          <w:spacing w:val="-1"/>
        </w:rPr>
        <w:t>主管会计工作负责人：陈桂霞</w:t>
        <w:tab/>
      </w:r>
      <w:r>
        <w:rPr/>
        <w:t>会计机构负责人：姜海青</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编制单位：北京东方国信科技股份有限公司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202,913,985.20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151,162,982.44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90,790,173.83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64,471,135.19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3,187,957.66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2,549,920.41</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19,583,879.55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8,920,063.89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33,937,662.22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32,025,006.83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-10,338,153.33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-12,465,868.62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511,137.91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548,812.30</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65,241,327.36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55,113,912.44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2,228,350.41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8,849,899.78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41,165.69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67,469,677.77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63,922,646.53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10,602,574.16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8,910,088.99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56,867,103.61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55,012,557.54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56,867,103.61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55,012,557.54</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left"/>
      </w:pPr>
      <w:r>
        <w:rPr/>
        <w:t>法定代表人：管连平</w:t>
        <w:tab/>
      </w:r>
      <w:r>
        <w:rPr>
          <w:spacing w:val="-1"/>
        </w:rPr>
        <w:t>主管会计工作负责人：陈桂霞</w:t>
        <w:tab/>
      </w:r>
      <w:r>
        <w:rPr/>
        <w:t>会计机构负责人：姜海青</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编制单位：北京东方国信科技股份有限公司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267,010,022.44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0" w:right="0"/>
              <w:jc w:val="left"/>
              <w:rPr>
                <w:rFonts w:ascii="Times New Roman" w:hAnsi="Times New Roman" w:cs="Times New Roman" w:eastAsia="Times New Roman" w:hint="default"/>
                <w:sz w:val="18"/>
                <w:szCs w:val="18"/>
              </w:rPr>
            </w:pPr>
            <w:r>
              <w:rPr>
                <w:rFonts w:ascii="Times New Roman"/>
                <w:sz w:val="18"/>
              </w:rPr>
              <w:t>164,271,456.11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2" w:footer="1006" w:top="108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878,350.41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7,897,446.03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22,096,127.66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16,637,384.10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289,984,500.51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188,806,286.24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118,035,624.83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45,629,746.53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104,456,288.02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78,354,932.40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31,463,676.22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27,417,518.94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46,810,340.04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21,415,818.98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300,765,929.11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172,818,016.85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-10,781,428.60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15,988,269.39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158,913,449.46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10,892,126.25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26,483,730.03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169,313,449.46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37,375,856.28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-169,313,449.46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-37,325,856.28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534,809,625.60</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pacing w:val="-1"/>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534,809,625.60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18,114,446.40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20,250,000.00</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7,353,631.58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18,114,446.40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27,603,631.58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-18,114,446.40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507,205,994.02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-198,209,324.46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485,868,407.13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537,816,388.32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51,947,981.19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339,607,063.86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537,816,388.32</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法定代表人：管连平</w:t>
        <w:tab/>
      </w:r>
      <w:r>
        <w:rPr>
          <w:spacing w:val="-1"/>
        </w:rPr>
        <w:t>主管会计工作负责人：陈桂霞</w:t>
        <w:tab/>
      </w:r>
      <w:r>
        <w:rPr/>
        <w:t>会计机构负责人：姜海青</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编制单位：北京东方国信科技股份有限公司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155,536,824.15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138,493,711.82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878,350.41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7,897,446.03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15,146,325.56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13,268,004.25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171,561,500.12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159,659,162.10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34,404,080.31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22,397,399.65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86,114,664.92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74,429,922.13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22,462,236.60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25,471,107.85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46,348,269.08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21,307,249.29</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189,329,250.91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143,605,678.92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-17,767,750.79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16,053,483.18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157,749,704.47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9,924,112.66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185,149,704.47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63,524,112.66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-185,149,704.47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-63,474,112.66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534,809,625.60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534,809,625.60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20,250,000.00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7,353,631.58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27,603,631.58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507,205,994.02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-211,017,455.26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459,785,364.54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511,733,345.73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51,947,981.19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300,715,890.47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511,733,345.73</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11"/>
        <w:rPr>
          <w:rFonts w:ascii="Times New Roman" w:hAnsi="Times New Roman" w:cs="Times New Roman" w:eastAsia="Times New Roman" w:hint="default"/>
          <w:sz w:val="26"/>
          <w:szCs w:val="26"/>
        </w:rPr>
      </w:pPr>
    </w:p>
    <w:p>
      <w:pPr>
        <w:pStyle w:val="BodyText"/>
        <w:tabs>
          <w:tab w:pos="3578" w:val="left" w:leader="none"/>
          <w:tab w:pos="7721" w:val="left" w:leader="none"/>
        </w:tabs>
        <w:spacing w:line="240" w:lineRule="auto" w:before="44"/>
        <w:ind w:right="0"/>
        <w:jc w:val="left"/>
      </w:pPr>
      <w:r>
        <w:rPr/>
        <w:t>法定代表人：管连平</w:t>
        <w:tab/>
      </w:r>
      <w:r>
        <w:rPr>
          <w:spacing w:val="-1"/>
        </w:rPr>
        <w:t>主管会计工作负责人：陈桂霞</w:t>
        <w:tab/>
      </w:r>
      <w:r>
        <w:rPr/>
        <w:t>会计机构负责人：姜海青</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72" w:footer="1006" w:top="1080" w:bottom="1200" w:left="980" w:right="980"/>
        </w:sectPr>
      </w:pPr>
    </w:p>
    <w:p>
      <w:pPr>
        <w:pStyle w:val="BodyText"/>
        <w:spacing w:line="357" w:lineRule="auto" w:before="44"/>
        <w:ind w:right="-20"/>
        <w:jc w:val="left"/>
      </w:pPr>
      <w:r>
        <w:rPr/>
        <w:t>编制单位：北京东方国信科技股份有限公司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80" w:bottom="1200" w:left="980" w:right="980"/>
          <w:cols w:num="2" w:equalWidth="0">
            <w:col w:w="3573" w:space="534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40,500,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517,180,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677.33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13,511,8</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43.52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99,431,6</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18.66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670,624,13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9.51</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40,500,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517,180,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677.33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13,511,8</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43.52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99,431,6</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18.66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670,624,13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9.51</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81,000,</w:t>
            </w:r>
          </w:p>
          <w:p>
            <w:pPr>
              <w:pStyle w:val="TableParagraph"/>
              <w:spacing w:line="240" w:lineRule="auto" w:before="102"/>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-81,000,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5,686,7</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10.36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56,966,7</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95.84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62,653,506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70,753,5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06.20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70,753,506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70,753,5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06.20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70,753,506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5,686,7</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10.36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-13,786,</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710.36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5,686,7</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10.36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-5,686,7</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10.36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-8,100,0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80" w:bottom="120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81,000,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-81,000,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81,000,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-81,000,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121,500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436,180,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677.33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19,198,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553.88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156,398,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414.50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733,277,64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5.71</w:t>
            </w:r>
          </w:p>
        </w:tc>
      </w:tr>
    </w:tbl>
    <w:p>
      <w:pPr>
        <w:pStyle w:val="BodyText"/>
        <w:spacing w:line="240" w:lineRule="auto" w:before="49"/>
        <w:ind w:right="0"/>
        <w:jc w:val="left"/>
      </w:pPr>
      <w:r>
        <w:rPr/>
        <w:t>上年金额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2"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272,564.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8,010,5</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87.77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67,612,2</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94.81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106,219,44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7.44</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2"/>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272,564.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8,010,5</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87.77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67,612,2</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94.81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106,219,44</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7.44</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10,176,</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516,908,</w:t>
            </w:r>
          </w:p>
          <w:p>
            <w:pPr>
              <w:pStyle w:val="TableParagraph"/>
              <w:spacing w:line="240" w:lineRule="auto" w:before="105"/>
              <w:ind w:left="147" w:right="0"/>
              <w:jc w:val="center"/>
              <w:rPr>
                <w:rFonts w:ascii="Times New Roman" w:hAnsi="Times New Roman" w:cs="Times New Roman" w:eastAsia="Times New Roman" w:hint="default"/>
                <w:sz w:val="18"/>
                <w:szCs w:val="18"/>
              </w:rPr>
            </w:pPr>
            <w:r>
              <w:rPr>
                <w:rFonts w:ascii="Times New Roman"/>
                <w:sz w:val="18"/>
              </w:rPr>
              <w:t>112.47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5,501,2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55.75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31,819,3</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23.85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564,404,69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2.07</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57,570,5</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79.60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57,570,579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Times New Roman" w:hAnsi="Times New Roman" w:cs="Times New Roman" w:eastAsia="Times New Roman" w:hint="default"/>
                <w:sz w:val="18"/>
                <w:szCs w:val="18"/>
              </w:rPr>
            </w:pPr>
            <w:r>
              <w:rPr>
                <w:rFonts w:ascii="Times New Roman"/>
                <w:sz w:val="18"/>
              </w:rPr>
              <w:t>57,570,5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57,570,579</w:t>
            </w:r>
          </w:p>
        </w:tc>
      </w:tr>
    </w:tbl>
    <w:p>
      <w:pPr>
        <w:spacing w:after="0" w:line="240" w:lineRule="auto"/>
        <w:jc w:val="lef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36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1" w:right="0"/>
              <w:jc w:val="left"/>
              <w:rPr>
                <w:rFonts w:ascii="Times New Roman" w:hAnsi="Times New Roman" w:cs="Times New Roman" w:eastAsia="Times New Roman" w:hint="default"/>
                <w:sz w:val="18"/>
                <w:szCs w:val="18"/>
              </w:rPr>
            </w:pPr>
            <w:r>
              <w:rPr>
                <w:rFonts w:ascii="Times New Roman"/>
                <w:sz w:val="18"/>
              </w:rPr>
              <w:t>79.60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.60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10,176,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516,908,</w:t>
            </w:r>
          </w:p>
          <w:p>
            <w:pPr>
              <w:pStyle w:val="TableParagraph"/>
              <w:spacing w:line="240" w:lineRule="auto" w:before="105"/>
              <w:ind w:left="147" w:right="0"/>
              <w:jc w:val="center"/>
              <w:rPr>
                <w:rFonts w:ascii="Times New Roman" w:hAnsi="Times New Roman" w:cs="Times New Roman" w:eastAsia="Times New Roman" w:hint="default"/>
                <w:sz w:val="18"/>
                <w:szCs w:val="18"/>
              </w:rPr>
            </w:pPr>
            <w:r>
              <w:rPr>
                <w:rFonts w:ascii="Times New Roman"/>
                <w:sz w:val="18"/>
              </w:rPr>
              <w:t>112.47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527,084,11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2.47</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10,176,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516,908,</w:t>
            </w:r>
          </w:p>
          <w:p>
            <w:pPr>
              <w:pStyle w:val="TableParagraph"/>
              <w:spacing w:line="240" w:lineRule="auto" w:before="105"/>
              <w:ind w:left="147" w:right="0"/>
              <w:jc w:val="center"/>
              <w:rPr>
                <w:rFonts w:ascii="Times New Roman" w:hAnsi="Times New Roman" w:cs="Times New Roman" w:eastAsia="Times New Roman" w:hint="default"/>
                <w:sz w:val="18"/>
                <w:szCs w:val="18"/>
              </w:rPr>
            </w:pPr>
            <w:r>
              <w:rPr>
                <w:rFonts w:ascii="Times New Roman"/>
                <w:sz w:val="18"/>
              </w:rPr>
              <w:t>112.47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527,084,11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2.47</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5,501,2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55.75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-25,751,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255.75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-20,250,00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5,501,2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55.75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-5,501,2</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55.75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-20,250,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-20,250,00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40,500,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517,180,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677.33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13,511,8</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43.52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99,431,6</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18.66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670,624,13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9.51</w:t>
            </w:r>
          </w:p>
        </w:tc>
      </w:tr>
    </w:tbl>
    <w:p>
      <w:pPr>
        <w:spacing w:line="240" w:lineRule="auto" w:before="3"/>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left"/>
      </w:pPr>
      <w:r>
        <w:rPr/>
        <w:t>法定代表人：管连平</w:t>
        <w:tab/>
      </w:r>
      <w:r>
        <w:rPr>
          <w:spacing w:val="-1"/>
        </w:rPr>
        <w:t>主管会计工作负责人：陈桂霞</w:t>
        <w:tab/>
      </w:r>
      <w:r>
        <w:rPr/>
        <w:t>会计机构负责人：姜海青</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72" w:footer="1006" w:top="1080" w:bottom="1200" w:left="980" w:right="980"/>
        </w:sectPr>
      </w:pPr>
    </w:p>
    <w:p>
      <w:pPr>
        <w:pStyle w:val="BodyText"/>
        <w:spacing w:line="360" w:lineRule="auto" w:before="44"/>
        <w:ind w:right="-20"/>
        <w:jc w:val="left"/>
      </w:pPr>
      <w:r>
        <w:rPr/>
        <w:t>编制单位：北京东方国信科技股份有限公司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80" w:bottom="1200" w:left="980" w:right="980"/>
          <w:cols w:num="2" w:equalWidth="0">
            <w:col w:w="3573" w:space="5347"/>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76"/>
        <w:gridCol w:w="7080"/>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bl>
    <w:p>
      <w:pPr>
        <w:spacing w:after="0" w:line="240" w:lineRule="auto"/>
        <w:jc w:val="center"/>
        <w:rPr>
          <w:rFonts w:ascii="宋体" w:hAnsi="宋体" w:cs="宋体" w:eastAsia="宋体" w:hint="default"/>
          <w:sz w:val="18"/>
          <w:szCs w:val="18"/>
        </w:rPr>
        <w:sectPr>
          <w:type w:val="continuous"/>
          <w:pgSz w:w="11910" w:h="16840"/>
          <w:pgMar w:top="1080" w:bottom="120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38.600006pt;margin-top:646.179993pt;width:84.8pt;height:22.05pt;mso-position-horizontal-relative:page;mso-position-vertical-relative:page;z-index:-876016"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240" w:lineRule="auto"/>
                    <w:ind w:left="0" w:right="0"/>
                    <w:jc w:val="left"/>
                  </w:pPr>
                  <w:r>
                    <w:rPr/>
                    <w:t>（或股本）</w:t>
                  </w:r>
                </w:p>
              </w:txbxContent>
            </v:textbox>
            <w10:wrap type="none"/>
          </v:shape>
        </w:pict>
      </w:r>
      <w:r>
        <w:rPr/>
        <w:pict>
          <v:shape style="position:absolute;margin-left:138.600006pt;margin-top:681.940002pt;width:84.8pt;height:19.6pt;mso-position-horizontal-relative:page;mso-position-vertical-relative:page;z-index:-875992"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1.940002pt;margin-top:646.179993pt;width:41.45pt;height:17.650pt;mso-position-horizontal-relative:page;mso-position-vertical-relative:page;z-index:-875968" coordorigin="3639,12924" coordsize="829,353">
            <v:shape style="position:absolute;left:3639;top:12924;width:829;height:353" coordorigin="3639,12924" coordsize="829,353" path="m3639,13276l4467,13276,4467,12924,3639,12924,3639,13276xe" filled="true" fillcolor="#ffffff" stroked="false">
              <v:path arrowok="t"/>
              <v:fill type="solid"/>
            </v:shape>
            <w10:wrap type="none"/>
          </v:group>
        </w:pict>
      </w:r>
      <w:r>
        <w:rPr/>
        <w:pict>
          <v:group style="position:absolute;margin-left:180.740005pt;margin-top:681.339966pt;width:42.65pt;height:20.8pt;mso-position-horizontal-relative:page;mso-position-vertical-relative:page;z-index:-875944" coordorigin="3615,13627" coordsize="853,416">
            <v:group style="position:absolute;left:3627;top:13639;width:2;height:392" coordorigin="3627,13639" coordsize="2,392">
              <v:shape style="position:absolute;left:3627;top:13639;width:2;height:392" coordorigin="3627,13639" coordsize="0,392" path="m3627,13639l3627,14030e" filled="false" stroked="true" strokeweight="1.2pt" strokecolor="#ffffff">
                <v:path arrowok="t"/>
              </v:shape>
            </v:group>
            <v:group style="position:absolute;left:3639;top:13639;width:829;height:392" coordorigin="3639,13639" coordsize="829,392">
              <v:shape style="position:absolute;left:3639;top:13639;width:829;height:392" coordorigin="3639,13639" coordsize="829,392" path="m3639,14030l4467,14030,4467,13639,3639,13639,3639,14030xe" filled="true" fillcolor="#ffffff" stroked="false">
                <v:path arrowok="t"/>
                <v:fill type="solid"/>
              </v:shape>
            </v:group>
            <w10:wrap type="none"/>
          </v:group>
        </w:pict>
      </w:r>
    </w:p>
    <w:p>
      <w:pPr>
        <w:spacing w:line="240" w:lineRule="auto" w:before="1"/>
        <w:rPr>
          <w:rFonts w:ascii="Times New Roman" w:hAnsi="Times New Roman" w:cs="Times New Roman" w:eastAsia="Times New Roman"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465"/>
        <w:gridCol w:w="884"/>
        <w:gridCol w:w="886"/>
        <w:gridCol w:w="886"/>
        <w:gridCol w:w="886"/>
        <w:gridCol w:w="886"/>
        <w:gridCol w:w="886"/>
        <w:gridCol w:w="888"/>
        <w:gridCol w:w="890"/>
      </w:tblGrid>
      <w:tr>
        <w:trPr>
          <w:trHeight w:val="161" w:hRule="exact"/>
        </w:trPr>
        <w:tc>
          <w:tcPr>
            <w:tcW w:w="2465" w:type="dxa"/>
            <w:vMerge w:val="restart"/>
            <w:tcBorders>
              <w:top w:val="single" w:sz="4" w:space="0" w:color="000000"/>
              <w:left w:val="single" w:sz="4" w:space="0" w:color="000000"/>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2" w:hRule="exact"/>
        </w:trPr>
        <w:tc>
          <w:tcPr>
            <w:tcW w:w="2465"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65"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517,180,67</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7.33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13,511,843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.52</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96,873,596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668,066,11</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7.45</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517,180,67</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7.33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13,511,843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.52</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96,873,596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668,066,11</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7.45</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-81,000,00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5,686,710.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43,080,393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48,767,103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56,867,103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.61</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56,867,103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.61</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56,867,103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.61</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56,867,103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.61</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5,686,710.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-13,786,71</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0.36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5,686,710.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36</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-5,686,710.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36</w:t>
            </w:r>
          </w:p>
        </w:tc>
        <w:tc>
          <w:tcPr>
            <w:tcW w:w="890" w:type="dxa"/>
            <w:vMerge w:val="restart"/>
            <w:tcBorders>
              <w:top w:val="single" w:sz="4" w:space="0" w:color="000000"/>
              <w:left w:val="single" w:sz="4" w:space="0" w:color="000000"/>
              <w:right w:val="single" w:sz="4" w:space="0" w:color="000000"/>
            </w:tcBorders>
          </w:tcPr>
          <w:p>
            <w:pP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81,000,000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-81,000,00</w:t>
            </w:r>
          </w:p>
          <w:p>
            <w:pPr>
              <w:pStyle w:val="TableParagraph"/>
              <w:spacing w:line="240" w:lineRule="auto" w:before="103"/>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
        </w:tc>
      </w:tr>
      <w:tr>
        <w:trPr>
          <w:trHeight w:val="392"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65" w:type="dxa"/>
            <w:tcBorders>
              <w:top w:val="single" w:sz="4" w:space="0" w:color="000000"/>
              <w:left w:val="single" w:sz="4" w:space="0" w:color="000000"/>
              <w:bottom w:val="nil" w:sz="6" w:space="0" w:color="auto"/>
              <w:right w:val="single" w:sz="13" w:space="0" w:color="FFFFFF"/>
            </w:tcBorders>
            <w:shd w:val="clear" w:color="auto" w:fill="D2D2D2"/>
          </w:tcPr>
          <w:p>
            <w:pPr/>
          </w:p>
        </w:tc>
        <w:tc>
          <w:tcPr>
            <w:tcW w:w="884" w:type="dxa"/>
            <w:tcBorders>
              <w:top w:val="single" w:sz="4" w:space="0" w:color="000000"/>
              <w:left w:val="single" w:sz="13" w:space="0" w:color="FFFFFF"/>
              <w:bottom w:val="nil" w:sz="6" w:space="0" w:color="auto"/>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-81,000,00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
        </w:tc>
      </w:tr>
      <w:tr>
        <w:trPr>
          <w:trHeight w:val="391" w:hRule="exact"/>
        </w:trPr>
        <w:tc>
          <w:tcPr>
            <w:tcW w:w="2465"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nil" w:sz="6" w:space="0" w:color="auto"/>
              <w:left w:val="single" w:sz="10" w:space="0" w:color="FFFFFF"/>
              <w:bottom w:val="nil" w:sz="6" w:space="0" w:color="auto"/>
              <w:right w:val="single" w:sz="4" w:space="0" w:color="000000"/>
            </w:tcBorders>
          </w:tcPr>
          <w:p>
            <w:pPr>
              <w:pStyle w:val="TableParagraph"/>
              <w:spacing w:line="142" w:lineRule="exact"/>
              <w:ind w:right="19"/>
              <w:jc w:val="right"/>
              <w:rPr>
                <w:rFonts w:ascii="Times New Roman" w:hAnsi="Times New Roman" w:cs="Times New Roman" w:eastAsia="Times New Roman" w:hint="default"/>
                <w:sz w:val="18"/>
                <w:szCs w:val="18"/>
              </w:rPr>
            </w:pPr>
            <w:r>
              <w:rPr>
                <w:rFonts w:ascii="Times New Roman"/>
                <w:spacing w:val="-1"/>
                <w:sz w:val="18"/>
              </w:rPr>
              <w:t>81,000,000</w:t>
            </w:r>
          </w:p>
          <w:p>
            <w:pPr>
              <w:pStyle w:val="TableParagraph"/>
              <w:spacing w:line="184" w:lineRule="exact"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13" w:space="0" w:color="FFFFFF"/>
            </w:tcBorders>
            <w:shd w:val="clear" w:color="auto" w:fill="D2D2D2"/>
          </w:tcPr>
          <w:p>
            <w:pPr/>
          </w:p>
        </w:tc>
        <w:tc>
          <w:tcPr>
            <w:tcW w:w="884" w:type="dxa"/>
            <w:tcBorders>
              <w:top w:val="nil" w:sz="6" w:space="0" w:color="auto"/>
              <w:left w:val="single" w:sz="13" w:space="0" w:color="FFFFFF"/>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2" w:footer="1006" w:top="108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121,500,00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436,180,67</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7.33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19,198,553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139,953,98</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9.85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716,833,22</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1.06</w:t>
            </w:r>
          </w:p>
        </w:tc>
      </w:tr>
    </w:tbl>
    <w:p>
      <w:pPr>
        <w:pStyle w:val="BodyText"/>
        <w:spacing w:line="240" w:lineRule="auto" w:before="49"/>
        <w:ind w:right="0"/>
        <w:jc w:val="left"/>
      </w:pPr>
      <w:r>
        <w:rPr/>
        <w:t>上年金额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4"/>
        <w:gridCol w:w="884"/>
        <w:gridCol w:w="886"/>
        <w:gridCol w:w="886"/>
        <w:gridCol w:w="884"/>
        <w:gridCol w:w="886"/>
        <w:gridCol w:w="884"/>
        <w:gridCol w:w="883"/>
        <w:gridCol w:w="883"/>
      </w:tblGrid>
      <w:tr>
        <w:trPr>
          <w:trHeight w:val="398"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84"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84" w:type="dxa"/>
            <w:vMerge w:val="restart"/>
            <w:tcBorders>
              <w:top w:val="nil" w:sz="6" w:space="0" w:color="auto"/>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84"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30,324,000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272,564.86</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8,010,587.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67,612,294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106,219,44</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7.44</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30,324,000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272,564.86</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8,010,587.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67,612,294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106,219,44</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7.44</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10,176,000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516,908,11</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2.47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5,501,255.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29,261,301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561,846,67</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0.01</w:t>
            </w: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55,012,557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55,012,557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55,012,557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55,012,557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10,176,000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516,908,11</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2.47</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527,084,11</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2.47</w:t>
            </w: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10,176,000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516,908,11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2.47</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527,084,11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2.47</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5,501,255.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-25,751,25</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5.75</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-20,250,00</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5,501,255.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-5,501,255.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883" w:type="dxa"/>
            <w:vMerge w:val="restart"/>
            <w:tcBorders>
              <w:top w:val="single" w:sz="4" w:space="0" w:color="000000"/>
              <w:left w:val="single" w:sz="4" w:space="0" w:color="000000"/>
              <w:right w:val="single" w:sz="4" w:space="0" w:color="000000"/>
            </w:tcBorders>
          </w:tcPr>
          <w:p>
            <w:pP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-20,250,00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9" w:right="0"/>
              <w:jc w:val="left"/>
              <w:rPr>
                <w:rFonts w:ascii="Times New Roman" w:hAnsi="Times New Roman" w:cs="Times New Roman" w:eastAsia="Times New Roman" w:hint="default"/>
                <w:sz w:val="18"/>
                <w:szCs w:val="18"/>
              </w:rPr>
            </w:pPr>
            <w:r>
              <w:rPr>
                <w:rFonts w:ascii="Times New Roman"/>
                <w:sz w:val="18"/>
              </w:rPr>
              <w:t>-20,250,00</w:t>
            </w:r>
          </w:p>
        </w:tc>
      </w:tr>
    </w:tbl>
    <w:p>
      <w:pPr>
        <w:spacing w:after="0" w:line="240" w:lineRule="auto"/>
        <w:jc w:val="lef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r>
        <w:rPr/>
        <w:pict>
          <v:shape style="position:absolute;margin-left:139.554001pt;margin-top:130.819977pt;width:84.8pt;height:19.6pt;mso-position-horizontal-relative:page;mso-position-vertical-relative:page;z-index:-875920"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39.554001pt;margin-top:150.859985pt;width:84.8pt;height:19.7pt;mso-position-horizontal-relative:page;mso-position-vertical-relative:page;z-index:-875896"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2.899994pt;margin-top:130.819977pt;width:41.45pt;height:39.75pt;mso-position-horizontal-relative:page;mso-position-vertical-relative:page;z-index:-875872" coordorigin="3658,2616" coordsize="829,795">
            <v:group style="position:absolute;left:3658;top:2616;width:829;height:392" coordorigin="3658,2616" coordsize="829,392">
              <v:shape style="position:absolute;left:3658;top:2616;width:829;height:392" coordorigin="3658,2616" coordsize="829,392" path="m3658,3008l4486,3008,4486,2616,3658,2616,3658,3008xe" filled="true" fillcolor="#ffffff" stroked="false">
                <v:path arrowok="t"/>
                <v:fill type="solid"/>
              </v:shape>
            </v:group>
            <v:group style="position:absolute;left:3658;top:3017;width:829;height:394" coordorigin="3658,3017" coordsize="829,394">
              <v:shape style="position:absolute;left:3658;top:3017;width:829;height:394" coordorigin="3658,3017" coordsize="829,394" path="m3658,3411l4486,3411,4486,3017,3658,3017,3658,341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36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517,180,67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7.33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13,511,843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96,873,596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668,066,11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7.45</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both"/>
      </w:pPr>
      <w:r>
        <w:rPr/>
        <w:t>法定代表人：管连平</w:t>
        <w:tab/>
      </w:r>
      <w:r>
        <w:rPr>
          <w:spacing w:val="-1"/>
        </w:rPr>
        <w:t>主管会计工作负责人：陈桂霞</w:t>
        <w:tab/>
      </w:r>
      <w:r>
        <w:rPr/>
        <w:t>会计机构负责人：姜海青</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三、公司基本情况</w:t>
      </w:r>
      <w:r>
        <w:rPr>
          <w:b w:val="0"/>
          <w:bCs w:val="0"/>
        </w:rPr>
      </w:r>
    </w:p>
    <w:p>
      <w:pPr>
        <w:spacing w:line="240" w:lineRule="auto" w:before="7"/>
        <w:rPr>
          <w:rFonts w:ascii="宋体" w:hAnsi="宋体" w:cs="宋体" w:eastAsia="宋体" w:hint="default"/>
          <w:b/>
          <w:bCs/>
          <w:sz w:val="32"/>
          <w:szCs w:val="32"/>
        </w:rPr>
      </w:pPr>
    </w:p>
    <w:p>
      <w:pPr>
        <w:spacing w:line="477" w:lineRule="auto" w:before="0"/>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一</w:t>
      </w:r>
      <w:r>
        <w:rPr>
          <w:rFonts w:ascii="宋体" w:hAnsi="宋体" w:cs="宋体" w:eastAsia="宋体" w:hint="default"/>
          <w:b/>
          <w:bCs/>
          <w:sz w:val="18"/>
          <w:szCs w:val="18"/>
        </w:rPr>
        <w:t>)</w:t>
      </w:r>
      <w:r>
        <w:rPr>
          <w:rFonts w:ascii="宋体" w:hAnsi="宋体" w:cs="宋体" w:eastAsia="宋体" w:hint="default"/>
          <w:b/>
          <w:bCs/>
          <w:sz w:val="18"/>
          <w:szCs w:val="18"/>
        </w:rPr>
        <w:t>公司历史沿革及改制情况</w:t>
      </w:r>
      <w:r>
        <w:rPr>
          <w:rFonts w:ascii="宋体" w:hAnsi="宋体" w:cs="宋体" w:eastAsia="宋体" w:hint="default"/>
          <w:b/>
          <w:bCs/>
          <w:w w:val="99"/>
          <w:sz w:val="18"/>
          <w:szCs w:val="18"/>
        </w:rPr>
        <w:t> </w:t>
      </w:r>
      <w:r>
        <w:rPr>
          <w:rFonts w:ascii="宋体" w:hAnsi="宋体" w:cs="宋体" w:eastAsia="宋体" w:hint="default"/>
          <w:spacing w:val="-2"/>
          <w:sz w:val="18"/>
          <w:szCs w:val="18"/>
        </w:rPr>
        <w:t>北京东方国信科技股份有限公司（以下简称“本公司”或“公司”）系由北京东方国信电子有限公司整体变更设立的股</w:t>
      </w:r>
    </w:p>
    <w:p>
      <w:pPr>
        <w:pStyle w:val="BodyText"/>
        <w:spacing w:line="477" w:lineRule="auto" w:before="54"/>
        <w:ind w:right="191"/>
        <w:jc w:val="both"/>
      </w:pPr>
      <w:r>
        <w:rPr/>
        <w:t>份有限公司。北京东方国信电子有限公司原系由管连平、霍卫平、潘晓忠投资设立，于</w:t>
      </w:r>
      <w:r>
        <w:rPr>
          <w:rFonts w:ascii="宋体" w:hAnsi="宋体" w:cs="宋体" w:eastAsia="宋体" w:hint="default"/>
        </w:rPr>
        <w:t>1997</w:t>
      </w:r>
      <w:r>
        <w:rPr/>
        <w:t>年</w:t>
      </w:r>
      <w:r>
        <w:rPr>
          <w:rFonts w:ascii="宋体" w:hAnsi="宋体" w:cs="宋体" w:eastAsia="宋体" w:hint="default"/>
        </w:rPr>
        <w:t>7</w:t>
      </w:r>
      <w:r>
        <w:rPr/>
        <w:t>月</w:t>
      </w:r>
      <w:r>
        <w:rPr>
          <w:rFonts w:ascii="宋体" w:hAnsi="宋体" w:cs="宋体" w:eastAsia="宋体" w:hint="default"/>
        </w:rPr>
        <w:t>28</w:t>
      </w:r>
      <w:r>
        <w:rPr/>
        <w:t>日在北京市工商行政管</w:t>
      </w:r>
      <w:r>
        <w:rPr>
          <w:spacing w:val="-85"/>
        </w:rPr>
        <w:t> </w:t>
      </w:r>
      <w:r>
        <w:rPr/>
        <w:t>理局朝阳分局登记注册，取得注册号为</w:t>
      </w:r>
      <w:r>
        <w:rPr>
          <w:rFonts w:ascii="宋体" w:hAnsi="宋体" w:cs="宋体" w:eastAsia="宋体" w:hint="default"/>
        </w:rPr>
        <w:t>1101052249629</w:t>
      </w:r>
      <w:r>
        <w:rPr/>
        <w:t>的《企业法人营业执照》，注册资本人民币</w:t>
      </w:r>
      <w:r>
        <w:rPr>
          <w:rFonts w:ascii="宋体" w:hAnsi="宋体" w:cs="宋体" w:eastAsia="宋体" w:hint="default"/>
        </w:rPr>
        <w:t>50</w:t>
      </w:r>
      <w:r>
        <w:rPr/>
        <w:t>万元，其中：管连平投</w:t>
      </w:r>
      <w:r>
        <w:rPr>
          <w:spacing w:val="-87"/>
        </w:rPr>
        <w:t> </w:t>
      </w:r>
      <w:r>
        <w:rPr>
          <w:spacing w:val="-2"/>
        </w:rPr>
        <w:t>入货币资金</w:t>
      </w:r>
      <w:r>
        <w:rPr>
          <w:rFonts w:ascii="宋体" w:hAnsi="宋体" w:cs="宋体" w:eastAsia="宋体" w:hint="default"/>
          <w:spacing w:val="-2"/>
        </w:rPr>
        <w:t>20</w:t>
      </w:r>
      <w:r>
        <w:rPr>
          <w:spacing w:val="-2"/>
        </w:rPr>
        <w:t>万元，占注册资本的</w:t>
      </w:r>
      <w:r>
        <w:rPr>
          <w:rFonts w:ascii="宋体" w:hAnsi="宋体" w:cs="宋体" w:eastAsia="宋体" w:hint="default"/>
          <w:spacing w:val="-2"/>
        </w:rPr>
        <w:t>40%</w:t>
      </w:r>
      <w:r>
        <w:rPr>
          <w:spacing w:val="-2"/>
        </w:rPr>
        <w:t>；霍卫平投入货币资金</w:t>
      </w:r>
      <w:r>
        <w:rPr>
          <w:rFonts w:ascii="宋体" w:hAnsi="宋体" w:cs="宋体" w:eastAsia="宋体" w:hint="default"/>
          <w:spacing w:val="-2"/>
        </w:rPr>
        <w:t>15</w:t>
      </w:r>
      <w:r>
        <w:rPr>
          <w:spacing w:val="-2"/>
        </w:rPr>
        <w:t>万元，占注册资本的</w:t>
      </w:r>
      <w:r>
        <w:rPr>
          <w:rFonts w:ascii="宋体" w:hAnsi="宋体" w:cs="宋体" w:eastAsia="宋体" w:hint="default"/>
          <w:spacing w:val="-2"/>
        </w:rPr>
        <w:t>30%</w:t>
      </w:r>
      <w:r>
        <w:rPr>
          <w:spacing w:val="-2"/>
        </w:rPr>
        <w:t>；潘晓忠投入货币资金</w:t>
      </w:r>
      <w:r>
        <w:rPr>
          <w:rFonts w:ascii="宋体" w:hAnsi="宋体" w:cs="宋体" w:eastAsia="宋体" w:hint="default"/>
          <w:spacing w:val="-2"/>
        </w:rPr>
        <w:t>15</w:t>
      </w:r>
      <w:r>
        <w:rPr>
          <w:spacing w:val="-2"/>
        </w:rPr>
        <w:t>万元，占注</w:t>
      </w:r>
      <w:r>
        <w:rPr>
          <w:spacing w:val="-58"/>
        </w:rPr>
        <w:t> </w:t>
      </w:r>
      <w:r>
        <w:rPr>
          <w:spacing w:val="-58"/>
        </w:rPr>
      </w:r>
      <w:r>
        <w:rPr/>
        <w:t>册资本的</w:t>
      </w:r>
      <w:r>
        <w:rPr>
          <w:rFonts w:ascii="宋体" w:hAnsi="宋体" w:cs="宋体" w:eastAsia="宋体" w:hint="default"/>
        </w:rPr>
        <w:t>30%</w:t>
      </w:r>
      <w:r>
        <w:rPr/>
        <w:t>。</w:t>
      </w:r>
    </w:p>
    <w:p>
      <w:pPr>
        <w:pStyle w:val="BodyText"/>
        <w:spacing w:line="477" w:lineRule="auto" w:before="54"/>
        <w:ind w:right="94" w:firstLine="360"/>
        <w:jc w:val="left"/>
      </w:pPr>
      <w:r>
        <w:rPr>
          <w:rFonts w:ascii="宋体" w:hAnsi="宋体" w:cs="宋体" w:eastAsia="宋体" w:hint="default"/>
          <w:spacing w:val="-2"/>
        </w:rPr>
        <w:t>2001</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18</w:t>
      </w:r>
      <w:r>
        <w:rPr>
          <w:spacing w:val="-2"/>
        </w:rPr>
        <w:t>日经北京东方国信电子有限公司股东会决议，将注册资本由</w:t>
      </w:r>
      <w:r>
        <w:rPr>
          <w:rFonts w:ascii="宋体" w:hAnsi="宋体" w:cs="宋体" w:eastAsia="宋体" w:hint="default"/>
          <w:spacing w:val="-2"/>
        </w:rPr>
        <w:t>50</w:t>
      </w:r>
      <w:r>
        <w:rPr>
          <w:spacing w:val="-2"/>
        </w:rPr>
        <w:t>万元增加至</w:t>
      </w:r>
      <w:r>
        <w:rPr>
          <w:rFonts w:ascii="宋体" w:hAnsi="宋体" w:cs="宋体" w:eastAsia="宋体" w:hint="default"/>
          <w:spacing w:val="-2"/>
        </w:rPr>
        <w:t>500</w:t>
      </w:r>
      <w:r>
        <w:rPr>
          <w:spacing w:val="-2"/>
        </w:rPr>
        <w:t>万元，其中，管连平本次投入</w:t>
      </w:r>
      <w:r>
        <w:rPr/>
        <w:t> </w:t>
      </w:r>
      <w:r>
        <w:rPr>
          <w:spacing w:val="-2"/>
        </w:rPr>
        <w:t>货币资金</w:t>
      </w:r>
      <w:r>
        <w:rPr>
          <w:rFonts w:ascii="宋体" w:hAnsi="宋体" w:cs="宋体" w:eastAsia="宋体" w:hint="default"/>
          <w:spacing w:val="-2"/>
        </w:rPr>
        <w:t>180</w:t>
      </w:r>
      <w:r>
        <w:rPr>
          <w:spacing w:val="-2"/>
        </w:rPr>
        <w:t>万元、霍卫平本次投入货币资金</w:t>
      </w:r>
      <w:r>
        <w:rPr>
          <w:rFonts w:ascii="宋体" w:hAnsi="宋体" w:cs="宋体" w:eastAsia="宋体" w:hint="default"/>
          <w:spacing w:val="-2"/>
        </w:rPr>
        <w:t>135</w:t>
      </w:r>
      <w:r>
        <w:rPr>
          <w:spacing w:val="-2"/>
        </w:rPr>
        <w:t>万元、潘晓忠本次投入货币资金</w:t>
      </w:r>
      <w:r>
        <w:rPr>
          <w:rFonts w:ascii="宋体" w:hAnsi="宋体" w:cs="宋体" w:eastAsia="宋体" w:hint="default"/>
          <w:spacing w:val="-2"/>
        </w:rPr>
        <w:t>135</w:t>
      </w:r>
      <w:r>
        <w:rPr>
          <w:spacing w:val="-2"/>
        </w:rPr>
        <w:t>万元。增资后的股东及持股比例分别为：</w:t>
      </w:r>
      <w:r>
        <w:rPr>
          <w:spacing w:val="-62"/>
        </w:rPr>
        <w:t> </w:t>
      </w:r>
      <w:r>
        <w:rPr>
          <w:spacing w:val="-62"/>
        </w:rPr>
      </w:r>
      <w:r>
        <w:rPr/>
        <w:t>管连平</w:t>
      </w:r>
      <w:r>
        <w:rPr>
          <w:rFonts w:ascii="宋体" w:hAnsi="宋体" w:cs="宋体" w:eastAsia="宋体" w:hint="default"/>
        </w:rPr>
        <w:t>40%</w:t>
      </w:r>
      <w:r>
        <w:rPr/>
        <w:t>、霍卫平</w:t>
      </w:r>
      <w:r>
        <w:rPr>
          <w:rFonts w:ascii="宋体" w:hAnsi="宋体" w:cs="宋体" w:eastAsia="宋体" w:hint="default"/>
        </w:rPr>
        <w:t>30%</w:t>
      </w:r>
      <w:r>
        <w:rPr/>
        <w:t>、潘晓忠</w:t>
      </w:r>
      <w:r>
        <w:rPr>
          <w:rFonts w:ascii="宋体" w:hAnsi="宋体" w:cs="宋体" w:eastAsia="宋体" w:hint="default"/>
        </w:rPr>
        <w:t>30%</w:t>
      </w:r>
      <w:r>
        <w:rPr/>
        <w:t>。</w:t>
      </w:r>
    </w:p>
    <w:p>
      <w:pPr>
        <w:pStyle w:val="BodyText"/>
        <w:spacing w:line="477" w:lineRule="auto" w:before="55"/>
        <w:ind w:right="94" w:firstLine="360"/>
        <w:jc w:val="left"/>
      </w:pPr>
      <w:r>
        <w:rPr>
          <w:rFonts w:ascii="宋体" w:hAnsi="宋体" w:cs="宋体" w:eastAsia="宋体" w:hint="default"/>
          <w:spacing w:val="-2"/>
        </w:rPr>
        <w:t>2008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29</w:t>
      </w:r>
      <w:r>
        <w:rPr>
          <w:spacing w:val="-2"/>
        </w:rPr>
        <w:t>日经北京东方国信电子有限公司股东会决议，潘晓忠将所持公司</w:t>
      </w:r>
      <w:r>
        <w:rPr>
          <w:rFonts w:ascii="宋体" w:hAnsi="宋体" w:cs="宋体" w:eastAsia="宋体" w:hint="default"/>
          <w:spacing w:val="-2"/>
        </w:rPr>
        <w:t>18%</w:t>
      </w:r>
      <w:r>
        <w:rPr>
          <w:spacing w:val="-2"/>
        </w:rPr>
        <w:t>股权转让给北京仁邦翰威投资咨询有限</w:t>
      </w:r>
      <w:r>
        <w:rPr/>
        <w:t> </w:t>
      </w:r>
      <w:r>
        <w:rPr>
          <w:spacing w:val="-5"/>
        </w:rPr>
        <w:t>公司，将所持公司</w:t>
      </w:r>
      <w:r>
        <w:rPr>
          <w:rFonts w:ascii="宋体" w:hAnsi="宋体" w:cs="宋体" w:eastAsia="宋体" w:hint="default"/>
          <w:spacing w:val="-5"/>
        </w:rPr>
        <w:t>12%</w:t>
      </w:r>
      <w:r>
        <w:rPr>
          <w:spacing w:val="-5"/>
        </w:rPr>
        <w:t>股权转让给北京仁邦时代投资咨询有限公司。变更后的股东及股权比例分别为：管连平</w:t>
      </w:r>
      <w:r>
        <w:rPr>
          <w:rFonts w:ascii="宋体" w:hAnsi="宋体" w:cs="宋体" w:eastAsia="宋体" w:hint="default"/>
          <w:spacing w:val="-5"/>
        </w:rPr>
        <w:t>40%</w:t>
      </w:r>
      <w:r>
        <w:rPr>
          <w:spacing w:val="-5"/>
        </w:rPr>
        <w:t>、霍卫平</w:t>
      </w:r>
      <w:r>
        <w:rPr>
          <w:rFonts w:ascii="宋体" w:hAnsi="宋体" w:cs="宋体" w:eastAsia="宋体" w:hint="default"/>
          <w:spacing w:val="-5"/>
        </w:rPr>
        <w:t>30%</w:t>
      </w:r>
      <w:r>
        <w:rPr>
          <w:spacing w:val="-5"/>
        </w:rPr>
        <w:t>、</w:t>
      </w:r>
      <w:r>
        <w:rPr>
          <w:spacing w:val="-58"/>
        </w:rPr>
        <w:t> </w:t>
      </w:r>
      <w:r>
        <w:rPr/>
        <w:t>北京仁邦翰威投资咨询有限公司</w:t>
      </w:r>
      <w:r>
        <w:rPr>
          <w:rFonts w:ascii="宋体" w:hAnsi="宋体" w:cs="宋体" w:eastAsia="宋体" w:hint="default"/>
        </w:rPr>
        <w:t>18%</w:t>
      </w:r>
      <w:r>
        <w:rPr/>
        <w:t>、北京仁邦时代投资咨询有限公司</w:t>
      </w:r>
      <w:r>
        <w:rPr>
          <w:rFonts w:ascii="宋体" w:hAnsi="宋体" w:cs="宋体" w:eastAsia="宋体" w:hint="default"/>
        </w:rPr>
        <w:t>12%</w:t>
      </w:r>
      <w:r>
        <w:rPr/>
        <w:t>。</w:t>
      </w:r>
    </w:p>
    <w:p>
      <w:pPr>
        <w:pStyle w:val="BodyText"/>
        <w:spacing w:line="477" w:lineRule="auto" w:before="54"/>
        <w:ind w:right="190" w:firstLine="360"/>
        <w:jc w:val="both"/>
      </w:pPr>
      <w:r>
        <w:rPr>
          <w:rFonts w:ascii="宋体" w:hAnsi="宋体" w:cs="宋体" w:eastAsia="宋体" w:hint="default"/>
        </w:rPr>
        <w:t>2008</w:t>
      </w:r>
      <w:r>
        <w:rPr/>
        <w:t>年</w:t>
      </w:r>
      <w:r>
        <w:rPr>
          <w:rFonts w:ascii="宋体" w:hAnsi="宋体" w:cs="宋体" w:eastAsia="宋体" w:hint="default"/>
        </w:rPr>
        <w:t>6</w:t>
      </w:r>
      <w:r>
        <w:rPr/>
        <w:t>月</w:t>
      </w:r>
      <w:r>
        <w:rPr>
          <w:rFonts w:ascii="宋体" w:hAnsi="宋体" w:cs="宋体" w:eastAsia="宋体" w:hint="default"/>
        </w:rPr>
        <w:t>5</w:t>
      </w:r>
      <w:r>
        <w:rPr/>
        <w:t>日经北京东方国信电子有限公司股东会决议，北京东方国信电子有限公司以</w:t>
      </w:r>
      <w:r>
        <w:rPr>
          <w:rFonts w:ascii="宋体" w:hAnsi="宋体" w:cs="宋体" w:eastAsia="宋体" w:hint="default"/>
        </w:rPr>
        <w:t>2008</w:t>
      </w:r>
      <w:r>
        <w:rPr/>
        <w:t>年</w:t>
      </w:r>
      <w:r>
        <w:rPr>
          <w:rFonts w:ascii="宋体" w:hAnsi="宋体" w:cs="宋体" w:eastAsia="宋体" w:hint="default"/>
        </w:rPr>
        <w:t>3</w:t>
      </w:r>
      <w:r>
        <w:rPr/>
        <w:t>月</w:t>
      </w:r>
      <w:r>
        <w:rPr>
          <w:rFonts w:ascii="宋体" w:hAnsi="宋体" w:cs="宋体" w:eastAsia="宋体" w:hint="default"/>
        </w:rPr>
        <w:t>31</w:t>
      </w:r>
      <w:r>
        <w:rPr/>
        <w:t>日为基准日，采用 </w:t>
      </w:r>
      <w:r>
        <w:rPr>
          <w:spacing w:val="-3"/>
        </w:rPr>
        <w:t>整体变更方式设立股份有限公司。整体变更后，公司的股本总额为人民币</w:t>
      </w:r>
      <w:r>
        <w:rPr>
          <w:rFonts w:ascii="宋体" w:hAnsi="宋体" w:cs="宋体" w:eastAsia="宋体" w:hint="default"/>
          <w:spacing w:val="-3"/>
        </w:rPr>
        <w:t>2,000</w:t>
      </w:r>
      <w:r>
        <w:rPr>
          <w:spacing w:val="-3"/>
        </w:rPr>
        <w:t>万元，每股面值人民币</w:t>
      </w:r>
      <w:r>
        <w:rPr>
          <w:rFonts w:ascii="宋体" w:hAnsi="宋体" w:cs="宋体" w:eastAsia="宋体" w:hint="default"/>
          <w:spacing w:val="-3"/>
        </w:rPr>
        <w:t>1</w:t>
      </w:r>
      <w:r>
        <w:rPr>
          <w:spacing w:val="-3"/>
        </w:rPr>
        <w:t>元，折股份总数</w:t>
      </w:r>
      <w:r>
        <w:rPr>
          <w:rFonts w:ascii="宋体" w:hAnsi="宋体" w:cs="宋体" w:eastAsia="宋体" w:hint="default"/>
          <w:spacing w:val="-3"/>
        </w:rPr>
        <w:t>2,000</w:t>
      </w:r>
      <w:r>
        <w:rPr>
          <w:rFonts w:ascii="宋体" w:hAnsi="宋体" w:cs="宋体" w:eastAsia="宋体" w:hint="default"/>
          <w:spacing w:val="-87"/>
        </w:rPr>
        <w:t> </w:t>
      </w:r>
      <w:r>
        <w:rPr>
          <w:rFonts w:ascii="宋体" w:hAnsi="宋体" w:cs="宋体" w:eastAsia="宋体" w:hint="default"/>
          <w:spacing w:val="-87"/>
        </w:rPr>
      </w:r>
      <w:r>
        <w:rPr>
          <w:spacing w:val="10"/>
        </w:rPr>
        <w:t>万股；公司名称变更为北京东方国信科技股份有限公司；公司已于</w:t>
      </w:r>
      <w:r>
        <w:rPr>
          <w:spacing w:val="-69"/>
        </w:rPr>
        <w:t> </w:t>
      </w:r>
      <w:r>
        <w:rPr>
          <w:rFonts w:ascii="宋体" w:hAnsi="宋体" w:cs="宋体" w:eastAsia="宋体" w:hint="default"/>
          <w:spacing w:val="8"/>
        </w:rPr>
        <w:t>2008</w:t>
      </w:r>
      <w:r>
        <w:rPr>
          <w:spacing w:val="8"/>
        </w:rPr>
        <w:t>年</w:t>
      </w:r>
      <w:r>
        <w:rPr>
          <w:rFonts w:ascii="宋体" w:hAnsi="宋体" w:cs="宋体" w:eastAsia="宋体" w:hint="default"/>
          <w:spacing w:val="8"/>
        </w:rPr>
        <w:t>6</w:t>
      </w:r>
      <w:r>
        <w:rPr>
          <w:spacing w:val="8"/>
        </w:rPr>
        <w:t>月</w:t>
      </w:r>
      <w:r>
        <w:rPr>
          <w:rFonts w:ascii="宋体" w:hAnsi="宋体" w:cs="宋体" w:eastAsia="宋体" w:hint="default"/>
          <w:spacing w:val="8"/>
        </w:rPr>
        <w:t>30</w:t>
      </w:r>
      <w:r>
        <w:rPr>
          <w:spacing w:val="8"/>
        </w:rPr>
        <w:t>日取得北京市工商行政管理局颁发的</w:t>
      </w:r>
    </w:p>
    <w:p>
      <w:pPr>
        <w:spacing w:after="0" w:line="477" w:lineRule="auto"/>
        <w:jc w:val="both"/>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477" w:lineRule="auto" w:before="44"/>
        <w:ind w:right="144"/>
        <w:jc w:val="left"/>
      </w:pPr>
      <w:r>
        <w:rPr>
          <w:rFonts w:ascii="宋体" w:hAnsi="宋体" w:cs="宋体" w:eastAsia="宋体" w:hint="default"/>
        </w:rPr>
        <w:t>110105002496292</w:t>
      </w:r>
      <w:r>
        <w:rPr/>
        <w:t>号《企业法人营业执照》。整体变更后公司股东及持股比例分别为：管连平</w:t>
      </w:r>
      <w:r>
        <w:rPr>
          <w:rFonts w:ascii="宋体" w:hAnsi="宋体" w:cs="宋体" w:eastAsia="宋体" w:hint="default"/>
        </w:rPr>
        <w:t>40%</w:t>
      </w:r>
      <w:r>
        <w:rPr/>
        <w:t>、霍卫平</w:t>
      </w:r>
      <w:r>
        <w:rPr>
          <w:rFonts w:ascii="宋体" w:hAnsi="宋体" w:cs="宋体" w:eastAsia="宋体" w:hint="default"/>
        </w:rPr>
        <w:t>30%</w:t>
      </w:r>
      <w:r>
        <w:rPr/>
        <w:t>、北京仁邦翰 威投资咨询有限公司</w:t>
      </w:r>
      <w:r>
        <w:rPr>
          <w:rFonts w:ascii="宋体" w:hAnsi="宋体" w:cs="宋体" w:eastAsia="宋体" w:hint="default"/>
        </w:rPr>
        <w:t>18%</w:t>
      </w:r>
      <w:r>
        <w:rPr/>
        <w:t>、北京仁邦时代投资咨询有限公司</w:t>
      </w:r>
      <w:r>
        <w:rPr>
          <w:rFonts w:ascii="宋体" w:hAnsi="宋体" w:cs="宋体" w:eastAsia="宋体" w:hint="default"/>
        </w:rPr>
        <w:t>12%</w:t>
      </w:r>
      <w:r>
        <w:rPr/>
        <w:t>。</w:t>
      </w:r>
    </w:p>
    <w:p>
      <w:pPr>
        <w:pStyle w:val="BodyText"/>
        <w:spacing w:line="477" w:lineRule="auto" w:before="54"/>
        <w:ind w:right="150" w:firstLine="360"/>
        <w:jc w:val="both"/>
      </w:pP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13</w:t>
      </w:r>
      <w:r>
        <w:rPr/>
        <w:t>日经公司股东大会决议，决定进行增资扩股，增加发行</w:t>
      </w:r>
      <w:r>
        <w:rPr>
          <w:rFonts w:ascii="宋体" w:hAnsi="宋体" w:cs="宋体" w:eastAsia="宋体" w:hint="default"/>
        </w:rPr>
        <w:t>280</w:t>
      </w:r>
      <w:r>
        <w:rPr/>
        <w:t>万股，每股面值</w:t>
      </w:r>
      <w:r>
        <w:rPr>
          <w:rFonts w:ascii="宋体" w:hAnsi="宋体" w:cs="宋体" w:eastAsia="宋体" w:hint="default"/>
        </w:rPr>
        <w:t>1</w:t>
      </w:r>
      <w:r>
        <w:rPr/>
        <w:t>元，将公司注册资本由</w:t>
      </w:r>
      <w:r>
        <w:rPr>
          <w:rFonts w:ascii="宋体" w:hAnsi="宋体" w:cs="宋体" w:eastAsia="宋体" w:hint="default"/>
        </w:rPr>
        <w:t>2,000 </w:t>
      </w:r>
      <w:r>
        <w:rPr>
          <w:spacing w:val="-2"/>
        </w:rPr>
        <w:t>万元增至</w:t>
      </w:r>
      <w:r>
        <w:rPr>
          <w:rFonts w:ascii="宋体" w:hAnsi="宋体" w:cs="宋体" w:eastAsia="宋体" w:hint="default"/>
          <w:spacing w:val="-2"/>
        </w:rPr>
        <w:t>2,280</w:t>
      </w:r>
      <w:r>
        <w:rPr>
          <w:spacing w:val="-2"/>
        </w:rPr>
        <w:t>万元，由王春卿、金凤、张靖以货币出资方式认购公司的</w:t>
      </w:r>
      <w:r>
        <w:rPr>
          <w:rFonts w:ascii="宋体" w:hAnsi="宋体" w:cs="宋体" w:eastAsia="宋体" w:hint="default"/>
          <w:spacing w:val="-2"/>
        </w:rPr>
        <w:t>280</w:t>
      </w:r>
      <w:r>
        <w:rPr>
          <w:spacing w:val="-2"/>
        </w:rPr>
        <w:t>万股增资。增资后的股东及持股比例分别为：管</w:t>
      </w:r>
      <w:r>
        <w:rPr>
          <w:spacing w:val="-60"/>
        </w:rPr>
        <w:t> </w:t>
      </w:r>
      <w:r>
        <w:rPr>
          <w:spacing w:val="-60"/>
        </w:rPr>
      </w:r>
      <w:r>
        <w:rPr>
          <w:spacing w:val="-2"/>
        </w:rPr>
        <w:t>连平</w:t>
      </w:r>
      <w:r>
        <w:rPr>
          <w:rFonts w:ascii="宋体" w:hAnsi="宋体" w:cs="宋体" w:eastAsia="宋体" w:hint="default"/>
          <w:spacing w:val="-2"/>
        </w:rPr>
        <w:t>35.0878%</w:t>
      </w:r>
      <w:r>
        <w:rPr>
          <w:spacing w:val="-2"/>
        </w:rPr>
        <w:t>、霍卫平</w:t>
      </w:r>
      <w:r>
        <w:rPr>
          <w:rFonts w:ascii="宋体" w:hAnsi="宋体" w:cs="宋体" w:eastAsia="宋体" w:hint="default"/>
          <w:spacing w:val="-2"/>
        </w:rPr>
        <w:t>26.3158%</w:t>
      </w:r>
      <w:r>
        <w:rPr>
          <w:spacing w:val="-2"/>
        </w:rPr>
        <w:t>、北京仁邦翰威投资咨询有限公司</w:t>
      </w:r>
      <w:r>
        <w:rPr>
          <w:rFonts w:ascii="宋体" w:hAnsi="宋体" w:cs="宋体" w:eastAsia="宋体" w:hint="default"/>
          <w:spacing w:val="-2"/>
        </w:rPr>
        <w:t>15.7895%</w:t>
      </w:r>
      <w:r>
        <w:rPr>
          <w:spacing w:val="-2"/>
        </w:rPr>
        <w:t>、北京仁邦时代投资咨询有限公司</w:t>
      </w:r>
      <w:r>
        <w:rPr>
          <w:rFonts w:ascii="宋体" w:hAnsi="宋体" w:cs="宋体" w:eastAsia="宋体" w:hint="default"/>
          <w:spacing w:val="-2"/>
        </w:rPr>
        <w:t>10.5263%</w:t>
      </w:r>
      <w:r>
        <w:rPr>
          <w:spacing w:val="-2"/>
        </w:rPr>
        <w:t>、王</w:t>
      </w:r>
      <w:r>
        <w:rPr>
          <w:spacing w:val="-66"/>
        </w:rPr>
        <w:t> </w:t>
      </w:r>
      <w:r>
        <w:rPr/>
        <w:t>春卿</w:t>
      </w:r>
      <w:r>
        <w:rPr>
          <w:rFonts w:ascii="宋体" w:hAnsi="宋体" w:cs="宋体" w:eastAsia="宋体" w:hint="default"/>
        </w:rPr>
        <w:t>4.6052%</w:t>
      </w:r>
      <w:r>
        <w:rPr/>
        <w:t>、金凤</w:t>
      </w:r>
      <w:r>
        <w:rPr>
          <w:rFonts w:ascii="宋体" w:hAnsi="宋体" w:cs="宋体" w:eastAsia="宋体" w:hint="default"/>
        </w:rPr>
        <w:t>4.1667%</w:t>
      </w:r>
      <w:r>
        <w:rPr/>
        <w:t>、张靖</w:t>
      </w:r>
      <w:r>
        <w:rPr>
          <w:rFonts w:ascii="宋体" w:hAnsi="宋体" w:cs="宋体" w:eastAsia="宋体" w:hint="default"/>
        </w:rPr>
        <w:t>3.5087%</w:t>
      </w:r>
      <w:r>
        <w:rPr/>
        <w:t>。</w:t>
      </w:r>
    </w:p>
    <w:p>
      <w:pPr>
        <w:pStyle w:val="BodyText"/>
        <w:spacing w:line="477" w:lineRule="auto" w:before="54"/>
        <w:ind w:right="148" w:firstLine="360"/>
        <w:jc w:val="both"/>
      </w:pP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18</w:t>
      </w:r>
      <w:r>
        <w:rPr/>
        <w:t>日经公司股东大会决议，公司增加注册资本人民币</w:t>
      </w:r>
      <w:r>
        <w:rPr>
          <w:rFonts w:ascii="宋体" w:hAnsi="宋体" w:cs="宋体" w:eastAsia="宋体" w:hint="default"/>
        </w:rPr>
        <w:t>752.40</w:t>
      </w:r>
      <w:r>
        <w:rPr/>
        <w:t>万元，由资本公积转增注册资本人民币</w:t>
      </w:r>
      <w:r>
        <w:rPr>
          <w:rFonts w:ascii="宋体" w:hAnsi="宋体" w:cs="宋体" w:eastAsia="宋体" w:hint="default"/>
        </w:rPr>
        <w:t>752.40 </w:t>
      </w:r>
      <w:r>
        <w:rPr>
          <w:spacing w:val="-2"/>
        </w:rPr>
        <w:t>万元，转增基准日期为</w:t>
      </w:r>
      <w:r>
        <w:rPr>
          <w:rFonts w:ascii="宋体" w:hAnsi="宋体" w:cs="宋体" w:eastAsia="宋体" w:hint="default"/>
          <w:spacing w:val="-2"/>
        </w:rPr>
        <w:t>2009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日，变更后注册资本为人民币</w:t>
      </w:r>
      <w:r>
        <w:rPr>
          <w:rFonts w:ascii="宋体" w:hAnsi="宋体" w:cs="宋体" w:eastAsia="宋体" w:hint="default"/>
          <w:spacing w:val="-2"/>
        </w:rPr>
        <w:t>3,032.40</w:t>
      </w:r>
      <w:r>
        <w:rPr>
          <w:spacing w:val="-2"/>
        </w:rPr>
        <w:t>万元。增资后的股东及持股比例分别为：管连平</w:t>
      </w:r>
      <w:r>
        <w:rPr>
          <w:spacing w:val="-54"/>
        </w:rPr>
        <w:t> </w:t>
      </w:r>
      <w:r>
        <w:rPr>
          <w:spacing w:val="-54"/>
        </w:rPr>
      </w:r>
      <w:r>
        <w:rPr>
          <w:rFonts w:ascii="宋体" w:hAnsi="宋体" w:cs="宋体" w:eastAsia="宋体" w:hint="default"/>
          <w:spacing w:val="-2"/>
        </w:rPr>
        <w:t>35.0878%</w:t>
      </w:r>
      <w:r>
        <w:rPr>
          <w:spacing w:val="-2"/>
        </w:rPr>
        <w:t>、霍卫平</w:t>
      </w:r>
      <w:r>
        <w:rPr>
          <w:rFonts w:ascii="宋体" w:hAnsi="宋体" w:cs="宋体" w:eastAsia="宋体" w:hint="default"/>
          <w:spacing w:val="-2"/>
        </w:rPr>
        <w:t>26.3158%</w:t>
      </w:r>
      <w:r>
        <w:rPr>
          <w:spacing w:val="-2"/>
        </w:rPr>
        <w:t>、北京仁邦翰威投资咨询有限公司</w:t>
      </w:r>
      <w:r>
        <w:rPr>
          <w:rFonts w:ascii="宋体" w:hAnsi="宋体" w:cs="宋体" w:eastAsia="宋体" w:hint="default"/>
          <w:spacing w:val="-2"/>
        </w:rPr>
        <w:t>15.7895%</w:t>
      </w:r>
      <w:r>
        <w:rPr>
          <w:spacing w:val="-2"/>
        </w:rPr>
        <w:t>、北京仁邦时代投资咨询有限公司</w:t>
      </w:r>
      <w:r>
        <w:rPr>
          <w:rFonts w:ascii="宋体" w:hAnsi="宋体" w:cs="宋体" w:eastAsia="宋体" w:hint="default"/>
          <w:spacing w:val="-2"/>
        </w:rPr>
        <w:t>10.5263%</w:t>
      </w:r>
      <w:r>
        <w:rPr>
          <w:spacing w:val="-2"/>
        </w:rPr>
        <w:t>、王春卿</w:t>
      </w:r>
    </w:p>
    <w:p>
      <w:pPr>
        <w:pStyle w:val="BodyText"/>
        <w:spacing w:line="240" w:lineRule="auto" w:before="54"/>
        <w:ind w:right="0"/>
        <w:jc w:val="left"/>
      </w:pPr>
      <w:r>
        <w:rPr>
          <w:rFonts w:ascii="宋体" w:hAnsi="宋体" w:cs="宋体" w:eastAsia="宋体" w:hint="default"/>
        </w:rPr>
        <w:t>4.6052%</w:t>
      </w:r>
      <w:r>
        <w:rPr/>
        <w:t>、金凤</w:t>
      </w:r>
      <w:r>
        <w:rPr>
          <w:rFonts w:ascii="宋体" w:hAnsi="宋体" w:cs="宋体" w:eastAsia="宋体" w:hint="default"/>
        </w:rPr>
        <w:t>4.1667%</w:t>
      </w:r>
      <w:r>
        <w:rPr/>
        <w:t>、张靖</w:t>
      </w:r>
      <w:r>
        <w:rPr>
          <w:rFonts w:ascii="宋体" w:hAnsi="宋体" w:cs="宋体" w:eastAsia="宋体" w:hint="default"/>
        </w:rPr>
        <w:t>3.5087%</w:t>
      </w:r>
      <w:r>
        <w:rPr/>
        <w:t>。</w:t>
      </w:r>
    </w:p>
    <w:p>
      <w:pPr>
        <w:spacing w:line="240" w:lineRule="auto" w:before="10"/>
        <w:rPr>
          <w:rFonts w:ascii="宋体" w:hAnsi="宋体" w:cs="宋体" w:eastAsia="宋体" w:hint="default"/>
          <w:sz w:val="17"/>
          <w:szCs w:val="17"/>
        </w:rPr>
      </w:pPr>
    </w:p>
    <w:p>
      <w:pPr>
        <w:pStyle w:val="BodyText"/>
        <w:spacing w:line="477" w:lineRule="auto"/>
        <w:ind w:right="149" w:firstLine="360"/>
        <w:jc w:val="both"/>
      </w:pPr>
      <w:r>
        <w:rPr>
          <w:rFonts w:ascii="宋体" w:hAnsi="宋体" w:cs="宋体" w:eastAsia="宋体" w:hint="default"/>
        </w:rPr>
        <w:t>2010</w:t>
      </w:r>
      <w:r>
        <w:rPr/>
        <w:t>年</w:t>
      </w:r>
      <w:r>
        <w:rPr>
          <w:rFonts w:ascii="宋体" w:hAnsi="宋体" w:cs="宋体" w:eastAsia="宋体" w:hint="default"/>
        </w:rPr>
        <w:t>2</w:t>
      </w:r>
      <w:r>
        <w:rPr/>
        <w:t>月</w:t>
      </w:r>
      <w:r>
        <w:rPr>
          <w:rFonts w:ascii="宋体" w:hAnsi="宋体" w:cs="宋体" w:eastAsia="宋体" w:hint="default"/>
        </w:rPr>
        <w:t>4</w:t>
      </w:r>
      <w:r>
        <w:rPr/>
        <w:t>日经公司第二次临时股东大会决议，股东王春卿将所持公司</w:t>
      </w:r>
      <w:r>
        <w:rPr>
          <w:rFonts w:ascii="宋体" w:hAnsi="宋体" w:cs="宋体" w:eastAsia="宋体" w:hint="default"/>
        </w:rPr>
        <w:t>4.6052%</w:t>
      </w:r>
      <w:r>
        <w:rPr/>
        <w:t>股权转让给毛自力，至此王春卿不再持 </w:t>
      </w:r>
      <w:r>
        <w:rPr>
          <w:spacing w:val="4"/>
        </w:rPr>
        <w:t>有公司股权。股权转让后股东及持股比例分别为：管连平</w:t>
      </w:r>
      <w:r>
        <w:rPr>
          <w:rFonts w:ascii="宋体" w:hAnsi="宋体" w:cs="宋体" w:eastAsia="宋体" w:hint="default"/>
          <w:spacing w:val="4"/>
        </w:rPr>
        <w:t>35.0878%</w:t>
      </w:r>
      <w:r>
        <w:rPr>
          <w:spacing w:val="4"/>
        </w:rPr>
        <w:t>、霍卫平</w:t>
      </w:r>
      <w:r>
        <w:rPr>
          <w:rFonts w:ascii="宋体" w:hAnsi="宋体" w:cs="宋体" w:eastAsia="宋体" w:hint="default"/>
          <w:spacing w:val="4"/>
        </w:rPr>
        <w:t>26.3158%</w:t>
      </w:r>
      <w:r>
        <w:rPr>
          <w:spacing w:val="4"/>
        </w:rPr>
        <w:t>、北京仁邦翰威投资咨询有限公司</w:t>
      </w:r>
      <w:r>
        <w:rPr>
          <w:spacing w:val="-67"/>
        </w:rPr>
        <w:t> </w:t>
      </w:r>
      <w:r>
        <w:rPr>
          <w:spacing w:val="-67"/>
        </w:rPr>
      </w:r>
      <w:r>
        <w:rPr>
          <w:rFonts w:ascii="宋体" w:hAnsi="宋体" w:cs="宋体" w:eastAsia="宋体" w:hint="default"/>
        </w:rPr>
        <w:t>15.7895%</w:t>
      </w:r>
      <w:r>
        <w:rPr/>
        <w:t>、北京仁邦时代投资咨询有限公司</w:t>
      </w:r>
      <w:r>
        <w:rPr>
          <w:rFonts w:ascii="宋体" w:hAnsi="宋体" w:cs="宋体" w:eastAsia="宋体" w:hint="default"/>
        </w:rPr>
        <w:t>10.5263%</w:t>
      </w:r>
      <w:r>
        <w:rPr/>
        <w:t>、毛自力</w:t>
      </w:r>
      <w:r>
        <w:rPr>
          <w:rFonts w:ascii="宋体" w:hAnsi="宋体" w:cs="宋体" w:eastAsia="宋体" w:hint="default"/>
        </w:rPr>
        <w:t>4.6052%</w:t>
      </w:r>
      <w:r>
        <w:rPr/>
        <w:t>、金凤</w:t>
      </w:r>
      <w:r>
        <w:rPr>
          <w:rFonts w:ascii="宋体" w:hAnsi="宋体" w:cs="宋体" w:eastAsia="宋体" w:hint="default"/>
        </w:rPr>
        <w:t>4.1667%</w:t>
      </w:r>
      <w:r>
        <w:rPr/>
        <w:t>、张靖</w:t>
      </w:r>
      <w:r>
        <w:rPr>
          <w:rFonts w:ascii="宋体" w:hAnsi="宋体" w:cs="宋体" w:eastAsia="宋体" w:hint="default"/>
        </w:rPr>
        <w:t>3.5087%</w:t>
      </w:r>
      <w:r>
        <w:rPr/>
        <w:t>。</w:t>
      </w:r>
    </w:p>
    <w:p>
      <w:pPr>
        <w:pStyle w:val="BodyText"/>
        <w:spacing w:line="240" w:lineRule="auto" w:before="54"/>
        <w:ind w:left="513" w:right="0"/>
        <w:jc w:val="left"/>
      </w:pP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23</w:t>
      </w:r>
      <w:r>
        <w:rPr/>
        <w:t>日经中国证券监督管理委员会证监许可</w:t>
      </w:r>
      <w:r>
        <w:rPr>
          <w:rFonts w:ascii="宋体" w:hAnsi="宋体" w:cs="宋体" w:eastAsia="宋体" w:hint="default"/>
        </w:rPr>
        <w:t>[2010]1902</w:t>
      </w:r>
      <w:r>
        <w:rPr/>
        <w:t>号文批复、</w:t>
      </w:r>
      <w:r>
        <w:rPr>
          <w:rFonts w:ascii="宋体" w:hAnsi="宋体" w:cs="宋体" w:eastAsia="宋体" w:hint="default"/>
        </w:rPr>
        <w:t>2011</w:t>
      </w:r>
      <w:r>
        <w:rPr/>
        <w:t>年 </w:t>
      </w:r>
      <w:r>
        <w:rPr>
          <w:rFonts w:ascii="宋体" w:hAnsi="宋体" w:cs="宋体" w:eastAsia="宋体" w:hint="default"/>
        </w:rPr>
        <w:t>1</w:t>
      </w:r>
      <w:r>
        <w:rPr/>
        <w:t>月</w:t>
      </w:r>
      <w:r>
        <w:rPr>
          <w:rFonts w:ascii="宋体" w:hAnsi="宋体" w:cs="宋体" w:eastAsia="宋体" w:hint="default"/>
        </w:rPr>
        <w:t>21</w:t>
      </w:r>
      <w:r>
        <w:rPr>
          <w:rFonts w:ascii="宋体" w:hAnsi="宋体" w:cs="宋体" w:eastAsia="宋体" w:hint="default"/>
          <w:spacing w:val="-4"/>
        </w:rPr>
        <w:t> </w:t>
      </w:r>
      <w:r>
        <w:rPr/>
        <w:t>日深圳证券交易所“深证上</w:t>
      </w:r>
    </w:p>
    <w:p>
      <w:pPr>
        <w:spacing w:line="240" w:lineRule="auto" w:before="10"/>
        <w:rPr>
          <w:rFonts w:ascii="宋体" w:hAnsi="宋体" w:cs="宋体" w:eastAsia="宋体" w:hint="default"/>
          <w:sz w:val="17"/>
          <w:szCs w:val="17"/>
        </w:rPr>
      </w:pPr>
    </w:p>
    <w:p>
      <w:pPr>
        <w:pStyle w:val="BodyText"/>
        <w:spacing w:line="477" w:lineRule="auto"/>
        <w:ind w:right="144"/>
        <w:jc w:val="left"/>
      </w:pPr>
      <w:r>
        <w:rPr>
          <w:spacing w:val="-3"/>
        </w:rPr>
        <w:t>【</w:t>
      </w:r>
      <w:r>
        <w:rPr>
          <w:rFonts w:ascii="宋体" w:hAnsi="宋体" w:cs="宋体" w:eastAsia="宋体" w:hint="default"/>
          <w:spacing w:val="-3"/>
        </w:rPr>
        <w:t>2011</w:t>
      </w:r>
      <w:r>
        <w:rPr>
          <w:spacing w:val="-3"/>
        </w:rPr>
        <w:t>】</w:t>
      </w:r>
      <w:r>
        <w:rPr>
          <w:rFonts w:ascii="宋体" w:hAnsi="宋体" w:cs="宋体" w:eastAsia="宋体" w:hint="default"/>
          <w:spacing w:val="-3"/>
        </w:rPr>
        <w:t>31 </w:t>
      </w:r>
      <w:r>
        <w:rPr/>
        <w:t>号”文核准，公司首次公开发行人民币普通股</w:t>
      </w:r>
      <w:r>
        <w:rPr>
          <w:rFonts w:ascii="宋体" w:hAnsi="宋体" w:cs="宋体" w:eastAsia="宋体" w:hint="default"/>
        </w:rPr>
        <w:t>1,017.60 </w:t>
      </w:r>
      <w:r>
        <w:rPr>
          <w:spacing w:val="-3"/>
        </w:rPr>
        <w:t>万股，每股面值</w:t>
      </w:r>
      <w:r>
        <w:rPr>
          <w:rFonts w:ascii="宋体" w:hAnsi="宋体" w:cs="宋体" w:eastAsia="宋体" w:hint="default"/>
          <w:spacing w:val="-3"/>
        </w:rPr>
        <w:t>1</w:t>
      </w:r>
      <w:r>
        <w:rPr>
          <w:spacing w:val="-3"/>
        </w:rPr>
        <w:t>元，并于</w:t>
      </w:r>
      <w:r>
        <w:rPr>
          <w:rFonts w:ascii="宋体" w:hAnsi="宋体" w:cs="宋体" w:eastAsia="宋体" w:hint="default"/>
          <w:spacing w:val="-3"/>
        </w:rPr>
        <w:t>2011 </w:t>
      </w:r>
      <w:r>
        <w:rPr/>
        <w:t>年 </w:t>
      </w:r>
      <w:r>
        <w:rPr>
          <w:rFonts w:ascii="宋体" w:hAnsi="宋体" w:cs="宋体" w:eastAsia="宋体" w:hint="default"/>
        </w:rPr>
        <w:t>1</w:t>
      </w:r>
      <w:r>
        <w:rPr/>
        <w:t>月 </w:t>
      </w:r>
      <w:r>
        <w:rPr>
          <w:rFonts w:ascii="宋体" w:hAnsi="宋体" w:cs="宋体" w:eastAsia="宋体" w:hint="default"/>
        </w:rPr>
        <w:t>25</w:t>
      </w:r>
      <w:r>
        <w:rPr>
          <w:rFonts w:ascii="宋体" w:hAnsi="宋体" w:cs="宋体" w:eastAsia="宋体" w:hint="default"/>
          <w:spacing w:val="-12"/>
        </w:rPr>
        <w:t> </w:t>
      </w:r>
      <w:r>
        <w:rPr/>
        <w:t>日在创业板 上市。股票简称“东方国信”，股票代码“</w:t>
      </w:r>
      <w:r>
        <w:rPr>
          <w:rFonts w:ascii="宋体" w:hAnsi="宋体" w:cs="宋体" w:eastAsia="宋体" w:hint="default"/>
        </w:rPr>
        <w:t>300166</w:t>
      </w:r>
      <w:r>
        <w:rPr/>
        <w:t>”，发行后总股本</w:t>
      </w:r>
      <w:r>
        <w:rPr>
          <w:rFonts w:ascii="宋体" w:hAnsi="宋体" w:cs="宋体" w:eastAsia="宋体" w:hint="default"/>
        </w:rPr>
        <w:t>4,050</w:t>
      </w:r>
      <w:r>
        <w:rPr/>
        <w:t>万股。</w:t>
      </w:r>
    </w:p>
    <w:p>
      <w:pPr>
        <w:pStyle w:val="BodyText"/>
        <w:spacing w:line="240" w:lineRule="auto" w:before="54"/>
        <w:ind w:left="513" w:right="0"/>
        <w:jc w:val="left"/>
      </w:pP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21</w:t>
      </w:r>
      <w:r>
        <w:rPr/>
        <w:t>日经公司</w:t>
      </w:r>
      <w:r>
        <w:rPr>
          <w:rFonts w:ascii="宋体" w:hAnsi="宋体" w:cs="宋体" w:eastAsia="宋体" w:hint="default"/>
        </w:rPr>
        <w:t>2011</w:t>
      </w:r>
      <w:r>
        <w:rPr/>
        <w:t>年度股东大会决议，以截止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4,050.00</w:t>
      </w:r>
      <w:r>
        <w:rPr/>
        <w:t>万股为基数，向全体股东每</w:t>
      </w:r>
    </w:p>
    <w:p>
      <w:pPr>
        <w:spacing w:line="240" w:lineRule="auto" w:before="10"/>
        <w:rPr>
          <w:rFonts w:ascii="宋体" w:hAnsi="宋体" w:cs="宋体" w:eastAsia="宋体" w:hint="default"/>
          <w:sz w:val="17"/>
          <w:szCs w:val="17"/>
        </w:rPr>
      </w:pPr>
    </w:p>
    <w:p>
      <w:pPr>
        <w:pStyle w:val="BodyText"/>
        <w:spacing w:line="477" w:lineRule="auto"/>
        <w:ind w:right="0"/>
        <w:jc w:val="left"/>
      </w:pP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股，共计转增</w:t>
      </w:r>
      <w:r>
        <w:rPr>
          <w:rFonts w:ascii="宋体" w:hAnsi="宋体" w:cs="宋体" w:eastAsia="宋体" w:hint="default"/>
          <w:spacing w:val="-2"/>
        </w:rPr>
        <w:t>4,050.00</w:t>
      </w:r>
      <w:r>
        <w:rPr>
          <w:spacing w:val="-2"/>
        </w:rPr>
        <w:t>万股，将资本公积</w:t>
      </w:r>
      <w:r>
        <w:rPr>
          <w:rFonts w:ascii="宋体" w:hAnsi="宋体" w:cs="宋体" w:eastAsia="宋体" w:hint="default"/>
          <w:spacing w:val="-2"/>
        </w:rPr>
        <w:t>40,500,000.00</w:t>
      </w:r>
      <w:r>
        <w:rPr>
          <w:spacing w:val="-2"/>
        </w:rPr>
        <w:t>元转增股本，增加注册资本人民币</w:t>
      </w:r>
      <w:r>
        <w:rPr>
          <w:rFonts w:ascii="宋体" w:hAnsi="宋体" w:cs="宋体" w:eastAsia="宋体" w:hint="default"/>
          <w:spacing w:val="-2"/>
        </w:rPr>
        <w:t>40,500,000.00</w:t>
      </w:r>
      <w:r>
        <w:rPr>
          <w:spacing w:val="-2"/>
        </w:rPr>
        <w:t>元，变</w:t>
      </w:r>
      <w:r>
        <w:rPr>
          <w:spacing w:val="-39"/>
        </w:rPr>
        <w:t> </w:t>
      </w:r>
      <w:r>
        <w:rPr>
          <w:spacing w:val="-39"/>
        </w:rPr>
      </w:r>
      <w:r>
        <w:rPr/>
        <w:t>更后注册资本为人民币</w:t>
      </w:r>
      <w:r>
        <w:rPr>
          <w:rFonts w:ascii="宋体" w:hAnsi="宋体" w:cs="宋体" w:eastAsia="宋体" w:hint="default"/>
        </w:rPr>
        <w:t>81,000,000.00</w:t>
      </w:r>
      <w:r>
        <w:rPr/>
        <w:t>元。</w:t>
      </w:r>
    </w:p>
    <w:p>
      <w:pPr>
        <w:pStyle w:val="BodyText"/>
        <w:spacing w:line="477" w:lineRule="auto" w:before="54"/>
        <w:ind w:right="146" w:firstLine="360"/>
        <w:jc w:val="both"/>
      </w:pP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22</w:t>
      </w:r>
      <w:r>
        <w:rPr>
          <w:spacing w:val="-2"/>
        </w:rPr>
        <w:t>日经公司</w:t>
      </w:r>
      <w:r>
        <w:rPr>
          <w:rFonts w:ascii="宋体" w:hAnsi="宋体" w:cs="宋体" w:eastAsia="宋体" w:hint="default"/>
          <w:spacing w:val="-2"/>
        </w:rPr>
        <w:t>2012</w:t>
      </w:r>
      <w:r>
        <w:rPr>
          <w:spacing w:val="-2"/>
        </w:rPr>
        <w:t>年第三次临时股东大会决议，以截止</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日公司总股本</w:t>
      </w:r>
      <w:r>
        <w:rPr>
          <w:rFonts w:ascii="宋体" w:hAnsi="宋体" w:cs="宋体" w:eastAsia="宋体" w:hint="default"/>
          <w:spacing w:val="-2"/>
        </w:rPr>
        <w:t>8,100.00</w:t>
      </w:r>
      <w:r>
        <w:rPr>
          <w:spacing w:val="-2"/>
        </w:rPr>
        <w:t>万股为基数，向全体</w:t>
      </w:r>
      <w:r>
        <w:rPr/>
        <w:t> 股东每</w:t>
      </w:r>
      <w:r>
        <w:rPr>
          <w:rFonts w:ascii="宋体" w:hAnsi="宋体" w:cs="宋体" w:eastAsia="宋体" w:hint="default"/>
        </w:rPr>
        <w:t>10</w:t>
      </w:r>
      <w:r>
        <w:rPr/>
        <w:t>股转增</w:t>
      </w:r>
      <w:r>
        <w:rPr>
          <w:rFonts w:ascii="宋体" w:hAnsi="宋体" w:cs="宋体" w:eastAsia="宋体" w:hint="default"/>
        </w:rPr>
        <w:t>5</w:t>
      </w:r>
      <w:r>
        <w:rPr/>
        <w:t>股，共计转增</w:t>
      </w:r>
      <w:r>
        <w:rPr>
          <w:rFonts w:ascii="宋体" w:hAnsi="宋体" w:cs="宋体" w:eastAsia="宋体" w:hint="default"/>
        </w:rPr>
        <w:t>4,050.00</w:t>
      </w:r>
      <w:r>
        <w:rPr/>
        <w:t>万股，将资本公积</w:t>
      </w:r>
      <w:r>
        <w:rPr>
          <w:rFonts w:ascii="宋体" w:hAnsi="宋体" w:cs="宋体" w:eastAsia="宋体" w:hint="default"/>
        </w:rPr>
        <w:t>40,500,000.00</w:t>
      </w:r>
      <w:r>
        <w:rPr/>
        <w:t>元转增股本，增加注册资本人民币</w:t>
      </w:r>
      <w:r>
        <w:rPr>
          <w:rFonts w:ascii="宋体" w:hAnsi="宋体" w:cs="宋体" w:eastAsia="宋体" w:hint="default"/>
        </w:rPr>
        <w:t>40,500,000.00 </w:t>
      </w:r>
      <w:r>
        <w:rPr/>
        <w:t>元，变更后注册资本为人民币</w:t>
      </w:r>
      <w:r>
        <w:rPr>
          <w:rFonts w:ascii="宋体" w:hAnsi="宋体" w:cs="宋体" w:eastAsia="宋体" w:hint="default"/>
        </w:rPr>
        <w:t>121,500,000.00</w:t>
      </w:r>
      <w:r>
        <w:rPr/>
        <w:t>元。</w:t>
      </w:r>
    </w:p>
    <w:p>
      <w:pPr>
        <w:pStyle w:val="BodyText"/>
        <w:spacing w:line="477" w:lineRule="auto" w:before="54"/>
        <w:ind w:left="513" w:right="5633"/>
        <w:jc w:val="left"/>
      </w:pPr>
      <w:r>
        <w:rPr/>
        <w:t>公司住所：北京市朝阳区望京北路</w:t>
      </w:r>
      <w:r>
        <w:rPr>
          <w:rFonts w:ascii="宋体" w:hAnsi="宋体" w:cs="宋体" w:eastAsia="宋体" w:hint="default"/>
        </w:rPr>
        <w:t>9</w:t>
      </w:r>
      <w:r>
        <w:rPr/>
        <w:t>号</w:t>
      </w:r>
      <w:r>
        <w:rPr>
          <w:rFonts w:ascii="宋体" w:hAnsi="宋体" w:cs="宋体" w:eastAsia="宋体" w:hint="default"/>
        </w:rPr>
        <w:t>D</w:t>
      </w:r>
      <w:r>
        <w:rPr/>
        <w:t>座</w:t>
      </w:r>
      <w:r>
        <w:rPr>
          <w:rFonts w:ascii="宋体" w:hAnsi="宋体" w:cs="宋体" w:eastAsia="宋体" w:hint="default"/>
        </w:rPr>
        <w:t>1108</w:t>
      </w:r>
      <w:r>
        <w:rPr/>
        <w:t>。 公司法定代表人：管连平。</w:t>
      </w:r>
    </w:p>
    <w:p>
      <w:pPr>
        <w:pStyle w:val="BodyText"/>
        <w:spacing w:line="477" w:lineRule="auto" w:before="54"/>
        <w:ind w:left="513" w:right="143"/>
        <w:jc w:val="left"/>
      </w:pPr>
      <w:r>
        <w:rPr>
          <w:rFonts w:ascii="宋体" w:hAnsi="宋体" w:cs="宋体" w:eastAsia="宋体" w:hint="default"/>
          <w:b/>
          <w:bCs/>
        </w:rPr>
        <w:t>（二）公司行业性质</w:t>
      </w:r>
      <w:r>
        <w:rPr>
          <w:rFonts w:ascii="宋体" w:hAnsi="宋体" w:cs="宋体" w:eastAsia="宋体" w:hint="default"/>
          <w:b/>
          <w:bCs/>
          <w:w w:val="99"/>
        </w:rPr>
        <w:t> </w:t>
      </w:r>
      <w:r>
        <w:rPr/>
        <w:t>根据国家统计局</w:t>
      </w:r>
      <w:r>
        <w:rPr>
          <w:rFonts w:ascii="宋体" w:hAnsi="宋体" w:cs="宋体" w:eastAsia="宋体" w:hint="default"/>
        </w:rPr>
        <w:t>2002</w:t>
      </w:r>
      <w:r>
        <w:rPr/>
        <w:t>年颁布的《国民经济行业分类》，公司归属于软件行业中的应用软件服务</w:t>
      </w:r>
      <w:r>
        <w:rPr>
          <w:rFonts w:ascii="宋体" w:hAnsi="宋体" w:cs="宋体" w:eastAsia="宋体" w:hint="default"/>
        </w:rPr>
        <w:t>(G6212)</w:t>
      </w:r>
      <w:r>
        <w:rPr/>
        <w:t>；根据中国证监</w:t>
      </w:r>
    </w:p>
    <w:p>
      <w:pPr>
        <w:pStyle w:val="BodyText"/>
        <w:spacing w:line="477" w:lineRule="auto" w:before="54"/>
        <w:ind w:right="0"/>
        <w:jc w:val="left"/>
      </w:pPr>
      <w:r>
        <w:rPr>
          <w:spacing w:val="-2"/>
        </w:rPr>
        <w:t>会发布的《上市公司行业分类指引（</w:t>
      </w:r>
      <w:r>
        <w:rPr>
          <w:rFonts w:ascii="宋体" w:hAnsi="宋体" w:cs="宋体" w:eastAsia="宋体" w:hint="default"/>
          <w:spacing w:val="-2"/>
        </w:rPr>
        <w:t>2012</w:t>
      </w:r>
      <w:r>
        <w:rPr>
          <w:spacing w:val="-2"/>
        </w:rPr>
        <w:t>年修订）》，公司归属于信息传输、软件和信息技术服务业中的软件和信息技术服</w:t>
      </w:r>
      <w:r>
        <w:rPr>
          <w:spacing w:val="-65"/>
        </w:rPr>
        <w:t> </w:t>
      </w:r>
      <w:r>
        <w:rPr>
          <w:spacing w:val="-65"/>
        </w:rPr>
      </w:r>
      <w:r>
        <w:rPr/>
        <w:t>务业</w:t>
      </w:r>
      <w:r>
        <w:rPr>
          <w:rFonts w:ascii="宋体" w:hAnsi="宋体" w:cs="宋体" w:eastAsia="宋体" w:hint="default"/>
        </w:rPr>
        <w:t>(I65)</w:t>
      </w:r>
      <w:r>
        <w:rPr/>
        <w:t>。</w:t>
      </w:r>
    </w:p>
    <w:p>
      <w:pPr>
        <w:pStyle w:val="BodyText"/>
        <w:spacing w:line="477" w:lineRule="auto" w:before="54"/>
        <w:ind w:right="152" w:firstLine="360"/>
        <w:jc w:val="both"/>
      </w:pPr>
      <w:r>
        <w:rPr>
          <w:spacing w:val="-2"/>
        </w:rPr>
        <w:t>公司主营业务是提供完整的企业商业智能（</w:t>
      </w:r>
      <w:r>
        <w:rPr>
          <w:rFonts w:ascii="宋体" w:hAnsi="宋体" w:cs="宋体" w:eastAsia="宋体" w:hint="default"/>
          <w:spacing w:val="-2"/>
        </w:rPr>
        <w:t>BI</w:t>
      </w:r>
      <w:r>
        <w:rPr>
          <w:spacing w:val="-2"/>
        </w:rPr>
        <w:t>）系统解决方案，包括软件产品开发与销售、技术服务和相应的系统集成</w:t>
      </w:r>
      <w:r>
        <w:rPr/>
        <w:t> 等。商业智能行业属于软件行业中的应用软件服务业。</w:t>
      </w:r>
    </w:p>
    <w:p>
      <w:pPr>
        <w:spacing w:after="0" w:line="477" w:lineRule="auto"/>
        <w:jc w:val="both"/>
        <w:sectPr>
          <w:pgSz w:w="11910" w:h="16840"/>
          <w:pgMar w:header="772" w:footer="1006" w:top="1080" w:bottom="1200" w:left="980" w:right="980"/>
        </w:sectPr>
      </w:pPr>
    </w:p>
    <w:p>
      <w:pPr>
        <w:spacing w:line="240" w:lineRule="auto" w:before="10"/>
        <w:rPr>
          <w:rFonts w:ascii="宋体" w:hAnsi="宋体" w:cs="宋体" w:eastAsia="宋体" w:hint="default"/>
          <w:sz w:val="29"/>
          <w:szCs w:val="29"/>
        </w:rPr>
      </w:pPr>
    </w:p>
    <w:p>
      <w:pPr>
        <w:pStyle w:val="BodyText"/>
        <w:spacing w:line="477" w:lineRule="auto" w:before="44"/>
        <w:ind w:left="513" w:right="94"/>
        <w:jc w:val="left"/>
      </w:pPr>
      <w:r>
        <w:rPr>
          <w:rFonts w:ascii="宋体" w:hAnsi="宋体" w:cs="宋体" w:eastAsia="宋体" w:hint="default"/>
          <w:b/>
          <w:bCs/>
        </w:rPr>
        <w:t>（三）公司经营范围</w:t>
      </w:r>
      <w:r>
        <w:rPr>
          <w:rFonts w:ascii="宋体" w:hAnsi="宋体" w:cs="宋体" w:eastAsia="宋体" w:hint="default"/>
          <w:b/>
          <w:bCs/>
          <w:w w:val="99"/>
        </w:rPr>
        <w:t> </w:t>
      </w:r>
      <w:r>
        <w:rPr>
          <w:spacing w:val="-2"/>
        </w:rPr>
        <w:t>公司经营范围包括：许可经营项目：因特网信息服务业务</w:t>
      </w:r>
      <w:r>
        <w:rPr>
          <w:rFonts w:ascii="宋体" w:hAnsi="宋体" w:cs="宋体" w:eastAsia="宋体" w:hint="default"/>
          <w:spacing w:val="-2"/>
        </w:rPr>
        <w:t>(</w:t>
      </w:r>
      <w:r>
        <w:rPr>
          <w:spacing w:val="-2"/>
        </w:rPr>
        <w:t>除新闻、出版、教育、医疗保健、药品、医疗器械和</w:t>
      </w:r>
      <w:r>
        <w:rPr>
          <w:rFonts w:ascii="宋体" w:hAnsi="宋体" w:cs="宋体" w:eastAsia="宋体" w:hint="default"/>
          <w:spacing w:val="-2"/>
        </w:rPr>
        <w:t>BBS</w:t>
      </w:r>
      <w:r>
        <w:rPr>
          <w:spacing w:val="-2"/>
        </w:rPr>
        <w:t>以外</w:t>
      </w:r>
    </w:p>
    <w:p>
      <w:pPr>
        <w:pStyle w:val="BodyText"/>
        <w:spacing w:line="477" w:lineRule="auto" w:before="54"/>
        <w:ind w:right="189"/>
        <w:jc w:val="both"/>
      </w:pPr>
      <w:r>
        <w:rPr/>
        <w:t>的内容</w:t>
      </w:r>
      <w:r>
        <w:rPr>
          <w:rFonts w:ascii="宋体" w:hAnsi="宋体" w:cs="宋体" w:eastAsia="宋体" w:hint="default"/>
        </w:rPr>
        <w:t>)</w:t>
      </w:r>
      <w:r>
        <w:rPr/>
        <w:t>（电信与信息服务许可证有效期至</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7</w:t>
      </w:r>
      <w:r>
        <w:rPr/>
        <w:t>日）；利用信息网络经营游戏产品（含网络游戏虚拟货币发行）（网</w:t>
      </w:r>
      <w:r>
        <w:rPr>
          <w:spacing w:val="-85"/>
        </w:rPr>
        <w:t> </w:t>
      </w:r>
      <w:r>
        <w:rPr>
          <w:spacing w:val="-85"/>
        </w:rPr>
      </w:r>
      <w:r>
        <w:rPr>
          <w:spacing w:val="-2"/>
        </w:rPr>
        <w:t>络文化经营许可证有效期至</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w:t>
      </w:r>
      <w:r>
        <w:rPr>
          <w:spacing w:val="-2"/>
        </w:rPr>
        <w:t>日）；第二类增值电信业务中的信息服务业务（不含固定网电话信息服务和互联网信</w:t>
      </w:r>
      <w:r>
        <w:rPr>
          <w:spacing w:val="-60"/>
        </w:rPr>
        <w:t> </w:t>
      </w:r>
      <w:r>
        <w:rPr>
          <w:spacing w:val="-60"/>
        </w:rPr>
      </w:r>
      <w:r>
        <w:rPr/>
        <w:t>息服务）（增值电信业务许可证有效期至</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15</w:t>
      </w:r>
      <w:r>
        <w:rPr/>
        <w:t>日）。一般经营项目：计算机软件硬件、机电一体化产品、计算机系</w:t>
      </w:r>
      <w:r>
        <w:rPr>
          <w:spacing w:val="-85"/>
        </w:rPr>
        <w:t> </w:t>
      </w:r>
      <w:r>
        <w:rPr>
          <w:spacing w:val="-85"/>
        </w:rPr>
      </w:r>
      <w:r>
        <w:rPr>
          <w:spacing w:val="-2"/>
        </w:rPr>
        <w:t>统集成的技术开发、技术咨询、技术服务、技术培训；销售自行开发后产品、电子产品、通讯设备；租赁计算机软硬件；企</w:t>
      </w:r>
      <w:r>
        <w:rPr>
          <w:spacing w:val="-65"/>
        </w:rPr>
        <w:t> </w:t>
      </w:r>
      <w:r>
        <w:rPr>
          <w:spacing w:val="-65"/>
        </w:rPr>
      </w:r>
      <w:r>
        <w:rPr/>
        <w:t>业策划；信息咨询（中介除外）；货物进出口</w:t>
      </w:r>
      <w:r>
        <w:rPr>
          <w:rFonts w:ascii="宋体" w:hAnsi="宋体" w:cs="宋体" w:eastAsia="宋体" w:hint="default"/>
        </w:rPr>
        <w:t>,</w:t>
      </w:r>
      <w:r>
        <w:rPr/>
        <w:t>技术进出口，代理进出口。</w:t>
      </w:r>
    </w:p>
    <w:p>
      <w:pPr>
        <w:pStyle w:val="BodyText"/>
        <w:spacing w:line="477" w:lineRule="auto" w:before="54"/>
        <w:ind w:left="513" w:right="94"/>
        <w:jc w:val="left"/>
      </w:pPr>
      <w:r>
        <w:rPr>
          <w:rFonts w:ascii="宋体" w:hAnsi="宋体" w:cs="宋体" w:eastAsia="宋体" w:hint="default"/>
          <w:b/>
          <w:bCs/>
        </w:rPr>
        <w:t>（四）公司主要产品及业务</w:t>
      </w:r>
      <w:r>
        <w:rPr>
          <w:rFonts w:ascii="宋体" w:hAnsi="宋体" w:cs="宋体" w:eastAsia="宋体" w:hint="default"/>
          <w:b/>
          <w:bCs/>
          <w:w w:val="99"/>
        </w:rPr>
        <w:t> </w:t>
      </w:r>
      <w:r>
        <w:rPr/>
        <w:t>公司主营商业智能（</w:t>
      </w:r>
      <w:r>
        <w:rPr>
          <w:rFonts w:ascii="宋体" w:hAnsi="宋体" w:cs="宋体" w:eastAsia="宋体" w:hint="default"/>
        </w:rPr>
        <w:t>BI</w:t>
      </w:r>
      <w:r>
        <w:rPr/>
        <w:t>）系统解决方案，可以细化为企业数据平台、数据分析平台和基于</w:t>
      </w:r>
      <w:r>
        <w:rPr>
          <w:rFonts w:ascii="宋体" w:hAnsi="宋体" w:cs="宋体" w:eastAsia="宋体" w:hint="default"/>
        </w:rPr>
        <w:t>BI</w:t>
      </w:r>
      <w:r>
        <w:rPr/>
        <w:t>的</w:t>
      </w:r>
      <w:r>
        <w:rPr>
          <w:rFonts w:ascii="宋体" w:hAnsi="宋体" w:cs="宋体" w:eastAsia="宋体" w:hint="default"/>
        </w:rPr>
        <w:t>CRM</w:t>
      </w:r>
      <w:r>
        <w:rPr/>
        <w:t>应用三类产品。 </w:t>
      </w:r>
      <w:r>
        <w:rPr>
          <w:spacing w:val="-2"/>
        </w:rPr>
        <w:t>企业数据平台是商业智能系统的基础，通过设计科学合理的企业数据模型，并在数据模型的基础上整合企业所有生产系</w:t>
      </w:r>
    </w:p>
    <w:p>
      <w:pPr>
        <w:pStyle w:val="BodyText"/>
        <w:spacing w:line="477" w:lineRule="auto" w:before="54"/>
        <w:ind w:right="191"/>
        <w:jc w:val="both"/>
      </w:pPr>
      <w:r>
        <w:rPr>
          <w:spacing w:val="-2"/>
        </w:rPr>
        <w:t>统的数据，形成统一的数据共享平台，再向生产系统提供完整的数据共享支撑，并基于这些数据进行经营分析决策、数据挖</w:t>
      </w:r>
      <w:r>
        <w:rPr>
          <w:spacing w:val="-65"/>
        </w:rPr>
        <w:t> </w:t>
      </w:r>
      <w:r>
        <w:rPr>
          <w:spacing w:val="-65"/>
        </w:rPr>
      </w:r>
      <w:r>
        <w:rPr/>
        <w:t>掘、营销数据应用等一系列针对企业经营活动的应用支撑。</w:t>
      </w:r>
    </w:p>
    <w:p>
      <w:pPr>
        <w:pStyle w:val="BodyText"/>
        <w:spacing w:line="477" w:lineRule="auto" w:before="54"/>
        <w:ind w:right="94" w:firstLine="360"/>
        <w:jc w:val="left"/>
      </w:pPr>
      <w:r>
        <w:rPr>
          <w:spacing w:val="-2"/>
        </w:rPr>
        <w:t>数据分析平台是建立在企业数据平台之上，为满足企业经营活动中高层决策人员、业务管理人员、一线营销人员对数据</w:t>
      </w:r>
      <w:r>
        <w:rPr/>
        <w:t> </w:t>
      </w:r>
      <w:r>
        <w:rPr>
          <w:spacing w:val="-4"/>
        </w:rPr>
        <w:t>应用的需求。数据分析平台利用数据挖掘技术，结合实际业务问题建立业务分析模型，为深层次业务问题提供分析模型支撑。</w:t>
      </w:r>
      <w:r>
        <w:rPr>
          <w:spacing w:val="-44"/>
        </w:rPr>
        <w:t> </w:t>
      </w:r>
      <w:r>
        <w:rPr>
          <w:spacing w:val="-44"/>
        </w:rPr>
      </w:r>
      <w:r>
        <w:rPr>
          <w:spacing w:val="-2"/>
        </w:rPr>
        <w:t>通过将数据信息与分析模型相结合，对企业在经营管理中涉及的客户、产品、渠道等关键要素进行分析，从而为企业经营管</w:t>
      </w:r>
      <w:r>
        <w:rPr>
          <w:spacing w:val="-62"/>
        </w:rPr>
        <w:t> </w:t>
      </w:r>
      <w:r>
        <w:rPr>
          <w:spacing w:val="-62"/>
        </w:rPr>
      </w:r>
      <w:r>
        <w:rPr/>
        <w:t>控与决策提供系统支撑。</w:t>
      </w:r>
    </w:p>
    <w:p>
      <w:pPr>
        <w:pStyle w:val="BodyText"/>
        <w:spacing w:line="477" w:lineRule="auto" w:before="54"/>
        <w:ind w:right="191" w:firstLine="360"/>
        <w:jc w:val="both"/>
      </w:pPr>
      <w:r>
        <w:rPr/>
        <w:t>基于</w:t>
      </w:r>
      <w:r>
        <w:rPr>
          <w:rFonts w:ascii="宋体" w:hAnsi="宋体" w:cs="宋体" w:eastAsia="宋体" w:hint="default"/>
        </w:rPr>
        <w:t>BI</w:t>
      </w:r>
      <w:r>
        <w:rPr/>
        <w:t>的</w:t>
      </w:r>
      <w:r>
        <w:rPr>
          <w:rFonts w:ascii="宋体" w:hAnsi="宋体" w:cs="宋体" w:eastAsia="宋体" w:hint="default"/>
        </w:rPr>
        <w:t>CRM</w:t>
      </w:r>
      <w:r>
        <w:rPr/>
        <w:t>应用能实现数据分析和知识发现，可帮助企业将其所掌握的客户数据转换成客户知识，这对企业制订客户 发展与维系策略将起到关键作用，通过将数据分析平台的数据挖掘模型引入到</w:t>
      </w:r>
      <w:r>
        <w:rPr>
          <w:rFonts w:ascii="宋体" w:hAnsi="宋体" w:cs="宋体" w:eastAsia="宋体" w:hint="default"/>
        </w:rPr>
        <w:t>CRM</w:t>
      </w:r>
      <w:r>
        <w:rPr/>
        <w:t>系统中，可提高企业在客户关系管理过程</w:t>
      </w:r>
      <w:r>
        <w:rPr>
          <w:spacing w:val="-84"/>
        </w:rPr>
        <w:t> </w:t>
      </w:r>
      <w:r>
        <w:rPr>
          <w:spacing w:val="-84"/>
        </w:rPr>
      </w:r>
      <w:r>
        <w:rPr/>
        <w:t>中的营销和服务水平，为精细化的营销和服务提供前期数据分析，提高营销的科学性与效率。</w:t>
      </w:r>
    </w:p>
    <w:p>
      <w:pPr>
        <w:pStyle w:val="Heading5"/>
        <w:spacing w:line="477" w:lineRule="auto"/>
        <w:ind w:right="5839"/>
        <w:jc w:val="left"/>
        <w:rPr>
          <w:b w:val="0"/>
          <w:bCs w:val="0"/>
        </w:rPr>
      </w:pPr>
      <w:r>
        <w:rPr/>
        <w:t>四、公司主要会计政策、会计估计和前期差错</w:t>
      </w:r>
      <w:r>
        <w:rPr>
          <w:w w:val="99"/>
        </w:rPr>
        <w:t> </w:t>
      </w:r>
      <w:r>
        <w:rPr>
          <w:rFonts w:ascii="宋体" w:hAnsi="宋体" w:cs="宋体" w:eastAsia="宋体" w:hint="default"/>
        </w:rPr>
        <w:t>1</w:t>
      </w:r>
      <w:r>
        <w:rPr/>
        <w:t>、财务报表的编制基础</w:t>
      </w:r>
      <w:r>
        <w:rPr>
          <w:b w:val="0"/>
          <w:bCs w:val="0"/>
        </w:rPr>
      </w:r>
    </w:p>
    <w:p>
      <w:pPr>
        <w:pStyle w:val="BodyText"/>
        <w:spacing w:line="477" w:lineRule="auto" w:before="54"/>
        <w:ind w:right="181" w:firstLine="360"/>
        <w:jc w:val="left"/>
      </w:pPr>
      <w:r>
        <w:rPr/>
        <w:t>本公司财务报表以持续经营假设为基础，执行财政部于</w:t>
      </w:r>
      <w:r>
        <w:rPr>
          <w:rFonts w:ascii="宋体" w:hAnsi="宋体" w:cs="宋体" w:eastAsia="宋体" w:hint="default"/>
        </w:rPr>
        <w:t>2006 </w:t>
      </w:r>
      <w:r>
        <w:rPr/>
        <w:t>年</w:t>
      </w:r>
      <w:r>
        <w:rPr>
          <w:rFonts w:ascii="宋体" w:hAnsi="宋体" w:cs="宋体" w:eastAsia="宋体" w:hint="default"/>
        </w:rPr>
        <w:t>2 </w:t>
      </w:r>
      <w:r>
        <w:rPr/>
        <w:t>月</w:t>
      </w:r>
      <w:r>
        <w:rPr>
          <w:rFonts w:ascii="宋体" w:hAnsi="宋体" w:cs="宋体" w:eastAsia="宋体" w:hint="default"/>
        </w:rPr>
        <w:t>15 </w:t>
      </w:r>
      <w:r>
        <w:rPr/>
        <w:t>日颁布的《企业会计准则—基本准则》和</w:t>
      </w:r>
      <w:r>
        <w:rPr>
          <w:rFonts w:ascii="宋体" w:hAnsi="宋体" w:cs="宋体" w:eastAsia="宋体" w:hint="default"/>
        </w:rPr>
        <w:t>38</w:t>
      </w:r>
      <w:r>
        <w:rPr>
          <w:rFonts w:ascii="宋体" w:hAnsi="宋体" w:cs="宋体" w:eastAsia="宋体" w:hint="default"/>
          <w:spacing w:val="3"/>
        </w:rPr>
        <w:t> </w:t>
      </w:r>
      <w:r>
        <w:rPr/>
        <w:t>项 </w:t>
      </w:r>
      <w:r>
        <w:rPr>
          <w:spacing w:val="-8"/>
        </w:rPr>
        <w:t>具体会计准则、以及其后颁布的企业会计准则应用指南、企业会计准则解释以及其他相关规定（以下简称“企业会计准则”）。</w:t>
      </w:r>
      <w:r>
        <w:rPr/>
      </w:r>
    </w:p>
    <w:p>
      <w:pPr>
        <w:spacing w:line="477" w:lineRule="auto" w:before="55"/>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、遵循企业会计准则的声明</w:t>
      </w:r>
      <w:r>
        <w:rPr>
          <w:rFonts w:ascii="宋体" w:hAnsi="宋体" w:cs="宋体" w:eastAsia="宋体" w:hint="default"/>
          <w:b/>
          <w:bCs/>
          <w:w w:val="99"/>
          <w:sz w:val="18"/>
          <w:szCs w:val="18"/>
        </w:rPr>
        <w:t> </w:t>
      </w:r>
      <w:r>
        <w:rPr>
          <w:rFonts w:ascii="宋体" w:hAnsi="宋体" w:cs="宋体" w:eastAsia="宋体" w:hint="default"/>
          <w:spacing w:val="-2"/>
          <w:sz w:val="18"/>
          <w:szCs w:val="18"/>
        </w:rPr>
        <w:t>本公司编制的</w:t>
      </w:r>
      <w:r>
        <w:rPr>
          <w:rFonts w:ascii="宋体" w:hAnsi="宋体" w:cs="宋体" w:eastAsia="宋体" w:hint="default"/>
          <w:spacing w:val="-2"/>
          <w:sz w:val="18"/>
          <w:szCs w:val="18"/>
        </w:rPr>
        <w:t>2012</w:t>
      </w:r>
      <w:r>
        <w:rPr>
          <w:rFonts w:ascii="宋体" w:hAnsi="宋体" w:cs="宋体" w:eastAsia="宋体" w:hint="default"/>
          <w:spacing w:val="-2"/>
          <w:sz w:val="18"/>
          <w:szCs w:val="18"/>
        </w:rPr>
        <w:t>年度财务报表符合企业会计准则的要求，真实、完整地反映了本公司的财务状况、经营成果和现金流</w:t>
      </w:r>
    </w:p>
    <w:p>
      <w:pPr>
        <w:spacing w:line="477" w:lineRule="auto" w:before="54"/>
        <w:ind w:left="513" w:right="8459" w:hanging="361"/>
        <w:jc w:val="left"/>
        <w:rPr>
          <w:rFonts w:ascii="宋体" w:hAnsi="宋体" w:cs="宋体" w:eastAsia="宋体" w:hint="default"/>
          <w:sz w:val="18"/>
          <w:szCs w:val="18"/>
        </w:rPr>
      </w:pPr>
      <w:r>
        <w:rPr>
          <w:rFonts w:ascii="宋体" w:hAnsi="宋体" w:cs="宋体" w:eastAsia="宋体" w:hint="default"/>
          <w:sz w:val="18"/>
          <w:szCs w:val="18"/>
        </w:rPr>
        <w:t>量等有关信息。 </w:t>
      </w:r>
      <w:r>
        <w:rPr>
          <w:rFonts w:ascii="宋体" w:hAnsi="宋体" w:cs="宋体" w:eastAsia="宋体" w:hint="default"/>
          <w:b/>
          <w:bCs/>
          <w:sz w:val="18"/>
          <w:szCs w:val="18"/>
        </w:rPr>
        <w:t>3</w:t>
      </w:r>
      <w:r>
        <w:rPr>
          <w:rFonts w:ascii="宋体" w:hAnsi="宋体" w:cs="宋体" w:eastAsia="宋体" w:hint="default"/>
          <w:b/>
          <w:bCs/>
          <w:sz w:val="18"/>
          <w:szCs w:val="18"/>
        </w:rPr>
        <w:t>、会计期间</w:t>
      </w:r>
      <w:r>
        <w:rPr>
          <w:rFonts w:ascii="宋体" w:hAnsi="宋体" w:cs="宋体" w:eastAsia="宋体" w:hint="default"/>
          <w:sz w:val="18"/>
          <w:szCs w:val="18"/>
        </w:rPr>
      </w:r>
    </w:p>
    <w:p>
      <w:pPr>
        <w:pStyle w:val="BodyText"/>
        <w:spacing w:line="240" w:lineRule="auto" w:before="54"/>
        <w:ind w:left="513" w:right="94"/>
        <w:jc w:val="left"/>
      </w:pPr>
      <w:r>
        <w:rPr/>
        <w:t>公司会计年度为公历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after="0" w:line="240"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spacing w:line="477" w:lineRule="auto" w:before="44"/>
        <w:ind w:left="513" w:right="6893"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、记账本位币</w:t>
      </w:r>
      <w:r>
        <w:rPr>
          <w:rFonts w:ascii="宋体" w:hAnsi="宋体" w:cs="宋体" w:eastAsia="宋体" w:hint="default"/>
          <w:b/>
          <w:bCs/>
          <w:w w:val="99"/>
          <w:sz w:val="18"/>
          <w:szCs w:val="18"/>
        </w:rPr>
        <w:t> </w:t>
      </w:r>
      <w:r>
        <w:rPr>
          <w:rFonts w:ascii="宋体" w:hAnsi="宋体" w:cs="宋体" w:eastAsia="宋体" w:hint="default"/>
          <w:sz w:val="18"/>
          <w:szCs w:val="18"/>
        </w:rPr>
        <w:t>本公司以人民币为记账本位币。</w:t>
      </w:r>
    </w:p>
    <w:p>
      <w:pPr>
        <w:pStyle w:val="Heading5"/>
        <w:spacing w:line="240" w:lineRule="auto"/>
        <w:ind w:right="0"/>
        <w:jc w:val="left"/>
        <w:rPr>
          <w:b w:val="0"/>
          <w:bCs w:val="0"/>
        </w:rPr>
      </w:pPr>
      <w:r>
        <w:rPr>
          <w:rFonts w:ascii="宋体" w:hAnsi="宋体" w:cs="宋体" w:eastAsia="宋体"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17"/>
          <w:szCs w:val="17"/>
        </w:rPr>
      </w:pPr>
    </w:p>
    <w:p>
      <w:pPr>
        <w:pStyle w:val="BodyText"/>
        <w:spacing w:line="477" w:lineRule="auto"/>
        <w:ind w:left="513" w:right="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）同一控制下企业合并</w:t>
      </w:r>
      <w:r>
        <w:rPr>
          <w:rFonts w:ascii="宋体" w:hAnsi="宋体" w:cs="宋体" w:eastAsia="宋体" w:hint="default"/>
          <w:b/>
          <w:bCs/>
          <w:w w:val="99"/>
        </w:rPr>
        <w:t> </w:t>
      </w:r>
      <w:r>
        <w:rPr>
          <w:spacing w:val="-2"/>
        </w:rPr>
        <w:t>参与合并的企业在合并前后均受同一方或相同的多方最终控制且该控制并非暂时性的，为同一控制下的企业合并。合并</w:t>
      </w:r>
    </w:p>
    <w:p>
      <w:pPr>
        <w:pStyle w:val="BodyText"/>
        <w:spacing w:line="477" w:lineRule="auto" w:before="54"/>
        <w:ind w:right="0"/>
        <w:jc w:val="left"/>
      </w:pPr>
      <w:r>
        <w:rPr>
          <w:spacing w:val="-2"/>
        </w:rPr>
        <w:t>方在企业合并中取得的资产和负债，应当按照合并日在被合并方的账面价值计量。合并方取得的净资产账面价值与支付的合</w:t>
      </w:r>
      <w:r>
        <w:rPr>
          <w:spacing w:val="-64"/>
        </w:rPr>
        <w:t> </w:t>
      </w:r>
      <w:r>
        <w:rPr>
          <w:spacing w:val="-64"/>
        </w:rPr>
      </w:r>
      <w:r>
        <w:rPr/>
        <w:t>并对价账面价值（或发行股份面值总额）的差额，应当调整资本公积；资本公积不足冲减的，调整留存收益。</w:t>
      </w:r>
    </w:p>
    <w:p>
      <w:pPr>
        <w:spacing w:line="477" w:lineRule="auto" w:before="54"/>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参与合并的各方在合并前后不受同一方或相同的多方最终控制的，为非同一控制下的企业合并。购买方的合并成本为购</w:t>
      </w:r>
    </w:p>
    <w:p>
      <w:pPr>
        <w:pStyle w:val="BodyText"/>
        <w:spacing w:line="477" w:lineRule="auto" w:before="54"/>
        <w:ind w:left="513" w:right="0" w:hanging="361"/>
        <w:jc w:val="left"/>
      </w:pPr>
      <w:r>
        <w:rPr/>
        <w:t>买方在购买日为取得对被购买方的控制权而付出的资产、发生或承担的负债以及发行的权益性证券的公允价值。 </w:t>
      </w:r>
      <w:r>
        <w:rPr>
          <w:spacing w:val="-2"/>
        </w:rPr>
        <w:t>购买方对合并成本大于合并中取得的被购买方可辨认净资产公允价值份额的差额，确认为商誉。购买方对合并成本小于</w:t>
      </w:r>
    </w:p>
    <w:p>
      <w:pPr>
        <w:pStyle w:val="BodyText"/>
        <w:spacing w:line="477" w:lineRule="auto" w:before="54"/>
        <w:ind w:left="513" w:right="0" w:hanging="361"/>
        <w:jc w:val="left"/>
      </w:pPr>
      <w:r>
        <w:rPr/>
        <w:t>合并中取得的被购买方可辨认净资产公允价值份额的差额，计入当期损益。 </w:t>
      </w:r>
      <w:r>
        <w:rPr>
          <w:spacing w:val="-2"/>
        </w:rPr>
        <w:t>购买方在购买日对作为企业合并对价付出的资产、发生或承担的负债应当按照公允价值计量，公允价值与其账面价值的</w:t>
      </w:r>
    </w:p>
    <w:p>
      <w:pPr>
        <w:spacing w:line="477" w:lineRule="auto" w:before="54"/>
        <w:ind w:left="513" w:right="7154" w:hanging="361"/>
        <w:jc w:val="left"/>
        <w:rPr>
          <w:rFonts w:ascii="宋体" w:hAnsi="宋体" w:cs="宋体" w:eastAsia="宋体" w:hint="default"/>
          <w:sz w:val="18"/>
          <w:szCs w:val="18"/>
        </w:rPr>
      </w:pPr>
      <w:r>
        <w:rPr>
          <w:rFonts w:ascii="宋体" w:hAnsi="宋体" w:cs="宋体" w:eastAsia="宋体" w:hint="default"/>
          <w:sz w:val="18"/>
          <w:szCs w:val="18"/>
        </w:rPr>
        <w:t>差额，计入当期损益。 </w:t>
      </w:r>
      <w:r>
        <w:rPr>
          <w:rFonts w:ascii="宋体" w:hAnsi="宋体" w:cs="宋体" w:eastAsia="宋体" w:hint="default"/>
          <w:b/>
          <w:bCs/>
          <w:sz w:val="18"/>
          <w:szCs w:val="18"/>
        </w:rPr>
        <w:t>6</w:t>
      </w:r>
      <w:r>
        <w:rPr>
          <w:rFonts w:ascii="宋体" w:hAnsi="宋体" w:cs="宋体" w:eastAsia="宋体" w:hint="default"/>
          <w:b/>
          <w:bCs/>
          <w:sz w:val="18"/>
          <w:szCs w:val="18"/>
        </w:rPr>
        <w:t>、合并财务报表的编制方法</w:t>
      </w:r>
      <w:r>
        <w:rPr>
          <w:rFonts w:ascii="宋体" w:hAnsi="宋体" w:cs="宋体" w:eastAsia="宋体" w:hint="default"/>
          <w:sz w:val="18"/>
          <w:szCs w:val="18"/>
        </w:rPr>
      </w:r>
    </w:p>
    <w:p>
      <w:pPr>
        <w:pStyle w:val="Heading5"/>
        <w:spacing w:line="240" w:lineRule="auto"/>
        <w:ind w:right="0"/>
        <w:jc w:val="left"/>
        <w:rPr>
          <w:b w:val="0"/>
          <w:bCs w:val="0"/>
        </w:rPr>
      </w:pPr>
      <w:r>
        <w:rPr/>
        <w:t>（</w:t>
      </w:r>
      <w:r>
        <w:rPr>
          <w:rFonts w:ascii="宋体" w:hAnsi="宋体" w:cs="宋体" w:eastAsia="宋体" w:hint="default"/>
        </w:rPr>
        <w:t>1</w:t>
      </w:r>
      <w:r>
        <w:rPr/>
        <w:t>）合并财务报表的编制方法</w:t>
      </w:r>
      <w:r>
        <w:rPr>
          <w:b w:val="0"/>
          <w:bCs w:val="0"/>
        </w:rPr>
      </w:r>
    </w:p>
    <w:p>
      <w:pPr>
        <w:spacing w:line="240" w:lineRule="auto" w:before="10"/>
        <w:rPr>
          <w:rFonts w:ascii="宋体" w:hAnsi="宋体" w:cs="宋体" w:eastAsia="宋体" w:hint="default"/>
          <w:b/>
          <w:bCs/>
          <w:sz w:val="17"/>
          <w:szCs w:val="17"/>
        </w:rPr>
      </w:pPr>
    </w:p>
    <w:p>
      <w:pPr>
        <w:pStyle w:val="BodyText"/>
        <w:spacing w:line="468" w:lineRule="auto"/>
        <w:ind w:right="149" w:firstLine="451"/>
        <w:jc w:val="both"/>
      </w:pPr>
      <w:r>
        <w:rPr>
          <w:spacing w:val="-2"/>
        </w:rPr>
        <w:t>合并财务报表按照</w:t>
      </w:r>
      <w:r>
        <w:rPr>
          <w:rFonts w:ascii="Arial Narrow" w:hAnsi="Arial Narrow" w:cs="Arial Narrow" w:eastAsia="Arial Narrow" w:hint="default"/>
          <w:spacing w:val="-2"/>
        </w:rPr>
        <w:t>2006</w:t>
      </w:r>
      <w:r>
        <w:rPr>
          <w:spacing w:val="-2"/>
        </w:rPr>
        <w:t>年</w:t>
      </w:r>
      <w:r>
        <w:rPr>
          <w:rFonts w:ascii="Arial Narrow" w:hAnsi="Arial Narrow" w:cs="Arial Narrow" w:eastAsia="Arial Narrow" w:hint="default"/>
          <w:spacing w:val="-2"/>
        </w:rPr>
        <w:t>2</w:t>
      </w:r>
      <w:r>
        <w:rPr>
          <w:spacing w:val="-2"/>
        </w:rPr>
        <w:t>月颁布的《企业会计准则第</w:t>
      </w:r>
      <w:r>
        <w:rPr>
          <w:rFonts w:ascii="Arial Narrow" w:hAnsi="Arial Narrow" w:cs="Arial Narrow" w:eastAsia="Arial Narrow" w:hint="default"/>
          <w:spacing w:val="-2"/>
        </w:rPr>
        <w:t>33</w:t>
      </w:r>
      <w:r>
        <w:rPr>
          <w:rFonts w:ascii="Arial Narrow" w:hAnsi="Arial Narrow" w:cs="Arial Narrow" w:eastAsia="Arial Narrow" w:hint="default"/>
          <w:spacing w:val="26"/>
        </w:rPr>
        <w:t> </w:t>
      </w:r>
      <w:r>
        <w:rPr>
          <w:spacing w:val="-2"/>
        </w:rPr>
        <w:t>号</w:t>
      </w:r>
      <w:r>
        <w:rPr>
          <w:rFonts w:ascii="Arial Narrow" w:hAnsi="Arial Narrow" w:cs="Arial Narrow" w:eastAsia="Arial Narrow" w:hint="default"/>
          <w:spacing w:val="-2"/>
        </w:rPr>
        <w:t>—</w:t>
      </w:r>
      <w:r>
        <w:rPr>
          <w:spacing w:val="-2"/>
        </w:rPr>
        <w:t>合并财务报表》执行。公司所控制的全部子公司及特殊目</w:t>
      </w:r>
      <w:r>
        <w:rPr/>
        <w:t> </w:t>
      </w:r>
      <w:r>
        <w:rPr>
          <w:spacing w:val="-2"/>
        </w:rPr>
        <w:t>的主体均纳入合并财务报表的合并范围。从取得子公司的实际控制权之日起，公司开始将其予以合并；从丧失实际控制权之</w:t>
      </w:r>
      <w:r>
        <w:rPr>
          <w:spacing w:val="-62"/>
        </w:rPr>
        <w:t> </w:t>
      </w:r>
      <w:r>
        <w:rPr>
          <w:spacing w:val="-62"/>
        </w:rPr>
      </w:r>
      <w:r>
        <w:rPr>
          <w:spacing w:val="-2"/>
        </w:rPr>
        <w:t>日起停止合并。合并财务报表以母公司和纳入合并范围的子公司的个别财务报表为基础，根据其他有关资料为依据，按照权</w:t>
      </w:r>
      <w:r>
        <w:rPr>
          <w:spacing w:val="-63"/>
        </w:rPr>
        <w:t> </w:t>
      </w:r>
      <w:r>
        <w:rPr>
          <w:spacing w:val="-63"/>
        </w:rPr>
      </w:r>
      <w:r>
        <w:rPr/>
        <w:t>益法调整对子公司的长期股权投资后，由母公司编制。</w:t>
      </w:r>
    </w:p>
    <w:p>
      <w:pPr>
        <w:pStyle w:val="BodyText"/>
        <w:spacing w:line="477" w:lineRule="auto" w:before="61"/>
        <w:ind w:right="152" w:firstLine="360"/>
        <w:jc w:val="both"/>
      </w:pPr>
      <w:r>
        <w:rPr>
          <w:spacing w:val="-2"/>
        </w:rPr>
        <w:t>集团内部所有重大往来余额、交易及未实现利润在合并财务报表编制时予以抵销。子公司的股东权益中不属于母公司所</w:t>
      </w:r>
      <w:r>
        <w:rPr/>
        <w:t> 拥有的部分作为少数股东权益在合并财务报表中股东权益项下单独列示。</w:t>
      </w:r>
    </w:p>
    <w:p>
      <w:pPr>
        <w:pStyle w:val="BodyText"/>
        <w:spacing w:line="477" w:lineRule="auto" w:before="54"/>
        <w:ind w:right="152" w:firstLine="360"/>
        <w:jc w:val="both"/>
      </w:pPr>
      <w:r>
        <w:rPr>
          <w:spacing w:val="-2"/>
        </w:rPr>
        <w:t>子公司与母公司采用的会计政策或会计期间不一致的，在编制合并财务报表时，按照母公司的会计政策或会计期间对子</w:t>
      </w:r>
      <w:r>
        <w:rPr/>
        <w:t> 公司财务报表进行必要的调整。</w:t>
      </w:r>
    </w:p>
    <w:p>
      <w:pPr>
        <w:pStyle w:val="BodyText"/>
        <w:spacing w:line="477" w:lineRule="auto" w:before="54"/>
        <w:ind w:right="151" w:firstLine="360"/>
        <w:jc w:val="both"/>
      </w:pPr>
      <w:r>
        <w:rPr>
          <w:spacing w:val="-2"/>
        </w:rPr>
        <w:t>对于因非同一控制下企业合并取得的子公司，在编制合并财务报表时，以购买日可辨认净资产公允价值为基础对其个别</w:t>
      </w:r>
      <w:r>
        <w:rPr/>
        <w:t> </w:t>
      </w:r>
      <w:r>
        <w:rPr>
          <w:spacing w:val="-2"/>
        </w:rPr>
        <w:t>财务报表进行调整；对于因同一控制下企业合并取得的子公司，在编制合并财务报表时，视同该企业合并于报告期最早期间</w:t>
      </w:r>
      <w:r>
        <w:rPr>
          <w:spacing w:val="-65"/>
        </w:rPr>
        <w:t> </w:t>
      </w:r>
      <w:r>
        <w:rPr>
          <w:spacing w:val="-65"/>
        </w:rPr>
      </w:r>
      <w:r>
        <w:rPr>
          <w:spacing w:val="-2"/>
        </w:rPr>
        <w:t>的期初已经发生，从报告期最早期间的期初起将其资产、负债、经营成果和现金流量纳入合并财务报表，且其合并日前实现</w:t>
      </w:r>
      <w:r>
        <w:rPr>
          <w:spacing w:val="-65"/>
        </w:rPr>
        <w:t> </w:t>
      </w:r>
      <w:r>
        <w:rPr>
          <w:spacing w:val="-65"/>
        </w:rPr>
      </w:r>
      <w:r>
        <w:rPr/>
        <w:t>的净利润在合并利润表中单列项目反映。</w:t>
      </w:r>
    </w:p>
    <w:p>
      <w:pPr>
        <w:pStyle w:val="Heading5"/>
        <w:spacing w:line="436" w:lineRule="auto"/>
        <w:ind w:left="693" w:right="1191" w:hanging="180"/>
        <w:jc w:val="left"/>
        <w:rPr>
          <w:rFonts w:ascii="宋体" w:hAnsi="宋体" w:cs="宋体" w:eastAsia="宋体" w:hint="default"/>
          <w:b w:val="0"/>
          <w:bCs w:val="0"/>
        </w:rPr>
      </w:pPr>
      <w:r>
        <w:rPr/>
        <w:t>（</w:t>
      </w:r>
      <w:r>
        <w:rPr>
          <w:rFonts w:ascii="宋体" w:hAnsi="宋体" w:cs="宋体" w:eastAsia="宋体" w:hint="default"/>
        </w:rPr>
        <w:t>2</w:t>
      </w:r>
      <w:r>
        <w:rPr/>
        <w:t>）对同一子公司的股权在连续两个会计年度买入再卖出，或卖出再买入的应披露相关的会计处理方法</w:t>
      </w:r>
      <w:r>
        <w:rPr>
          <w:w w:val="99"/>
        </w:rPr>
        <w:t> </w:t>
      </w:r>
      <w:r>
        <w:rPr>
          <w:rFonts w:ascii="宋体" w:hAnsi="宋体" w:cs="宋体" w:eastAsia="宋体" w:hint="default"/>
          <w:b w:val="0"/>
          <w:bCs w:val="0"/>
        </w:rPr>
        <w:t>无。</w:t>
      </w:r>
    </w:p>
    <w:p>
      <w:pPr>
        <w:spacing w:after="0" w:line="436" w:lineRule="auto"/>
        <w:jc w:val="left"/>
        <w:rPr>
          <w:rFonts w:ascii="宋体" w:hAnsi="宋体" w:cs="宋体" w:eastAsia="宋体" w:hint="default"/>
        </w:rPr>
        <w:sectPr>
          <w:pgSz w:w="11910" w:h="16840"/>
          <w:pgMar w:header="772" w:footer="1006" w:top="1080" w:bottom="1200" w:left="980" w:right="980"/>
        </w:sectPr>
      </w:pPr>
    </w:p>
    <w:p>
      <w:pPr>
        <w:spacing w:line="240" w:lineRule="auto" w:before="10"/>
        <w:rPr>
          <w:rFonts w:ascii="宋体" w:hAnsi="宋体" w:cs="宋体" w:eastAsia="宋体" w:hint="default"/>
          <w:sz w:val="29"/>
          <w:szCs w:val="29"/>
        </w:rPr>
      </w:pPr>
    </w:p>
    <w:p>
      <w:pPr>
        <w:spacing w:line="477" w:lineRule="auto" w:before="44"/>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7</w:t>
      </w:r>
      <w:r>
        <w:rPr>
          <w:rFonts w:ascii="宋体" w:hAnsi="宋体" w:cs="宋体" w:eastAsia="宋体" w:hint="default"/>
          <w:b/>
          <w:bCs/>
          <w:sz w:val="18"/>
          <w:szCs w:val="18"/>
        </w:rPr>
        <w:t>、现金及现金等价物的确定标准</w:t>
      </w:r>
      <w:r>
        <w:rPr>
          <w:rFonts w:ascii="宋体" w:hAnsi="宋体" w:cs="宋体" w:eastAsia="宋体" w:hint="default"/>
          <w:b/>
          <w:bCs/>
          <w:w w:val="99"/>
          <w:sz w:val="18"/>
          <w:szCs w:val="18"/>
        </w:rPr>
        <w:t> </w:t>
      </w:r>
      <w:r>
        <w:rPr>
          <w:rFonts w:ascii="宋体" w:hAnsi="宋体" w:cs="宋体" w:eastAsia="宋体" w:hint="default"/>
          <w:spacing w:val="-2"/>
          <w:sz w:val="18"/>
          <w:szCs w:val="18"/>
        </w:rPr>
        <w:t>编制现金流量表时，现金是指库存现金及可随时用于支付的存款；现金等价物是指持有的期限短、流动性强、易于转换</w:t>
      </w:r>
    </w:p>
    <w:p>
      <w:pPr>
        <w:spacing w:line="477" w:lineRule="auto" w:before="54"/>
        <w:ind w:left="513" w:right="6214" w:hanging="361"/>
        <w:jc w:val="left"/>
        <w:rPr>
          <w:rFonts w:ascii="宋体" w:hAnsi="宋体" w:cs="宋体" w:eastAsia="宋体" w:hint="default"/>
          <w:sz w:val="18"/>
          <w:szCs w:val="18"/>
        </w:rPr>
      </w:pPr>
      <w:r>
        <w:rPr>
          <w:rFonts w:ascii="宋体" w:hAnsi="宋体" w:cs="宋体" w:eastAsia="宋体" w:hint="default"/>
          <w:sz w:val="18"/>
          <w:szCs w:val="18"/>
        </w:rPr>
        <w:t>为已知金额现金及价值变动风险很小的投资。 </w:t>
      </w:r>
      <w:r>
        <w:rPr>
          <w:rFonts w:ascii="宋体" w:hAnsi="宋体" w:cs="宋体" w:eastAsia="宋体" w:hint="default"/>
          <w:b/>
          <w:bCs/>
          <w:sz w:val="18"/>
          <w:szCs w:val="18"/>
        </w:rPr>
        <w:t>8</w:t>
      </w:r>
      <w:r>
        <w:rPr>
          <w:rFonts w:ascii="宋体" w:hAnsi="宋体" w:cs="宋体" w:eastAsia="宋体" w:hint="default"/>
          <w:b/>
          <w:bCs/>
          <w:sz w:val="18"/>
          <w:szCs w:val="18"/>
        </w:rPr>
        <w:t>、外币业务和外币报表折算</w:t>
      </w:r>
      <w:r>
        <w:rPr>
          <w:rFonts w:ascii="宋体" w:hAnsi="宋体" w:cs="宋体" w:eastAsia="宋体" w:hint="default"/>
          <w:sz w:val="18"/>
          <w:szCs w:val="18"/>
        </w:rPr>
      </w:r>
    </w:p>
    <w:p>
      <w:pPr>
        <w:pStyle w:val="BodyText"/>
        <w:spacing w:line="477" w:lineRule="auto" w:before="54"/>
        <w:ind w:left="513" w:right="2613"/>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）外币业务</w:t>
      </w:r>
      <w:r>
        <w:rPr>
          <w:rFonts w:ascii="宋体" w:hAnsi="宋体" w:cs="宋体" w:eastAsia="宋体" w:hint="default"/>
          <w:b/>
          <w:bCs/>
          <w:w w:val="99"/>
        </w:rPr>
        <w:t> </w:t>
      </w:r>
      <w:r>
        <w:rPr/>
        <w:t>公司外币交易按交易发生日的即期汇率（或近似汇率）将外币金额折算为人民币入账。</w:t>
      </w:r>
    </w:p>
    <w:p>
      <w:pPr>
        <w:pStyle w:val="BodyText"/>
        <w:spacing w:line="477" w:lineRule="auto" w:before="54"/>
        <w:ind w:right="94" w:firstLine="360"/>
        <w:jc w:val="left"/>
      </w:pPr>
      <w:r>
        <w:rPr>
          <w:spacing w:val="-2"/>
        </w:rPr>
        <w:t>资产负债表日，外币货币性项目采用资产负债表日的即期汇率折算为人民币；以公允价值计量的外币非货币性项目按公</w:t>
      </w:r>
      <w:r>
        <w:rPr/>
        <w:t> 允价值确定日的即期汇率折算为人民币；以历史成本计量的外币非货币性项目采用交易发生日的即期汇率折算为人民币。</w:t>
      </w:r>
    </w:p>
    <w:p>
      <w:pPr>
        <w:pStyle w:val="BodyText"/>
        <w:spacing w:line="477" w:lineRule="auto" w:before="55"/>
        <w:ind w:right="94" w:firstLine="360"/>
        <w:jc w:val="left"/>
      </w:pPr>
      <w:r>
        <w:rPr>
          <w:spacing w:val="-2"/>
        </w:rPr>
        <w:t>除了为购建或生产符合资本化条件的资产而借入的外币专门借款本金及利息的汇兑差额按资本化的原则处理外，其余情</w:t>
      </w:r>
      <w:r>
        <w:rPr/>
        <w:t> 况下所产生的外币折算差额直接计入当期损益。货币兑换形成的折算差额，计入财务费用。</w:t>
      </w:r>
    </w:p>
    <w:p>
      <w:pPr>
        <w:pStyle w:val="BodyText"/>
        <w:spacing w:line="477" w:lineRule="auto" w:before="54"/>
        <w:ind w:left="513" w:right="94"/>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资产负债表中的资产和负债项目，采用资产负债表日的即期汇率折算；所有者权益项目除“未分配利润”项目外，其他</w:t>
      </w:r>
    </w:p>
    <w:p>
      <w:pPr>
        <w:pStyle w:val="BodyText"/>
        <w:spacing w:line="477" w:lineRule="auto" w:before="54"/>
        <w:ind w:left="513" w:right="2793" w:hanging="361"/>
        <w:jc w:val="left"/>
        <w:rPr>
          <w:rFonts w:ascii="宋体" w:hAnsi="宋体" w:cs="宋体" w:eastAsia="宋体" w:hint="default"/>
        </w:rPr>
      </w:pPr>
      <w:r>
        <w:rPr/>
        <w:t>项目采用发生时的即期汇率折算。 利润表中的收入和费用项目，采用交易发生日的即期汇率（或近似汇率）折算。 上述折算产生的外币财务报表折算差额，在资产负债表所有者权益项目下单独列示。 </w:t>
      </w:r>
      <w:r>
        <w:rPr>
          <w:rFonts w:ascii="宋体" w:hAnsi="宋体" w:cs="宋体" w:eastAsia="宋体" w:hint="default"/>
          <w:b/>
          <w:bCs/>
        </w:rPr>
        <w:t>9</w:t>
      </w:r>
      <w:r>
        <w:rPr>
          <w:rFonts w:ascii="宋体" w:hAnsi="宋体" w:cs="宋体" w:eastAsia="宋体" w:hint="default"/>
          <w:b/>
          <w:bCs/>
        </w:rPr>
        <w:t>、金融工具</w:t>
      </w:r>
      <w:r>
        <w:rPr>
          <w:rFonts w:ascii="宋体" w:hAnsi="宋体" w:cs="宋体" w:eastAsia="宋体" w:hint="default"/>
        </w:rPr>
      </w:r>
    </w:p>
    <w:p>
      <w:pPr>
        <w:pStyle w:val="BodyText"/>
        <w:spacing w:line="240" w:lineRule="auto" w:before="54"/>
        <w:ind w:left="513" w:right="94"/>
        <w:jc w:val="left"/>
      </w:pPr>
      <w:r>
        <w:rPr/>
        <w:t>金融工具分为金融资产与金融负债。</w:t>
      </w:r>
    </w:p>
    <w:p>
      <w:pPr>
        <w:spacing w:line="240" w:lineRule="auto" w:before="10"/>
        <w:rPr>
          <w:rFonts w:ascii="宋体" w:hAnsi="宋体" w:cs="宋体" w:eastAsia="宋体" w:hint="default"/>
          <w:sz w:val="17"/>
          <w:szCs w:val="17"/>
        </w:rPr>
      </w:pPr>
    </w:p>
    <w:p>
      <w:pPr>
        <w:pStyle w:val="BodyText"/>
        <w:spacing w:line="477" w:lineRule="auto"/>
        <w:ind w:left="513" w:right="94"/>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2"/>
        </w:rPr>
        <w:t>金融资产于初始确认时分类为：以公允价值计量且其变动计入当期损益的金融资产、应收款项、可供出售金融资产和持</w:t>
      </w:r>
    </w:p>
    <w:p>
      <w:pPr>
        <w:pStyle w:val="BodyText"/>
        <w:spacing w:line="240" w:lineRule="auto" w:before="54"/>
        <w:ind w:right="94"/>
        <w:jc w:val="left"/>
      </w:pPr>
      <w:r>
        <w:rPr/>
        <w:t>有至到期投资。金融资产的分类取决于公司对金融资产的持有意图和持有能力。</w:t>
      </w:r>
    </w:p>
    <w:p>
      <w:pPr>
        <w:spacing w:line="240" w:lineRule="auto" w:before="10"/>
        <w:rPr>
          <w:rFonts w:ascii="宋体" w:hAnsi="宋体" w:cs="宋体" w:eastAsia="宋体" w:hint="default"/>
          <w:sz w:val="17"/>
          <w:szCs w:val="17"/>
        </w:rPr>
      </w:pPr>
    </w:p>
    <w:p>
      <w:pPr>
        <w:pStyle w:val="BodyText"/>
        <w:spacing w:line="477" w:lineRule="auto"/>
        <w:ind w:left="513" w:right="94"/>
        <w:jc w:val="left"/>
      </w:pPr>
      <w:r>
        <w:rPr/>
        <w:t>（</w:t>
      </w:r>
      <w:r>
        <w:rPr>
          <w:rFonts w:ascii="宋体" w:hAnsi="宋体" w:cs="宋体" w:eastAsia="宋体" w:hint="default"/>
        </w:rPr>
        <w:t>1</w:t>
      </w:r>
      <w:r>
        <w:rPr/>
        <w:t>）以公允价值计量且其变动计入当期损益的金融资产 </w:t>
      </w:r>
      <w:r>
        <w:rPr>
          <w:spacing w:val="-2"/>
        </w:rPr>
        <w:t>以公允价值计量且其变动计入当期损益的金融资产包括持有目的为短期内出售的金融资产，该资产在资产负债表中以交</w:t>
      </w:r>
    </w:p>
    <w:p>
      <w:pPr>
        <w:pStyle w:val="BodyText"/>
        <w:spacing w:line="240" w:lineRule="auto" w:before="54"/>
        <w:ind w:right="94"/>
        <w:jc w:val="left"/>
      </w:pPr>
      <w:r>
        <w:rPr/>
        <w:t>易性金融资产列示。</w:t>
      </w:r>
    </w:p>
    <w:p>
      <w:pPr>
        <w:spacing w:line="240" w:lineRule="auto" w:before="11"/>
        <w:rPr>
          <w:rFonts w:ascii="宋体" w:hAnsi="宋体" w:cs="宋体" w:eastAsia="宋体" w:hint="default"/>
          <w:sz w:val="17"/>
          <w:szCs w:val="17"/>
        </w:rPr>
      </w:pPr>
    </w:p>
    <w:p>
      <w:pPr>
        <w:pStyle w:val="BodyText"/>
        <w:spacing w:line="477" w:lineRule="auto"/>
        <w:ind w:left="513" w:right="453"/>
        <w:jc w:val="left"/>
      </w:pPr>
      <w:r>
        <w:rPr/>
        <w:t>（</w:t>
      </w:r>
      <w:r>
        <w:rPr>
          <w:rFonts w:ascii="宋体" w:hAnsi="宋体" w:cs="宋体" w:eastAsia="宋体" w:hint="default"/>
        </w:rPr>
        <w:t>2</w:t>
      </w:r>
      <w:r>
        <w:rPr/>
        <w:t>）应收款项 应收款项是指在活跃市场中没有报价、回收金额固定或可确定的非衍生金融资产，包括应收账款和其他应收款等。</w:t>
      </w:r>
    </w:p>
    <w:p>
      <w:pPr>
        <w:pStyle w:val="BodyText"/>
        <w:spacing w:line="477" w:lineRule="auto" w:before="54"/>
        <w:ind w:left="513" w:right="993"/>
        <w:jc w:val="left"/>
      </w:pPr>
      <w:r>
        <w:rPr/>
        <w:t>（</w:t>
      </w:r>
      <w:r>
        <w:rPr>
          <w:rFonts w:ascii="宋体" w:hAnsi="宋体" w:cs="宋体" w:eastAsia="宋体" w:hint="default"/>
        </w:rPr>
        <w:t>3</w:t>
      </w:r>
      <w:r>
        <w:rPr/>
        <w:t>）可供出售金融资产 可供出售金融资产包括初始确认时即被指定为可供出售的非衍生金融资产及未被划分为其他类的金融资产。</w:t>
      </w:r>
    </w:p>
    <w:p>
      <w:pPr>
        <w:pStyle w:val="BodyText"/>
        <w:spacing w:line="477" w:lineRule="auto" w:before="54"/>
        <w:ind w:left="513" w:right="93"/>
        <w:jc w:val="left"/>
      </w:pPr>
      <w:r>
        <w:rPr/>
        <w:t>（</w:t>
      </w:r>
      <w:r>
        <w:rPr>
          <w:rFonts w:ascii="宋体" w:hAnsi="宋体" w:cs="宋体" w:eastAsia="宋体" w:hint="default"/>
        </w:rPr>
        <w:t>4</w:t>
      </w:r>
      <w:r>
        <w:rPr/>
        <w:t>）持有至到期投资 持有至到期投资是指到期日固定、回收金额固定或可确定，且管理层有明确意图和能力持有至到期的非衍生金融资产。</w:t>
      </w:r>
    </w:p>
    <w:p>
      <w:pPr>
        <w:pStyle w:val="BodyText"/>
        <w:spacing w:line="240" w:lineRule="auto" w:before="54"/>
        <w:ind w:right="94"/>
        <w:jc w:val="left"/>
      </w:pPr>
      <w:r>
        <w:rPr/>
        <w:t>自资产负债表日起</w:t>
      </w:r>
      <w:r>
        <w:rPr>
          <w:rFonts w:ascii="宋体" w:hAnsi="宋体" w:cs="宋体" w:eastAsia="宋体" w:hint="default"/>
        </w:rPr>
        <w:t>12</w:t>
      </w:r>
      <w:r>
        <w:rPr/>
        <w:t>个月内到期的持有至到期投资在资产负债表中列示为其他流动资产或一年内到期的非流动资产。</w:t>
      </w:r>
    </w:p>
    <w:p>
      <w:pPr>
        <w:spacing w:after="0" w:line="240"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spacing w:line="477" w:lineRule="auto" w:before="44"/>
        <w:ind w:left="513" w:right="311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）金融工具的确认依据和计量方法</w:t>
      </w:r>
      <w:r>
        <w:rPr>
          <w:rFonts w:ascii="宋体" w:hAnsi="宋体" w:cs="宋体" w:eastAsia="宋体" w:hint="default"/>
          <w:b/>
          <w:bCs/>
          <w:w w:val="99"/>
          <w:sz w:val="18"/>
          <w:szCs w:val="18"/>
        </w:rPr>
        <w:t> </w:t>
      </w:r>
      <w:r>
        <w:rPr>
          <w:rFonts w:ascii="宋体" w:hAnsi="宋体" w:cs="宋体" w:eastAsia="宋体" w:hint="default"/>
          <w:sz w:val="18"/>
          <w:szCs w:val="18"/>
        </w:rPr>
        <w:t>金融资产于公司成为金融工具合同的一方时，按公允价值在资产负债表内确认。</w:t>
      </w:r>
    </w:p>
    <w:p>
      <w:pPr>
        <w:pStyle w:val="BodyText"/>
        <w:spacing w:line="477" w:lineRule="auto" w:before="54"/>
        <w:ind w:left="513" w:right="0"/>
        <w:jc w:val="left"/>
      </w:pPr>
      <w:r>
        <w:rPr/>
        <w:t>（</w:t>
      </w:r>
      <w:r>
        <w:rPr>
          <w:rFonts w:ascii="宋体" w:hAnsi="宋体" w:cs="宋体" w:eastAsia="宋体" w:hint="default"/>
        </w:rPr>
        <w:t>1</w:t>
      </w:r>
      <w:r>
        <w:rPr/>
        <w:t>）以公允价值计量且其变动计入当期损益的金融资产 </w:t>
      </w:r>
      <w:r>
        <w:rPr>
          <w:spacing w:val="-2"/>
        </w:rPr>
        <w:t>取得时以公允价值（扣除已宣告但尚未发放的现金股利或已到付息期但尚未领取的债券利息）作为初始确认金额，相关</w:t>
      </w:r>
    </w:p>
    <w:p>
      <w:pPr>
        <w:pStyle w:val="BodyText"/>
        <w:spacing w:line="477" w:lineRule="auto" w:before="54"/>
        <w:ind w:left="513" w:right="1853" w:hanging="361"/>
        <w:jc w:val="left"/>
      </w:pPr>
      <w:r>
        <w:rPr/>
        <w:t>的交易费用计入当期损益。 持有期间将取得的利息或现金股利确认为投资收益，期末将公允价值变动计入当期损益。 处置时，其公允价值与初始入账金额之间的差额确认为投资收益，同时结转公允价值变动损益。</w:t>
      </w:r>
    </w:p>
    <w:p>
      <w:pPr>
        <w:pStyle w:val="BodyText"/>
        <w:spacing w:line="477" w:lineRule="auto" w:before="54"/>
        <w:ind w:left="513" w:right="0"/>
        <w:jc w:val="left"/>
      </w:pPr>
      <w:r>
        <w:rPr/>
        <w:t>（</w:t>
      </w:r>
      <w:r>
        <w:rPr>
          <w:rFonts w:ascii="宋体" w:hAnsi="宋体" w:cs="宋体" w:eastAsia="宋体" w:hint="default"/>
        </w:rPr>
        <w:t>2</w:t>
      </w:r>
      <w:r>
        <w:rPr/>
        <w:t>）可供出售金融资产 </w:t>
      </w:r>
      <w:r>
        <w:rPr>
          <w:spacing w:val="-2"/>
        </w:rPr>
        <w:t>取得时按公允价值（扣除已宣告但尚未发放的现金股利或已到付息期但尚未领取的债券利息）和相关交易费用之和作为</w:t>
      </w:r>
    </w:p>
    <w:p>
      <w:pPr>
        <w:pStyle w:val="BodyText"/>
        <w:spacing w:line="477" w:lineRule="auto" w:before="54"/>
        <w:ind w:left="513" w:right="0" w:hanging="361"/>
        <w:jc w:val="left"/>
      </w:pPr>
      <w:r>
        <w:rPr/>
        <w:t>初始确认金额。 </w:t>
      </w:r>
      <w:r>
        <w:rPr>
          <w:spacing w:val="-2"/>
        </w:rPr>
        <w:t>可供出售债务工具投资在持有期间按实际利率法计算利息，计入投资收益；可供出售权益工具投资的现金股利，于被投</w:t>
      </w:r>
    </w:p>
    <w:p>
      <w:pPr>
        <w:pStyle w:val="BodyText"/>
        <w:spacing w:line="477" w:lineRule="auto" w:before="54"/>
        <w:ind w:right="0"/>
        <w:jc w:val="left"/>
      </w:pPr>
      <w:r>
        <w:rPr>
          <w:spacing w:val="-2"/>
        </w:rPr>
        <w:t>资单位宣告发放股利时计入投资收益。除减值损失及外币可供出售金融资产形成的汇兑损益外，可供出售金融资产公允价值</w:t>
      </w:r>
      <w:r>
        <w:rPr>
          <w:spacing w:val="-64"/>
        </w:rPr>
        <w:t> </w:t>
      </w:r>
      <w:r>
        <w:rPr>
          <w:spacing w:val="-64"/>
        </w:rPr>
      </w:r>
      <w:r>
        <w:rPr/>
        <w:t>变动计入资本公积（其他资本公积）。</w:t>
      </w:r>
    </w:p>
    <w:p>
      <w:pPr>
        <w:pStyle w:val="BodyText"/>
        <w:spacing w:line="477" w:lineRule="auto" w:before="54"/>
        <w:ind w:right="0" w:firstLine="360"/>
        <w:jc w:val="left"/>
      </w:pPr>
      <w:r>
        <w:rPr>
          <w:spacing w:val="-2"/>
        </w:rPr>
        <w:t>处置时，将取得的价款与该金融资产账面价值之间的差额，计入投资损益；同时，将原直接计入所有者权益的公允价值</w:t>
      </w:r>
      <w:r>
        <w:rPr/>
        <w:t> 变动累计额对应处置部分的金额转出，计入投资损益。</w:t>
      </w:r>
    </w:p>
    <w:p>
      <w:pPr>
        <w:pStyle w:val="BodyText"/>
        <w:spacing w:line="477" w:lineRule="auto" w:before="54"/>
        <w:ind w:left="513" w:right="0"/>
        <w:jc w:val="left"/>
      </w:pPr>
      <w:r>
        <w:rPr/>
        <w:t>（</w:t>
      </w:r>
      <w:r>
        <w:rPr>
          <w:rFonts w:ascii="宋体" w:hAnsi="宋体" w:cs="宋体" w:eastAsia="宋体" w:hint="default"/>
        </w:rPr>
        <w:t>3</w:t>
      </w:r>
      <w:r>
        <w:rPr/>
        <w:t>）持有至到期投资 取得时按公允价值（扣除已到付息期但尚未领取的债券利息）和相关交易费用之和作为初始确认金额。 </w:t>
      </w:r>
      <w:r>
        <w:rPr>
          <w:spacing w:val="-2"/>
        </w:rPr>
        <w:t>持有期间按照摊余成本和实际利率（如实际利率与票面利率差别较小的，按票面利率）计算确认利息收入，计入投资收</w:t>
      </w:r>
    </w:p>
    <w:p>
      <w:pPr>
        <w:pStyle w:val="BodyText"/>
        <w:spacing w:line="477" w:lineRule="auto" w:before="54"/>
        <w:ind w:left="513" w:right="3474" w:hanging="361"/>
        <w:jc w:val="left"/>
      </w:pPr>
      <w:r>
        <w:rPr/>
        <w:t>益。实际利率在取得时确定，在该预期存续期间或适用的更短期间内保持不变。 处置时，将所取得价款与该投资账面价值之间的差额计入投资收益。</w:t>
      </w:r>
    </w:p>
    <w:p>
      <w:pPr>
        <w:pStyle w:val="BodyText"/>
        <w:spacing w:line="477" w:lineRule="auto" w:before="54"/>
        <w:ind w:left="513" w:right="0"/>
        <w:jc w:val="left"/>
      </w:pPr>
      <w:r>
        <w:rPr/>
        <w:t>（</w:t>
      </w:r>
      <w:r>
        <w:rPr>
          <w:rFonts w:ascii="宋体" w:hAnsi="宋体" w:cs="宋体" w:eastAsia="宋体" w:hint="default"/>
        </w:rPr>
        <w:t>4</w:t>
      </w:r>
      <w:r>
        <w:rPr/>
        <w:t>）应收款项 </w:t>
      </w:r>
      <w:r>
        <w:rPr>
          <w:spacing w:val="-2"/>
        </w:rPr>
        <w:t>应收款项包括对外销售商品或提供劳务形成的应收债权，以及所持有的其他企业无活跃市场报价的债务工具，包括应收</w:t>
      </w:r>
    </w:p>
    <w:p>
      <w:pPr>
        <w:pStyle w:val="BodyText"/>
        <w:spacing w:line="477" w:lineRule="auto" w:before="54"/>
        <w:ind w:left="513" w:right="0" w:hanging="361"/>
        <w:jc w:val="left"/>
      </w:pPr>
      <w:r>
        <w:rPr/>
        <w:t>账款、应收票据、预付账款、其他应收款等。应收款项以向购货方应收的合同或协议价款作为初始确认金额。 应收款项采用实际利率法，按摊余成本进行后续计量。 收回或处置时，将取得的价款与该应收款项账面价值之间的差额计入当期损益。 </w:t>
      </w:r>
      <w:r>
        <w:rPr>
          <w:spacing w:val="-2"/>
        </w:rPr>
        <w:t>对于有活跃市场报价的金融资产，采用活跃市场报价确定公允价值。对于无活跃市场报价的金融资产，采用未来现金流</w:t>
      </w:r>
    </w:p>
    <w:p>
      <w:pPr>
        <w:pStyle w:val="BodyText"/>
        <w:spacing w:line="240" w:lineRule="auto" w:before="54"/>
        <w:ind w:right="0"/>
        <w:jc w:val="left"/>
      </w:pPr>
      <w:r>
        <w:rPr/>
        <w:t>量折现等估值方法确定公允价值。</w:t>
      </w:r>
    </w:p>
    <w:p>
      <w:pPr>
        <w:spacing w:line="240" w:lineRule="auto" w:before="10"/>
        <w:rPr>
          <w:rFonts w:ascii="宋体" w:hAnsi="宋体" w:cs="宋体" w:eastAsia="宋体" w:hint="default"/>
          <w:sz w:val="17"/>
          <w:szCs w:val="17"/>
        </w:rPr>
      </w:pPr>
    </w:p>
    <w:p>
      <w:pPr>
        <w:spacing w:line="477" w:lineRule="auto" w:before="0"/>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pacing w:val="-2"/>
          <w:sz w:val="18"/>
          <w:szCs w:val="18"/>
        </w:rPr>
        <w:t>当某项金融资产转移后，该金融资产收取现金流量的合同权利已终止或与该金融资产所有权上几乎所有的风险和报酬已</w:t>
      </w:r>
    </w:p>
    <w:p>
      <w:pPr>
        <w:pStyle w:val="BodyText"/>
        <w:spacing w:line="240" w:lineRule="auto" w:before="54"/>
        <w:ind w:right="0"/>
        <w:jc w:val="left"/>
      </w:pPr>
      <w:r>
        <w:rPr/>
        <w:t>转移至转入方时，终止确认该金融资产。</w:t>
      </w:r>
    </w:p>
    <w:p>
      <w:pPr>
        <w:spacing w:after="0" w:line="240" w:lineRule="auto"/>
        <w:jc w:val="left"/>
        <w:sectPr>
          <w:footerReference w:type="default" r:id="rId22"/>
          <w:pgSz w:w="11910" w:h="16840"/>
          <w:pgMar w:footer="1006" w:header="772" w:top="1080" w:bottom="1200" w:left="980" w:right="980"/>
          <w:pgNumType w:start="91"/>
        </w:sectPr>
      </w:pPr>
    </w:p>
    <w:p>
      <w:pPr>
        <w:spacing w:line="240" w:lineRule="auto" w:before="10"/>
        <w:rPr>
          <w:rFonts w:ascii="宋体" w:hAnsi="宋体" w:cs="宋体" w:eastAsia="宋体" w:hint="default"/>
          <w:sz w:val="29"/>
          <w:szCs w:val="29"/>
        </w:rPr>
      </w:pPr>
    </w:p>
    <w:p>
      <w:pPr>
        <w:pStyle w:val="BodyText"/>
        <w:spacing w:line="240" w:lineRule="auto" w:before="44"/>
        <w:ind w:left="513" w:right="94"/>
        <w:jc w:val="left"/>
      </w:pPr>
      <w:r>
        <w:rPr/>
        <w:t>金融资产整体转移满足终止确认条件的，将下列两项金额的差额计入当期损益：</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t>（</w:t>
      </w:r>
      <w:r>
        <w:rPr>
          <w:rFonts w:ascii="宋体" w:hAnsi="宋体" w:cs="宋体" w:eastAsia="宋体" w:hint="default"/>
        </w:rPr>
        <w:t>1</w:t>
      </w:r>
      <w:r>
        <w:rPr/>
        <w:t>）所转移金融资产的账面价值；</w:t>
      </w:r>
    </w:p>
    <w:p>
      <w:pPr>
        <w:spacing w:line="240" w:lineRule="auto" w:before="10"/>
        <w:rPr>
          <w:rFonts w:ascii="宋体" w:hAnsi="宋体" w:cs="宋体" w:eastAsia="宋体" w:hint="default"/>
          <w:sz w:val="17"/>
          <w:szCs w:val="17"/>
        </w:rPr>
      </w:pPr>
    </w:p>
    <w:p>
      <w:pPr>
        <w:pStyle w:val="BodyText"/>
        <w:spacing w:line="477" w:lineRule="auto"/>
        <w:ind w:right="184" w:firstLine="360"/>
        <w:jc w:val="left"/>
      </w:pPr>
      <w:r>
        <w:rPr/>
        <w:t>（</w:t>
      </w:r>
      <w:r>
        <w:rPr>
          <w:rFonts w:ascii="宋体" w:hAnsi="宋体" w:cs="宋体" w:eastAsia="宋体" w:hint="default"/>
        </w:rPr>
        <w:t>2</w:t>
      </w:r>
      <w:r>
        <w:rPr/>
        <w:t>）因转移而收到的对价，与原直接计入所有者权益的公允价值变动累计额（涉及转移的金融资产为可供出售金融资 产的情形）之和。</w:t>
      </w:r>
    </w:p>
    <w:p>
      <w:pPr>
        <w:pStyle w:val="BodyText"/>
        <w:spacing w:line="477" w:lineRule="auto" w:before="54"/>
        <w:ind w:right="190" w:firstLine="360"/>
        <w:jc w:val="both"/>
      </w:pPr>
      <w:r>
        <w:rPr>
          <w:spacing w:val="-2"/>
        </w:rPr>
        <w:t>金融资产部分转移满足终止确认条件的，将所转移金融资产整体的账面价值，在终止确认部分和未终止确认部分（在此</w:t>
      </w:r>
      <w:r>
        <w:rPr/>
        <w:t> </w:t>
      </w:r>
      <w:r>
        <w:rPr>
          <w:spacing w:val="-2"/>
        </w:rPr>
        <w:t>种情况下，所保留的服务资产应当视同未终止确认金融资产的一部分）之间，按照各自的相对公允价值进行分摊，并将下列</w:t>
      </w:r>
      <w:r>
        <w:rPr>
          <w:spacing w:val="-64"/>
        </w:rPr>
        <w:t> </w:t>
      </w:r>
      <w:r>
        <w:rPr>
          <w:spacing w:val="-64"/>
        </w:rPr>
      </w:r>
      <w:r>
        <w:rPr/>
        <w:t>两项金额的差额计入当期损益：</w:t>
      </w:r>
    </w:p>
    <w:p>
      <w:pPr>
        <w:pStyle w:val="BodyText"/>
        <w:spacing w:line="240" w:lineRule="auto" w:before="54"/>
        <w:ind w:left="513" w:right="94"/>
        <w:jc w:val="left"/>
      </w:pPr>
      <w:r>
        <w:rPr/>
        <w:t>（</w:t>
      </w:r>
      <w:r>
        <w:rPr>
          <w:rFonts w:ascii="宋体" w:hAnsi="宋体" w:cs="宋体" w:eastAsia="宋体" w:hint="default"/>
        </w:rPr>
        <w:t>1</w:t>
      </w:r>
      <w:r>
        <w:rPr/>
        <w:t>）终止确认部分的账面价值；</w:t>
      </w:r>
    </w:p>
    <w:p>
      <w:pPr>
        <w:spacing w:line="240" w:lineRule="auto" w:before="11"/>
        <w:rPr>
          <w:rFonts w:ascii="宋体" w:hAnsi="宋体" w:cs="宋体" w:eastAsia="宋体" w:hint="default"/>
          <w:sz w:val="17"/>
          <w:szCs w:val="17"/>
        </w:rPr>
      </w:pPr>
    </w:p>
    <w:p>
      <w:pPr>
        <w:pStyle w:val="BodyText"/>
        <w:spacing w:line="477" w:lineRule="auto"/>
        <w:ind w:right="184" w:firstLine="360"/>
        <w:jc w:val="left"/>
      </w:pPr>
      <w:r>
        <w:rPr/>
        <w:t>（</w:t>
      </w:r>
      <w:r>
        <w:rPr>
          <w:rFonts w:ascii="宋体" w:hAnsi="宋体" w:cs="宋体" w:eastAsia="宋体"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240" w:lineRule="auto" w:before="54"/>
        <w:ind w:left="513" w:right="94"/>
        <w:jc w:val="left"/>
      </w:pPr>
      <w:r>
        <w:rPr/>
        <w:t>金融资产转移不满足终止确认条件的，继续确认该金融资产，所收到的对价确认为一项金融负债。</w:t>
      </w:r>
    </w:p>
    <w:p>
      <w:pPr>
        <w:spacing w:line="240" w:lineRule="auto" w:before="10"/>
        <w:rPr>
          <w:rFonts w:ascii="宋体" w:hAnsi="宋体" w:cs="宋体" w:eastAsia="宋体" w:hint="default"/>
          <w:sz w:val="17"/>
          <w:szCs w:val="17"/>
        </w:rPr>
      </w:pPr>
    </w:p>
    <w:p>
      <w:pPr>
        <w:spacing w:line="477" w:lineRule="auto" w:before="0"/>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）金融负债终止确认条件</w:t>
      </w:r>
      <w:r>
        <w:rPr>
          <w:rFonts w:ascii="宋体" w:hAnsi="宋体" w:cs="宋体" w:eastAsia="宋体" w:hint="default"/>
          <w:b/>
          <w:bCs/>
          <w:w w:val="99"/>
          <w:sz w:val="18"/>
          <w:szCs w:val="18"/>
        </w:rPr>
        <w:t> </w:t>
      </w:r>
      <w:r>
        <w:rPr>
          <w:rFonts w:ascii="宋体" w:hAnsi="宋体" w:cs="宋体" w:eastAsia="宋体" w:hint="default"/>
          <w:spacing w:val="-2"/>
          <w:sz w:val="18"/>
          <w:szCs w:val="18"/>
        </w:rPr>
        <w:t>金融负债在初始确认时划分为以公允价值计量且其变动计入当期损益的金融负债和其他金融负债两类。以公允价值计量</w:t>
      </w:r>
    </w:p>
    <w:p>
      <w:pPr>
        <w:pStyle w:val="BodyText"/>
        <w:spacing w:line="477" w:lineRule="auto" w:before="54"/>
        <w:ind w:left="513" w:right="94" w:hanging="361"/>
        <w:jc w:val="left"/>
      </w:pPr>
      <w:r>
        <w:rPr/>
        <w:t>且其变动计入当期损益的金融负债按公允价值计量，其他金融负债按摊余成本计量。 </w:t>
      </w:r>
      <w:r>
        <w:rPr>
          <w:spacing w:val="-2"/>
        </w:rPr>
        <w:t>金融负债的现时义务全部或部分已经解除的，才能终止确认该金融负债或其一部分。公司将用于偿付金融负债的资产转</w:t>
      </w:r>
    </w:p>
    <w:p>
      <w:pPr>
        <w:pStyle w:val="BodyText"/>
        <w:spacing w:line="477" w:lineRule="auto" w:before="54"/>
        <w:ind w:left="513" w:right="94" w:hanging="361"/>
        <w:jc w:val="left"/>
      </w:pPr>
      <w:r>
        <w:rPr/>
        <w:t>入某个机构或设立信托，偿付债务的现时义务仍存在的，不应当终止确认该金融负债，也不能终止确认转出的资产。 </w:t>
      </w:r>
      <w:r>
        <w:rPr>
          <w:spacing w:val="-2"/>
        </w:rPr>
        <w:t>公司与债权人之间签订协议，以承担新金融负债方式替换现存金融负债，且新金融负债与现存金融负债的合同条款实质</w:t>
      </w:r>
    </w:p>
    <w:p>
      <w:pPr>
        <w:pStyle w:val="BodyText"/>
        <w:spacing w:line="477" w:lineRule="auto" w:before="54"/>
        <w:ind w:right="94"/>
        <w:jc w:val="left"/>
      </w:pPr>
      <w:r>
        <w:rPr>
          <w:spacing w:val="-2"/>
        </w:rPr>
        <w:t>上不同的，应当终止确认现存金融负债，并同时确认新金融负债。公司对现存金融负债全部或部分的合同条款作出实质性修</w:t>
      </w:r>
      <w:r>
        <w:rPr>
          <w:spacing w:val="-63"/>
        </w:rPr>
        <w:t> </w:t>
      </w:r>
      <w:r>
        <w:rPr>
          <w:spacing w:val="-63"/>
        </w:rPr>
      </w:r>
      <w:r>
        <w:rPr/>
        <w:t>改的，应当终止确认现存金融负债或其一部分，同时将修改条款后的金融负债确认为一项新金融负债。</w:t>
      </w:r>
    </w:p>
    <w:p>
      <w:pPr>
        <w:pStyle w:val="BodyText"/>
        <w:spacing w:line="477" w:lineRule="auto" w:before="54"/>
        <w:ind w:right="94" w:firstLine="360"/>
        <w:jc w:val="left"/>
      </w:pPr>
      <w:r>
        <w:rPr>
          <w:spacing w:val="-2"/>
        </w:rPr>
        <w:t>金融负债全部或部分终止确认的，公司应当将终止确认部分的账面价值与支付的对价（包括转出的非现金资产或承担的</w:t>
      </w:r>
      <w:r>
        <w:rPr/>
        <w:t> 新金融负债）之间的差额，计入当期损益。</w:t>
      </w:r>
    </w:p>
    <w:p>
      <w:pPr>
        <w:pStyle w:val="BodyText"/>
        <w:spacing w:line="477" w:lineRule="auto" w:before="54"/>
        <w:ind w:right="94" w:firstLine="360"/>
        <w:jc w:val="left"/>
      </w:pPr>
      <w:r>
        <w:rPr>
          <w:spacing w:val="-2"/>
        </w:rPr>
        <w:t>公司回购金融负债一部分的，应当在回购日按照继续确认部分和终止确认部分的相对公允价值，将该金融负债整体的账</w:t>
      </w:r>
      <w:r>
        <w:rPr/>
        <w:t> </w:t>
      </w:r>
      <w:r>
        <w:rPr>
          <w:spacing w:val="-4"/>
        </w:rPr>
        <w:t>面价值进行分配。分配给终止确认部分的账面价值与支付的对价（包括转出的非现金资产或承担的新金融负债）之间的差额，</w:t>
      </w:r>
      <w:r>
        <w:rPr>
          <w:spacing w:val="-43"/>
        </w:rPr>
        <w:t> </w:t>
      </w:r>
      <w:r>
        <w:rPr>
          <w:spacing w:val="-43"/>
        </w:rPr>
      </w:r>
      <w:r>
        <w:rPr/>
        <w:t>计入当期损益。</w:t>
      </w:r>
    </w:p>
    <w:p>
      <w:pPr>
        <w:spacing w:line="477" w:lineRule="auto" w:before="54"/>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5</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对于有活跃市场报价的金融资产，采用活跃市场报价确定公允价值。对于无活跃市场报价的金融资产，采用未来现金流</w:t>
      </w:r>
    </w:p>
    <w:p>
      <w:pPr>
        <w:pStyle w:val="BodyText"/>
        <w:spacing w:line="240" w:lineRule="auto" w:before="54"/>
        <w:ind w:right="94"/>
        <w:jc w:val="left"/>
      </w:pPr>
      <w:r>
        <w:rPr/>
        <w:t>量折现等估值方法确定公允价值。</w:t>
      </w:r>
    </w:p>
    <w:p>
      <w:pPr>
        <w:spacing w:line="240" w:lineRule="auto" w:before="10"/>
        <w:rPr>
          <w:rFonts w:ascii="宋体" w:hAnsi="宋体" w:cs="宋体" w:eastAsia="宋体" w:hint="default"/>
          <w:sz w:val="17"/>
          <w:szCs w:val="17"/>
        </w:rPr>
      </w:pPr>
    </w:p>
    <w:p>
      <w:pPr>
        <w:spacing w:line="477" w:lineRule="auto" w:before="0"/>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6</w:t>
      </w:r>
      <w:r>
        <w:rPr>
          <w:rFonts w:ascii="宋体" w:hAnsi="宋体" w:cs="宋体" w:eastAsia="宋体" w:hint="default"/>
          <w:b/>
          <w:bCs/>
          <w:sz w:val="18"/>
          <w:szCs w:val="18"/>
        </w:rPr>
        <w:t>）金融资产（不含应收款项）减值测试方法、减值准备计提方法</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除以公允价值计量且其变动计入当期损益的金融资产外，公司于资产负债表日对金融资产的账面价值进行检查，如果有</w:t>
      </w:r>
    </w:p>
    <w:p>
      <w:pPr>
        <w:pStyle w:val="BodyText"/>
        <w:spacing w:line="240" w:lineRule="auto" w:before="54"/>
        <w:ind w:right="94"/>
        <w:jc w:val="left"/>
      </w:pPr>
      <w:r>
        <w:rPr/>
        <w:t>客观证据表明某项金融资产发生减值的，计提减值准备。</w:t>
      </w:r>
    </w:p>
    <w:p>
      <w:pPr>
        <w:spacing w:after="0" w:line="240" w:lineRule="auto"/>
        <w:jc w:val="left"/>
        <w:sectPr>
          <w:footerReference w:type="default" r:id="rId23"/>
          <w:pgSz w:w="11910" w:h="16840"/>
          <w:pgMar w:footer="1006" w:header="772" w:top="1080" w:bottom="1200" w:left="980" w:right="940"/>
          <w:pgNumType w:start="92"/>
        </w:sectPr>
      </w:pPr>
    </w:p>
    <w:p>
      <w:pPr>
        <w:spacing w:line="240" w:lineRule="auto" w:before="10"/>
        <w:rPr>
          <w:rFonts w:ascii="宋体" w:hAnsi="宋体" w:cs="宋体" w:eastAsia="宋体" w:hint="default"/>
          <w:sz w:val="29"/>
          <w:szCs w:val="29"/>
        </w:rPr>
      </w:pPr>
    </w:p>
    <w:p>
      <w:pPr>
        <w:pStyle w:val="BodyText"/>
        <w:spacing w:line="477" w:lineRule="auto" w:before="44"/>
        <w:ind w:right="149" w:firstLine="360"/>
        <w:jc w:val="both"/>
      </w:pPr>
      <w:r>
        <w:rPr>
          <w:spacing w:val="-2"/>
        </w:rPr>
        <w:t>以摊余成本计量的金融资产发生减值时，按预计未来现金流量（不包括尚未发生的未来信用损失）现值低于账面价值的</w:t>
      </w:r>
      <w:r>
        <w:rPr/>
        <w:t> </w:t>
      </w:r>
      <w:r>
        <w:rPr>
          <w:spacing w:val="-2"/>
        </w:rPr>
        <w:t>差额，计提减值准备。如果有客观证据表明该金融资产价值已恢复，且客观上与确认该损失后发生的事项有关，原确认的减</w:t>
      </w:r>
      <w:r>
        <w:rPr>
          <w:spacing w:val="-64"/>
        </w:rPr>
        <w:t> </w:t>
      </w:r>
      <w:r>
        <w:rPr>
          <w:spacing w:val="-64"/>
        </w:rPr>
      </w:r>
      <w:r>
        <w:rPr/>
        <w:t>值损失予以转回，计入当期损益。</w:t>
      </w:r>
    </w:p>
    <w:p>
      <w:pPr>
        <w:pStyle w:val="BodyText"/>
        <w:spacing w:line="477" w:lineRule="auto" w:before="54"/>
        <w:ind w:right="150" w:firstLine="360"/>
        <w:jc w:val="both"/>
      </w:pPr>
      <w:r>
        <w:rPr>
          <w:spacing w:val="-2"/>
        </w:rPr>
        <w:t>当可供出售金融资产的公允价值发生较大幅度或非暂时性下降，原直接计入股东权益的因公允价值下降形成的累计损失</w:t>
      </w:r>
      <w:r>
        <w:rPr/>
        <w:t> </w:t>
      </w:r>
      <w:r>
        <w:rPr>
          <w:spacing w:val="-2"/>
        </w:rPr>
        <w:t>计入减值损失。对已确认减值损失的可供出售债务工具投资，在期后公允价值上升且客观上与确认原减值损失后发生的事项</w:t>
      </w:r>
      <w:r>
        <w:rPr>
          <w:spacing w:val="-64"/>
        </w:rPr>
        <w:t> </w:t>
      </w:r>
      <w:r>
        <w:rPr>
          <w:spacing w:val="-64"/>
        </w:rPr>
      </w:r>
      <w:r>
        <w:rPr>
          <w:spacing w:val="-2"/>
        </w:rPr>
        <w:t>有关的，原确认的减值损失予以转回，计入当期损益。对已确认减值损失的可供出售权益工具投资，在期后公允价值上升且</w:t>
      </w:r>
      <w:r>
        <w:rPr>
          <w:spacing w:val="-64"/>
        </w:rPr>
        <w:t> </w:t>
      </w:r>
      <w:r>
        <w:rPr>
          <w:spacing w:val="-64"/>
        </w:rPr>
      </w:r>
      <w:r>
        <w:rPr>
          <w:spacing w:val="-2"/>
        </w:rPr>
        <w:t>客观上与确认原减值损失后发生的事项有关的，原确认的减值损失予以转回，直接计入股东权益。在活跃市场中没有报价且</w:t>
      </w:r>
      <w:r>
        <w:rPr>
          <w:spacing w:val="-63"/>
        </w:rPr>
        <w:t> </w:t>
      </w:r>
      <w:r>
        <w:rPr>
          <w:spacing w:val="-63"/>
        </w:rPr>
      </w:r>
      <w:r>
        <w:rPr/>
        <w:t>其公允价值不能可靠计量的权益工具投资发生的减值损失，如果在以后期间价值得以恢复，也不予转回。</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49" w:firstLine="420"/>
        <w:jc w:val="both"/>
      </w:pPr>
      <w:r>
        <w:rPr/>
        <w:t>期末如果有客观证据表明应收款项发生减值，则将其账面价值减记至可收回金额，减记的金额确认为资产减值损失， </w:t>
      </w:r>
      <w:r>
        <w:rPr>
          <w:spacing w:val="-2"/>
        </w:rPr>
        <w:t>计入当期损益。可收回金额是通过对其未来现金流量（不包括尚未发生的信用损失）按原实际利率折现确定，并考虑相关担</w:t>
      </w:r>
      <w:r>
        <w:rPr>
          <w:spacing w:val="-63"/>
        </w:rPr>
        <w:t> </w:t>
      </w:r>
      <w:r>
        <w:rPr>
          <w:spacing w:val="-63"/>
        </w:rPr>
      </w:r>
      <w:r>
        <w:rPr>
          <w:spacing w:val="-2"/>
        </w:rPr>
        <w:t>保物的价值（扣除预计处置费用等）。原实际利率是初始确认该应收款项时计算确定的实际利率。短期应收款项的预计未来</w:t>
      </w:r>
      <w:r>
        <w:rPr>
          <w:spacing w:val="-64"/>
        </w:rPr>
        <w:t> </w:t>
      </w:r>
      <w:r>
        <w:rPr>
          <w:spacing w:val="-64"/>
        </w:rPr>
      </w:r>
      <w:r>
        <w:rPr/>
        <w:t>现金流量与其现值相差很小，在确定相关减值损失时，不对其预计未来现金流量进行折现。</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71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期末余额前五名且大于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万元的应收账款、期末余额前</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五名且大于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万元的其他应收款。</w:t>
            </w:r>
          </w:p>
        </w:tc>
      </w:tr>
      <w:tr>
        <w:trPr>
          <w:trHeight w:val="1339"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2"/>
                <w:sz w:val="18"/>
                <w:szCs w:val="18"/>
              </w:rPr>
              <w:t>期末对于单项金额重大的应收款项（包括应收账款、其他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应收款）单独进行减值测试。如有客观证据表明其发生了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减值的，根据其未来现金流量现值低于其账面价值的差 额，确认减值损失，计提坏账准备。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8"/>
        <w:gridCol w:w="2187"/>
        <w:gridCol w:w="4784"/>
      </w:tblGrid>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信用风险特征组合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以账龄为信用风险组合的划分依据</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98"/>
        <w:gridCol w:w="2977"/>
        <w:gridCol w:w="3982"/>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2598"/>
        <w:gridCol w:w="2977"/>
        <w:gridCol w:w="3994"/>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94"/>
        <w:jc w:val="left"/>
      </w:pPr>
      <w:r>
        <w:rPr/>
        <w:t>组合中，采用余额百分比法计提坏账准备的</w:t>
      </w:r>
    </w:p>
    <w:p>
      <w:pPr>
        <w:pStyle w:val="BodyText"/>
        <w:spacing w:line="340" w:lineRule="auto" w:before="115"/>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BodyText"/>
        <w:spacing w:line="240" w:lineRule="auto" w:before="44"/>
        <w:ind w:left="0" w:right="198"/>
        <w:jc w:val="right"/>
      </w:pPr>
      <w:r>
        <w:rPr/>
        <w:pict>
          <v:shape style="position:absolute;margin-left:56.459999pt;margin-top:-47.528271pt;width:479.2pt;height:67.4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5"/>
                    <w:gridCol w:w="6215"/>
                  </w:tblGrid>
                  <w:tr>
                    <w:trPr>
                      <w:trHeight w:val="1339"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5"/>
                            <w:sz w:val="18"/>
                            <w:szCs w:val="18"/>
                          </w:rPr>
                          <w:t>其他不重大应收款项（包括应收账款、其他应收款），与经单独测试后未减值的</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应收款项一起按信用风险特征划分为若干组合，根据以前年度与之相同或相类 似的、具有类似信用风险特征的应收账款组合的实际损失率为基础，结合现时 情况确定本期各项组合计提坏账准备的比例，据此计算本期应计提的坏账准备</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3"/>
        <w:spacing w:line="240" w:lineRule="auto" w:before="36"/>
        <w:ind w:right="94"/>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3"/>
        <w:rPr>
          <w:rFonts w:ascii="宋体" w:hAnsi="宋体" w:cs="宋体" w:eastAsia="宋体" w:hint="default"/>
          <w:b/>
          <w:bCs/>
          <w:sz w:val="32"/>
          <w:szCs w:val="32"/>
        </w:rPr>
      </w:pPr>
    </w:p>
    <w:p>
      <w:pPr>
        <w:pStyle w:val="BodyText"/>
        <w:spacing w:line="240" w:lineRule="auto"/>
        <w:ind w:left="573" w:right="94"/>
        <w:jc w:val="left"/>
      </w:pPr>
      <w:r>
        <w:rPr/>
        <w:t>本公司存货分为原材料、库存商品、劳务成本、低值易耗品等。本公司报告期内的存货主要系库存商品。</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pStyle w:val="BodyText"/>
        <w:spacing w:line="436" w:lineRule="auto"/>
        <w:ind w:left="573" w:right="3453" w:hanging="421"/>
        <w:jc w:val="left"/>
      </w:pPr>
      <w:r>
        <w:rPr/>
        <w:t>计价方法：先进先出法 原材料、库存商品、劳务成本、低值易耗品等发出时采用先进先出法计价。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6"/>
        <w:ind w:right="94"/>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90" w:firstLine="420"/>
        <w:jc w:val="both"/>
      </w:pPr>
      <w:r>
        <w:rPr>
          <w:spacing w:val="-2"/>
        </w:rPr>
        <w:t>（</w:t>
      </w:r>
      <w:r>
        <w:rPr>
          <w:rFonts w:ascii="宋体" w:hAnsi="宋体" w:cs="宋体" w:eastAsia="宋体" w:hint="default"/>
          <w:spacing w:val="-2"/>
        </w:rPr>
        <w:t>1</w:t>
      </w:r>
      <w:r>
        <w:rPr>
          <w:spacing w:val="-2"/>
        </w:rPr>
        <w:t>）本公司存货按照成本与可变现净值孰低计量。存货成本高于其可变现净值的，计提存货跌价准备。本公司通常按</w:t>
      </w:r>
      <w:r>
        <w:rPr/>
        <w:t> </w:t>
      </w:r>
      <w:r>
        <w:rPr>
          <w:spacing w:val="-2"/>
        </w:rPr>
        <w:t>照单个存货项目计提存货跌价准备，期末，以前减记存货价值的影响因素已经消失的，存货跌价准备在原已计提的金额内转</w:t>
      </w:r>
      <w:r>
        <w:rPr>
          <w:spacing w:val="-64"/>
        </w:rPr>
        <w:t> </w:t>
      </w:r>
      <w:r>
        <w:rPr>
          <w:spacing w:val="-64"/>
        </w:rPr>
      </w:r>
      <w:r>
        <w:rPr/>
        <w:t>回。</w:t>
      </w:r>
    </w:p>
    <w:p>
      <w:pPr>
        <w:pStyle w:val="BodyText"/>
        <w:spacing w:line="477" w:lineRule="auto" w:before="54"/>
        <w:ind w:right="94" w:firstLine="420"/>
        <w:jc w:val="left"/>
      </w:pPr>
      <w:r>
        <w:rPr/>
        <w:t>（</w:t>
      </w:r>
      <w:r>
        <w:rPr>
          <w:rFonts w:ascii="宋体" w:hAnsi="宋体" w:cs="宋体" w:eastAsia="宋体" w:hint="default"/>
        </w:rPr>
        <w:t>2</w:t>
      </w:r>
      <w:r>
        <w:rPr/>
        <w:t>）直接用于出售的存货，在正常生产经营过程中以该存货的估计售价减去估计的销售费用和相关税费后的金额确定 </w:t>
      </w:r>
      <w:r>
        <w:rPr>
          <w:spacing w:val="-4"/>
        </w:rPr>
        <w:t>其可变现净值；需要经过加工的存货，在正常生产经营过程中以所生产的产成品的估计售价减去完工时估计将要发生的成本、</w:t>
      </w:r>
      <w:r>
        <w:rPr>
          <w:spacing w:val="-44"/>
        </w:rPr>
        <w:t> </w:t>
      </w:r>
      <w:r>
        <w:rPr>
          <w:spacing w:val="-44"/>
        </w:rPr>
      </w:r>
      <w:r>
        <w:rPr>
          <w:spacing w:val="-2"/>
        </w:rPr>
        <w:t>估计的销售费用和相关税费后的金额确定其可变现净值；资产负债表日，同一项目存货中一部分有合同价格约定、其他部分</w:t>
      </w:r>
    </w:p>
    <w:p>
      <w:pPr>
        <w:spacing w:after="0" w:line="477"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240" w:lineRule="auto" w:before="44"/>
        <w:ind w:right="0"/>
        <w:jc w:val="left"/>
      </w:pPr>
      <w:r>
        <w:rPr/>
        <w:t>不存在合同价格的，分别确定其可变现净值，并与其对应的成本进行比较，分别确定存货跌价准备的计提或转回的金额。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盘存制度：永续盘存制</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974"/>
        <w:jc w:val="left"/>
      </w:pPr>
      <w:r>
        <w:rPr/>
        <w:t>低值易耗品 摊销方法：一次摊销法 包装物</w:t>
      </w:r>
    </w:p>
    <w:p>
      <w:pPr>
        <w:pStyle w:val="BodyText"/>
        <w:spacing w:line="240" w:lineRule="auto" w:before="29"/>
        <w:ind w:right="0"/>
        <w:jc w:val="left"/>
      </w:pPr>
      <w:r>
        <w:rPr/>
        <w:t>摊销方法：</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50" w:firstLine="420"/>
        <w:jc w:val="both"/>
      </w:pPr>
      <w:r>
        <w:rPr>
          <w:spacing w:val="-1"/>
        </w:rPr>
        <w:t>（</w:t>
      </w:r>
      <w:r>
        <w:rPr>
          <w:rFonts w:ascii="宋体" w:hAnsi="宋体" w:cs="宋体" w:eastAsia="宋体" w:hint="default"/>
          <w:spacing w:val="-1"/>
        </w:rPr>
        <w:t>1</w:t>
      </w:r>
      <w:r>
        <w:rPr>
          <w:spacing w:val="-1"/>
        </w:rPr>
        <w:t>）企业合并形成的长期股权投资在同一控制下的企业合并中，公司以支付现金、转让非现金资产或承担债务方式以</w:t>
      </w:r>
      <w:r>
        <w:rPr/>
        <w:t> </w:t>
      </w:r>
      <w:r>
        <w:rPr>
          <w:spacing w:val="-2"/>
        </w:rPr>
        <w:t>及以发行权益性证券作为合并对价的，在合并日按照取得被合并方所有者权益账面价值的份额作为长期股权投资的初始投资</w:t>
      </w:r>
      <w:r>
        <w:rPr>
          <w:spacing w:val="-64"/>
        </w:rPr>
        <w:t> </w:t>
      </w:r>
      <w:r>
        <w:rPr>
          <w:spacing w:val="-64"/>
        </w:rPr>
      </w:r>
      <w:r>
        <w:rPr>
          <w:spacing w:val="-2"/>
        </w:rPr>
        <w:t>成本。长期股权投资初始投资成本与支付合并对价之间的差额，调整资本公积；资本公积不足冲减的，调整留存收益。合并</w:t>
      </w:r>
      <w:r>
        <w:rPr>
          <w:spacing w:val="-67"/>
        </w:rPr>
        <w:t> </w:t>
      </w:r>
      <w:r>
        <w:rPr>
          <w:spacing w:val="-67"/>
        </w:rPr>
      </w:r>
      <w:r>
        <w:rPr>
          <w:spacing w:val="-2"/>
        </w:rPr>
        <w:t>发生的各项直接相关费用，包括为进行合并而支付的审计费用、评估费用、法律服务费用等，于发生时计入当期损益。在非</w:t>
      </w:r>
      <w:r>
        <w:rPr>
          <w:spacing w:val="-66"/>
        </w:rPr>
        <w:t> </w:t>
      </w:r>
      <w:r>
        <w:rPr>
          <w:spacing w:val="-66"/>
        </w:rPr>
      </w:r>
      <w:r>
        <w:rPr/>
        <w:t>同一控制下的企业合并中，公司在购买日按照《企业会计准则第</w:t>
      </w:r>
      <w:r>
        <w:rPr>
          <w:rFonts w:ascii="宋体" w:hAnsi="宋体" w:cs="宋体" w:eastAsia="宋体" w:hint="default"/>
        </w:rPr>
        <w:t>20</w:t>
      </w:r>
      <w:r>
        <w:rPr>
          <w:rFonts w:ascii="宋体" w:hAnsi="宋体" w:cs="宋体" w:eastAsia="宋体" w:hint="default"/>
          <w:spacing w:val="6"/>
        </w:rPr>
        <w:t> </w:t>
      </w:r>
      <w:r>
        <w:rPr/>
        <w:t>号—企业合并》确定的合并成本作为长期股权投资的初 始投资成本。（</w:t>
      </w:r>
      <w:r>
        <w:rPr>
          <w:rFonts w:ascii="宋体" w:hAnsi="宋体" w:cs="宋体" w:eastAsia="宋体" w:hint="default"/>
        </w:rPr>
        <w:t>2</w:t>
      </w:r>
      <w:r>
        <w:rPr/>
        <w:t>）其他方式取得的长期股权投资以支付现金方式取得的长期股权投资，按照实际支付的购买价款作为初始</w:t>
      </w:r>
      <w:r>
        <w:rPr>
          <w:spacing w:val="-84"/>
        </w:rPr>
        <w:t> </w:t>
      </w:r>
      <w:r>
        <w:rPr>
          <w:spacing w:val="-84"/>
        </w:rPr>
      </w:r>
      <w:r>
        <w:rPr>
          <w:spacing w:val="-2"/>
        </w:rPr>
        <w:t>投资成本。以发行权益性证券取得的长期股权投资，按照发行权益性证券的公允价值作为初始投资成本。投资者投入的长期</w:t>
      </w:r>
      <w:r>
        <w:rPr>
          <w:spacing w:val="-63"/>
        </w:rPr>
        <w:t> </w:t>
      </w:r>
      <w:r>
        <w:rPr>
          <w:spacing w:val="-63"/>
        </w:rPr>
      </w:r>
      <w:r>
        <w:rPr>
          <w:spacing w:val="-2"/>
        </w:rPr>
        <w:t>股权投资，按照投资合同或协议约定的价值（扣除已宣告但尚未发放的现金股利或利润）作为初始投资成本，但合同或协议</w:t>
      </w:r>
      <w:r>
        <w:rPr>
          <w:spacing w:val="-65"/>
        </w:rPr>
        <w:t> </w:t>
      </w:r>
      <w:r>
        <w:rPr>
          <w:spacing w:val="-65"/>
        </w:rPr>
      </w:r>
      <w:r>
        <w:rPr>
          <w:spacing w:val="-2"/>
        </w:rPr>
        <w:t>约定价值不公允的除外。在非货币性资产交换具备商业实质和换入资产或换出资产的公允价值能够可靠计量的前提下，非货</w:t>
      </w:r>
      <w:r>
        <w:rPr>
          <w:spacing w:val="-63"/>
        </w:rPr>
        <w:t> </w:t>
      </w:r>
      <w:r>
        <w:rPr>
          <w:spacing w:val="-63"/>
        </w:rPr>
      </w:r>
      <w:r>
        <w:rPr>
          <w:spacing w:val="-2"/>
        </w:rPr>
        <w:t>币性资产交换换入的长期股权投资以换出资产的公允价值为基础确定其初始投资成本，除非有确凿证据表明换入资产的公允</w:t>
      </w:r>
      <w:r>
        <w:rPr>
          <w:spacing w:val="-64"/>
        </w:rPr>
        <w:t> </w:t>
      </w:r>
      <w:r>
        <w:rPr>
          <w:spacing w:val="-64"/>
        </w:rPr>
      </w:r>
      <w:r>
        <w:rPr>
          <w:spacing w:val="-2"/>
        </w:rPr>
        <w:t>价值更加可靠；不满足上述前提的非货币性资产交换，以换出资产的账面价值和应支付的相关税费作为换入长期股权投资的</w:t>
      </w:r>
      <w:r>
        <w:rPr>
          <w:spacing w:val="-64"/>
        </w:rPr>
        <w:t> </w:t>
      </w:r>
      <w:r>
        <w:rPr>
          <w:spacing w:val="-64"/>
        </w:rPr>
      </w:r>
      <w:r>
        <w:rPr>
          <w:spacing w:val="-2"/>
        </w:rPr>
        <w:t>初始投资成本。通过债务重组取得的长期股权投资，其初始投资成本按照公允价值为基础确定。公司能够对被投资单位施加</w:t>
      </w:r>
      <w:r>
        <w:rPr>
          <w:spacing w:val="-63"/>
        </w:rPr>
        <w:t> </w:t>
      </w:r>
      <w:r>
        <w:rPr>
          <w:spacing w:val="-63"/>
        </w:rPr>
      </w:r>
      <w:r>
        <w:rPr>
          <w:spacing w:val="-2"/>
        </w:rPr>
        <w:t>重大影响或共同控制的，初始投资成本大于投资时应享有被投资单位可辨认净资产公允价值份额的差额，不调整长期股权投</w:t>
      </w:r>
      <w:r>
        <w:rPr>
          <w:spacing w:val="-64"/>
        </w:rPr>
        <w:t> </w:t>
      </w:r>
      <w:r>
        <w:rPr>
          <w:spacing w:val="-64"/>
        </w:rPr>
      </w:r>
      <w:r>
        <w:rPr/>
        <w:t>资的初始投资成本；初始投资成本小于投资时应享有被投资单位可辨认净资产公允价值份额的差额，计入当期损益。</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73" w:right="0"/>
        <w:jc w:val="left"/>
      </w:pPr>
      <w:r>
        <w:rPr/>
        <w:t>公司对子公司的长期股权投资，采用成本法核算，编制合并财务报表时按照权益法进行调整。对被投资单位不具有共</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9"/>
          <w:szCs w:val="29"/>
        </w:rPr>
      </w:pPr>
    </w:p>
    <w:p>
      <w:pPr>
        <w:pStyle w:val="BodyText"/>
        <w:spacing w:line="477" w:lineRule="auto" w:before="44"/>
        <w:ind w:right="94"/>
        <w:jc w:val="left"/>
      </w:pPr>
      <w:r>
        <w:rPr>
          <w:spacing w:val="-2"/>
        </w:rPr>
        <w:t>同控制或重大影响，并且在活跃市场中没有报价、公允价值不能可靠计量的长期股权投资，采用成本法核算。对被投资单位</w:t>
      </w:r>
      <w:r>
        <w:rPr>
          <w:spacing w:val="-64"/>
        </w:rPr>
        <w:t> </w:t>
      </w:r>
      <w:r>
        <w:rPr>
          <w:spacing w:val="-64"/>
        </w:rPr>
      </w:r>
      <w:r>
        <w:rPr>
          <w:spacing w:val="-2"/>
        </w:rPr>
        <w:t>具有共同控制或重大影响的长期股权投资，采用权益法核算。成本法下公司确认投资收益，除取得投资时实际支付的价款或</w:t>
      </w:r>
      <w:r>
        <w:rPr>
          <w:spacing w:val="-63"/>
        </w:rPr>
        <w:t> </w:t>
      </w:r>
      <w:r>
        <w:rPr>
          <w:spacing w:val="-63"/>
        </w:rPr>
      </w:r>
      <w:r>
        <w:rPr>
          <w:spacing w:val="-2"/>
        </w:rPr>
        <w:t>对价中包含的已宣告但尚未发放的现金股利或利润外，按照享有被投资单位宣告发放的现金股利或利润确认投资收益，不再</w:t>
      </w:r>
      <w:r>
        <w:rPr>
          <w:spacing w:val="-63"/>
        </w:rPr>
        <w:t> </w:t>
      </w:r>
      <w:r>
        <w:rPr>
          <w:spacing w:val="-63"/>
        </w:rPr>
      </w:r>
      <w:r>
        <w:rPr>
          <w:spacing w:val="-2"/>
        </w:rPr>
        <w:t>划分是否属于投资前和投资后被投资单位实现的净利润。按照上述规定确认自被投资单位应分得的现金股利或利润后，考虑</w:t>
      </w:r>
      <w:r>
        <w:rPr>
          <w:spacing w:val="-64"/>
        </w:rPr>
        <w:t> </w:t>
      </w:r>
      <w:r>
        <w:rPr>
          <w:spacing w:val="-64"/>
        </w:rPr>
      </w:r>
      <w:r>
        <w:rPr>
          <w:spacing w:val="-2"/>
        </w:rPr>
        <w:t>长期股权投资是否发生减值。如出现长期股权投资的账面价值大于享有被投资单位净资产（包括相关商誉）账面价值的份额</w:t>
      </w:r>
      <w:r>
        <w:rPr>
          <w:spacing w:val="-66"/>
        </w:rPr>
        <w:t> </w:t>
      </w:r>
      <w:r>
        <w:rPr>
          <w:spacing w:val="-66"/>
        </w:rPr>
      </w:r>
      <w:r>
        <w:rPr>
          <w:spacing w:val="-2"/>
        </w:rPr>
        <w:t>等情况时，对长期股权投资进行减值测试，可收回金额低于长期股权投资账面价值的，计提减值准备。公司与联营企业及合</w:t>
      </w:r>
      <w:r>
        <w:rPr>
          <w:spacing w:val="-65"/>
        </w:rPr>
        <w:t> </w:t>
      </w:r>
      <w:r>
        <w:rPr>
          <w:spacing w:val="-65"/>
        </w:rPr>
      </w:r>
      <w:r>
        <w:rPr>
          <w:spacing w:val="-2"/>
        </w:rPr>
        <w:t>营企业之间发生的内部交易损益按照持股比例计算归属于公司的部分，应当予以抵销，在此基础上确认投资损益。公司与被</w:t>
      </w:r>
      <w:r>
        <w:rPr>
          <w:spacing w:val="-66"/>
        </w:rPr>
        <w:t> </w:t>
      </w:r>
      <w:r>
        <w:rPr>
          <w:spacing w:val="-66"/>
        </w:rPr>
      </w:r>
      <w:r>
        <w:rPr/>
        <w:t>投资单位发生的内部交易损失，按照《企业会计准则第</w:t>
      </w:r>
      <w:r>
        <w:rPr>
          <w:rFonts w:ascii="宋体" w:hAnsi="宋体" w:cs="宋体" w:eastAsia="宋体" w:hint="default"/>
        </w:rPr>
        <w:t>8</w:t>
      </w:r>
      <w:r>
        <w:rPr/>
        <w:t>号—资产减值》等规定属于资产减值损失的，应当全额确认。权益</w:t>
      </w:r>
      <w:r>
        <w:rPr>
          <w:spacing w:val="-83"/>
        </w:rPr>
        <w:t> </w:t>
      </w:r>
      <w:r>
        <w:rPr>
          <w:spacing w:val="-83"/>
        </w:rPr>
      </w:r>
      <w:r>
        <w:rPr>
          <w:spacing w:val="-2"/>
        </w:rPr>
        <w:t>法下在公司确认应分担被投资单位发生的亏损时，按照以下顺序进行处理：首先，冲减长期股权投资的账面价值。其次，长</w:t>
      </w:r>
      <w:r>
        <w:rPr>
          <w:spacing w:val="-67"/>
        </w:rPr>
        <w:t> </w:t>
      </w:r>
      <w:r>
        <w:rPr>
          <w:spacing w:val="-67"/>
        </w:rPr>
      </w:r>
      <w:r>
        <w:rPr/>
        <w:t>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spacing w:val="-2"/>
        </w:rPr>
        <w:t>务确认预计负债，计入当期投资损失。被投资单位以后期间实现盈利的，公司在扣除未确认的亏损分担额后，按与上述相反</w:t>
      </w:r>
      <w:r>
        <w:rPr>
          <w:spacing w:val="-65"/>
        </w:rPr>
        <w:t> </w:t>
      </w:r>
      <w:r>
        <w:rPr>
          <w:spacing w:val="-65"/>
        </w:rPr>
      </w:r>
      <w:r>
        <w:rPr>
          <w:spacing w:val="-2"/>
        </w:rPr>
        <w:t>的顺序处理，减记已确认预计负债的账面余额、恢复其他实质上构成对被投资单位净投资的长期权益及长期股权投资的账面</w:t>
      </w:r>
      <w:r>
        <w:rPr>
          <w:spacing w:val="-63"/>
        </w:rPr>
        <w:t> </w:t>
      </w:r>
      <w:r>
        <w:rPr>
          <w:spacing w:val="-63"/>
        </w:rPr>
      </w:r>
      <w:r>
        <w:rPr>
          <w:spacing w:val="-2"/>
        </w:rPr>
        <w:t>价值，同时确认投资收益。被投资单位除净损益以外所有者权益其他变动的处理：对于被投资单位除净损益以外所有者权益</w:t>
      </w:r>
      <w:r>
        <w:rPr>
          <w:spacing w:val="-66"/>
        </w:rPr>
        <w:t> </w:t>
      </w:r>
      <w:r>
        <w:rPr>
          <w:spacing w:val="-66"/>
        </w:rPr>
      </w:r>
      <w:r>
        <w:rPr>
          <w:spacing w:val="-2"/>
        </w:rPr>
        <w:t>的其他变动，在持股比例不变的情况下，公司按照持股比例计算应享有或承担的部分，调整长期股权投资的账面价值，同时</w:t>
      </w:r>
      <w:r>
        <w:rPr>
          <w:spacing w:val="-65"/>
        </w:rPr>
        <w:t> </w:t>
      </w:r>
      <w:r>
        <w:rPr>
          <w:spacing w:val="-65"/>
        </w:rPr>
      </w:r>
      <w:r>
        <w:rPr/>
        <w:t>增加或减少资本公积（其他资本公积）。</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89" w:firstLine="420"/>
        <w:jc w:val="both"/>
      </w:pPr>
      <w:r>
        <w:rPr/>
        <w:t>按照合同约定对某项经济活动所共有的控制，仅在与该项经济活动相关的重要财务和经营决策需要分享控制权的投资 </w:t>
      </w:r>
      <w:r>
        <w:rPr>
          <w:spacing w:val="-2"/>
        </w:rPr>
        <w:t>方一致同意时存在，则视为与其他方对被投资单位实施共同控制；对一个企业的财务和经营决策有参与决策的权力，但并不</w:t>
      </w:r>
      <w:r>
        <w:rPr>
          <w:spacing w:val="-62"/>
        </w:rPr>
        <w:t> </w:t>
      </w:r>
      <w:r>
        <w:rPr>
          <w:spacing w:val="-62"/>
        </w:rPr>
      </w:r>
      <w:r>
        <w:rPr/>
        <w:t>能够控制或者与其他方一起共同控制这些政策的制定，则视为投资企业能够对被投资单位施加重大影响。</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91" w:firstLine="420"/>
        <w:jc w:val="both"/>
      </w:pPr>
      <w:r>
        <w:rPr/>
        <w:t>按成本法核算的、在活跃市场中没有报价、公允价值不能可靠计量的长期股权投资，其减值按照《企业会计准则第</w:t>
      </w:r>
      <w:r>
        <w:rPr>
          <w:rFonts w:ascii="宋体" w:hAnsi="宋体" w:cs="宋体" w:eastAsia="宋体" w:hint="default"/>
        </w:rPr>
        <w:t>22</w:t>
      </w:r>
      <w:r>
        <w:rPr>
          <w:rFonts w:ascii="宋体" w:hAnsi="宋体" w:cs="宋体" w:eastAsia="宋体" w:hint="default"/>
          <w:spacing w:val="1"/>
        </w:rPr>
        <w:t> </w:t>
      </w:r>
      <w:r>
        <w:rPr/>
        <w:t>号——金融工具确认和计量》处理；其他长期股权投资，其减值按照《企业会计准则第</w:t>
      </w:r>
      <w:r>
        <w:rPr>
          <w:rFonts w:ascii="宋体" w:hAnsi="宋体" w:cs="宋体" w:eastAsia="宋体" w:hint="default"/>
        </w:rPr>
        <w:t>8</w:t>
      </w:r>
      <w:r>
        <w:rPr/>
        <w:t>号——资产减值》处理。</w:t>
      </w:r>
    </w:p>
    <w:p>
      <w:pPr>
        <w:spacing w:after="0" w:line="477" w:lineRule="auto"/>
        <w:jc w:val="both"/>
        <w:sectPr>
          <w:pgSz w:w="11910" w:h="16840"/>
          <w:pgMar w:header="772" w:footer="1006" w:top="1080" w:bottom="1200" w:left="980" w:right="940"/>
        </w:sectPr>
      </w:pPr>
    </w:p>
    <w:p>
      <w:pPr>
        <w:spacing w:line="240" w:lineRule="auto" w:before="10"/>
        <w:rPr>
          <w:rFonts w:ascii="宋体" w:hAnsi="宋体" w:cs="宋体" w:eastAsia="宋体" w:hint="default"/>
          <w:sz w:val="22"/>
          <w:szCs w:val="22"/>
        </w:rPr>
      </w:pPr>
    </w:p>
    <w:p>
      <w:pPr>
        <w:pStyle w:val="Heading3"/>
        <w:spacing w:line="240" w:lineRule="auto" w:before="36"/>
        <w:ind w:right="94"/>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91" w:firstLine="420"/>
        <w:jc w:val="both"/>
      </w:pPr>
      <w:r>
        <w:rPr/>
        <w:t>固定资产指为生产商品、提供劳务、出租或经营管理而持有，并且使用年限超过一年的有形资产。固定资产分类为： 房屋及建筑物、机器设备、电子设备及家具、运输设备、其他设备。固定资产在同时满足下列条件时予以确认：（</w:t>
      </w:r>
      <w:r>
        <w:rPr>
          <w:rFonts w:ascii="宋体" w:hAnsi="宋体" w:cs="宋体" w:eastAsia="宋体" w:hint="default"/>
        </w:rPr>
        <w:t>1</w:t>
      </w:r>
      <w:r>
        <w:rPr/>
        <w:t>）与该</w:t>
      </w:r>
      <w:r>
        <w:rPr>
          <w:spacing w:val="-82"/>
        </w:rPr>
        <w:t> </w:t>
      </w:r>
      <w:r>
        <w:rPr/>
        <w:t>固定资产有关的经济利益很可能流入企业；（</w:t>
      </w:r>
      <w:r>
        <w:rPr>
          <w:rFonts w:ascii="宋体" w:hAnsi="宋体" w:cs="宋体" w:eastAsia="宋体" w:hint="default"/>
        </w:rPr>
        <w:t>2</w:t>
      </w:r>
      <w:r>
        <w:rPr/>
        <w:t>）该固定资产的成本能够可靠地计量。</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3"/>
        <w:rPr>
          <w:rFonts w:ascii="宋体" w:hAnsi="宋体" w:cs="宋体" w:eastAsia="宋体" w:hint="default"/>
          <w:b/>
          <w:bCs/>
          <w:sz w:val="32"/>
          <w:szCs w:val="32"/>
        </w:rPr>
      </w:pPr>
    </w:p>
    <w:p>
      <w:pPr>
        <w:pStyle w:val="BodyText"/>
        <w:spacing w:line="477" w:lineRule="auto"/>
        <w:ind w:right="111" w:firstLine="420"/>
        <w:jc w:val="both"/>
      </w:pPr>
      <w:r>
        <w:rPr/>
        <w:t>融资租赁，是指实质上转移了与资产所有权有关的全部风险和报酬的租赁。公司将符合下列一项或数项标准的租赁认 </w:t>
      </w:r>
      <w:r>
        <w:rPr>
          <w:spacing w:val="-2"/>
        </w:rPr>
        <w:t>定为融资租赁：（</w:t>
      </w:r>
      <w:r>
        <w:rPr>
          <w:rFonts w:ascii="宋体" w:hAnsi="宋体" w:cs="宋体" w:eastAsia="宋体" w:hint="default"/>
          <w:spacing w:val="-2"/>
        </w:rPr>
        <w:t>1</w:t>
      </w:r>
      <w:r>
        <w:rPr>
          <w:spacing w:val="-2"/>
        </w:rPr>
        <w:t>）在租赁期届满时，租赁资产的所有权转移给承租人。（</w:t>
      </w:r>
      <w:r>
        <w:rPr>
          <w:rFonts w:ascii="宋体" w:hAnsi="宋体" w:cs="宋体" w:eastAsia="宋体" w:hint="default"/>
          <w:spacing w:val="-2"/>
        </w:rPr>
        <w:t>2</w:t>
      </w:r>
      <w:r>
        <w:rPr>
          <w:spacing w:val="-2"/>
        </w:rPr>
        <w:t>）承租人有购买租赁资产的选择权，所订立的</w:t>
      </w:r>
      <w:r>
        <w:rPr>
          <w:spacing w:val="-64"/>
        </w:rPr>
        <w:t> </w:t>
      </w:r>
      <w:r>
        <w:rPr>
          <w:spacing w:val="-64"/>
        </w:rPr>
      </w:r>
      <w:r>
        <w:rPr/>
        <w:t>购买价款预计将远低于行使选择权时租赁资产的公允价值，因而在租赁开始日就可以合理确定承租人将会行使这种选择权。</w:t>
      </w:r>
    </w:p>
    <w:p>
      <w:pPr>
        <w:pStyle w:val="BodyText"/>
        <w:spacing w:line="477" w:lineRule="auto" w:before="54"/>
        <w:ind w:right="94"/>
        <w:jc w:val="left"/>
      </w:pPr>
      <w:r>
        <w:rPr>
          <w:spacing w:val="-4"/>
        </w:rPr>
        <w:t>（</w:t>
      </w:r>
      <w:r>
        <w:rPr>
          <w:rFonts w:ascii="宋体" w:hAnsi="宋体" w:cs="宋体" w:eastAsia="宋体" w:hint="default"/>
          <w:spacing w:val="-4"/>
        </w:rPr>
        <w:t>3</w:t>
      </w:r>
      <w:r>
        <w:rPr>
          <w:spacing w:val="-4"/>
        </w:rPr>
        <w:t>）即使资产的所有权不转移，但租赁期占租赁资产使用寿命的大部分。（</w:t>
      </w:r>
      <w:r>
        <w:rPr>
          <w:rFonts w:ascii="宋体" w:hAnsi="宋体" w:cs="宋体" w:eastAsia="宋体" w:hint="default"/>
          <w:spacing w:val="-4"/>
        </w:rPr>
        <w:t>4</w:t>
      </w:r>
      <w:r>
        <w:rPr>
          <w:spacing w:val="-4"/>
        </w:rPr>
        <w:t>）承租人在租赁开始日的最低租赁付款额现值，</w:t>
      </w:r>
      <w:r>
        <w:rPr>
          <w:spacing w:val="-40"/>
        </w:rPr>
        <w:t> </w:t>
      </w:r>
      <w:r>
        <w:rPr>
          <w:spacing w:val="-40"/>
        </w:rPr>
      </w:r>
      <w:r>
        <w:rPr>
          <w:spacing w:val="-2"/>
        </w:rPr>
        <w:t>几乎相当于租赁开始日租赁资产公允价值；出租人在租赁开始日的最低租赁收款额现值，几乎相当于租赁开始日租赁资产公</w:t>
      </w:r>
      <w:r>
        <w:rPr>
          <w:spacing w:val="-64"/>
        </w:rPr>
        <w:t> </w:t>
      </w:r>
      <w:r>
        <w:rPr>
          <w:spacing w:val="-64"/>
        </w:rPr>
      </w:r>
      <w:r>
        <w:rPr/>
        <w:t>允价值。（</w:t>
      </w:r>
      <w:r>
        <w:rPr>
          <w:rFonts w:ascii="宋体" w:hAnsi="宋体" w:cs="宋体" w:eastAsia="宋体" w:hint="default"/>
        </w:rPr>
        <w:t>5</w:t>
      </w:r>
      <w:r>
        <w:rPr/>
        <w:t>）租赁资产性质特殊，如果不作较大改造，只有承租人才能使用。在租赁期开始日，融资租入固定资产的入账</w:t>
      </w:r>
      <w:r>
        <w:rPr>
          <w:spacing w:val="-84"/>
        </w:rPr>
        <w:t> </w:t>
      </w:r>
      <w:r>
        <w:rPr>
          <w:spacing w:val="-84"/>
        </w:rPr>
      </w:r>
      <w:r>
        <w:rPr/>
        <w:t>价值为租赁开始日租赁资产公允价值与最低租赁付款额现值两者中较低者。</w:t>
      </w:r>
    </w:p>
    <w:p>
      <w:pPr>
        <w:spacing w:line="614" w:lineRule="exact" w:before="9"/>
        <w:ind w:left="573" w:right="9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固定资产折旧采用年限平均法分类计提，根据固定资产类别、预计使用寿命和预计净残值率确定折旧</w:t>
      </w:r>
    </w:p>
    <w:p>
      <w:pPr>
        <w:pStyle w:val="Heading4"/>
        <w:spacing w:line="219" w:lineRule="exact"/>
        <w:ind w:left="152" w:right="94"/>
        <w:jc w:val="left"/>
      </w:pPr>
      <w:r>
        <w:rPr/>
        <w:t>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19.4%</w:t>
            </w: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19.4%</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94" w:firstLine="420"/>
        <w:jc w:val="left"/>
      </w:pPr>
      <w:r>
        <w:rPr/>
        <w:t>当固定资产的可收回金额低于其账面价值时，账面价值减记至可收回金额。对计提了减值准备的固定资产，则在未来 期间按扣除减值准备后的账面价值及依据尚可使用年限确定折旧额。</w:t>
      </w:r>
    </w:p>
    <w:p>
      <w:pPr>
        <w:pStyle w:val="BodyText"/>
        <w:spacing w:line="240" w:lineRule="auto" w:before="54"/>
        <w:ind w:left="573" w:right="94"/>
        <w:jc w:val="left"/>
      </w:pPr>
      <w:r>
        <w:rPr/>
        <w:t>符合持有待售条件的固定资产，以账面价值与公允价值减去处置费用孰低的金额列示。公允价值减去处置费用低于原</w:t>
      </w:r>
    </w:p>
    <w:p>
      <w:pPr>
        <w:spacing w:after="0" w:line="240"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240" w:lineRule="auto" w:before="44"/>
        <w:ind w:right="0"/>
        <w:jc w:val="left"/>
      </w:pPr>
      <w:r>
        <w:rPr/>
        <w:t>账面价值的金额，确认为资产减值损失。</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73" w:right="0"/>
        <w:jc w:val="left"/>
      </w:pPr>
      <w:r>
        <w:rPr/>
        <w:t>固定资产出售、转让、报废或毁损的处置收入扣除其账面价值和相关税费后的金额计入当期损益。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73" w:right="0"/>
        <w:jc w:val="left"/>
      </w:pPr>
      <w:r>
        <w:rPr/>
        <w:t>在建工程以立项项目分类核算。</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51" w:firstLine="420"/>
        <w:jc w:val="both"/>
      </w:pPr>
      <w:r>
        <w:rPr/>
        <w:t>在建工程项目按建造该项资产达到预定可使用状态前所发生的全部支出，作为固定资产的入账价值。所建造的固定资 </w:t>
      </w:r>
      <w:r>
        <w:rPr>
          <w:spacing w:val="-2"/>
        </w:rPr>
        <w:t>产已达到预定可使用状态，但尚未办理竣工决算的，自达到预定可使用状态之日起，根据工程预算、造价或者工程实际成本</w:t>
      </w:r>
      <w:r>
        <w:rPr>
          <w:spacing w:val="-65"/>
        </w:rPr>
        <w:t> </w:t>
      </w:r>
      <w:r>
        <w:rPr>
          <w:spacing w:val="-65"/>
        </w:rPr>
      </w:r>
      <w:r>
        <w:rPr>
          <w:spacing w:val="-2"/>
        </w:rPr>
        <w:t>等，按估计的价值转入固定资产，并按公司固定资产折旧政策计提固定资产的折旧，待办理竣工决算后，再按实际成本调整</w:t>
      </w:r>
      <w:r>
        <w:rPr>
          <w:spacing w:val="-65"/>
        </w:rPr>
        <w:t> </w:t>
      </w:r>
      <w:r>
        <w:rPr>
          <w:spacing w:val="-65"/>
        </w:rPr>
      </w:r>
      <w:r>
        <w:rPr/>
        <w:t>原来的暂估价值，但不调整原已计提的折旧额。</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73" w:right="0"/>
        <w:jc w:val="left"/>
      </w:pPr>
      <w:r>
        <w:rPr/>
        <w:t>当在建工程的可收回金额低于其账面价值时，账面价值减记至可收回金额。</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0" w:firstLine="420"/>
        <w:jc w:val="left"/>
      </w:pPr>
      <w:r>
        <w:rPr/>
        <w:t>公司发生的借款费用，可直接归属于符合资本化条件的资产的购建或者生产的，予以资本化，计入相关资产成本；其 他借款费用，在发生时根据其发生额确认为费用，计入当期损益。</w:t>
      </w:r>
    </w:p>
    <w:p>
      <w:pPr>
        <w:pStyle w:val="BodyText"/>
        <w:spacing w:line="477" w:lineRule="auto" w:before="54"/>
        <w:ind w:right="0" w:firstLine="420"/>
        <w:jc w:val="left"/>
      </w:pPr>
      <w:r>
        <w:rPr/>
        <w:t>符合资本化条件的资产，是指需要经过相当长时间的购建或者生产活动才能达到预定可使用或者可销售状态的固定资 产、投资性房地产和存货等资产。</w:t>
      </w:r>
    </w:p>
    <w:p>
      <w:pPr>
        <w:pStyle w:val="BodyText"/>
        <w:spacing w:line="240" w:lineRule="auto" w:before="54"/>
        <w:ind w:left="573" w:right="0"/>
        <w:jc w:val="left"/>
      </w:pPr>
      <w:r>
        <w:rPr/>
        <w:t>借款费用同时满足下列条件时开始资本化：</w:t>
      </w:r>
    </w:p>
    <w:p>
      <w:pPr>
        <w:spacing w:line="240" w:lineRule="auto" w:before="10"/>
        <w:rPr>
          <w:rFonts w:ascii="宋体" w:hAnsi="宋体" w:cs="宋体" w:eastAsia="宋体" w:hint="default"/>
          <w:sz w:val="17"/>
          <w:szCs w:val="17"/>
        </w:rPr>
      </w:pPr>
    </w:p>
    <w:p>
      <w:pPr>
        <w:pStyle w:val="BodyText"/>
        <w:spacing w:line="477" w:lineRule="auto"/>
        <w:ind w:right="136" w:firstLine="420"/>
        <w:jc w:val="left"/>
      </w:pPr>
      <w:r>
        <w:rPr>
          <w:spacing w:val="-1"/>
        </w:rPr>
        <w:t>（</w:t>
      </w:r>
      <w:r>
        <w:rPr>
          <w:rFonts w:ascii="宋体" w:hAnsi="宋体" w:cs="宋体" w:eastAsia="宋体" w:hint="default"/>
          <w:spacing w:val="-1"/>
        </w:rPr>
        <w:t>1</w:t>
      </w:r>
      <w:r>
        <w:rPr>
          <w:spacing w:val="-1"/>
        </w:rPr>
        <w:t>）资产支出已经发生，资产支出包括为购建或者生产符合资本化条件的资产而以支付现金、转移非现金资产或者承</w:t>
      </w:r>
      <w:r>
        <w:rPr/>
        <w:t> 担带息债务形式发生的支出；</w:t>
      </w:r>
    </w:p>
    <w:p>
      <w:pPr>
        <w:pStyle w:val="BodyText"/>
        <w:spacing w:line="240" w:lineRule="auto" w:before="54"/>
        <w:ind w:left="573" w:right="0"/>
        <w:jc w:val="left"/>
      </w:pPr>
      <w:r>
        <w:rPr/>
        <w:t>（</w:t>
      </w:r>
      <w:r>
        <w:rPr>
          <w:rFonts w:ascii="宋体" w:hAnsi="宋体" w:cs="宋体" w:eastAsia="宋体" w:hint="default"/>
        </w:rPr>
        <w:t>2</w:t>
      </w:r>
      <w:r>
        <w:rPr/>
        <w:t>）借款费用已经发生；</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w:t>
      </w:r>
      <w:r>
        <w:rPr>
          <w:rFonts w:ascii="宋体" w:hAnsi="宋体" w:cs="宋体" w:eastAsia="宋体" w:hint="default"/>
        </w:rPr>
        <w:t>3</w:t>
      </w:r>
      <w:r>
        <w:rPr/>
        <w:t>）为使资产达到预定可使用或者可销售状态所必要的购建或者生产活动已经开始。</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9"/>
          <w:szCs w:val="29"/>
        </w:rPr>
      </w:pPr>
    </w:p>
    <w:p>
      <w:pPr>
        <w:pStyle w:val="BodyText"/>
        <w:spacing w:line="477" w:lineRule="auto" w:before="44"/>
        <w:ind w:right="94" w:firstLine="420"/>
        <w:jc w:val="left"/>
      </w:pPr>
      <w:r>
        <w:rPr/>
        <w:t>当购建或者生产符合资本化条件的资产达到预定可使用或者可销售状态时，借款费用停止资本化。当购建或者生产符 合资本化条件的资产中部分项目分别完工且可单独使用时，该部分资产借款费用停止资本化。</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73" w:right="94"/>
        <w:jc w:val="left"/>
      </w:pPr>
      <w:r>
        <w:rPr/>
        <w:t>资本化期间，指从借款费用开始资本化时点到停止资本化时点的期间，借款费用暂停资本化的期间不包括在内。</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94" w:firstLine="420"/>
        <w:jc w:val="left"/>
      </w:pPr>
      <w:r>
        <w:rPr>
          <w:spacing w:val="-3"/>
        </w:rPr>
        <w:t>当符合资本化条件的资产在购建或者生产过程中发生非正常中断、且中断时间连续超过</w:t>
      </w:r>
      <w:r>
        <w:rPr>
          <w:rFonts w:ascii="宋体" w:hAnsi="宋体" w:cs="宋体" w:eastAsia="宋体" w:hint="default"/>
          <w:spacing w:val="-3"/>
        </w:rPr>
        <w:t>3</w:t>
      </w:r>
      <w:r>
        <w:rPr>
          <w:spacing w:val="-3"/>
        </w:rPr>
        <w:t>个月的，借款费用暂停资本化，</w:t>
      </w:r>
      <w:r>
        <w:rPr/>
        <w:t> 直至资产的购建活动重新开始</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94" w:firstLine="420"/>
        <w:jc w:val="left"/>
      </w:pPr>
      <w:r>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BodyText"/>
        <w:spacing w:line="477" w:lineRule="auto" w:before="54"/>
        <w:ind w:right="94" w:firstLine="420"/>
        <w:jc w:val="left"/>
      </w:pPr>
      <w:r>
        <w:rPr/>
        <w:t>一般借款应予资本化的利息金额根据累计资产支出超过专门借款部分的资产支出按年加权平均数乘以所占用一般借款 的资本化率计算确定。资本化率根据一般借款加权平均利率计算确定。</w:t>
      </w:r>
    </w:p>
    <w:p>
      <w:pPr>
        <w:pStyle w:val="BodyText"/>
        <w:spacing w:line="240" w:lineRule="auto" w:before="54"/>
        <w:ind w:left="573" w:right="94"/>
        <w:jc w:val="left"/>
      </w:pP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73" w:right="94"/>
        <w:jc w:val="left"/>
      </w:pPr>
      <w:r>
        <w:rPr/>
        <w:t>无形资产按取得时的实际成本入账。 外购无形资产的成本，包括购买价款、相关税费以及直接归属于使该项资产达到预定用途所发生的其他支出。购买无</w:t>
      </w:r>
    </w:p>
    <w:p>
      <w:pPr>
        <w:pStyle w:val="BodyText"/>
        <w:spacing w:line="477" w:lineRule="auto" w:before="55"/>
        <w:ind w:left="573" w:right="94" w:hanging="421"/>
        <w:jc w:val="left"/>
      </w:pPr>
      <w:r>
        <w:rPr/>
        <w:t>形资产的价款超过正常信用条件延期支付，实质上具有融资性质的，无形资产的成本以购买价款的现值为基础确定。 以同一控制下的企业吸收合并方式取得的无形资产按其在被合并方的账面价值确定其入账价值；以非同一控制下的企</w:t>
      </w:r>
    </w:p>
    <w:p>
      <w:pPr>
        <w:pStyle w:val="BodyText"/>
        <w:spacing w:line="240" w:lineRule="auto" w:before="54"/>
        <w:ind w:right="94"/>
        <w:jc w:val="left"/>
      </w:pPr>
      <w:r>
        <w:rPr/>
        <w:t>业吸收合并方式取得的无形资产按公允价值确定其入账价值。</w:t>
      </w:r>
    </w:p>
    <w:p>
      <w:pPr>
        <w:spacing w:after="0" w:line="240"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0" w:firstLine="420"/>
        <w:jc w:val="left"/>
      </w:pPr>
      <w:r>
        <w:rPr/>
        <w:t>根据无形资产的合同性权力或其他法定权力、同行业情况、历史经验、相关专家论证等综合因素判断，能合理确定无 形资产为公司带来经济利益期限的，作为使用寿命有限的无形资产。</w:t>
      </w:r>
    </w:p>
    <w:p>
      <w:pPr>
        <w:pStyle w:val="BodyText"/>
        <w:spacing w:line="477" w:lineRule="auto" w:before="54"/>
        <w:ind w:left="573" w:right="0"/>
        <w:jc w:val="left"/>
      </w:pPr>
      <w:r>
        <w:rPr/>
        <w:t>使用寿命有限的无形资产，在为企业带来经济利益的期限内按直线法摊销。 每期末，对使用寿命有限的无形资产的使用寿命及摊销方法进行复核；如必要，对使用寿命进行调整。 本公司计算机软件著作权以该项权力通常寿命周期和类似资产使用寿命为基础，估计其使用寿命为</w:t>
      </w:r>
      <w:r>
        <w:rPr>
          <w:rFonts w:ascii="宋体" w:hAnsi="宋体" w:cs="宋体" w:eastAsia="宋体" w:hint="default"/>
        </w:rPr>
        <w:t>5</w:t>
      </w:r>
      <w:r>
        <w:rPr/>
        <w:t>年，在</w:t>
      </w:r>
      <w:r>
        <w:rPr>
          <w:rFonts w:ascii="宋体" w:hAnsi="宋体" w:cs="宋体" w:eastAsia="宋体" w:hint="default"/>
        </w:rPr>
        <w:t>5</w:t>
      </w:r>
      <w:r>
        <w:rPr/>
        <w:t>年内采用</w:t>
      </w:r>
    </w:p>
    <w:p>
      <w:pPr>
        <w:pStyle w:val="BodyText"/>
        <w:spacing w:line="240" w:lineRule="auto" w:before="54"/>
        <w:ind w:right="0"/>
        <w:jc w:val="left"/>
      </w:pPr>
      <w:r>
        <w:rPr/>
        <w:t>直线法摊销。</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0" w:firstLine="420"/>
        <w:jc w:val="left"/>
      </w:pPr>
      <w:r>
        <w:rPr/>
        <w:t>根据无形资产的合同性权力或其他法定权力、同行业情况、历史经验、相关专家论证等综合因素判断，无法合理确定 无形资产为公司带来经济利益期限的，视为使用寿命不确定的无形资产。</w:t>
      </w:r>
    </w:p>
    <w:p>
      <w:pPr>
        <w:pStyle w:val="BodyText"/>
        <w:spacing w:line="240" w:lineRule="auto" w:before="54"/>
        <w:ind w:left="573" w:right="0"/>
        <w:jc w:val="left"/>
      </w:pPr>
      <w:r>
        <w:rPr/>
        <w:t>使用寿命不确定的无形资产不摊销，但每年对该无形资产的使用寿命进行复核，并进行减值测试。</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0" w:firstLine="420"/>
        <w:jc w:val="left"/>
      </w:pPr>
      <w:r>
        <w:rPr/>
        <w:t>当无形资产的可收回金额低于其账面价值时，账面价值减记至可收回金额。无形资产减值准备计提方法按本财务报表 附注二、（二十）资产减值准备。</w:t>
      </w:r>
    </w:p>
    <w:p>
      <w:pPr>
        <w:pStyle w:val="BodyText"/>
        <w:spacing w:line="240" w:lineRule="auto" w:before="54"/>
        <w:ind w:left="573" w:right="0"/>
        <w:jc w:val="left"/>
      </w:pPr>
      <w:r>
        <w:rPr/>
        <w:t>本公司期末预计某项无形资产已经不能给企业带来未来经济利益的，将该项无形资产的账面价值全部转入当期损益。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73" w:right="0"/>
        <w:jc w:val="left"/>
      </w:pPr>
      <w:r>
        <w:rPr>
          <w:rFonts w:ascii="宋体" w:hAnsi="宋体" w:cs="宋体" w:eastAsia="宋体" w:hint="default"/>
        </w:rPr>
        <w:t>1</w:t>
      </w:r>
      <w:r>
        <w:rPr/>
        <w:t>、公司将内部研究开发项目的支出，区分为研究阶段支出和开发阶段支出。</w:t>
      </w:r>
    </w:p>
    <w:p>
      <w:pPr>
        <w:spacing w:line="240" w:lineRule="auto" w:before="10"/>
        <w:rPr>
          <w:rFonts w:ascii="宋体" w:hAnsi="宋体" w:cs="宋体" w:eastAsia="宋体" w:hint="default"/>
          <w:sz w:val="17"/>
          <w:szCs w:val="17"/>
        </w:rPr>
      </w:pPr>
    </w:p>
    <w:p>
      <w:pPr>
        <w:pStyle w:val="BodyText"/>
        <w:spacing w:line="477" w:lineRule="auto"/>
        <w:ind w:right="136" w:firstLine="420"/>
        <w:jc w:val="left"/>
      </w:pPr>
      <w:r>
        <w:rPr>
          <w:rFonts w:ascii="宋体" w:hAnsi="宋体" w:cs="宋体" w:eastAsia="宋体" w:hint="default"/>
          <w:spacing w:val="-1"/>
        </w:rPr>
        <w:t>2</w:t>
      </w:r>
      <w:r>
        <w:rPr>
          <w:spacing w:val="-1"/>
        </w:rPr>
        <w:t>、已进行的研究活动将来是否会转入开发、开发后是否会形成无形资产等均具有较大的不确定性时，研发项目处于研</w:t>
      </w:r>
      <w:r>
        <w:rPr/>
        <w:t> 究阶段；当研发项目在很大程度上具备了形成一项新产品或新技术的基本条件时，研发项目进入开发阶段。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73" w:right="0"/>
        <w:jc w:val="left"/>
      </w:pPr>
      <w:r>
        <w:rPr/>
        <w:t>研究阶段的支出，于发生时计入当期损益；开发阶段的支出，同时满足下列条件的，确认为无形资产：</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w:t>
      </w:r>
      <w:r>
        <w:rPr>
          <w:rFonts w:ascii="宋体" w:hAnsi="宋体" w:cs="宋体" w:eastAsia="宋体" w:hint="default"/>
        </w:rPr>
        <w:t>1</w:t>
      </w:r>
      <w:r>
        <w:rPr/>
        <w:t>）完成该无形资产以使其能够使用或出售在技术上具有可行性；</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w:t>
      </w:r>
      <w:r>
        <w:rPr>
          <w:rFonts w:ascii="宋体" w:hAnsi="宋体" w:cs="宋体" w:eastAsia="宋体" w:hint="default"/>
        </w:rPr>
        <w:t>2</w:t>
      </w:r>
      <w:r>
        <w:rPr/>
        <w:t>）管理层具有完成该无形资产并使用或出售的意图；</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w:t>
      </w:r>
      <w:r>
        <w:rPr>
          <w:rFonts w:ascii="宋体" w:hAnsi="宋体" w:cs="宋体" w:eastAsia="宋体" w:hint="default"/>
        </w:rPr>
        <w:t>3</w:t>
      </w:r>
      <w:r>
        <w:rPr/>
        <w:t>）能够证明该无形资产将如何产生经济利益；</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w:t>
      </w:r>
      <w:r>
        <w:rPr>
          <w:rFonts w:ascii="宋体" w:hAnsi="宋体" w:cs="宋体" w:eastAsia="宋体" w:hint="default"/>
        </w:rPr>
        <w:t>4</w:t>
      </w:r>
      <w:r>
        <w:rPr/>
        <w:t>）有足够的技术、财务资源和其他资源支持，以完成该无形资产的开发，并有能力使用或出售该无形资产；</w:t>
      </w:r>
    </w:p>
    <w:p>
      <w:pPr>
        <w:spacing w:after="0" w:line="240" w:lineRule="auto"/>
        <w:jc w:val="left"/>
        <w:sectPr>
          <w:footerReference w:type="default" r:id="rId24"/>
          <w:pgSz w:w="11910" w:h="16840"/>
          <w:pgMar w:footer="1006" w:header="772" w:top="1080" w:bottom="1200" w:left="980" w:right="980"/>
          <w:pgNumType w:start="100"/>
        </w:sectPr>
      </w:pPr>
    </w:p>
    <w:p>
      <w:pPr>
        <w:spacing w:line="240" w:lineRule="auto" w:before="10"/>
        <w:rPr>
          <w:rFonts w:ascii="宋体" w:hAnsi="宋体" w:cs="宋体" w:eastAsia="宋体" w:hint="default"/>
          <w:sz w:val="29"/>
          <w:szCs w:val="29"/>
        </w:rPr>
      </w:pPr>
    </w:p>
    <w:p>
      <w:pPr>
        <w:pStyle w:val="BodyText"/>
        <w:spacing w:line="477" w:lineRule="auto" w:before="44"/>
        <w:ind w:left="573" w:right="0"/>
        <w:jc w:val="left"/>
      </w:pPr>
      <w:r>
        <w:rPr/>
        <w:t>（</w:t>
      </w:r>
      <w:r>
        <w:rPr>
          <w:rFonts w:ascii="宋体" w:hAnsi="宋体" w:cs="宋体" w:eastAsia="宋体" w:hint="default"/>
        </w:rPr>
        <w:t>5</w:t>
      </w:r>
      <w:r>
        <w:rPr/>
        <w:t>）归属于该无形资产开发阶段的支出能够可靠地计量。 不满足上述条件的开发阶段的支出，于发生时计入当期损益。前期已计入损益的开发支出不在以后期间确认为资产。</w:t>
      </w:r>
    </w:p>
    <w:p>
      <w:pPr>
        <w:pStyle w:val="BodyText"/>
        <w:spacing w:line="240" w:lineRule="auto" w:before="54"/>
        <w:ind w:right="0"/>
        <w:jc w:val="left"/>
      </w:pPr>
      <w:r>
        <w:rPr/>
        <w:t>已资本化的开发阶段的支出在资产负债表上列示为开发支出，自该项目达到预定可使用状态之日起转为无形资产。</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58" w:firstLine="420"/>
        <w:jc w:val="both"/>
      </w:pPr>
      <w:r>
        <w:rPr/>
        <w:t>本公司发生的长期待摊费用按实际成本计价，并按预计受益期限平均摊销，对不能使以后会计期间受益的长期待摊费 用项目，在确定时将该项目的摊余价值全部计入当期损益。</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58" w:firstLine="420"/>
        <w:jc w:val="both"/>
      </w:pPr>
      <w:r>
        <w:rPr/>
        <w:t>因产品质量保证、对外提供担保、未决诉讼等事项形成的现时义务，其履行很可能导致经济利益的流出，在该义务的 金额能够可靠计量时，确认为预计负债。对于未来经营亏损，不确认预计负债。</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50" w:firstLine="420"/>
        <w:jc w:val="both"/>
      </w:pPr>
      <w:r>
        <w:rPr/>
        <w:t>预计负债按照履行相关现时义务所需支出的最佳估计数进行初始计量，并综合考虑与或有事项有关的风险、不确定性 </w:t>
      </w:r>
      <w:r>
        <w:rPr>
          <w:spacing w:val="-2"/>
        </w:rPr>
        <w:t>和货币时间价值等因素。货币时间价值影响重大的，通过对相关未来现金流出进行折现后确定最佳估计数；因随着时间推移</w:t>
      </w:r>
      <w:r>
        <w:rPr>
          <w:spacing w:val="-63"/>
        </w:rPr>
        <w:t> </w:t>
      </w:r>
      <w:r>
        <w:rPr>
          <w:spacing w:val="-63"/>
        </w:rPr>
      </w:r>
      <w:r>
        <w:rPr/>
        <w:t>所进行的折现还原而导致的预计负债账面价值的增加金额，确认为利息费用。</w:t>
      </w:r>
    </w:p>
    <w:p>
      <w:pPr>
        <w:pStyle w:val="BodyText"/>
        <w:spacing w:line="240" w:lineRule="auto" w:before="54"/>
        <w:ind w:left="573" w:right="0"/>
        <w:jc w:val="left"/>
      </w:pPr>
      <w:r>
        <w:rPr/>
        <w:t>于资产负债表日，对预计负债的账面价值进行复核并作适当调整，以反映当前的最佳估计数。</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50" w:firstLine="420"/>
        <w:jc w:val="both"/>
      </w:pPr>
      <w:r>
        <w:rPr/>
        <w:t>股份支付是公司为了获取职工提供服务而授予权益工具或者承担以权益工具为基础确定的负债的交易。股份支付分为 以权益结算的股份支付和以现金结算的股份支付。（</w:t>
      </w:r>
      <w:r>
        <w:rPr>
          <w:rFonts w:ascii="宋体" w:hAnsi="宋体" w:cs="宋体" w:eastAsia="宋体" w:hint="default"/>
        </w:rPr>
        <w:t>1</w:t>
      </w:r>
      <w:r>
        <w:rPr/>
        <w:t>）以权益结算的股份支付公司的股票期权计划为用以换取职工提供服</w:t>
      </w:r>
      <w:r>
        <w:rPr>
          <w:spacing w:val="-83"/>
        </w:rPr>
        <w:t> </w:t>
      </w:r>
      <w:r>
        <w:rPr>
          <w:spacing w:val="-83"/>
        </w:rPr>
      </w:r>
      <w:r>
        <w:rPr>
          <w:spacing w:val="-2"/>
        </w:rPr>
        <w:t>务的权益结算的股份支付，以授予职工的权益工具在授予日的公允价值计量。在完成等待期内的服务或达到规定业绩条件才</w:t>
      </w:r>
      <w:r>
        <w:rPr>
          <w:spacing w:val="-62"/>
        </w:rPr>
        <w:t> </w:t>
      </w:r>
      <w:r>
        <w:rPr>
          <w:spacing w:val="-62"/>
        </w:rPr>
      </w:r>
      <w:r>
        <w:rPr>
          <w:spacing w:val="-2"/>
        </w:rPr>
        <w:t>可行权，在等待期内以对可行权权益工具数量的最佳估计为基础，按照权益工具授予日的公允价值，将当期取得的服务计入</w:t>
      </w:r>
      <w:r>
        <w:rPr>
          <w:spacing w:val="-63"/>
        </w:rPr>
        <w:t> </w:t>
      </w:r>
      <w:r>
        <w:rPr>
          <w:spacing w:val="-63"/>
        </w:rPr>
      </w:r>
      <w:r>
        <w:rPr/>
        <w:t>相关成本或费用，相应增加资本公积。（</w:t>
      </w:r>
      <w:r>
        <w:rPr>
          <w:rFonts w:ascii="宋体" w:hAnsi="宋体" w:cs="宋体" w:eastAsia="宋体" w:hint="default"/>
        </w:rPr>
        <w:t>2</w:t>
      </w:r>
      <w:r>
        <w:rPr/>
        <w:t>）以现金结算的股份支付公司的股票增值权计划为以现金结算的股份支付，按照</w:t>
      </w:r>
      <w:r>
        <w:rPr>
          <w:spacing w:val="-83"/>
        </w:rPr>
        <w:t> </w:t>
      </w:r>
      <w:r>
        <w:rPr>
          <w:spacing w:val="-83"/>
        </w:rPr>
      </w:r>
      <w:r>
        <w:rPr>
          <w:spacing w:val="-2"/>
        </w:rPr>
        <w:t>公司承担的以本公司股份数量为基础确定的负债的公允价值计量。该以现金结算的股份支付须完成等待期内的服务或达到规</w:t>
      </w:r>
      <w:r>
        <w:rPr>
          <w:spacing w:val="-64"/>
        </w:rPr>
        <w:t> </w:t>
      </w:r>
      <w:r>
        <w:rPr>
          <w:spacing w:val="-64"/>
        </w:rPr>
      </w:r>
      <w:r>
        <w:rPr>
          <w:spacing w:val="-2"/>
        </w:rPr>
        <w:t>定业绩条件以后才可行权，在等待期的每个资产负债表日以对可行权情况的最佳估计为基础，按照公司承担负债的公允价值</w:t>
      </w:r>
    </w:p>
    <w:p>
      <w:pPr>
        <w:spacing w:after="0" w:line="477" w:lineRule="auto"/>
        <w:jc w:val="both"/>
        <w:sectPr>
          <w:pgSz w:w="11910" w:h="16840"/>
          <w:pgMar w:header="772" w:footer="1006" w:top="1080" w:bottom="1200" w:left="980" w:right="980"/>
        </w:sectPr>
      </w:pPr>
    </w:p>
    <w:p>
      <w:pPr>
        <w:spacing w:line="240" w:lineRule="auto" w:before="10"/>
        <w:rPr>
          <w:rFonts w:ascii="宋体" w:hAnsi="宋体" w:cs="宋体" w:eastAsia="宋体" w:hint="default"/>
          <w:sz w:val="29"/>
          <w:szCs w:val="29"/>
        </w:rPr>
      </w:pPr>
    </w:p>
    <w:p>
      <w:pPr>
        <w:pStyle w:val="BodyText"/>
        <w:spacing w:line="477" w:lineRule="auto" w:before="44"/>
        <w:ind w:right="0"/>
        <w:jc w:val="left"/>
      </w:pPr>
      <w:r>
        <w:rPr>
          <w:spacing w:val="-2"/>
        </w:rPr>
        <w:t>金额，将当期取得的服务计入成本或费用，相应增加负债。在相关负债结算前的每个资产负债表日以及结算日，对负债的公</w:t>
      </w:r>
      <w:r>
        <w:rPr>
          <w:spacing w:val="-63"/>
        </w:rPr>
        <w:t> </w:t>
      </w:r>
      <w:r>
        <w:rPr>
          <w:spacing w:val="-63"/>
        </w:rPr>
      </w:r>
      <w:r>
        <w:rPr/>
        <w:t>允价值重新计量，其变动计入当期损益。</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58" w:firstLine="420"/>
        <w:jc w:val="both"/>
      </w:pPr>
      <w:r>
        <w:rPr/>
        <w:t>对于授予职工的股份，其公允价值按公司股份的市场价格计量，同时考虑授予股份所依据的条款和条件（不包括市场 条件之外的可行权条件）进行调整。</w:t>
      </w:r>
    </w:p>
    <w:p>
      <w:pPr>
        <w:pStyle w:val="BodyText"/>
        <w:spacing w:line="240" w:lineRule="auto" w:before="54"/>
        <w:ind w:left="573" w:right="0"/>
        <w:jc w:val="left"/>
      </w:pPr>
      <w:r>
        <w:rPr/>
        <w:t>对于授予职工的股票期权，通过期权定价模型估计所授予的期权的公允价值。</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3"/>
        <w:rPr>
          <w:rFonts w:ascii="宋体" w:hAnsi="宋体" w:cs="宋体" w:eastAsia="宋体" w:hint="default"/>
          <w:b/>
          <w:bCs/>
          <w:sz w:val="32"/>
          <w:szCs w:val="32"/>
        </w:rPr>
      </w:pPr>
    </w:p>
    <w:p>
      <w:pPr>
        <w:pStyle w:val="BodyText"/>
        <w:spacing w:line="477" w:lineRule="auto"/>
        <w:ind w:right="158" w:firstLine="420"/>
        <w:jc w:val="both"/>
      </w:pPr>
      <w:r>
        <w:rPr/>
        <w:t>在等待期内每个资产负债表日，公司根据最新取得的可行权职工人数变动等后续信息做出最佳估计，修正预计可行权 的权益工具数量。</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58" w:firstLine="420"/>
        <w:jc w:val="both"/>
      </w:pPr>
      <w:r>
        <w:rPr/>
        <w:t>如果股份支付计划的修改增加了所授予的权益工具的公允价值，应按照权益工具公允价值的增加相应地确认取得服务 的增加。</w:t>
      </w:r>
    </w:p>
    <w:p>
      <w:pPr>
        <w:pStyle w:val="BodyText"/>
        <w:spacing w:line="477" w:lineRule="auto" w:before="54"/>
        <w:ind w:right="158" w:firstLine="420"/>
        <w:jc w:val="both"/>
      </w:pPr>
      <w:r>
        <w:rPr/>
        <w:t>如果股份支付计划的修改增加了所授予的权益工具的数量，应将增加的权益工具的公允价值相应地确认为取得服务的 增加。</w:t>
      </w:r>
    </w:p>
    <w:p>
      <w:pPr>
        <w:pStyle w:val="BodyText"/>
        <w:spacing w:line="477" w:lineRule="auto" w:before="54"/>
        <w:ind w:right="158" w:firstLine="420"/>
        <w:jc w:val="both"/>
      </w:pPr>
      <w:r>
        <w:rPr/>
        <w:t>如果公司按照有利于职工的方式修改可行权条件，如缩短等待期、变更或取消业绩条件（而非市场条件），公司在处 理可行权条件时，应当考虑修改后的可行权条件。</w:t>
      </w:r>
    </w:p>
    <w:p>
      <w:pPr>
        <w:pStyle w:val="BodyText"/>
        <w:spacing w:line="477" w:lineRule="auto" w:before="54"/>
        <w:ind w:right="158" w:firstLine="420"/>
        <w:jc w:val="both"/>
      </w:pPr>
      <w:r>
        <w:rPr/>
        <w:t>如果公司以减少股份支付公允价值总额的方式或其他不利于职工的方式修改条款和条件，公司仍应继续对取得的服务 进行会计处理，如同该变更从未发生，除非公司取消了部分或全部已授予的权益工具。</w:t>
      </w:r>
    </w:p>
    <w:p>
      <w:pPr>
        <w:pStyle w:val="BodyText"/>
        <w:spacing w:line="477" w:lineRule="auto" w:before="54"/>
        <w:ind w:right="150" w:firstLine="420"/>
        <w:jc w:val="both"/>
      </w:pPr>
      <w:r>
        <w:rPr/>
        <w:t>在等待期内如果取消了授予的权益工具，对取消所授予的权益性工具作为加速行权处理，剩余等待期内应确认的金额 </w:t>
      </w:r>
      <w:r>
        <w:rPr>
          <w:spacing w:val="-2"/>
        </w:rPr>
        <w:t>立即计入当期损益，同时确认资本公积。职工或其他方能够选择满足非可行权条件但在等待期内未满足的，将其作为授予权</w:t>
      </w:r>
      <w:r>
        <w:rPr>
          <w:spacing w:val="-63"/>
        </w:rPr>
        <w:t> </w:t>
      </w:r>
      <w:r>
        <w:rPr>
          <w:spacing w:val="-63"/>
        </w:rPr>
      </w:r>
      <w:r>
        <w:rPr/>
        <w:t>益工具的取消处理。</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left="573" w:right="0"/>
        <w:jc w:val="left"/>
      </w:pPr>
      <w:r>
        <w:rPr/>
        <w:t>公司为减少注册资本或奖励本公司职工等原因而收购本公司股份时，按实际支付的金额记入库存股。 公司根据以权益结算的股份支付协议将收购的股份奖励给本公司职工时，按奖励库存股账面余额与职工所支付现金及</w:t>
      </w:r>
    </w:p>
    <w:p>
      <w:pPr>
        <w:pStyle w:val="BodyText"/>
        <w:spacing w:line="477" w:lineRule="auto" w:before="54"/>
        <w:ind w:left="573" w:right="0" w:hanging="421"/>
        <w:jc w:val="left"/>
      </w:pPr>
      <w:r>
        <w:rPr/>
        <w:t>授予权益工具时确认的资本公积之间的差额，计入资本公积（股本溢价）。 注销库存股时，按所注销库存股面值总额注销股本，按所注销库存股的账面余额，冲减库存股，按其差额冲减资本公</w:t>
      </w:r>
    </w:p>
    <w:p>
      <w:pPr>
        <w:spacing w:after="0" w:line="477"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9"/>
          <w:szCs w:val="29"/>
        </w:rPr>
      </w:pPr>
    </w:p>
    <w:p>
      <w:pPr>
        <w:pStyle w:val="BodyText"/>
        <w:spacing w:line="240" w:lineRule="auto" w:before="44"/>
        <w:ind w:right="94"/>
        <w:jc w:val="left"/>
      </w:pPr>
      <w:r>
        <w:rPr/>
        <w:t>积（股本溢价），股本溢价不足冲减的，调整留存收益。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90" w:firstLine="420"/>
        <w:jc w:val="both"/>
      </w:pPr>
      <w:r>
        <w:rPr/>
        <w:t>销售商品收入同时满足下列条件时，才能予以确认：①已将商品所有权上的主要风险和报酬转移给购货方；②既没有 </w:t>
      </w:r>
      <w:r>
        <w:rPr>
          <w:spacing w:val="-2"/>
        </w:rPr>
        <w:t>保留通常与所有权相联系的继续管权，也没有对已售出的商品实施有效控制；③收入的金额能够可靠计量；④相关经济利益</w:t>
      </w:r>
      <w:r>
        <w:rPr>
          <w:spacing w:val="-63"/>
        </w:rPr>
        <w:t> </w:t>
      </w:r>
      <w:r>
        <w:rPr>
          <w:spacing w:val="-63"/>
        </w:rPr>
      </w:r>
      <w:r>
        <w:rPr/>
        <w:t>很可能流入本公司；⑤相关的、已发生的或将发生的成本能够可靠计量。</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73" w:right="94"/>
        <w:jc w:val="left"/>
      </w:pPr>
      <w:r>
        <w:rPr/>
        <w:t>以相关的经济利益很可能流入公司，收入的金额能够可靠地计量时，按有关合同或协议规定的收费时间和方法计算确</w:t>
      </w:r>
    </w:p>
    <w:p>
      <w:pPr>
        <w:spacing w:line="240" w:lineRule="auto" w:before="10"/>
        <w:rPr>
          <w:rFonts w:ascii="宋体" w:hAnsi="宋体" w:cs="宋体" w:eastAsia="宋体" w:hint="default"/>
          <w:sz w:val="17"/>
          <w:szCs w:val="17"/>
        </w:rPr>
      </w:pPr>
    </w:p>
    <w:p>
      <w:pPr>
        <w:pStyle w:val="BodyText"/>
        <w:spacing w:line="240" w:lineRule="auto"/>
        <w:ind w:right="94"/>
        <w:jc w:val="left"/>
      </w:pPr>
      <w:r>
        <w:rPr/>
        <w:t>定。</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90" w:firstLine="420"/>
        <w:jc w:val="both"/>
      </w:pPr>
      <w:r>
        <w:rPr/>
        <w:t>公司在资产负债表日提供劳务交易的结果能够可靠估计的，按照完工百分比法确认提供劳务收入。在资产负债表日提 </w:t>
      </w:r>
      <w:r>
        <w:rPr>
          <w:spacing w:val="-2"/>
        </w:rPr>
        <w:t>供劳务交易结果不能够可靠估计的，分别下列情况处理：①已发生的劳务成本预计能够得到补偿，应按已经发生的劳务成本</w:t>
      </w:r>
      <w:r>
        <w:rPr>
          <w:spacing w:val="-66"/>
        </w:rPr>
        <w:t> </w:t>
      </w:r>
      <w:r>
        <w:rPr>
          <w:spacing w:val="-66"/>
        </w:rPr>
      </w:r>
      <w:r>
        <w:rPr>
          <w:spacing w:val="-2"/>
        </w:rPr>
        <w:t>金额确认提供劳务收入，并按相同金额结转劳务成本；②已发生的劳务成本预计不能够得到补偿的，将已经发生的劳务成本</w:t>
      </w:r>
      <w:r>
        <w:rPr>
          <w:spacing w:val="-63"/>
        </w:rPr>
        <w:t> </w:t>
      </w:r>
      <w:r>
        <w:rPr>
          <w:spacing w:val="-63"/>
        </w:rPr>
      </w:r>
      <w:r>
        <w:rPr/>
        <w:t>计入当期损益，不确认提供劳务收入。</w:t>
      </w:r>
    </w:p>
    <w:p>
      <w:pPr>
        <w:pStyle w:val="BodyText"/>
        <w:spacing w:line="477" w:lineRule="auto" w:before="54"/>
        <w:ind w:right="190" w:firstLine="420"/>
        <w:jc w:val="both"/>
      </w:pPr>
      <w:r>
        <w:rPr/>
        <w:t>公司与其他企业签订的合同或协议中既包括销售商品又包括提供劳务的，如果销售商品部分和提供劳务部分能够区分 </w:t>
      </w:r>
      <w:r>
        <w:rPr>
          <w:spacing w:val="-2"/>
        </w:rPr>
        <w:t>且能够单独立计量的，分别核算销售商品部分和提供劳务部分，将销售商品的部分作为销售商品处理，将提供劳务的部分作</w:t>
      </w:r>
      <w:r>
        <w:rPr>
          <w:spacing w:val="-63"/>
        </w:rPr>
        <w:t> </w:t>
      </w:r>
      <w:r>
        <w:rPr>
          <w:spacing w:val="-63"/>
        </w:rPr>
      </w:r>
      <w:r>
        <w:rPr>
          <w:spacing w:val="-2"/>
        </w:rPr>
        <w:t>为提供劳务处理；如果销售商品部分和提供劳务部分不能够区分，或虽能区分但不能够单独计量的，将销售商品部分和提供</w:t>
      </w:r>
      <w:r>
        <w:rPr>
          <w:spacing w:val="-63"/>
        </w:rPr>
        <w:t> </w:t>
      </w:r>
      <w:r>
        <w:rPr>
          <w:spacing w:val="-63"/>
        </w:rPr>
      </w:r>
      <w:r>
        <w:rPr/>
        <w:t>劳务部分全部作为销售商品部分进行会计处理。</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73" w:right="94"/>
        <w:jc w:val="left"/>
      </w:pPr>
      <w:r>
        <w:rPr/>
        <w:t>公司各项业务收入确认的具体方法如下：</w:t>
      </w:r>
    </w:p>
    <w:p>
      <w:pPr>
        <w:spacing w:line="240" w:lineRule="auto" w:before="10"/>
        <w:rPr>
          <w:rFonts w:ascii="宋体" w:hAnsi="宋体" w:cs="宋体" w:eastAsia="宋体" w:hint="default"/>
          <w:sz w:val="17"/>
          <w:szCs w:val="17"/>
        </w:rPr>
      </w:pPr>
    </w:p>
    <w:p>
      <w:pPr>
        <w:pStyle w:val="BodyText"/>
        <w:spacing w:line="240" w:lineRule="auto"/>
        <w:ind w:left="573" w:right="94"/>
        <w:jc w:val="left"/>
      </w:pPr>
      <w:r>
        <w:rPr/>
        <w:t>（</w:t>
      </w:r>
      <w:r>
        <w:rPr>
          <w:rFonts w:ascii="宋体" w:hAnsi="宋体" w:cs="宋体" w:eastAsia="宋体" w:hint="default"/>
        </w:rPr>
        <w:t>1</w:t>
      </w:r>
      <w:r>
        <w:rPr/>
        <w:t>）定制软件产品收入</w:t>
      </w:r>
    </w:p>
    <w:p>
      <w:pPr>
        <w:spacing w:line="240" w:lineRule="auto" w:before="10"/>
        <w:rPr>
          <w:rFonts w:ascii="宋体" w:hAnsi="宋体" w:cs="宋体" w:eastAsia="宋体" w:hint="default"/>
          <w:sz w:val="17"/>
          <w:szCs w:val="17"/>
        </w:rPr>
      </w:pPr>
    </w:p>
    <w:p>
      <w:pPr>
        <w:pStyle w:val="BodyText"/>
        <w:spacing w:line="477" w:lineRule="auto"/>
        <w:ind w:left="573" w:right="94"/>
        <w:jc w:val="left"/>
      </w:pPr>
      <w:r>
        <w:rPr/>
        <w:t>①在资产负债表日提供劳务交易的结果能够可靠估计的定制软件产品项目 </w:t>
      </w:r>
      <w:r>
        <w:rPr>
          <w:rFonts w:ascii="宋体" w:hAnsi="宋体" w:cs="宋体" w:eastAsia="宋体" w:hint="default"/>
        </w:rPr>
        <w:t>A.</w:t>
      </w:r>
      <w:r>
        <w:rPr/>
        <w:t>在同一会计期间内开始并完成、合同金额较小、简单的定制软件产品项目，在合同约定的项目全部完成，经客户验</w:t>
      </w:r>
    </w:p>
    <w:p>
      <w:pPr>
        <w:pStyle w:val="BodyText"/>
        <w:spacing w:line="240" w:lineRule="auto" w:before="54"/>
        <w:ind w:right="94"/>
        <w:jc w:val="left"/>
      </w:pPr>
      <w:r>
        <w:rPr/>
        <w:t>收确认后，收到货款或获取收款权力时，确认收入。</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B.</w:t>
      </w:r>
      <w:r>
        <w:rPr/>
        <w:t>开始和完成分属不同的报告期间、合同金额</w:t>
      </w:r>
      <w:r>
        <w:rPr>
          <w:rFonts w:ascii="宋体" w:hAnsi="宋体" w:cs="宋体" w:eastAsia="宋体" w:hint="default"/>
        </w:rPr>
        <w:t>100</w:t>
      </w:r>
      <w:r>
        <w:rPr>
          <w:rFonts w:ascii="宋体" w:hAnsi="宋体" w:cs="宋体" w:eastAsia="宋体" w:hint="default"/>
          <w:spacing w:val="-54"/>
        </w:rPr>
        <w:t> </w:t>
      </w:r>
      <w:r>
        <w:rPr/>
        <w:t>万元以上、复杂的定制软件产品项目，采用完工百分比法确认收入。</w:t>
      </w:r>
    </w:p>
    <w:p>
      <w:pPr>
        <w:spacing w:after="0" w:line="240"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477" w:lineRule="auto" w:before="44"/>
        <w:ind w:left="573" w:right="158"/>
        <w:jc w:val="left"/>
      </w:pPr>
      <w:r>
        <w:rPr/>
        <w:t>当期应确认的项目收入</w:t>
      </w:r>
      <w:r>
        <w:rPr>
          <w:rFonts w:ascii="宋体" w:hAnsi="宋体" w:cs="宋体" w:eastAsia="宋体" w:hint="default"/>
        </w:rPr>
        <w:t>=</w:t>
      </w:r>
      <w:r>
        <w:rPr/>
        <w:t>合同总金额×当期期末止完工进度</w:t>
      </w:r>
      <w:r>
        <w:rPr>
          <w:rFonts w:ascii="宋体" w:hAnsi="宋体" w:cs="宋体" w:eastAsia="宋体" w:hint="default"/>
        </w:rPr>
        <w:t>-</w:t>
      </w:r>
      <w:r>
        <w:rPr/>
        <w:t>前期累计已确认的收入 当期应确认的项目成本</w:t>
      </w:r>
      <w:r>
        <w:rPr>
          <w:rFonts w:ascii="宋体" w:hAnsi="宋体" w:cs="宋体" w:eastAsia="宋体" w:hint="default"/>
        </w:rPr>
        <w:t>=</w:t>
      </w:r>
      <w:r>
        <w:rPr/>
        <w:t>项目预计总成本×当期期末止完工进度</w:t>
      </w:r>
      <w:r>
        <w:rPr>
          <w:rFonts w:ascii="宋体" w:hAnsi="宋体" w:cs="宋体" w:eastAsia="宋体" w:hint="default"/>
        </w:rPr>
        <w:t>-</w:t>
      </w:r>
      <w:r>
        <w:rPr/>
        <w:t>前期累计已确认的项目成本。 完工进度确认方法：按己经提供的工作量占应提供的工作总量的比例确定。由于公司计算的已提供的工作量需要委托</w:t>
      </w:r>
    </w:p>
    <w:p>
      <w:pPr>
        <w:pStyle w:val="BodyText"/>
        <w:spacing w:line="477" w:lineRule="auto" w:before="54"/>
        <w:ind w:right="0"/>
        <w:jc w:val="left"/>
      </w:pPr>
      <w:r>
        <w:rPr>
          <w:spacing w:val="-2"/>
        </w:rPr>
        <w:t>方认可，故公司实际采用委托方认可的完工进度证明作为完工百分比的确定依据。如果相关阶段的合同约定收款比例低于该</w:t>
      </w:r>
      <w:r>
        <w:rPr>
          <w:spacing w:val="-64"/>
        </w:rPr>
        <w:t> </w:t>
      </w:r>
      <w:r>
        <w:rPr>
          <w:spacing w:val="-64"/>
        </w:rPr>
      </w:r>
      <w:r>
        <w:rPr/>
        <w:t>阶段按前述方法计算的完工百分比，按照孰低原则确认收入。</w:t>
      </w:r>
    </w:p>
    <w:p>
      <w:pPr>
        <w:pStyle w:val="BodyText"/>
        <w:spacing w:line="477" w:lineRule="auto" w:before="54"/>
        <w:ind w:right="150" w:firstLine="420"/>
        <w:jc w:val="both"/>
      </w:pPr>
      <w:r>
        <w:rPr/>
        <w:t>②对在资产负债表日提供劳务交易结果不能可靠估计的定制软件产品，如果已经发生的成本预计能够得到补偿，按能 </w:t>
      </w:r>
      <w:r>
        <w:rPr>
          <w:spacing w:val="-2"/>
        </w:rPr>
        <w:t>够得到补偿的金额确认收入，并按相同的金额结转成本；如果已经发生的成本预计不能全部得到补偿，按能够得到补偿的成</w:t>
      </w:r>
      <w:r>
        <w:rPr>
          <w:spacing w:val="-63"/>
        </w:rPr>
        <w:t> </w:t>
      </w:r>
      <w:r>
        <w:rPr>
          <w:spacing w:val="-63"/>
        </w:rPr>
      </w:r>
      <w:r>
        <w:rPr>
          <w:spacing w:val="-2"/>
        </w:rPr>
        <w:t>本金额确认收入，并按已发生的成本结转成本，确认的收入金额小于已经发生的成本的差额，确认为损失；如果已发生的成</w:t>
      </w:r>
      <w:r>
        <w:rPr>
          <w:spacing w:val="-64"/>
        </w:rPr>
        <w:t> </w:t>
      </w:r>
      <w:r>
        <w:rPr>
          <w:spacing w:val="-64"/>
        </w:rPr>
      </w:r>
      <w:r>
        <w:rPr/>
        <w:t>本全部不能得到补偿，则不确认收入，但将已发生的成本确认为费用。</w:t>
      </w:r>
    </w:p>
    <w:p>
      <w:pPr>
        <w:pStyle w:val="BodyText"/>
        <w:spacing w:line="477" w:lineRule="auto" w:before="54"/>
        <w:ind w:right="158" w:firstLine="420"/>
        <w:jc w:val="both"/>
      </w:pPr>
      <w:r>
        <w:rPr/>
        <w:t>公司技术服务主要为软件开发服务，系公司根据客户需求进行特定的技术开发或技术服务，一般情况下公司需进行一 定的新产品、新技术研发才能完成合同义务。</w:t>
      </w:r>
    </w:p>
    <w:p>
      <w:pPr>
        <w:pStyle w:val="BodyText"/>
        <w:spacing w:line="477" w:lineRule="auto" w:before="54"/>
        <w:ind w:left="573" w:right="2888"/>
        <w:jc w:val="left"/>
      </w:pPr>
      <w:r>
        <w:rPr/>
        <w:t>技术服务收入确认的具体做法是： 当期应确认的项目收入</w:t>
      </w:r>
      <w:r>
        <w:rPr>
          <w:rFonts w:ascii="宋体" w:hAnsi="宋体" w:cs="宋体" w:eastAsia="宋体" w:hint="default"/>
        </w:rPr>
        <w:t>=</w:t>
      </w:r>
      <w:r>
        <w:rPr/>
        <w:t>合同总金额×当期期末止完工进度</w:t>
      </w:r>
      <w:r>
        <w:rPr>
          <w:rFonts w:ascii="宋体" w:hAnsi="宋体" w:cs="宋体" w:eastAsia="宋体" w:hint="default"/>
        </w:rPr>
        <w:t>-</w:t>
      </w:r>
      <w:r>
        <w:rPr/>
        <w:t>前期累计已确认的收入</w:t>
      </w:r>
    </w:p>
    <w:p>
      <w:pPr>
        <w:pStyle w:val="BodyText"/>
        <w:spacing w:line="477" w:lineRule="auto" w:before="54"/>
        <w:ind w:left="573" w:right="0"/>
        <w:jc w:val="left"/>
      </w:pPr>
      <w:r>
        <w:rPr/>
        <w:t>当期应确认的项目成本</w:t>
      </w:r>
      <w:r>
        <w:rPr>
          <w:rFonts w:ascii="宋体" w:hAnsi="宋体" w:cs="宋体" w:eastAsia="宋体" w:hint="default"/>
        </w:rPr>
        <w:t>=</w:t>
      </w:r>
      <w:r>
        <w:rPr/>
        <w:t>项目预计总成本×当期期末止完工进度</w:t>
      </w:r>
      <w:r>
        <w:rPr>
          <w:rFonts w:ascii="宋体" w:hAnsi="宋体" w:cs="宋体" w:eastAsia="宋体" w:hint="default"/>
        </w:rPr>
        <w:t>-</w:t>
      </w:r>
      <w:r>
        <w:rPr/>
        <w:t>前期累计已确认的项目成本。 完工进度确认方法：按己经提供的工作量占应提供的工作总量的比例确定。由于公司计算的已提供的工作量需要委托</w:t>
      </w:r>
    </w:p>
    <w:p>
      <w:pPr>
        <w:pStyle w:val="BodyText"/>
        <w:spacing w:line="477" w:lineRule="auto" w:before="54"/>
        <w:ind w:right="0"/>
        <w:jc w:val="left"/>
      </w:pPr>
      <w:r>
        <w:rPr>
          <w:spacing w:val="-2"/>
        </w:rPr>
        <w:t>方认可，故公司实际采用委托方认可的完工进度证明作为完工百分比的确定依据。如果相关阶段的合同约定收款比例低于该</w:t>
      </w:r>
      <w:r>
        <w:rPr>
          <w:spacing w:val="-64"/>
        </w:rPr>
        <w:t> </w:t>
      </w:r>
      <w:r>
        <w:rPr>
          <w:spacing w:val="-64"/>
        </w:rPr>
      </w:r>
      <w:r>
        <w:rPr/>
        <w:t>阶段按前述方法计算的完工百分比，按照孰低原则确认收入。</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58" w:firstLine="420"/>
        <w:jc w:val="both"/>
      </w:pPr>
      <w:r>
        <w:rPr/>
        <w:t>政府补助分为与资产相关的政府补助和与收益相关的政府补助。公司取得的、用于购建或以其他方式形成长期资产的 政府补助属于与资产相关的政府补助；除与资产相关的政府补助之外的政府补助为与收益相关的政府补助。</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73" w:right="1613"/>
        <w:jc w:val="left"/>
      </w:pPr>
      <w:r>
        <w:rPr/>
        <w:t>与资产相关的政府补助，确认为递延收益，并在相关资产使用寿命期内平均分配，计入当期损益。 与收益相关的政府补助，分别下列情况处理：</w:t>
      </w:r>
    </w:p>
    <w:p>
      <w:pPr>
        <w:pStyle w:val="BodyText"/>
        <w:spacing w:line="240" w:lineRule="auto" w:before="54"/>
        <w:ind w:left="573" w:right="0"/>
        <w:jc w:val="left"/>
      </w:pPr>
      <w:r>
        <w:rPr/>
        <w:t>（</w:t>
      </w:r>
      <w:r>
        <w:rPr>
          <w:rFonts w:ascii="宋体" w:hAnsi="宋体" w:cs="宋体" w:eastAsia="宋体" w:hint="default"/>
        </w:rPr>
        <w:t>1</w:t>
      </w:r>
      <w:r>
        <w:rPr/>
        <w:t>）用于补偿公司以后期间的相关费用或损失的，确认为递延收益，并在确认相关费用的期间，计入当期损益。</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w:t>
      </w:r>
      <w:r>
        <w:rPr>
          <w:rFonts w:ascii="宋体" w:hAnsi="宋体" w:cs="宋体" w:eastAsia="宋体" w:hint="default"/>
        </w:rPr>
        <w:t>2</w:t>
      </w:r>
      <w:r>
        <w:rPr/>
        <w:t>）用于补偿公司已发生的相关费用或损失的，直接计入当期损益。</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94"/>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94" w:firstLine="420"/>
        <w:jc w:val="left"/>
      </w:pPr>
      <w:r>
        <w:rPr/>
        <w:t>递延所得税资产和递延所得税负债根据资产和负债的计税基础与其账面价值的差额</w:t>
      </w:r>
      <w:r>
        <w:rPr>
          <w:rFonts w:ascii="宋体" w:hAnsi="宋体" w:cs="宋体" w:eastAsia="宋体" w:hint="default"/>
        </w:rPr>
        <w:t>(</w:t>
      </w:r>
      <w:r>
        <w:rPr/>
        <w:t>暂时性差异</w:t>
      </w:r>
      <w:r>
        <w:rPr>
          <w:rFonts w:ascii="宋体" w:hAnsi="宋体" w:cs="宋体" w:eastAsia="宋体" w:hint="default"/>
        </w:rPr>
        <w:t>)</w:t>
      </w:r>
      <w:r>
        <w:rPr/>
        <w:t>计算确认。对于按照 税法规定能够于以后年度抵减应纳税所得额的可抵扣亏损，视同暂时性差异确认相应的递延所得税资产。在资产负债表日， </w:t>
      </w:r>
      <w:r>
        <w:rPr>
          <w:spacing w:val="-2"/>
        </w:rPr>
        <w:t>递延所得税资产和递延所得税负债按照预期收回该资产或清偿该负债期间的适用税率计量。递延所得税资产的确认以公司很</w:t>
      </w:r>
      <w:r>
        <w:rPr>
          <w:spacing w:val="-64"/>
        </w:rPr>
        <w:t> </w:t>
      </w:r>
      <w:r>
        <w:rPr>
          <w:spacing w:val="-64"/>
        </w:rPr>
      </w:r>
      <w:r>
        <w:rPr>
          <w:spacing w:val="-2"/>
        </w:rPr>
        <w:t>可能取得用来抵扣可抵扣暂时性差异、可抵扣亏损和税款抵减的应纳税所得额为限。对子公司及联营企业投资相关的暂时性</w:t>
      </w:r>
      <w:r>
        <w:rPr>
          <w:spacing w:val="-64"/>
        </w:rPr>
        <w:t> </w:t>
      </w:r>
      <w:r>
        <w:rPr>
          <w:spacing w:val="-64"/>
        </w:rPr>
      </w:r>
      <w:r>
        <w:rPr>
          <w:spacing w:val="-2"/>
        </w:rPr>
        <w:t>差异产生的递延所得税资产和递延所得税负债，予以确认。但公司能够控制暂时性差异转回的时间且该暂时性差异在可预见</w:t>
      </w:r>
      <w:r>
        <w:rPr>
          <w:spacing w:val="-64"/>
        </w:rPr>
        <w:t> </w:t>
      </w:r>
      <w:r>
        <w:rPr>
          <w:spacing w:val="-64"/>
        </w:rPr>
      </w:r>
      <w:r>
        <w:rPr/>
        <w:t>的未来很可能不会转回的，不予确认。</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91" w:firstLine="420"/>
        <w:jc w:val="both"/>
      </w:pPr>
      <w:r>
        <w:rPr/>
        <w:t>递延所得税资产和递延所得税负债根据资产和负债的计税基础与其账面价值的差额</w:t>
      </w:r>
      <w:r>
        <w:rPr>
          <w:rFonts w:ascii="宋体" w:hAnsi="宋体" w:cs="宋体" w:eastAsia="宋体" w:hint="default"/>
        </w:rPr>
        <w:t>(</w:t>
      </w:r>
      <w:r>
        <w:rPr/>
        <w:t>暂时性差异</w:t>
      </w:r>
      <w:r>
        <w:rPr>
          <w:rFonts w:ascii="宋体" w:hAnsi="宋体" w:cs="宋体" w:eastAsia="宋体" w:hint="default"/>
        </w:rPr>
        <w:t>)</w:t>
      </w:r>
      <w:r>
        <w:rPr/>
        <w:t>计算确认。对于按照 </w:t>
      </w:r>
      <w:r>
        <w:rPr>
          <w:spacing w:val="-2"/>
        </w:rPr>
        <w:t>税法规定能够于以后年度抵减应纳税所得额的可抵扣亏损，视同暂时性差异确认相应的递延所得税资产。对于商誉的初始确</w:t>
      </w:r>
      <w:r>
        <w:rPr>
          <w:spacing w:val="-64"/>
        </w:rPr>
        <w:t> </w:t>
      </w:r>
      <w:r>
        <w:rPr>
          <w:spacing w:val="-64"/>
        </w:rPr>
      </w:r>
      <w:r>
        <w:rPr>
          <w:spacing w:val="-2"/>
        </w:rPr>
        <w:t>认产生的暂时性差异，不确认相应的递延所得税负债。对于既不影响会计利润也不影响应纳税所得额</w:t>
      </w:r>
      <w:r>
        <w:rPr>
          <w:rFonts w:ascii="宋体" w:hAnsi="宋体" w:cs="宋体" w:eastAsia="宋体" w:hint="default"/>
          <w:spacing w:val="-2"/>
        </w:rPr>
        <w:t>(</w:t>
      </w:r>
      <w:r>
        <w:rPr>
          <w:spacing w:val="-2"/>
        </w:rPr>
        <w:t>或可抵扣亏损</w:t>
      </w:r>
      <w:r>
        <w:rPr>
          <w:rFonts w:ascii="宋体" w:hAnsi="宋体" w:cs="宋体" w:eastAsia="宋体" w:hint="default"/>
          <w:spacing w:val="-2"/>
        </w:rPr>
        <w:t>)</w:t>
      </w:r>
      <w:r>
        <w:rPr>
          <w:spacing w:val="-2"/>
        </w:rPr>
        <w:t>的非企</w:t>
      </w:r>
      <w:r>
        <w:rPr>
          <w:spacing w:val="-61"/>
        </w:rPr>
        <w:t> </w:t>
      </w:r>
      <w:r>
        <w:rPr>
          <w:spacing w:val="-61"/>
        </w:rPr>
      </w:r>
      <w:r>
        <w:rPr>
          <w:spacing w:val="-2"/>
        </w:rPr>
        <w:t>业合并的交易中产生的资产或负债的初始确认形成的暂时性差异，不确认相应的递延所得税资产和递延所得税负债。在资产</w:t>
      </w:r>
      <w:r>
        <w:rPr>
          <w:spacing w:val="-64"/>
        </w:rPr>
        <w:t> </w:t>
      </w:r>
      <w:r>
        <w:rPr>
          <w:spacing w:val="-64"/>
        </w:rPr>
      </w:r>
      <w:r>
        <w:rPr>
          <w:spacing w:val="-2"/>
        </w:rPr>
        <w:t>负债表日，递延所得税资产和递延所得税负债按照预期收回该资产或清偿该负债期间的适用税率计量。对子公司及联营企业</w:t>
      </w:r>
      <w:r>
        <w:rPr>
          <w:spacing w:val="-64"/>
        </w:rPr>
        <w:t> </w:t>
      </w:r>
      <w:r>
        <w:rPr>
          <w:spacing w:val="-64"/>
        </w:rPr>
      </w:r>
      <w:r>
        <w:rPr>
          <w:spacing w:val="-2"/>
        </w:rPr>
        <w:t>投资相关的暂时性差异产生的递延所得税资产和递延所得税负债，予以确认。但公司能够控制暂时性差异转回的时间且该暂</w:t>
      </w:r>
      <w:r>
        <w:rPr>
          <w:spacing w:val="-63"/>
        </w:rPr>
        <w:t> </w:t>
      </w:r>
      <w:r>
        <w:rPr>
          <w:spacing w:val="-63"/>
        </w:rPr>
      </w:r>
      <w:r>
        <w:rPr/>
        <w:t>时性差异在可预见的未来很可能不会转回的，不予确认。</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94" w:firstLine="420"/>
        <w:jc w:val="left"/>
      </w:pPr>
      <w:r>
        <w:rPr/>
        <w:t>公司将实质上转移了与资产所有权有关的全部风险和报酬的租赁确认为融资租赁，除融资租赁之外的其他租赁确认为 经营租赁。</w:t>
      </w:r>
    </w:p>
    <w:p>
      <w:pPr>
        <w:pStyle w:val="BodyText"/>
        <w:spacing w:line="240" w:lineRule="auto" w:before="54"/>
        <w:ind w:left="573" w:right="94"/>
        <w:jc w:val="left"/>
      </w:pPr>
      <w:r>
        <w:rPr/>
        <w:t>经营租赁的租金在租赁期内的各个期间按直线法计入相关资产成本或当期损益。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94" w:firstLine="420"/>
        <w:jc w:val="left"/>
      </w:pPr>
      <w:r>
        <w:rPr/>
        <w:t>在租赁期开始日，公司将租赁开始日租赁资产公允价值与最低租赁付款额现值中较低者作为租入资产的入账价值，将 最低租赁付款额作为长期应付款的入账价值，其差额作为未确认融资费用。</w:t>
      </w:r>
    </w:p>
    <w:p>
      <w:pPr>
        <w:spacing w:after="0" w:line="477"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0" w:firstLine="420"/>
        <w:jc w:val="left"/>
      </w:pPr>
      <w:r>
        <w:rPr/>
        <w:t>同时满足下列条件的固定资产、无形资产和其他非流动资产划分为持有待售资产：一是公司已经就处置该非流动资产 作出决议；二是公司已经与受让方签订了不可撤销的转让协议；三是该项转让将在一年内完成。</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3"/>
        <w:rPr>
          <w:rFonts w:ascii="宋体" w:hAnsi="宋体" w:cs="宋体" w:eastAsia="宋体" w:hint="default"/>
          <w:b/>
          <w:bCs/>
          <w:sz w:val="32"/>
          <w:szCs w:val="32"/>
        </w:rPr>
      </w:pPr>
    </w:p>
    <w:p>
      <w:pPr>
        <w:pStyle w:val="BodyText"/>
        <w:spacing w:line="477" w:lineRule="auto"/>
        <w:ind w:right="0" w:firstLine="420"/>
        <w:jc w:val="left"/>
      </w:pPr>
      <w:r>
        <w:rPr/>
        <w:t>持有待售资产不计提折旧或进行摊销，按照账面价值与公允价值减去处置费用后的净额孰低进行计量。公允价值减去 处置费用的净额低于原账面价值的金额，作为资产减值损失计入当期损益。</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本报告期主要会计政策、会计估计是否变更</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本报告期主要会计政策是否变更</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pStyle w:val="BodyText"/>
        <w:spacing w:line="340" w:lineRule="auto" w:before="117"/>
        <w:ind w:right="87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无。</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本报告期是否发现采用追溯重述法的前期会计差错</w:t>
      </w:r>
    </w:p>
    <w:p>
      <w:pPr>
        <w:spacing w:after="0" w:line="240" w:lineRule="auto"/>
        <w:jc w:val="left"/>
        <w:sectPr>
          <w:pgSz w:w="11910" w:h="16840"/>
          <w:pgMar w:header="772" w:footer="1006" w:top="1080" w:bottom="1200" w:left="980" w:right="980"/>
        </w:sectPr>
      </w:pPr>
    </w:p>
    <w:p>
      <w:pPr>
        <w:spacing w:line="240" w:lineRule="auto" w:before="9"/>
        <w:rPr>
          <w:rFonts w:ascii="宋体" w:hAnsi="宋体" w:cs="宋体" w:eastAsia="宋体" w:hint="default"/>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本报告期是否发现采用未来适用法的前期会计差错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Heading3"/>
        <w:spacing w:line="600" w:lineRule="atLeast" w:before="33"/>
        <w:ind w:left="575" w:right="4374" w:hanging="423"/>
        <w:jc w:val="left"/>
        <w:rPr>
          <w:b w:val="0"/>
          <w:bCs w:val="0"/>
        </w:rPr>
      </w:pPr>
      <w:r>
        <w:rPr>
          <w:rFonts w:ascii="Times New Roman" w:hAnsi="Times New Roman" w:cs="Times New Roman" w:eastAsia="Times New Roman" w:hint="default"/>
          <w:spacing w:val="-1"/>
        </w:rPr>
        <w:t>34</w:t>
      </w:r>
      <w:r>
        <w:rPr>
          <w:spacing w:val="-1"/>
        </w:rPr>
        <w:t>、其他主要会计政策、会计估计和财务报表编制方法</w:t>
      </w:r>
      <w:r>
        <w:rPr>
          <w:spacing w:val="-82"/>
        </w:rPr>
        <w:t> </w:t>
      </w:r>
      <w:r>
        <w:rPr>
          <w:spacing w:val="-82"/>
        </w:rPr>
      </w:r>
      <w:r>
        <w:rPr/>
        <w:t>职工薪酬</w:t>
      </w:r>
      <w:r>
        <w:rPr>
          <w:b w:val="0"/>
          <w:bCs w:val="0"/>
        </w:rPr>
      </w:r>
    </w:p>
    <w:p>
      <w:pPr>
        <w:pStyle w:val="BodyText"/>
        <w:spacing w:line="477" w:lineRule="auto" w:before="137"/>
        <w:ind w:right="0" w:firstLine="420"/>
        <w:jc w:val="left"/>
      </w:pPr>
      <w:r>
        <w:rPr/>
        <w:t>职工工资、奖金、津贴、补贴、福利费、社会保险、住房公积金等，在职工提供服务的会计期间内确认。对于资产负 债表日后</w:t>
      </w:r>
      <w:r>
        <w:rPr>
          <w:rFonts w:ascii="宋体" w:hAnsi="宋体" w:cs="宋体" w:eastAsia="宋体" w:hint="default"/>
        </w:rPr>
        <w:t>1</w:t>
      </w:r>
      <w:r>
        <w:rPr/>
        <w:t>年以上到期的，如果折现的影响金额重大，则以其现值列示。</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按应缴流转税税额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按应缴流转税税额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按应缴流转税税额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企业所得税（母公司）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企业所得税（东华信通）</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企业所得税（国信天津）</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企业所得税（国信吉林）</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企业所得税（国信成都）</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企业所得税（国信新世纪）</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w:t>
            </w:r>
          </w:p>
        </w:tc>
      </w:tr>
    </w:tbl>
    <w:p>
      <w:pPr>
        <w:pStyle w:val="BodyText"/>
        <w:spacing w:line="240" w:lineRule="auto" w:before="49"/>
        <w:ind w:right="0"/>
        <w:jc w:val="left"/>
      </w:pPr>
      <w:r>
        <w:rPr/>
        <w:t>各分公司、分厂执行的所得税税率</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73" w:right="138"/>
        <w:jc w:val="left"/>
      </w:pPr>
      <w:r>
        <w:rPr>
          <w:rFonts w:ascii="宋体" w:hAnsi="宋体" w:cs="宋体" w:eastAsia="宋体" w:hint="default"/>
        </w:rPr>
        <w:t>1</w:t>
      </w:r>
      <w:r>
        <w:rPr/>
        <w:t>、增值税 </w:t>
      </w:r>
      <w:r>
        <w:rPr>
          <w:spacing w:val="-1"/>
        </w:rPr>
        <w:t>根据《国务院关于印发进一步鼓励软件产业和集成电路产业发展若干政策的通知》（国发</w:t>
      </w:r>
      <w:r>
        <w:rPr>
          <w:rFonts w:ascii="宋体" w:hAnsi="宋体" w:cs="宋体" w:eastAsia="宋体" w:hint="default"/>
          <w:spacing w:val="-1"/>
        </w:rPr>
        <w:t>[2011]4</w:t>
      </w:r>
      <w:r>
        <w:rPr>
          <w:spacing w:val="-1"/>
        </w:rPr>
        <w:t>号）的规定，及财政</w:t>
      </w:r>
    </w:p>
    <w:p>
      <w:pPr>
        <w:pStyle w:val="BodyText"/>
        <w:spacing w:line="477" w:lineRule="auto" w:before="54"/>
        <w:ind w:right="144"/>
        <w:jc w:val="left"/>
      </w:pPr>
      <w:r>
        <w:rPr/>
        <w:t>部、国家税务总局《关于软件产品增值税政策的通知》（财税</w:t>
      </w:r>
      <w:r>
        <w:rPr>
          <w:rFonts w:ascii="宋体" w:hAnsi="宋体" w:cs="宋体" w:eastAsia="宋体" w:hint="default"/>
        </w:rPr>
        <w:t>[2011]100</w:t>
      </w:r>
      <w:r>
        <w:rPr/>
        <w:t>号）的第一条的规定，自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日起，本公司</w:t>
      </w:r>
      <w:r>
        <w:rPr>
          <w:spacing w:val="-86"/>
        </w:rPr>
        <w:t> </w:t>
      </w:r>
      <w:r>
        <w:rPr>
          <w:spacing w:val="-86"/>
        </w:rPr>
      </w:r>
      <w:r>
        <w:rPr/>
        <w:t>自行开发研制的软件产品按</w:t>
      </w:r>
      <w:r>
        <w:rPr>
          <w:rFonts w:ascii="宋体" w:hAnsi="宋体" w:cs="宋体" w:eastAsia="宋体" w:hint="default"/>
        </w:rPr>
        <w:t>17%</w:t>
      </w:r>
      <w:r>
        <w:rPr/>
        <w:t>税率征收增值税后，对其增值税实际税负超过</w:t>
      </w:r>
      <w:r>
        <w:rPr>
          <w:rFonts w:ascii="宋体" w:hAnsi="宋体" w:cs="宋体" w:eastAsia="宋体" w:hint="default"/>
        </w:rPr>
        <w:t>3%</w:t>
      </w:r>
      <w:r>
        <w:rPr/>
        <w:t>的部分实行即征即退政策。</w:t>
      </w:r>
    </w:p>
    <w:p>
      <w:pPr>
        <w:pStyle w:val="BodyText"/>
        <w:spacing w:line="240" w:lineRule="auto" w:before="54"/>
        <w:ind w:left="573" w:right="0"/>
        <w:jc w:val="left"/>
      </w:pPr>
      <w:r>
        <w:rPr>
          <w:rFonts w:ascii="宋体" w:hAnsi="宋体" w:cs="宋体" w:eastAsia="宋体" w:hint="default"/>
        </w:rPr>
        <w:t>2</w:t>
      </w:r>
      <w:r>
        <w:rPr/>
        <w:t>、营业税</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9"/>
          <w:szCs w:val="29"/>
        </w:rPr>
      </w:pPr>
    </w:p>
    <w:p>
      <w:pPr>
        <w:pStyle w:val="BodyText"/>
        <w:spacing w:line="477" w:lineRule="auto" w:before="44"/>
        <w:ind w:right="152" w:firstLine="420"/>
        <w:jc w:val="both"/>
      </w:pPr>
      <w:r>
        <w:rPr/>
        <w:t>根据《财政部、国家税务总局关于贯彻落实</w:t>
      </w:r>
      <w:r>
        <w:rPr>
          <w:rFonts w:ascii="宋体" w:hAnsi="宋体" w:cs="宋体" w:eastAsia="宋体" w:hint="default"/>
        </w:rPr>
        <w:t>&lt;</w:t>
      </w:r>
      <w:r>
        <w:rPr/>
        <w:t>中共中央国务院关于加强技术创新，发展高科技，实现产业化的决定</w:t>
      </w:r>
      <w:r>
        <w:rPr>
          <w:rFonts w:ascii="宋体" w:hAnsi="宋体" w:cs="宋体" w:eastAsia="宋体" w:hint="default"/>
        </w:rPr>
        <w:t>&gt;</w:t>
      </w:r>
      <w:r>
        <w:rPr/>
        <w:t>有 关税收问题的通知》（财税字［</w:t>
      </w:r>
      <w:r>
        <w:rPr>
          <w:rFonts w:ascii="宋体" w:hAnsi="宋体" w:cs="宋体" w:eastAsia="宋体" w:hint="default"/>
        </w:rPr>
        <w:t>1999</w:t>
      </w:r>
      <w:r>
        <w:rPr/>
        <w:t>］</w:t>
      </w:r>
      <w:r>
        <w:rPr>
          <w:rFonts w:ascii="宋体" w:hAnsi="宋体" w:cs="宋体" w:eastAsia="宋体" w:hint="default"/>
        </w:rPr>
        <w:t>273</w:t>
      </w:r>
      <w:r>
        <w:rPr/>
        <w:t>号）规定，本公司技术转让收入、技术开发收入符合相关条件的报经当地税务机</w:t>
      </w:r>
      <w:r>
        <w:rPr>
          <w:spacing w:val="-85"/>
        </w:rPr>
        <w:t> </w:t>
      </w:r>
      <w:r>
        <w:rPr>
          <w:spacing w:val="-85"/>
        </w:rPr>
      </w:r>
      <w:r>
        <w:rPr/>
        <w:t>关批复后可减免相应的营业税。</w:t>
      </w:r>
    </w:p>
    <w:p>
      <w:pPr>
        <w:pStyle w:val="BodyText"/>
        <w:spacing w:line="477" w:lineRule="auto" w:before="54"/>
        <w:ind w:right="149" w:firstLine="420"/>
        <w:jc w:val="both"/>
      </w:pPr>
      <w:r>
        <w:rPr>
          <w:spacing w:val="-5"/>
        </w:rPr>
        <w:t>根据《财政部、国家税务总局关于在北京等</w:t>
      </w:r>
      <w:r>
        <w:rPr>
          <w:rFonts w:ascii="宋体" w:hAnsi="宋体" w:cs="宋体" w:eastAsia="宋体" w:hint="default"/>
          <w:spacing w:val="-5"/>
        </w:rPr>
        <w:t>8</w:t>
      </w:r>
      <w:r>
        <w:rPr>
          <w:spacing w:val="-5"/>
        </w:rPr>
        <w:t>省市开展交通运输业和部分现代服务业营业税改征增值税试点的通知》（财</w:t>
      </w:r>
      <w:r>
        <w:rPr/>
        <w:t> </w:t>
      </w:r>
      <w:r>
        <w:rPr>
          <w:spacing w:val="-2"/>
        </w:rPr>
        <w:t>税字</w:t>
      </w:r>
      <w:r>
        <w:rPr>
          <w:rFonts w:ascii="宋体" w:hAnsi="宋体" w:cs="宋体" w:eastAsia="宋体" w:hint="default"/>
          <w:spacing w:val="-2"/>
        </w:rPr>
        <w:t>[2012]71</w:t>
      </w:r>
      <w:r>
        <w:rPr>
          <w:spacing w:val="-2"/>
        </w:rPr>
        <w:t>号）规定，自</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w:t>
      </w:r>
      <w:r>
        <w:rPr>
          <w:spacing w:val="-2"/>
        </w:rPr>
        <w:t>日起，本公司研发和技术服务收入、信息技术服务收入等由缴纳营业税改为缴纳增值</w:t>
      </w:r>
      <w:r>
        <w:rPr>
          <w:spacing w:val="-58"/>
        </w:rPr>
        <w:t> </w:t>
      </w:r>
      <w:r>
        <w:rPr>
          <w:spacing w:val="-58"/>
        </w:rPr>
      </w:r>
      <w:r>
        <w:rPr/>
        <w:t>税，适用税率为</w:t>
      </w:r>
      <w:r>
        <w:rPr>
          <w:rFonts w:ascii="宋体" w:hAnsi="宋体" w:cs="宋体" w:eastAsia="宋体" w:hint="default"/>
        </w:rPr>
        <w:t>6%</w:t>
      </w:r>
      <w:r>
        <w:rPr/>
        <w:t>，原享受的技术转让收入、技术开发收入等营业税减免税政策，调整为增值税减免税。</w:t>
      </w:r>
    </w:p>
    <w:p>
      <w:pPr>
        <w:pStyle w:val="BodyText"/>
        <w:spacing w:line="240" w:lineRule="auto" w:before="54"/>
        <w:ind w:left="573" w:right="0"/>
        <w:jc w:val="left"/>
      </w:pPr>
      <w:r>
        <w:rPr>
          <w:rFonts w:ascii="宋体" w:hAnsi="宋体" w:cs="宋体" w:eastAsia="宋体" w:hint="default"/>
        </w:rPr>
        <w:t>3</w:t>
      </w:r>
      <w:r>
        <w:rPr/>
        <w:t>、企业所得税</w:t>
      </w:r>
    </w:p>
    <w:p>
      <w:pPr>
        <w:spacing w:line="240" w:lineRule="auto" w:before="10"/>
        <w:rPr>
          <w:rFonts w:ascii="宋体" w:hAnsi="宋体" w:cs="宋体" w:eastAsia="宋体" w:hint="default"/>
          <w:sz w:val="17"/>
          <w:szCs w:val="17"/>
        </w:rPr>
      </w:pPr>
    </w:p>
    <w:p>
      <w:pPr>
        <w:pStyle w:val="BodyText"/>
        <w:spacing w:line="477" w:lineRule="auto"/>
        <w:ind w:right="148" w:firstLine="420"/>
        <w:jc w:val="both"/>
      </w:pPr>
      <w:r>
        <w:rPr>
          <w:spacing w:val="-1"/>
        </w:rPr>
        <w:t>（</w:t>
      </w:r>
      <w:r>
        <w:rPr>
          <w:rFonts w:ascii="宋体" w:hAnsi="宋体" w:cs="宋体" w:eastAsia="宋体" w:hint="default"/>
          <w:spacing w:val="-1"/>
        </w:rPr>
        <w:t>1</w:t>
      </w:r>
      <w:r>
        <w:rPr>
          <w:spacing w:val="-1"/>
        </w:rPr>
        <w:t>）根据北京市科学技术委员会、北京市财政局、北京市国家税务局、北京市地方税务局《关于公示北京市</w:t>
      </w:r>
      <w:r>
        <w:rPr>
          <w:rFonts w:ascii="宋体" w:hAnsi="宋体" w:cs="宋体" w:eastAsia="宋体" w:hint="default"/>
          <w:spacing w:val="-1"/>
        </w:rPr>
        <w:t>2011</w:t>
      </w:r>
      <w:r>
        <w:rPr>
          <w:spacing w:val="-1"/>
        </w:rPr>
        <w:t>年度</w:t>
      </w:r>
      <w:r>
        <w:rPr/>
        <w:t> </w:t>
      </w:r>
      <w:r>
        <w:rPr>
          <w:spacing w:val="16"/>
        </w:rPr>
        <w:t>第三批拟认定高新技术企业名单的通知》，</w:t>
      </w:r>
      <w:r>
        <w:rPr>
          <w:spacing w:val="-72"/>
        </w:rPr>
        <w:t> </w:t>
      </w:r>
      <w:r>
        <w:rPr>
          <w:spacing w:val="11"/>
        </w:rPr>
        <w:t>本公司</w:t>
      </w:r>
      <w:r>
        <w:rPr>
          <w:spacing w:val="-66"/>
        </w:rPr>
        <w:t> </w:t>
      </w:r>
      <w:r>
        <w:rPr>
          <w:rFonts w:ascii="宋体" w:hAnsi="宋体" w:cs="宋体" w:eastAsia="宋体" w:hint="default"/>
        </w:rPr>
        <w:t>2011</w:t>
      </w:r>
      <w:r>
        <w:rPr>
          <w:rFonts w:ascii="宋体" w:hAnsi="宋体" w:cs="宋体" w:eastAsia="宋体" w:hint="default"/>
          <w:spacing w:val="-70"/>
        </w:rPr>
        <w:t> </w:t>
      </w:r>
      <w:r>
        <w:rPr>
          <w:spacing w:val="15"/>
        </w:rPr>
        <w:t>年继续被认定为高新技术企业，</w:t>
      </w:r>
      <w:r>
        <w:rPr>
          <w:spacing w:val="-72"/>
        </w:rPr>
        <w:t> </w:t>
      </w:r>
      <w:r>
        <w:rPr/>
        <w:t>原</w:t>
      </w:r>
      <w:r>
        <w:rPr>
          <w:spacing w:val="-67"/>
        </w:rPr>
        <w:t> </w:t>
      </w:r>
      <w:r>
        <w:rPr>
          <w:rFonts w:ascii="宋体" w:hAnsi="宋体" w:cs="宋体" w:eastAsia="宋体" w:hint="default"/>
        </w:rPr>
        <w:t>2008</w:t>
      </w:r>
      <w:r>
        <w:rPr>
          <w:rFonts w:ascii="宋体" w:hAnsi="宋体" w:cs="宋体" w:eastAsia="宋体" w:hint="default"/>
          <w:spacing w:val="-70"/>
        </w:rPr>
        <w:t> </w:t>
      </w:r>
      <w:r>
        <w:rPr/>
        <w:t>年</w:t>
      </w:r>
      <w:r>
        <w:rPr>
          <w:spacing w:val="-72"/>
        </w:rPr>
        <w:t> </w:t>
      </w:r>
      <w:r>
        <w:rPr>
          <w:rFonts w:ascii="宋体" w:hAnsi="宋体" w:cs="宋体" w:eastAsia="宋体" w:hint="default"/>
        </w:rPr>
        <w:t>12</w:t>
      </w:r>
      <w:r>
        <w:rPr>
          <w:rFonts w:ascii="宋体" w:hAnsi="宋体" w:cs="宋体" w:eastAsia="宋体" w:hint="default"/>
          <w:spacing w:val="-70"/>
        </w:rPr>
        <w:t> </w:t>
      </w:r>
      <w:r>
        <w:rPr/>
        <w:t>月</w:t>
      </w:r>
      <w:r>
        <w:rPr>
          <w:spacing w:val="-72"/>
        </w:rPr>
        <w:t> </w:t>
      </w:r>
      <w:r>
        <w:rPr>
          <w:rFonts w:ascii="宋体" w:hAnsi="宋体" w:cs="宋体" w:eastAsia="宋体" w:hint="default"/>
        </w:rPr>
        <w:t>18</w:t>
      </w:r>
      <w:r>
        <w:rPr>
          <w:rFonts w:ascii="宋体" w:hAnsi="宋体" w:cs="宋体" w:eastAsia="宋体" w:hint="default"/>
          <w:spacing w:val="-70"/>
        </w:rPr>
        <w:t> </w:t>
      </w:r>
      <w:r>
        <w:rPr>
          <w:spacing w:val="12"/>
        </w:rPr>
        <w:t>日取得的</w:t>
      </w:r>
      <w:r>
        <w:rPr>
          <w:spacing w:val="-86"/>
        </w:rPr>
        <w:t> </w:t>
      </w:r>
      <w:r>
        <w:rPr>
          <w:spacing w:val="-86"/>
        </w:rPr>
      </w:r>
      <w:r>
        <w:rPr>
          <w:rFonts w:ascii="宋体" w:hAnsi="宋体" w:cs="宋体" w:eastAsia="宋体" w:hint="default"/>
          <w:spacing w:val="-6"/>
        </w:rPr>
        <w:t>GR200811000084</w:t>
      </w:r>
      <w:r>
        <w:rPr>
          <w:spacing w:val="-6"/>
        </w:rPr>
        <w:t>号《高新技术企业证书》，有效期为</w:t>
      </w:r>
      <w:r>
        <w:rPr>
          <w:rFonts w:ascii="宋体" w:hAnsi="宋体" w:cs="宋体" w:eastAsia="宋体" w:hint="default"/>
          <w:spacing w:val="-6"/>
        </w:rPr>
        <w:t>3</w:t>
      </w:r>
      <w:r>
        <w:rPr>
          <w:spacing w:val="-6"/>
        </w:rPr>
        <w:t>年，</w:t>
      </w:r>
      <w:r>
        <w:rPr>
          <w:rFonts w:ascii="宋体" w:hAnsi="宋体" w:cs="宋体" w:eastAsia="宋体" w:hint="default"/>
          <w:spacing w:val="-6"/>
        </w:rPr>
        <w:t>2011</w:t>
      </w:r>
      <w:r>
        <w:rPr>
          <w:spacing w:val="-6"/>
        </w:rPr>
        <w:t>年新换发的《高新技术企业证书》证书编号为：</w:t>
      </w:r>
      <w:r>
        <w:rPr>
          <w:rFonts w:ascii="宋体" w:hAnsi="宋体" w:cs="宋体" w:eastAsia="宋体" w:hint="default"/>
          <w:spacing w:val="-6"/>
        </w:rPr>
        <w:t>GF201111000835</w:t>
      </w:r>
      <w:r>
        <w:rPr>
          <w:rFonts w:ascii="宋体" w:hAnsi="宋体" w:cs="宋体" w:eastAsia="宋体" w:hint="default"/>
          <w:spacing w:val="-26"/>
        </w:rPr>
        <w:t> </w:t>
      </w:r>
      <w:r>
        <w:rPr>
          <w:rFonts w:ascii="宋体" w:hAnsi="宋体" w:cs="宋体" w:eastAsia="宋体" w:hint="default"/>
          <w:spacing w:val="-26"/>
        </w:rPr>
      </w:r>
      <w:r>
        <w:rPr>
          <w:spacing w:val="-2"/>
        </w:rPr>
        <w:t>号，有效期</w:t>
      </w:r>
      <w:r>
        <w:rPr>
          <w:rFonts w:ascii="宋体" w:hAnsi="宋体" w:cs="宋体" w:eastAsia="宋体" w:hint="default"/>
          <w:spacing w:val="-2"/>
        </w:rPr>
        <w:t>3</w:t>
      </w:r>
      <w:r>
        <w:rPr>
          <w:spacing w:val="-2"/>
        </w:rPr>
        <w:t>年。根据《中华人民共和国企业所得税法》（</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16</w:t>
      </w:r>
      <w:r>
        <w:rPr>
          <w:spacing w:val="-2"/>
        </w:rPr>
        <w:t>日第十届全国人民代表大会第五次会议通过）、《中</w:t>
      </w:r>
      <w:r>
        <w:rPr>
          <w:spacing w:val="-64"/>
        </w:rPr>
        <w:t> </w:t>
      </w:r>
      <w:r>
        <w:rPr>
          <w:spacing w:val="-64"/>
        </w:rPr>
      </w:r>
      <w:r>
        <w:rPr>
          <w:spacing w:val="4"/>
        </w:rPr>
        <w:t>华人民共和国企业所得税法实施条例》、国家税务总局《关于实施高新技术企业所得税优惠有关问题的通知》（国税函</w:t>
      </w:r>
      <w:r>
        <w:rPr>
          <w:spacing w:val="-53"/>
        </w:rPr>
        <w:t> </w:t>
      </w:r>
      <w:r>
        <w:rPr>
          <w:spacing w:val="-53"/>
        </w:rPr>
      </w:r>
      <w:r>
        <w:rPr>
          <w:rFonts w:ascii="宋体" w:hAnsi="宋体" w:cs="宋体" w:eastAsia="宋体" w:hint="default"/>
          <w:spacing w:val="-2"/>
        </w:rPr>
        <w:t>[2009]203</w:t>
      </w:r>
      <w:r>
        <w:rPr>
          <w:spacing w:val="-2"/>
        </w:rPr>
        <w:t>号）规定及北京市朝阳区地方税务局酒仙桥税务所批复的企业所得税税收优惠申请，公司</w:t>
      </w:r>
      <w:r>
        <w:rPr>
          <w:rFonts w:ascii="宋体" w:hAnsi="宋体" w:cs="宋体" w:eastAsia="宋体" w:hint="default"/>
          <w:spacing w:val="-2"/>
        </w:rPr>
        <w:t>2012</w:t>
      </w:r>
      <w:r>
        <w:rPr>
          <w:spacing w:val="-2"/>
        </w:rPr>
        <w:t>年按</w:t>
      </w:r>
      <w:r>
        <w:rPr>
          <w:rFonts w:ascii="宋体" w:hAnsi="宋体" w:cs="宋体" w:eastAsia="宋体" w:hint="default"/>
          <w:spacing w:val="-2"/>
        </w:rPr>
        <w:t>15%</w:t>
      </w:r>
      <w:r>
        <w:rPr>
          <w:spacing w:val="-2"/>
        </w:rPr>
        <w:t>的税率计缴</w:t>
      </w:r>
      <w:r>
        <w:rPr>
          <w:spacing w:val="-57"/>
        </w:rPr>
        <w:t> </w:t>
      </w:r>
      <w:r>
        <w:rPr>
          <w:spacing w:val="-57"/>
        </w:rPr>
      </w:r>
      <w:r>
        <w:rPr/>
        <w:t>企业所得税。</w:t>
      </w:r>
    </w:p>
    <w:p>
      <w:pPr>
        <w:pStyle w:val="BodyText"/>
        <w:spacing w:line="477" w:lineRule="auto" w:before="54"/>
        <w:ind w:right="148" w:firstLine="420"/>
        <w:jc w:val="both"/>
      </w:pPr>
      <w:r>
        <w:rPr>
          <w:spacing w:val="-1"/>
        </w:rPr>
        <w:t>（</w:t>
      </w:r>
      <w:r>
        <w:rPr>
          <w:rFonts w:ascii="宋体" w:hAnsi="宋体" w:cs="宋体" w:eastAsia="宋体" w:hint="default"/>
          <w:spacing w:val="-1"/>
        </w:rPr>
        <w:t>2</w:t>
      </w:r>
      <w:r>
        <w:rPr>
          <w:spacing w:val="-1"/>
        </w:rPr>
        <w:t>）本公司的子公司北京东华信通信息技术有限公司为新办软件生产企业，于</w:t>
      </w:r>
      <w:r>
        <w:rPr>
          <w:rFonts w:ascii="宋体" w:hAnsi="宋体" w:cs="宋体" w:eastAsia="宋体" w:hint="default"/>
          <w:spacing w:val="-1"/>
        </w:rPr>
        <w:t>2008</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2</w:t>
      </w:r>
      <w:r>
        <w:rPr>
          <w:spacing w:val="-1"/>
        </w:rPr>
        <w:t>日取得北京市科学技术委员</w:t>
      </w:r>
      <w:r>
        <w:rPr/>
        <w:t> 会颁发的软件企业认定证书，证书编号：京</w:t>
      </w:r>
      <w:r>
        <w:rPr>
          <w:rFonts w:ascii="宋体" w:hAnsi="宋体" w:cs="宋体" w:eastAsia="宋体" w:hint="default"/>
        </w:rPr>
        <w:t>R-2008-0509</w:t>
      </w:r>
      <w:r>
        <w:rPr/>
        <w:t>。依据《北京市财政局北京市国家税务局北京市地方税务局转发财</w:t>
      </w:r>
      <w:r>
        <w:rPr>
          <w:spacing w:val="-87"/>
        </w:rPr>
        <w:t> </w:t>
      </w:r>
      <w:r>
        <w:rPr>
          <w:spacing w:val="-87"/>
        </w:rPr>
      </w:r>
      <w:r>
        <w:rPr/>
        <w:t>政部国家税务总局关于企业所得税若干优惠政策的通知》</w:t>
      </w:r>
      <w:r>
        <w:rPr>
          <w:rFonts w:ascii="宋体" w:hAnsi="宋体" w:cs="宋体" w:eastAsia="宋体" w:hint="default"/>
        </w:rPr>
        <w:t>[</w:t>
      </w:r>
      <w:r>
        <w:rPr/>
        <w:t>京财税</w:t>
      </w:r>
      <w:r>
        <w:rPr>
          <w:rFonts w:ascii="宋体" w:hAnsi="宋体" w:cs="宋体" w:eastAsia="宋体" w:hint="default"/>
        </w:rPr>
        <w:t>[2008]357</w:t>
      </w:r>
      <w:r>
        <w:rPr/>
        <w:t>号</w:t>
      </w:r>
      <w:r>
        <w:rPr>
          <w:rFonts w:ascii="宋体" w:hAnsi="宋体" w:cs="宋体" w:eastAsia="宋体" w:hint="default"/>
        </w:rPr>
        <w:t>]</w:t>
      </w:r>
      <w:r>
        <w:rPr/>
        <w:t>第一条第二款的规定，北京东华信通信息技</w:t>
      </w:r>
      <w:r>
        <w:rPr>
          <w:spacing w:val="-84"/>
        </w:rPr>
        <w:t> </w:t>
      </w:r>
      <w:r>
        <w:rPr>
          <w:spacing w:val="-84"/>
        </w:rPr>
      </w:r>
      <w:r>
        <w:rPr>
          <w:spacing w:val="-2"/>
        </w:rPr>
        <w:t>术有限公司自获利年度（即</w:t>
      </w:r>
      <w:r>
        <w:rPr>
          <w:rFonts w:ascii="宋体" w:hAnsi="宋体" w:cs="宋体" w:eastAsia="宋体" w:hint="default"/>
          <w:spacing w:val="-2"/>
        </w:rPr>
        <w:t>2009</w:t>
      </w:r>
      <w:r>
        <w:rPr>
          <w:spacing w:val="-2"/>
        </w:rPr>
        <w:t>年度）起，第一年和第二年免征企业所得税，第三年至第五年减半征收企业所得税。根据北</w:t>
      </w:r>
      <w:r>
        <w:rPr>
          <w:spacing w:val="-62"/>
        </w:rPr>
        <w:t> </w:t>
      </w:r>
      <w:r>
        <w:rPr>
          <w:spacing w:val="-62"/>
        </w:rPr>
      </w:r>
      <w:r>
        <w:rPr>
          <w:spacing w:val="-2"/>
        </w:rPr>
        <w:t>京市科学技术委员会、北京市财政局、北京市国家税务局、北京市地方税务局《关于公示北京市</w:t>
      </w:r>
      <w:r>
        <w:rPr>
          <w:rFonts w:ascii="宋体" w:hAnsi="宋体" w:cs="宋体" w:eastAsia="宋体" w:hint="default"/>
          <w:spacing w:val="-2"/>
        </w:rPr>
        <w:t>2011</w:t>
      </w:r>
      <w:r>
        <w:rPr>
          <w:spacing w:val="-2"/>
        </w:rPr>
        <w:t>年度第三批拟认定高新</w:t>
      </w:r>
      <w:r>
        <w:rPr>
          <w:spacing w:val="-60"/>
        </w:rPr>
        <w:t> </w:t>
      </w:r>
      <w:r>
        <w:rPr>
          <w:spacing w:val="-60"/>
        </w:rPr>
      </w:r>
      <w:r>
        <w:rPr>
          <w:spacing w:val="-5"/>
        </w:rPr>
        <w:t>技术企业名单的通知》，本公司</w:t>
      </w:r>
      <w:r>
        <w:rPr>
          <w:rFonts w:ascii="宋体" w:hAnsi="宋体" w:cs="宋体" w:eastAsia="宋体" w:hint="default"/>
          <w:spacing w:val="-5"/>
        </w:rPr>
        <w:t>2011</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21</w:t>
      </w:r>
      <w:r>
        <w:rPr>
          <w:spacing w:val="-5"/>
        </w:rPr>
        <w:t>日被认定为高新技术企业，《高新技术企业证书》证书编号为：</w:t>
      </w:r>
      <w:r>
        <w:rPr>
          <w:rFonts w:ascii="宋体" w:hAnsi="宋体" w:cs="宋体" w:eastAsia="宋体" w:hint="default"/>
          <w:spacing w:val="-5"/>
        </w:rPr>
        <w:t>GR201111000737</w:t>
      </w:r>
      <w:r>
        <w:rPr>
          <w:rFonts w:ascii="宋体" w:hAnsi="宋体" w:cs="宋体" w:eastAsia="宋体" w:hint="default"/>
          <w:spacing w:val="-30"/>
        </w:rPr>
        <w:t> </w:t>
      </w:r>
      <w:r>
        <w:rPr>
          <w:rFonts w:ascii="宋体" w:hAnsi="宋体" w:cs="宋体" w:eastAsia="宋体" w:hint="default"/>
          <w:spacing w:val="-30"/>
        </w:rPr>
      </w:r>
      <w:r>
        <w:rPr/>
        <w:t>号，有效期</w:t>
      </w:r>
      <w:r>
        <w:rPr>
          <w:rFonts w:ascii="宋体" w:hAnsi="宋体" w:cs="宋体" w:eastAsia="宋体" w:hint="default"/>
        </w:rPr>
        <w:t>3</w:t>
      </w:r>
      <w:r>
        <w:rPr/>
        <w:t>年。本期按照软件企业减半征收第二年执行</w:t>
      </w:r>
      <w:r>
        <w:rPr>
          <w:rFonts w:ascii="宋体" w:hAnsi="宋体" w:cs="宋体" w:eastAsia="宋体" w:hint="default"/>
        </w:rPr>
        <w:t>12.5%</w:t>
      </w:r>
      <w:r>
        <w:rPr/>
        <w:t>的税率计缴企业所得税。</w:t>
      </w:r>
    </w:p>
    <w:p>
      <w:pPr>
        <w:pStyle w:val="BodyText"/>
        <w:spacing w:line="477" w:lineRule="auto" w:before="54"/>
        <w:ind w:right="151" w:firstLine="420"/>
        <w:jc w:val="both"/>
      </w:pPr>
      <w:r>
        <w:rPr>
          <w:spacing w:val="-2"/>
        </w:rPr>
        <w:t>（</w:t>
      </w:r>
      <w:r>
        <w:rPr>
          <w:rFonts w:ascii="宋体" w:hAnsi="宋体" w:cs="宋体" w:eastAsia="宋体" w:hint="default"/>
          <w:spacing w:val="-2"/>
        </w:rPr>
        <w:t>3</w:t>
      </w:r>
      <w:r>
        <w:rPr>
          <w:spacing w:val="-2"/>
        </w:rPr>
        <w:t>）本公司的子公司东方国信（天津）科技有限公司取得天津市科学技术委员会、天津市财政厅、天津市国家税务局</w:t>
      </w:r>
      <w:r>
        <w:rPr/>
        <w:t> </w:t>
      </w:r>
      <w:r>
        <w:rPr>
          <w:spacing w:val="-2"/>
        </w:rPr>
        <w:t>和天津市地方税务局联合下发的《高新技术企业证书》，证书编号：</w:t>
      </w:r>
      <w:r>
        <w:rPr>
          <w:rFonts w:ascii="宋体" w:hAnsi="宋体" w:cs="宋体" w:eastAsia="宋体" w:hint="default"/>
          <w:spacing w:val="-2"/>
        </w:rPr>
        <w:t>GR201212000189</w:t>
      </w:r>
      <w:r>
        <w:rPr>
          <w:spacing w:val="-2"/>
        </w:rPr>
        <w:t>，发证日期：</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8</w:t>
      </w:r>
      <w:r>
        <w:rPr>
          <w:spacing w:val="-2"/>
        </w:rPr>
        <w:t>日，有效期</w:t>
      </w:r>
      <w:r>
        <w:rPr>
          <w:rFonts w:ascii="宋体" w:hAnsi="宋体" w:cs="宋体" w:eastAsia="宋体" w:hint="default"/>
          <w:spacing w:val="-2"/>
        </w:rPr>
        <w:t>3</w:t>
      </w:r>
      <w:r>
        <w:rPr>
          <w:rFonts w:ascii="宋体" w:hAnsi="宋体" w:cs="宋体" w:eastAsia="宋体" w:hint="default"/>
          <w:spacing w:val="-55"/>
        </w:rPr>
        <w:t> </w:t>
      </w:r>
      <w:r>
        <w:rPr/>
        <w:t>年。根据《中华人民共和国企业所得税法》、《中华人民共和国企业所得税法实施条例》等规定</w:t>
      </w:r>
      <w:r>
        <w:rPr>
          <w:rFonts w:ascii="宋体" w:hAnsi="宋体" w:cs="宋体" w:eastAsia="宋体" w:hint="default"/>
        </w:rPr>
        <w:t>,</w:t>
      </w:r>
      <w:r>
        <w:rPr/>
        <w:t>认定合格的高新技术企业</w:t>
      </w:r>
      <w:r>
        <w:rPr>
          <w:spacing w:val="-82"/>
        </w:rPr>
        <w:t> </w:t>
      </w:r>
      <w:r>
        <w:rPr/>
        <w:t>自认定当年起三年内，减按</w:t>
      </w:r>
      <w:r>
        <w:rPr>
          <w:rFonts w:ascii="宋体" w:hAnsi="宋体" w:cs="宋体" w:eastAsia="宋体" w:hint="default"/>
        </w:rPr>
        <w:t>15%</w:t>
      </w:r>
      <w:r>
        <w:rPr/>
        <w:t>的税率征收企业所得税。国信天津</w:t>
      </w:r>
      <w:r>
        <w:rPr>
          <w:rFonts w:ascii="宋体" w:hAnsi="宋体" w:cs="宋体" w:eastAsia="宋体" w:hint="default"/>
        </w:rPr>
        <w:t>2012</w:t>
      </w:r>
      <w:r>
        <w:rPr/>
        <w:t>年按</w:t>
      </w:r>
      <w:r>
        <w:rPr>
          <w:rFonts w:ascii="宋体" w:hAnsi="宋体" w:cs="宋体" w:eastAsia="宋体" w:hint="default"/>
        </w:rPr>
        <w:t>15%</w:t>
      </w:r>
      <w:r>
        <w:rPr/>
        <w:t>的税率计缴企业所得税。</w:t>
      </w:r>
    </w:p>
    <w:p>
      <w:pPr>
        <w:spacing w:after="0" w:line="477" w:lineRule="auto"/>
        <w:jc w:val="both"/>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spacing w:line="487" w:lineRule="auto" w:before="36"/>
        <w:ind w:left="152" w:right="66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BodyText"/>
        <w:spacing w:line="477" w:lineRule="auto" w:before="184"/>
        <w:ind w:right="153" w:firstLine="420"/>
        <w:jc w:val="both"/>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日，公司通过收购取得和投资新设共拥有</w:t>
      </w:r>
      <w:r>
        <w:rPr>
          <w:rFonts w:ascii="宋体" w:hAnsi="宋体" w:cs="宋体" w:eastAsia="宋体" w:hint="default"/>
        </w:rPr>
        <w:t>5</w:t>
      </w:r>
      <w:r>
        <w:rPr/>
        <w:t>家全资子公司和</w:t>
      </w:r>
      <w:r>
        <w:rPr>
          <w:rFonts w:ascii="宋体" w:hAnsi="宋体" w:cs="宋体" w:eastAsia="宋体" w:hint="default"/>
        </w:rPr>
        <w:t>1</w:t>
      </w:r>
      <w:r>
        <w:rPr/>
        <w:t>家孙公司，分别为北京东华信通信息技 </w:t>
      </w:r>
      <w:r>
        <w:rPr>
          <w:spacing w:val="-2"/>
        </w:rPr>
        <w:t>术有限公司、东方国信（天津）技术有限公司、吉林省东方国信科技有限公司、成都东方国信科技有限公司、北京国信新世</w:t>
      </w:r>
      <w:r>
        <w:rPr>
          <w:spacing w:val="-68"/>
        </w:rPr>
        <w:t> </w:t>
      </w:r>
      <w:r>
        <w:rPr>
          <w:spacing w:val="-68"/>
        </w:rPr>
      </w:r>
      <w:r>
        <w:rPr/>
        <w:t>纪科技有限公司和天津通冠科技有限公司。</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977"/>
        <w:gridCol w:w="708"/>
        <w:gridCol w:w="711"/>
        <w:gridCol w:w="566"/>
        <w:gridCol w:w="852"/>
        <w:gridCol w:w="567"/>
        <w:gridCol w:w="566"/>
        <w:gridCol w:w="516"/>
        <w:gridCol w:w="673"/>
      </w:tblGrid>
      <w:tr>
        <w:trPr>
          <w:trHeight w:val="570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79" w:right="77"/>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79" w:right="79"/>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38" w:lineRule="auto"/>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96" w:right="60"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98" w:right="98"/>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98" w:right="96"/>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74" w:right="71"/>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3483"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东方国 信（天 津）科 技有限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3" w:right="106"/>
              <w:jc w:val="both"/>
              <w:rPr>
                <w:rFonts w:ascii="宋体" w:hAnsi="宋体" w:cs="宋体" w:eastAsia="宋体" w:hint="default"/>
                <w:sz w:val="18"/>
                <w:szCs w:val="18"/>
              </w:rPr>
            </w:pPr>
            <w:r>
              <w:rPr>
                <w:rFonts w:ascii="宋体" w:hAnsi="宋体" w:cs="宋体" w:eastAsia="宋体" w:hint="default"/>
                <w:sz w:val="18"/>
                <w:szCs w:val="18"/>
              </w:rPr>
              <w:t>计算机 软件服 务与开 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计算机硬 件、机电一 体化产品、 计算机系统 集成的技术 开发、技术 咨询、技术 服务、技术 培训及产品 销售；设备 租赁；企业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100%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0.00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52.653pt;margin-top:184.22998pt;width:59.05pt;height:249.65pt;mso-position-horizontal-relative:page;mso-position-vertical-relative:page;z-index:-875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pStyle w:val="BodyText"/>
                    <w:spacing w:line="240" w:lineRule="auto"/>
                    <w:ind w:left="0" w:right="0"/>
                    <w:jc w:val="left"/>
                  </w:pPr>
                  <w:r>
                    <w:rPr/>
                    <w:t>代理、</w:t>
                  </w:r>
                </w:p>
              </w:txbxContent>
            </v:textbox>
            <w10:wrap type="none"/>
          </v:shape>
        </w:pict>
      </w:r>
      <w:r>
        <w:rPr/>
        <w:pict>
          <v:shape style="position:absolute;margin-left:243.653pt;margin-top:469.039978pt;width:68.05pt;height:249.65pt;mso-position-horizontal-relative:page;mso-position-vertical-relative:page;z-index:-8757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5"/>
                      <w:szCs w:val="25"/>
                    </w:rPr>
                  </w:pPr>
                </w:p>
                <w:p>
                  <w:pPr>
                    <w:pStyle w:val="BodyText"/>
                    <w:spacing w:line="240" w:lineRule="auto"/>
                    <w:ind w:left="0" w:right="0"/>
                    <w:jc w:val="left"/>
                  </w:pPr>
                  <w:r>
                    <w:rPr/>
                    <w:t>通信卡、</w:t>
                  </w:r>
                </w:p>
              </w:txbxContent>
            </v:textbox>
            <w10:wrap type="none"/>
          </v:shape>
        </w:pict>
      </w: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977"/>
        <w:gridCol w:w="708"/>
        <w:gridCol w:w="711"/>
        <w:gridCol w:w="566"/>
        <w:gridCol w:w="852"/>
        <w:gridCol w:w="567"/>
        <w:gridCol w:w="566"/>
        <w:gridCol w:w="516"/>
        <w:gridCol w:w="684"/>
      </w:tblGrid>
      <w:tr>
        <w:trPr>
          <w:trHeight w:val="2235"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1"/>
              <w:jc w:val="both"/>
              <w:rPr>
                <w:rFonts w:ascii="宋体" w:hAnsi="宋体" w:cs="宋体" w:eastAsia="宋体" w:hint="default"/>
                <w:sz w:val="18"/>
                <w:szCs w:val="18"/>
              </w:rPr>
            </w:pPr>
            <w:r>
              <w:rPr>
                <w:rFonts w:ascii="宋体" w:hAnsi="宋体" w:cs="宋体" w:eastAsia="宋体" w:hint="default"/>
                <w:sz w:val="18"/>
                <w:szCs w:val="18"/>
              </w:rPr>
              <w:t>策划、咨询 服务；电子 产品、通讯 产品及其零 部件、家用 电器批发兼 零售。</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69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吉林省 东方国 信科技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9" w:lineRule="auto"/>
              <w:ind w:left="23" w:right="106"/>
              <w:jc w:val="both"/>
              <w:rPr>
                <w:rFonts w:ascii="宋体" w:hAnsi="宋体" w:cs="宋体" w:eastAsia="宋体" w:hint="default"/>
                <w:sz w:val="18"/>
                <w:szCs w:val="18"/>
              </w:rPr>
            </w:pPr>
            <w:r>
              <w:rPr>
                <w:rFonts w:ascii="宋体" w:hAnsi="宋体" w:cs="宋体" w:eastAsia="宋体" w:hint="default"/>
                <w:sz w:val="18"/>
                <w:szCs w:val="18"/>
              </w:rPr>
              <w:t>计算机 软件服 务与开 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计算机软硬 件、机电一 体化产品、 计算机系统 集成技术开 发、技术咨 询、技术服 务；设计、 制作、 发布国内各 类广告业 务；企业形 象策划、营 销策划；平 面设计，展 览展示服 务、会议服 务、庆典服 务；汽车租 赁；车载通 信设备、汽 车饰品、手 机批发及零 售； 通信设备销 售；机房清 洗保洁；手 机维修；计 算机软硬件 租赁；进出 口贸易（国 家法律法规 禁止的商品 </w:t>
            </w:r>
            <w:r>
              <w:rPr>
                <w:rFonts w:ascii="宋体" w:hAnsi="宋体" w:cs="宋体" w:eastAsia="宋体" w:hint="default"/>
                <w:spacing w:val="-23"/>
                <w:sz w:val="18"/>
                <w:szCs w:val="18"/>
              </w:rPr>
              <w:t>除外）。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992"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9"/>
                <w:sz w:val="20"/>
                <w:szCs w:val="20"/>
              </w:rPr>
              <w:pict>
                <v:group style="width:34.950pt;height:249.65pt;mso-position-horizontal-relative:char;mso-position-vertical-relative:line" coordorigin="0,0" coordsize="699,4993">
                  <v:group style="position:absolute;left:0;top:0;width:699;height:4993" coordorigin="0,0" coordsize="699,4993">
                    <v:shape style="position:absolute;left:0;top:0;width:699;height:4993" coordorigin="0,0" coordsize="699,4993" path="m0,4992l698,4992,698,0,0,0,0,4992xe" filled="true" fillcolor="#ffffff" stroked="false">
                      <v:path arrowok="t"/>
                      <v:fill type="solid"/>
                    </v:shape>
                  </v:group>
                </v:group>
              </w:pict>
            </w:r>
            <w:r>
              <w:rPr>
                <w:rFonts w:ascii="Times New Roman" w:hAnsi="Times New Roman" w:cs="Times New Roman" w:eastAsia="Times New Roman" w:hint="default"/>
                <w:position w:val="-99"/>
                <w:sz w:val="20"/>
                <w:szCs w:val="20"/>
              </w:rPr>
            </w:r>
          </w:p>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4992"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9"/>
                <w:sz w:val="20"/>
                <w:szCs w:val="20"/>
              </w:rPr>
              <w:pict>
                <v:group style="width:34.950pt;height:249.65pt;mso-position-horizontal-relative:char;mso-position-vertical-relative:line" coordorigin="0,0" coordsize="699,4993">
                  <v:group style="position:absolute;left:0;top:0;width:699;height:4993" coordorigin="0,0" coordsize="699,4993">
                    <v:shape style="position:absolute;left:0;top:0;width:699;height:4993" coordorigin="0,0" coordsize="699,4993" path="m0,4992l698,4992,698,0,0,0,0,4992xe" filled="true" fillcolor="#ffffff" stroked="false">
                      <v:path arrowok="t"/>
                      <v:fill type="solid"/>
                    </v:shape>
                  </v:group>
                </v:group>
              </w:pict>
            </w:r>
            <w:r>
              <w:rPr>
                <w:rFonts w:ascii="Times New Roman" w:hAnsi="Times New Roman" w:cs="Times New Roman" w:eastAsia="Times New Roman" w:hint="default"/>
                <w:position w:val="-99"/>
                <w:sz w:val="20"/>
                <w:szCs w:val="20"/>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98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成都东 方国信 科技有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both"/>
              <w:rPr>
                <w:rFonts w:ascii="宋体" w:hAnsi="宋体" w:cs="宋体" w:eastAsia="宋体" w:hint="default"/>
                <w:sz w:val="18"/>
                <w:szCs w:val="18"/>
              </w:rPr>
            </w:pPr>
            <w:r>
              <w:rPr>
                <w:rFonts w:ascii="宋体" w:hAnsi="宋体" w:cs="宋体" w:eastAsia="宋体" w:hint="default"/>
                <w:sz w:val="18"/>
                <w:szCs w:val="18"/>
              </w:rPr>
              <w:t>计算机 软件服 务与开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计算机软硬 件，机电产 品的技术研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1006" w:header="772" w:top="1080" w:bottom="1200" w:left="980" w:right="980"/>
          <w:pgNumType w:start="110"/>
        </w:sectPr>
      </w:pPr>
    </w:p>
    <w:p>
      <w:pPr>
        <w:spacing w:line="240" w:lineRule="auto" w:before="0"/>
        <w:rPr>
          <w:rFonts w:ascii="Times New Roman" w:hAnsi="Times New Roman" w:cs="Times New Roman" w:eastAsia="Times New Roman" w:hint="default"/>
          <w:sz w:val="20"/>
          <w:szCs w:val="20"/>
        </w:rPr>
      </w:pPr>
      <w:r>
        <w:rPr/>
        <w:pict>
          <v:shape style="position:absolute;margin-left:243.653pt;margin-top:624.096008pt;width:68.05pt;height:139.450pt;mso-position-horizontal-relative:page;mso-position-vertical-relative:page;z-index:-8757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7"/>
                      <w:szCs w:val="17"/>
                    </w:rPr>
                  </w:pPr>
                </w:p>
                <w:p>
                  <w:pPr>
                    <w:pStyle w:val="BodyText"/>
                    <w:spacing w:line="240" w:lineRule="auto"/>
                    <w:ind w:left="0" w:right="0"/>
                    <w:jc w:val="left"/>
                  </w:pPr>
                  <w:r>
                    <w:rPr/>
                    <w:t>计算机、</w:t>
                  </w:r>
                </w:p>
              </w:txbxContent>
            </v:textbox>
            <w10:wrap type="none"/>
          </v:shape>
        </w:pict>
      </w:r>
      <w:r>
        <w:rPr/>
        <w:pict>
          <v:shape style="position:absolute;margin-left:252.653pt;margin-top:606.435974pt;width:57.85pt;height:17.7pt;mso-position-horizontal-relative:page;mso-position-vertical-relative:page;z-index:-875680" type="#_x0000_t202" filled="false" stroked="false">
            <v:textbox inset="0,0,0,0">
              <w:txbxContent>
                <w:p>
                  <w:pPr>
                    <w:pStyle w:val="BodyText"/>
                    <w:spacing w:line="240" w:lineRule="auto" w:before="29"/>
                    <w:ind w:left="0" w:right="0"/>
                    <w:jc w:val="left"/>
                  </w:pPr>
                  <w:r>
                    <w:rPr/>
                    <w:t>代理、</w:t>
                  </w:r>
                </w:p>
              </w:txbxContent>
            </v:textbox>
            <w10:wrap type="none"/>
          </v:shape>
        </w:pict>
      </w: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977"/>
        <w:gridCol w:w="708"/>
        <w:gridCol w:w="711"/>
        <w:gridCol w:w="566"/>
        <w:gridCol w:w="852"/>
        <w:gridCol w:w="567"/>
        <w:gridCol w:w="566"/>
        <w:gridCol w:w="516"/>
        <w:gridCol w:w="684"/>
      </w:tblGrid>
      <w:tr>
        <w:trPr>
          <w:trHeight w:val="754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发</w:t>
            </w:r>
          </w:p>
        </w:tc>
        <w:tc>
          <w:tcPr>
            <w:tcW w:w="6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1"/>
              <w:jc w:val="both"/>
              <w:rPr>
                <w:rFonts w:ascii="宋体" w:hAnsi="宋体" w:cs="宋体" w:eastAsia="宋体" w:hint="default"/>
                <w:sz w:val="18"/>
                <w:szCs w:val="18"/>
              </w:rPr>
            </w:pPr>
            <w:r>
              <w:rPr>
                <w:rFonts w:ascii="宋体" w:hAnsi="宋体" w:cs="宋体" w:eastAsia="宋体" w:hint="default"/>
                <w:sz w:val="18"/>
                <w:szCs w:val="18"/>
              </w:rPr>
              <w:t>发、技术咨 询、技术服 务；计算机 系统集成； 销售、租赁 计算机软硬 件；企业营 销策划、市 场信息咨询</w:t>
            </w:r>
          </w:p>
          <w:p>
            <w:pPr>
              <w:pStyle w:val="TableParagraph"/>
              <w:spacing w:line="316" w:lineRule="auto" w:before="19"/>
              <w:ind w:left="23" w:right="19"/>
              <w:jc w:val="both"/>
              <w:rPr>
                <w:rFonts w:ascii="宋体" w:hAnsi="宋体" w:cs="宋体" w:eastAsia="宋体" w:hint="default"/>
                <w:sz w:val="18"/>
                <w:szCs w:val="18"/>
              </w:rPr>
            </w:pPr>
            <w:r>
              <w:rPr>
                <w:rFonts w:ascii="宋体" w:hAnsi="宋体" w:cs="宋体" w:eastAsia="宋体" w:hint="default"/>
                <w:sz w:val="18"/>
                <w:szCs w:val="18"/>
              </w:rPr>
              <w:t>（不含前置 许可项目， 后置许可项 目凭许可证 或审批文件 </w:t>
            </w:r>
            <w:r>
              <w:rPr>
                <w:rFonts w:ascii="宋体" w:hAnsi="宋体" w:cs="宋体" w:eastAsia="宋体" w:hint="default"/>
                <w:spacing w:val="-27"/>
                <w:sz w:val="18"/>
                <w:szCs w:val="18"/>
              </w:rPr>
              <w:t>经营）；货物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及技术进出 口（国家法 律、行政法 规禁止的除 外，国家法 律、行政法 规限制的取 得许可后方 </w:t>
            </w:r>
            <w:r>
              <w:rPr>
                <w:rFonts w:ascii="宋体" w:hAnsi="宋体" w:cs="宋体" w:eastAsia="宋体" w:hint="default"/>
                <w:spacing w:val="-19"/>
                <w:sz w:val="18"/>
                <w:szCs w:val="18"/>
              </w:rPr>
              <w:t>可经营）。</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北京国 信新世 纪科技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 w:right="106"/>
              <w:jc w:val="both"/>
              <w:rPr>
                <w:rFonts w:ascii="宋体" w:hAnsi="宋体" w:cs="宋体" w:eastAsia="宋体" w:hint="default"/>
                <w:sz w:val="18"/>
                <w:szCs w:val="18"/>
              </w:rPr>
            </w:pPr>
            <w:r>
              <w:rPr>
                <w:rFonts w:ascii="宋体" w:hAnsi="宋体" w:cs="宋体" w:eastAsia="宋体" w:hint="default"/>
                <w:sz w:val="18"/>
                <w:szCs w:val="18"/>
              </w:rPr>
              <w:t>计算机 软件服 务与开 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000</w:t>
            </w:r>
          </w:p>
        </w:tc>
        <w:tc>
          <w:tcPr>
            <w:tcW w:w="97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49"/>
              <w:ind w:left="23" w:right="35"/>
              <w:jc w:val="left"/>
              <w:rPr>
                <w:rFonts w:ascii="宋体" w:hAnsi="宋体" w:cs="宋体" w:eastAsia="宋体" w:hint="default"/>
                <w:sz w:val="18"/>
                <w:szCs w:val="18"/>
              </w:rPr>
            </w:pPr>
            <w:r>
              <w:rPr>
                <w:rFonts w:ascii="宋体" w:hAnsi="宋体" w:cs="宋体" w:eastAsia="宋体" w:hint="default"/>
                <w:sz w:val="18"/>
                <w:szCs w:val="18"/>
              </w:rPr>
              <w:t>技术开发、 技术转让、 技术咨询、 技术服务、 技术推广； 企业策划、 设计；会议 服务；承办 展览展示活 动；设计、 制作、 发布广告； 计算机系统 服务；维修 计算机；销 售电子产 品、家用电 器、 软件及辅助 设备、通讯</w:t>
            </w:r>
          </w:p>
        </w:tc>
        <w:tc>
          <w:tcPr>
            <w:tcW w:w="70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2"/>
              <w:ind w:left="26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3"/>
                <w:szCs w:val="13"/>
              </w:rPr>
            </w:pPr>
          </w:p>
          <w:p>
            <w:pPr>
              <w:pStyle w:val="TableParagraph"/>
              <w:spacing w:line="3142" w:lineRule="exact"/>
              <w:ind w:left="-4"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2"/>
                <w:sz w:val="20"/>
                <w:szCs w:val="20"/>
              </w:rPr>
              <w:pict>
                <v:group style="width:34.950pt;height:157.1pt;mso-position-horizontal-relative:char;mso-position-vertical-relative:line" coordorigin="0,0" coordsize="699,3142">
                  <v:group style="position:absolute;left:0;top:353;width:699;height:2789" coordorigin="0,353" coordsize="699,2789">
                    <v:shape style="position:absolute;left:0;top:353;width:699;height:2789" coordorigin="0,353" coordsize="699,2789" path="m0,3142l698,3142,698,353,0,353,0,3142xe" filled="true" fillcolor="#ffffff" stroked="false">
                      <v:path arrowok="t"/>
                      <v:fill type="solid"/>
                    </v:shape>
                  </v:group>
                  <v:group style="position:absolute;left:22;top:0;width:653;height:354" coordorigin="22,0" coordsize="653,354">
                    <v:shape style="position:absolute;left:22;top:0;width:653;height:354" coordorigin="22,0" coordsize="653,354" path="m22,353l674,353,674,0,22,0,22,353xe" filled="true" fillcolor="#ffffff" stroked="false">
                      <v:path arrowok="t"/>
                      <v:fill type="solid"/>
                    </v:shape>
                  </v:group>
                </v:group>
              </w:pict>
            </w:r>
            <w:r>
              <w:rPr>
                <w:rFonts w:ascii="Times New Roman" w:hAnsi="Times New Roman" w:cs="Times New Roman" w:eastAsia="Times New Roman" w:hint="default"/>
                <w:position w:val="-62"/>
                <w:sz w:val="20"/>
                <w:szCs w:val="20"/>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15" w:right="0"/>
              <w:jc w:val="left"/>
              <w:rPr>
                <w:rFonts w:ascii="Times New Roman" w:hAnsi="Times New Roman" w:cs="Times New Roman" w:eastAsia="Times New Roman" w:hint="default"/>
                <w:sz w:val="18"/>
                <w:szCs w:val="18"/>
              </w:rPr>
            </w:pPr>
            <w:r>
              <w:rPr>
                <w:rFonts w:ascii="Times New Roman"/>
                <w:sz w:val="18"/>
              </w:rPr>
              <w:t>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98" w:right="0"/>
              <w:jc w:val="left"/>
              <w:rPr>
                <w:rFonts w:ascii="Times New Roman" w:hAnsi="Times New Roman" w:cs="Times New Roman" w:eastAsia="Times New Roman" w:hint="default"/>
                <w:sz w:val="18"/>
                <w:szCs w:val="18"/>
              </w:rPr>
            </w:pPr>
            <w:r>
              <w:rPr>
                <w:rFonts w:ascii="Times New Roman"/>
                <w:sz w:val="18"/>
              </w:rPr>
              <w:t>100%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0" w:right="0"/>
              <w:jc w:val="left"/>
              <w:rPr>
                <w:rFonts w:ascii="Times New Roman" w:hAnsi="Times New Roman" w:cs="Times New Roman" w:eastAsia="Times New Roman" w:hint="default"/>
                <w:sz w:val="18"/>
                <w:szCs w:val="18"/>
              </w:rPr>
            </w:pPr>
            <w:r>
              <w:rPr>
                <w:rFonts w:ascii="Times New Roman"/>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7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38"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977"/>
        <w:gridCol w:w="708"/>
        <w:gridCol w:w="711"/>
        <w:gridCol w:w="566"/>
        <w:gridCol w:w="852"/>
        <w:gridCol w:w="567"/>
        <w:gridCol w:w="566"/>
        <w:gridCol w:w="516"/>
        <w:gridCol w:w="684"/>
      </w:tblGrid>
      <w:tr>
        <w:trPr>
          <w:trHeight w:val="1299"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pacing w:val="-27"/>
                <w:sz w:val="18"/>
                <w:szCs w:val="18"/>
              </w:rPr>
              <w:t>设备。（未取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得行政许可 的项目除 外）</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天津通 冠科技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06"/>
              <w:jc w:val="both"/>
              <w:rPr>
                <w:rFonts w:ascii="宋体" w:hAnsi="宋体" w:cs="宋体" w:eastAsia="宋体" w:hint="default"/>
                <w:sz w:val="18"/>
                <w:szCs w:val="18"/>
              </w:rPr>
            </w:pPr>
            <w:r>
              <w:rPr>
                <w:rFonts w:ascii="宋体" w:hAnsi="宋体" w:cs="宋体" w:eastAsia="宋体" w:hint="default"/>
                <w:sz w:val="18"/>
                <w:szCs w:val="18"/>
              </w:rPr>
              <w:t>计算机 软件服 务与开 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500000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计算机软、 硬件、机电 一体化产 品、计算机 系统集成的 技术开发、 技术咨询及 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15" w:right="0"/>
              <w:jc w:val="left"/>
              <w:rPr>
                <w:rFonts w:ascii="Times New Roman" w:hAnsi="Times New Roman" w:cs="Times New Roman" w:eastAsia="Times New Roman" w:hint="default"/>
                <w:sz w:val="18"/>
                <w:szCs w:val="18"/>
              </w:rPr>
            </w:pPr>
            <w:r>
              <w:rPr>
                <w:rFonts w:ascii="Times New Roman"/>
                <w:sz w:val="18"/>
              </w:rPr>
              <w:t>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98" w:right="0"/>
              <w:jc w:val="left"/>
              <w:rPr>
                <w:rFonts w:ascii="Times New Roman" w:hAnsi="Times New Roman" w:cs="Times New Roman" w:eastAsia="Times New Roman" w:hint="default"/>
                <w:sz w:val="18"/>
                <w:szCs w:val="18"/>
              </w:rPr>
            </w:pPr>
            <w:r>
              <w:rPr>
                <w:rFonts w:ascii="Times New Roman"/>
                <w:sz w:val="18"/>
              </w:rPr>
              <w:t>100%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0" w:right="0"/>
              <w:jc w:val="left"/>
              <w:rPr>
                <w:rFonts w:ascii="Times New Roman" w:hAnsi="Times New Roman" w:cs="Times New Roman" w:eastAsia="Times New Roman" w:hint="default"/>
                <w:sz w:val="18"/>
                <w:szCs w:val="18"/>
              </w:rPr>
            </w:pPr>
            <w:r>
              <w:rPr>
                <w:rFonts w:ascii="Times New Roman"/>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7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通过设立或投资等方式取得的子公司的其他说明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bl>
    <w:p>
      <w:pPr>
        <w:pStyle w:val="BodyText"/>
        <w:spacing w:line="240" w:lineRule="auto" w:before="50"/>
        <w:ind w:right="0"/>
        <w:jc w:val="left"/>
      </w:pPr>
      <w:r>
        <w:rPr/>
        <w:t>通过同一控制下企业合并取得的子公司的其他说明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675"/>
        <w:gridCol w:w="683"/>
        <w:gridCol w:w="683"/>
        <w:gridCol w:w="683"/>
        <w:gridCol w:w="684"/>
        <w:gridCol w:w="682"/>
        <w:gridCol w:w="684"/>
        <w:gridCol w:w="683"/>
        <w:gridCol w:w="683"/>
        <w:gridCol w:w="683"/>
        <w:gridCol w:w="682"/>
        <w:gridCol w:w="685"/>
        <w:gridCol w:w="682"/>
        <w:gridCol w:w="673"/>
      </w:tblGrid>
      <w:tr>
        <w:trPr>
          <w:trHeight w:val="391" w:hRule="exact"/>
        </w:trPr>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7"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7" w:right="0"/>
              <w:jc w:val="left"/>
              <w:rPr>
                <w:rFonts w:ascii="宋体" w:hAnsi="宋体" w:cs="宋体" w:eastAsia="宋体" w:hint="default"/>
                <w:sz w:val="18"/>
                <w:szCs w:val="18"/>
              </w:rPr>
            </w:pPr>
            <w:r>
              <w:rPr>
                <w:rFonts w:ascii="宋体" w:hAnsi="宋体" w:cs="宋体" w:eastAsia="宋体" w:hint="default"/>
                <w:sz w:val="18"/>
                <w:szCs w:val="18"/>
              </w:rPr>
              <w:t>业务性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6" w:right="0"/>
              <w:jc w:val="left"/>
              <w:rPr>
                <w:rFonts w:ascii="宋体" w:hAnsi="宋体" w:cs="宋体" w:eastAsia="宋体" w:hint="default"/>
                <w:sz w:val="18"/>
                <w:szCs w:val="18"/>
              </w:rPr>
            </w:pPr>
            <w:r>
              <w:rPr>
                <w:rFonts w:ascii="宋体" w:hAnsi="宋体" w:cs="宋体" w:eastAsia="宋体" w:hint="default"/>
                <w:sz w:val="18"/>
                <w:szCs w:val="18"/>
              </w:rPr>
              <w:t>注册资</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5" w:right="0"/>
              <w:jc w:val="left"/>
              <w:rPr>
                <w:rFonts w:ascii="宋体" w:hAnsi="宋体" w:cs="宋体" w:eastAsia="宋体" w:hint="default"/>
                <w:sz w:val="18"/>
                <w:szCs w:val="18"/>
              </w:rPr>
            </w:pPr>
            <w:r>
              <w:rPr>
                <w:rFonts w:ascii="宋体" w:hAnsi="宋体" w:cs="宋体" w:eastAsia="宋体" w:hint="default"/>
                <w:sz w:val="18"/>
                <w:szCs w:val="18"/>
              </w:rPr>
              <w:t>经营范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6" w:right="0"/>
              <w:jc w:val="left"/>
              <w:rPr>
                <w:rFonts w:ascii="宋体" w:hAnsi="宋体" w:cs="宋体" w:eastAsia="宋体" w:hint="default"/>
                <w:sz w:val="18"/>
                <w:szCs w:val="18"/>
              </w:rPr>
            </w:pPr>
            <w:r>
              <w:rPr>
                <w:rFonts w:ascii="宋体" w:hAnsi="宋体" w:cs="宋体" w:eastAsia="宋体" w:hint="default"/>
                <w:sz w:val="18"/>
                <w:szCs w:val="18"/>
              </w:rPr>
              <w:t>期末实</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6" w:right="0"/>
              <w:jc w:val="left"/>
              <w:rPr>
                <w:rFonts w:ascii="宋体" w:hAnsi="宋体" w:cs="宋体" w:eastAsia="宋体" w:hint="default"/>
                <w:sz w:val="18"/>
                <w:szCs w:val="18"/>
              </w:rPr>
            </w:pPr>
            <w:r>
              <w:rPr>
                <w:rFonts w:ascii="宋体" w:hAnsi="宋体" w:cs="宋体" w:eastAsia="宋体" w:hint="default"/>
                <w:sz w:val="18"/>
                <w:szCs w:val="18"/>
              </w:rPr>
              <w:t>实质上</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7" w:right="0"/>
              <w:jc w:val="left"/>
              <w:rPr>
                <w:rFonts w:ascii="宋体" w:hAnsi="宋体" w:cs="宋体" w:eastAsia="宋体" w:hint="default"/>
                <w:sz w:val="18"/>
                <w:szCs w:val="18"/>
              </w:rPr>
            </w:pPr>
            <w:r>
              <w:rPr>
                <w:rFonts w:ascii="宋体" w:hAnsi="宋体" w:cs="宋体" w:eastAsia="宋体" w:hint="default"/>
                <w:sz w:val="18"/>
                <w:szCs w:val="18"/>
              </w:rPr>
              <w:t>持股比</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5"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7" w:right="0"/>
              <w:jc w:val="left"/>
              <w:rPr>
                <w:rFonts w:ascii="宋体" w:hAnsi="宋体" w:cs="宋体" w:eastAsia="宋体" w:hint="default"/>
                <w:sz w:val="18"/>
                <w:szCs w:val="18"/>
              </w:rPr>
            </w:pPr>
            <w:r>
              <w:rPr>
                <w:rFonts w:ascii="宋体" w:hAnsi="宋体" w:cs="宋体" w:eastAsia="宋体" w:hint="default"/>
                <w:sz w:val="18"/>
                <w:szCs w:val="18"/>
              </w:rPr>
              <w:t>是否合</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7"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7"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 w:right="0"/>
              <w:jc w:val="left"/>
              <w:rPr>
                <w:rFonts w:ascii="宋体" w:hAnsi="宋体" w:cs="宋体" w:eastAsia="宋体" w:hint="default"/>
                <w:sz w:val="18"/>
                <w:szCs w:val="18"/>
              </w:rPr>
            </w:pPr>
            <w:r>
              <w:rPr>
                <w:rFonts w:ascii="宋体" w:hAnsi="宋体" w:cs="宋体" w:eastAsia="宋体" w:hint="default"/>
                <w:sz w:val="18"/>
                <w:szCs w:val="18"/>
              </w:rPr>
              <w:t>从母公</w:t>
            </w:r>
          </w:p>
        </w:tc>
      </w:tr>
    </w:tbl>
    <w:p>
      <w:pPr>
        <w:spacing w:after="0" w:line="240" w:lineRule="auto"/>
        <w:jc w:val="left"/>
        <w:rPr>
          <w:rFonts w:ascii="宋体" w:hAnsi="宋体" w:cs="宋体" w:eastAsia="宋体"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355"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47" w:right="65" w:hanging="180"/>
              <w:jc w:val="left"/>
              <w:rPr>
                <w:rFonts w:ascii="宋体" w:hAnsi="宋体" w:cs="宋体" w:eastAsia="宋体" w:hint="default"/>
                <w:sz w:val="18"/>
                <w:szCs w:val="18"/>
              </w:rPr>
            </w:pPr>
            <w:r>
              <w:rPr>
                <w:rFonts w:ascii="宋体" w:hAnsi="宋体" w:cs="宋体" w:eastAsia="宋体" w:hint="default"/>
                <w:sz w:val="18"/>
                <w:szCs w:val="18"/>
              </w:rPr>
              <w:t>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201" w:right="0"/>
              <w:jc w:val="lef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7" w:right="0"/>
              <w:jc w:val="left"/>
              <w:rPr>
                <w:rFonts w:ascii="宋体" w:hAnsi="宋体" w:cs="宋体" w:eastAsia="宋体" w:hint="default"/>
                <w:sz w:val="18"/>
                <w:szCs w:val="18"/>
              </w:rPr>
            </w:pPr>
            <w:r>
              <w:rPr>
                <w:rFonts w:ascii="宋体" w:hAnsi="宋体" w:cs="宋体" w:eastAsia="宋体" w:hint="default"/>
                <w:sz w:val="18"/>
                <w:szCs w:val="18"/>
              </w:rPr>
              <w:t>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65"/>
              <w:jc w:val="right"/>
              <w:rPr>
                <w:rFonts w:ascii="宋体" w:hAnsi="宋体" w:cs="宋体" w:eastAsia="宋体" w:hint="default"/>
                <w:sz w:val="18"/>
                <w:szCs w:val="18"/>
              </w:rPr>
            </w:pPr>
            <w:r>
              <w:rPr>
                <w:rFonts w:ascii="宋体" w:hAnsi="宋体" w:cs="宋体" w:eastAsia="宋体" w:hint="default"/>
                <w:sz w:val="18"/>
                <w:szCs w:val="18"/>
              </w:rPr>
              <w:t>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62"/>
              <w:jc w:val="both"/>
              <w:rPr>
                <w:rFonts w:ascii="宋体" w:hAnsi="宋体" w:cs="宋体" w:eastAsia="宋体" w:hint="default"/>
                <w:sz w:val="18"/>
                <w:szCs w:val="18"/>
              </w:rPr>
            </w:pPr>
            <w:r>
              <w:rPr>
                <w:rFonts w:ascii="宋体" w:hAnsi="宋体" w:cs="宋体" w:eastAsia="宋体" w:hint="default"/>
                <w:sz w:val="18"/>
                <w:szCs w:val="18"/>
              </w:rPr>
              <w:t>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62"/>
              <w:jc w:val="both"/>
              <w:rPr>
                <w:rFonts w:ascii="宋体" w:hAnsi="宋体" w:cs="宋体" w:eastAsia="宋体" w:hint="default"/>
                <w:sz w:val="18"/>
                <w:szCs w:val="18"/>
              </w:rPr>
            </w:pPr>
            <w:r>
              <w:rPr>
                <w:rFonts w:ascii="宋体" w:hAnsi="宋体" w:cs="宋体" w:eastAsia="宋体" w:hint="default"/>
                <w:sz w:val="18"/>
                <w:szCs w:val="18"/>
              </w:rPr>
              <w:t>司所有 者权益 冲减子 公司少 数股东 分担的 本期亏 损超过 少数股 东在该 子公司 年初所 有者权 益中所 享有份 额后的 余额</w:t>
            </w:r>
          </w:p>
        </w:tc>
      </w:tr>
      <w:tr>
        <w:trPr>
          <w:trHeight w:val="383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北京东 华信通 信息技 术有限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3" w:right="106"/>
              <w:jc w:val="both"/>
              <w:rPr>
                <w:rFonts w:ascii="宋体" w:hAnsi="宋体" w:cs="宋体" w:eastAsia="宋体" w:hint="default"/>
                <w:sz w:val="18"/>
                <w:szCs w:val="18"/>
              </w:rPr>
            </w:pPr>
            <w:r>
              <w:rPr>
                <w:rFonts w:ascii="宋体" w:hAnsi="宋体" w:cs="宋体" w:eastAsia="宋体" w:hint="default"/>
                <w:sz w:val="18"/>
                <w:szCs w:val="18"/>
              </w:rPr>
              <w:t>计算机 软件服 务与开 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技术推 广服 务；经 济贸易 咨询； 销售机 械设 备、五 金交 电、电 子产 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35"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3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通过非同一控制下企业合并取得的子公司的其他说明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3"/>
        <w:gridCol w:w="4688"/>
      </w:tblGrid>
      <w:tr>
        <w:trPr>
          <w:trHeight w:val="404"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pStyle w:val="BodyText"/>
        <w:spacing w:line="240" w:lineRule="auto" w:before="49"/>
        <w:ind w:right="0"/>
        <w:jc w:val="left"/>
      </w:pPr>
      <w:r>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4"/>
        <w:rPr>
          <w:rFonts w:ascii="宋体" w:hAnsi="宋体" w:cs="宋体" w:eastAsia="宋体" w:hint="default"/>
          <w:b/>
          <w:bCs/>
          <w:sz w:val="26"/>
          <w:szCs w:val="26"/>
        </w:rPr>
      </w:pPr>
    </w:p>
    <w:p>
      <w:pPr>
        <w:pStyle w:val="BodyText"/>
        <w:spacing w:line="439" w:lineRule="auto"/>
        <w:ind w:left="573" w:right="0" w:hanging="421"/>
        <w:jc w:val="left"/>
      </w:pPr>
      <w:r>
        <w:rPr/>
        <w:t>合并报表范围发生变更说明 本报告期，公司合并报表增加合并</w:t>
      </w:r>
      <w:r>
        <w:rPr>
          <w:rFonts w:ascii="宋体" w:hAnsi="宋体" w:cs="宋体" w:eastAsia="宋体" w:hint="default"/>
        </w:rPr>
        <w:t>3</w:t>
      </w:r>
      <w:r>
        <w:rPr/>
        <w:t>家子公司和</w:t>
      </w:r>
      <w:r>
        <w:rPr>
          <w:rFonts w:ascii="宋体" w:hAnsi="宋体" w:cs="宋体" w:eastAsia="宋体" w:hint="default"/>
        </w:rPr>
        <w:t>1</w:t>
      </w:r>
      <w:r>
        <w:rPr/>
        <w:t>家孙公司，分别为吉林省东方国信科技有限公司、成都东方国信科技</w:t>
      </w:r>
    </w:p>
    <w:p>
      <w:pPr>
        <w:pStyle w:val="BodyText"/>
        <w:spacing w:line="240" w:lineRule="auto" w:before="83"/>
        <w:ind w:right="0"/>
        <w:jc w:val="left"/>
      </w:pPr>
      <w:r>
        <w:rPr/>
        <w:t>有限公司、北京国信新世纪科技有限公司和天津通冠科技有限公司，均为公司投资新设取得。</w:t>
      </w:r>
    </w:p>
    <w:p>
      <w:pPr>
        <w:spacing w:after="0" w:line="240" w:lineRule="auto"/>
        <w:jc w:val="left"/>
        <w:sectPr>
          <w:pgSz w:w="11910" w:h="16840"/>
          <w:pgMar w:header="772" w:footer="1006" w:top="1080" w:bottom="1200" w:left="980" w:right="980"/>
        </w:sectPr>
      </w:pPr>
    </w:p>
    <w:p>
      <w:pPr>
        <w:spacing w:line="240" w:lineRule="auto" w:before="9"/>
        <w:rPr>
          <w:rFonts w:ascii="宋体" w:hAnsi="宋体" w:cs="宋体" w:eastAsia="宋体" w:hint="default"/>
          <w:sz w:val="23"/>
          <w:szCs w:val="23"/>
        </w:rPr>
      </w:pPr>
    </w:p>
    <w:p>
      <w:pPr>
        <w:pStyle w:val="BodyText"/>
        <w:spacing w:line="340" w:lineRule="auto" w:before="44"/>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与上年相比本年（期）新增合并单位</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家，原因为</w:t>
      </w:r>
    </w:p>
    <w:p>
      <w:pPr>
        <w:pStyle w:val="BodyText"/>
        <w:spacing w:line="477" w:lineRule="auto" w:before="96"/>
        <w:ind w:right="0" w:firstLine="420"/>
        <w:jc w:val="left"/>
      </w:pPr>
      <w:r>
        <w:rPr>
          <w:rFonts w:ascii="宋体" w:hAnsi="宋体" w:cs="宋体" w:eastAsia="宋体" w:hint="default"/>
        </w:rPr>
        <w:t>2012</w:t>
      </w:r>
      <w:r>
        <w:rPr/>
        <w:t>年，公司投资新设</w:t>
      </w:r>
      <w:r>
        <w:rPr>
          <w:rFonts w:ascii="宋体" w:hAnsi="宋体" w:cs="宋体" w:eastAsia="宋体" w:hint="default"/>
        </w:rPr>
        <w:t>3</w:t>
      </w:r>
      <w:r>
        <w:rPr/>
        <w:t>家子公司和</w:t>
      </w:r>
      <w:r>
        <w:rPr>
          <w:rFonts w:ascii="宋体" w:hAnsi="宋体" w:cs="宋体" w:eastAsia="宋体" w:hint="default"/>
        </w:rPr>
        <w:t>1</w:t>
      </w:r>
      <w:r>
        <w:rPr/>
        <w:t>家孙公司，分别为吉林省东方国信科技有限公司、成都东方国信科技有限公司、 北京国信新世纪科技有限公司和天津通冠科技有限公司。</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本期新纳入合并范围的子公司、特殊目的主体、通过受托经营或承租等方式形成控制权的经营实体</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3"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吉林省东方国信科技有限公司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4,177,657.45</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-822,342.55</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成都东方国信科技有限公司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2,037,232.31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37,232.31</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北京国信新世纪科技有限公司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9,706,435.57</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-293,564.43</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天津通冠科技有限公司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497,594.25</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-2,405.75</w:t>
            </w:r>
          </w:p>
        </w:tc>
      </w:tr>
    </w:tbl>
    <w:p>
      <w:pPr>
        <w:pStyle w:val="BodyText"/>
        <w:spacing w:line="240" w:lineRule="auto" w:before="49"/>
        <w:ind w:right="0"/>
        <w:jc w:val="left"/>
      </w:pPr>
      <w:r>
        <w:rPr/>
        <w:t>本期不再纳入合并范围的子公司、特殊目的主体、通过受托经营或承租等方式形成控制权的经营实体</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pStyle w:val="BodyText"/>
        <w:spacing w:line="240" w:lineRule="auto" w:before="50"/>
        <w:ind w:right="0"/>
        <w:jc w:val="left"/>
      </w:pPr>
      <w:r>
        <w:rPr/>
        <w:t>新纳入合并范围的主体和不再纳入合并范围的主体的其他说明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5"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pStyle w:val="BodyText"/>
        <w:spacing w:line="240" w:lineRule="auto" w:before="49"/>
        <w:ind w:right="0"/>
        <w:jc w:val="left"/>
      </w:pPr>
      <w:r>
        <w:rPr/>
        <w:t>同一控制下企业合并的其他说明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6"/>
        <w:gridCol w:w="3032"/>
        <w:gridCol w:w="3850"/>
      </w:tblGrid>
      <w:tr>
        <w:trPr>
          <w:trHeight w:val="402"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pStyle w:val="BodyText"/>
        <w:spacing w:line="240" w:lineRule="auto" w:before="50"/>
        <w:ind w:right="0"/>
        <w:jc w:val="left"/>
      </w:pPr>
      <w:r>
        <w:rPr/>
        <w:t>非同一控制下企业合并的其他说明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4"/>
        <w:gridCol w:w="2489"/>
        <w:gridCol w:w="3085"/>
      </w:tblGrid>
      <w:tr>
        <w:trPr>
          <w:trHeight w:val="401"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pStyle w:val="BodyText"/>
        <w:spacing w:line="240" w:lineRule="auto" w:before="49"/>
        <w:ind w:right="0"/>
        <w:jc w:val="left"/>
      </w:pPr>
      <w:r>
        <w:rPr/>
        <w:t>出售丧失控制权的股权而减少的子公司的其他说明</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1" w:right="98"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pStyle w:val="BodyText"/>
        <w:spacing w:line="240" w:lineRule="auto" w:before="49"/>
        <w:ind w:right="0"/>
        <w:jc w:val="left"/>
      </w:pPr>
      <w:r>
        <w:rPr/>
        <w:t>反向购买的其他说明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4"/>
        <w:gridCol w:w="1481"/>
        <w:gridCol w:w="1483"/>
      </w:tblGrid>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吸收合并的其他说明</w:t>
      </w:r>
    </w:p>
    <w:p>
      <w:pPr>
        <w:spacing w:line="240" w:lineRule="auto" w:before="0"/>
        <w:rPr>
          <w:rFonts w:ascii="宋体" w:hAnsi="宋体" w:cs="宋体" w:eastAsia="宋体" w:hint="default"/>
          <w:sz w:val="18"/>
          <w:szCs w:val="18"/>
        </w:rPr>
      </w:pPr>
    </w:p>
    <w:p>
      <w:pPr>
        <w:spacing w:line="487" w:lineRule="auto" w:before="118"/>
        <w:ind w:left="152" w:right="563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10</w:t>
      </w:r>
      <w:r>
        <w:rPr>
          <w:rFonts w:ascii="宋体" w:hAnsi="宋体" w:cs="宋体" w:eastAsia="宋体" w:hint="default"/>
          <w:b/>
          <w:bCs/>
          <w:spacing w:val="-1"/>
          <w:sz w:val="21"/>
          <w:szCs w:val="21"/>
        </w:rPr>
        <w:t>、境外经营实体主要报表项目的折算汇率</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4"/>
          <w:szCs w:val="24"/>
        </w:rPr>
        <w:t>七、合并财务报表主要项目注释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328"/>
        <w:gridCol w:w="918"/>
        <w:gridCol w:w="1485"/>
        <w:gridCol w:w="1318"/>
        <w:gridCol w:w="917"/>
        <w:gridCol w:w="1606"/>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22,429.87</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111,492.19</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22,429.87</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111,492.19</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339,584,633.99</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537,704,896.13</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339,584,633.99</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537,704,896.13</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7,439,450.28</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691,956.24</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7,439,450.28</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691,956.24</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347,046,514.14</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538,508,344.56</w:t>
            </w:r>
          </w:p>
        </w:tc>
      </w:tr>
    </w:tbl>
    <w:p>
      <w:pPr>
        <w:pStyle w:val="BodyText"/>
        <w:spacing w:line="441" w:lineRule="auto" w:before="49"/>
        <w:ind w:left="573" w:right="2153" w:hanging="421"/>
        <w:jc w:val="left"/>
      </w:pPr>
      <w:r>
        <w:rPr/>
        <w:t>如有因抵押、质押或冻结等对使用有限制、存放在境外、有潜在回收风险的款项应单独说明 期末余额中无因抵押、质押或冻结等对使用有限制、存放在境外、有潜在回收风险的款项。</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5"/>
        <w:gridCol w:w="2657"/>
        <w:gridCol w:w="2645"/>
      </w:tblGrid>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after="0" w:line="240" w:lineRule="auto"/>
        <w:jc w:val="left"/>
        <w:rPr>
          <w:rFonts w:ascii="宋体" w:hAnsi="宋体" w:cs="宋体" w:eastAsia="宋体"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4255"/>
        <w:gridCol w:w="2657"/>
        <w:gridCol w:w="2657"/>
      </w:tblGrid>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交易性债券投资</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0"/>
              <w:jc w:val="left"/>
              <w:rPr>
                <w:rFonts w:ascii="宋体" w:hAnsi="宋体" w:cs="宋体" w:eastAsia="宋体" w:hint="default"/>
                <w:sz w:val="18"/>
                <w:szCs w:val="18"/>
              </w:rPr>
            </w:pPr>
            <w:r>
              <w:rPr>
                <w:rFonts w:ascii="宋体" w:hAnsi="宋体" w:cs="宋体" w:eastAsia="宋体" w:hint="default"/>
                <w:sz w:val="18"/>
                <w:szCs w:val="18"/>
              </w:rPr>
              <w:t>指定为以公允价值计量且变动计入当期损益的金融资 产</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套期工具</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41"/>
        <w:gridCol w:w="3852"/>
        <w:gridCol w:w="2177"/>
      </w:tblGrid>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3" w:hRule="exact"/>
        </w:trPr>
        <w:tc>
          <w:tcPr>
            <w:tcW w:w="3541" w:type="dxa"/>
            <w:tcBorders>
              <w:top w:val="single" w:sz="4" w:space="0" w:color="000000"/>
              <w:left w:val="single" w:sz="4" w:space="0" w:color="000000"/>
              <w:bottom w:val="single" w:sz="4" w:space="0" w:color="000000"/>
              <w:right w:val="single" w:sz="4" w:space="0" w:color="000000"/>
            </w:tcBorders>
          </w:tcPr>
          <w:p>
            <w:pPr/>
          </w:p>
        </w:tc>
        <w:tc>
          <w:tcPr>
            <w:tcW w:w="385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56" w:lineRule="auto" w:before="36"/>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61"/>
        </w:rPr>
        <w:t> </w:t>
      </w:r>
      <w:r>
        <w:rPr>
          <w:spacing w:val="-61"/>
        </w:rPr>
      </w:r>
      <w:r>
        <w:rPr/>
        <w:t>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right="0"/>
        <w:jc w:val="left"/>
      </w:pPr>
      <w:r>
        <w:rPr/>
        <w:t>因出票人无力履约而将票据转为应收账款的票据</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72" w:footer="1006" w:top="1080" w:bottom="1200" w:left="980" w:right="980"/>
        </w:sectPr>
      </w:pPr>
    </w:p>
    <w:p>
      <w:pPr>
        <w:pStyle w:val="BodyText"/>
        <w:spacing w:line="360" w:lineRule="auto" w:before="44"/>
        <w:ind w:right="-20"/>
        <w:jc w:val="left"/>
      </w:pPr>
      <w:r>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80" w:bottom="1200" w:left="980" w:right="980"/>
          <w:cols w:num="2" w:equalWidth="0">
            <w:col w:w="3393" w:space="54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6894"/>
        <w:jc w:val="left"/>
      </w:pPr>
      <w:r>
        <w:rPr/>
        <w:t>说明 已贴现或质押的商业承兑票据的说明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1340"/>
        <w:gridCol w:w="1339"/>
        <w:gridCol w:w="1433"/>
        <w:gridCol w:w="1339"/>
        <w:gridCol w:w="1337"/>
        <w:gridCol w:w="1339"/>
      </w:tblGrid>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3"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银行定期存款利息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4,585,714.54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2,943,702.75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6,213,266.82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1,316,150.47</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4,585,714.54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2,943,702.75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6,213,266.82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1,316,150.47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3719"/>
        <w:gridCol w:w="3843"/>
      </w:tblGrid>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type w:val="continuous"/>
          <w:pgSz w:w="11910" w:h="16840"/>
          <w:pgMar w:top="1080" w:bottom="120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154,012,73</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4.93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2,332,830.0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103,152,0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25.99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1,755,691.73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154,012,73</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4.93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2,332,830.0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103,152,0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25.99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1,755,691.73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154,012,73</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4.93</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2,332,830.0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103,152,0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25.99</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1,755,691.73</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72" w:footer="1006" w:top="1080" w:bottom="1200" w:left="980" w:right="980"/>
        </w:sectPr>
      </w:pPr>
    </w:p>
    <w:p>
      <w:pPr>
        <w:pStyle w:val="BodyText"/>
        <w:spacing w:line="357" w:lineRule="auto" w:before="49"/>
        <w:ind w:right="-20"/>
        <w:jc w:val="left"/>
      </w:pPr>
      <w:r>
        <w:rPr/>
        <w:t>应收账款种类的说明 期末单项金额重大并单项计提坏账准备的应收账款</w:t>
      </w:r>
    </w:p>
    <w:p>
      <w:pPr>
        <w:pStyle w:val="BodyText"/>
        <w:spacing w:line="340" w:lineRule="auto" w:before="29"/>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80" w:bottom="120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55"/>
        <w:gridCol w:w="1594"/>
        <w:gridCol w:w="923"/>
        <w:gridCol w:w="1740"/>
        <w:gridCol w:w="1454"/>
        <w:gridCol w:w="925"/>
        <w:gridCol w:w="1465"/>
      </w:tblGrid>
      <w:tr>
        <w:trPr>
          <w:trHeight w:val="401" w:hRule="exact"/>
        </w:trPr>
        <w:tc>
          <w:tcPr>
            <w:tcW w:w="145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4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25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455" w:type="dxa"/>
            <w:vMerge/>
            <w:tcBorders>
              <w:left w:val="single" w:sz="4" w:space="0" w:color="000000"/>
              <w:bottom w:val="nil" w:sz="6" w:space="0" w:color="auto"/>
              <w:right w:val="single" w:sz="4" w:space="0" w:color="000000"/>
            </w:tcBorders>
            <w:shd w:val="clear" w:color="auto" w:fill="D2D2D2"/>
          </w:tcPr>
          <w:p>
            <w:pPr/>
          </w:p>
        </w:tc>
        <w:tc>
          <w:tcPr>
            <w:tcW w:w="2517" w:type="dxa"/>
            <w:gridSpan w:val="2"/>
            <w:vMerge/>
            <w:tcBorders>
              <w:left w:val="single" w:sz="4" w:space="0" w:color="000000"/>
              <w:bottom w:val="single" w:sz="4" w:space="0" w:color="000000"/>
              <w:right w:val="single" w:sz="4" w:space="0" w:color="000000"/>
            </w:tcBorders>
            <w:shd w:val="clear" w:color="auto" w:fill="D2D2D2"/>
          </w:tcPr>
          <w:p>
            <w:pPr/>
          </w:p>
        </w:tc>
        <w:tc>
          <w:tcPr>
            <w:tcW w:w="1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79" w:type="dxa"/>
            <w:gridSpan w:val="2"/>
            <w:vMerge/>
            <w:tcBorders>
              <w:left w:val="single" w:sz="4" w:space="0" w:color="000000"/>
              <w:bottom w:val="single" w:sz="4" w:space="0" w:color="000000"/>
              <w:right w:val="single" w:sz="4" w:space="0" w:color="000000"/>
            </w:tcBorders>
            <w:shd w:val="clear" w:color="auto" w:fill="D2D2D2"/>
          </w:tcPr>
          <w:p>
            <w:pPr/>
          </w:p>
        </w:tc>
        <w:tc>
          <w:tcPr>
            <w:tcW w:w="14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455" w:type="dxa"/>
            <w:vMerge w:val="restart"/>
            <w:tcBorders>
              <w:top w:val="nil" w:sz="6" w:space="0" w:color="auto"/>
              <w:left w:val="single" w:sz="4" w:space="0" w:color="000000"/>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40"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5" w:type="dxa"/>
            <w:vMerge/>
            <w:tcBorders>
              <w:left w:val="single" w:sz="4" w:space="0" w:color="000000"/>
              <w:bottom w:val="nil" w:sz="6" w:space="0" w:color="auto"/>
              <w:right w:val="single" w:sz="4" w:space="0" w:color="000000"/>
            </w:tcBorders>
            <w:shd w:val="clear" w:color="auto" w:fill="D2D2D2"/>
          </w:tcPr>
          <w:p>
            <w:pPr/>
          </w:p>
        </w:tc>
      </w:tr>
      <w:tr>
        <w:trPr>
          <w:trHeight w:val="209" w:hRule="exact"/>
        </w:trPr>
        <w:tc>
          <w:tcPr>
            <w:tcW w:w="145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4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w:t>
            </w:r>
          </w:p>
        </w:tc>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147,716,361.20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95.91%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1,477,163.61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95,991,223.26</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93.06%</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959,912.24</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4,874,079.00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3.16%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487,407.90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6,633,810.53</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6.43%</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663,381.05</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1,202,962.73</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0.78%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240,592.55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436,992.20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0.42%</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87,398.44</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129,332.00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0.08%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64,666.00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0.09%</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0.07%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63,000.00</w:t>
            </w:r>
          </w:p>
        </w:tc>
        <w:tc>
          <w:tcPr>
            <w:tcW w:w="1454"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154,012,734.93</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2,332,830.06</w:t>
            </w:r>
          </w:p>
        </w:tc>
        <w:tc>
          <w:tcPr>
            <w:tcW w:w="1454"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103,152,025.99</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1,755,691.73</w:t>
            </w:r>
          </w:p>
        </w:tc>
      </w:tr>
    </w:tbl>
    <w:p>
      <w:pPr>
        <w:pStyle w:val="BodyText"/>
        <w:spacing w:line="240" w:lineRule="auto" w:before="49"/>
        <w:ind w:right="0"/>
        <w:jc w:val="left"/>
      </w:pPr>
      <w:r>
        <w:rPr/>
        <w:t>组合中，采用余额百分比法计提坏账准备的应收账款</w:t>
      </w:r>
    </w:p>
    <w:p>
      <w:pPr>
        <w:pStyle w:val="BodyText"/>
        <w:spacing w:line="338" w:lineRule="auto" w:before="117"/>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44"/>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401"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5" w:right="0"/>
              <w:jc w:val="left"/>
              <w:rPr>
                <w:rFonts w:ascii="宋体" w:hAnsi="宋体" w:cs="宋体" w:eastAsia="宋体" w:hint="default"/>
                <w:sz w:val="18"/>
                <w:szCs w:val="18"/>
              </w:rPr>
            </w:pPr>
            <w:r>
              <w:rPr>
                <w:rFonts w:ascii="宋体" w:hAnsi="宋体" w:cs="宋体" w:eastAsia="宋体" w:hint="default"/>
                <w:sz w:val="18"/>
                <w:szCs w:val="18"/>
              </w:rPr>
              <w:t>转回或收回前累计已计</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after="0" w:line="240" w:lineRule="auto"/>
        <w:jc w:val="left"/>
        <w:rPr>
          <w:rFonts w:ascii="宋体" w:hAnsi="宋体" w:cs="宋体" w:eastAsia="宋体" w:hint="default"/>
          <w:sz w:val="18"/>
          <w:szCs w:val="18"/>
        </w:rPr>
        <w:sectPr>
          <w:type w:val="continuous"/>
          <w:pgSz w:w="11910" w:h="16840"/>
          <w:pgMar w:top="1080" w:bottom="120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363"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3" w:right="0"/>
              <w:jc w:val="left"/>
              <w:rPr>
                <w:rFonts w:ascii="宋体" w:hAnsi="宋体" w:cs="宋体" w:eastAsia="宋体" w:hint="default"/>
                <w:sz w:val="18"/>
                <w:szCs w:val="18"/>
              </w:rPr>
            </w:pPr>
            <w:r>
              <w:rPr>
                <w:rFonts w:ascii="宋体" w:hAnsi="宋体" w:cs="宋体" w:eastAsia="宋体" w:hint="default"/>
                <w:sz w:val="18"/>
                <w:szCs w:val="18"/>
              </w:rPr>
              <w:t>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0"/>
        <w:jc w:val="left"/>
      </w:pPr>
      <w:r>
        <w:rPr/>
        <w:t>期末单项金额重大或虽不重大但单独进行减值测试的应收账款坏账准备计提</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0"/>
        <w:ind w:right="0"/>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594"/>
        <w:gridCol w:w="1861"/>
        <w:gridCol w:w="1728"/>
      </w:tblGrid>
      <w:tr>
        <w:trPr>
          <w:trHeight w:val="403"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中国联合网络通信有限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64,372,230.00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中国联合网络通信有限 公司辽宁省分公司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7,352,400.00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中国电信股份有限公司 陕西分公司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6,341,000.00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中国电信集团公司内蒙 古网络资产分公司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5,676,640.00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中国联合网络通信有限 公司北京市分公司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5,625,627.60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89,367,897.60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58.03%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846;top:14;width:2;height:394" coordorigin="3846,14" coordsize="2,394">
              <v:shape style="position:absolute;left:3846;top:14;width:2;height:394" coordorigin="3846,14" coordsize="0,394" path="m3846,14l3846,408e" filled="false" stroked="true" strokeweight="1.2pt" strokecolor="#d2d2d2">
                <v:path arrowok="t"/>
              </v:shape>
            </v:group>
            <v:group style="position:absolute;left:34;top:14;width:3801;height:394" coordorigin="34,14" coordsize="3801,394">
              <v:shape style="position:absolute;left:34;top:14;width:3801;height:394" coordorigin="34,14" coordsize="3801,394" path="m34,408l3834,408,3834,14,34,14,34,408xe" filled="true" fillcolor="#d2d2d2" stroked="false">
                <v:path arrowok="t"/>
                <v:fill type="solid"/>
              </v:shape>
            </v:group>
            <v:group style="position:absolute;left:3879;top:14;width:2;height:394" coordorigin="3879,14" coordsize="2,394">
              <v:shape style="position:absolute;left:3879;top:14;width:2;height:394" coordorigin="3879,14" coordsize="0,394" path="m3879,14l3879,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3891;top:14;width:5656;height:394" coordorigin="3891,14" coordsize="5656,394">
              <v:shape style="position:absolute;left:3891;top:14;width:5656;height:394" coordorigin="3891,14" coordsize="5656,394" path="m3891,408l9547,408,9547,14,3891,14,3891,408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8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8pt" strokecolor="#000000">
                <v:path arrowok="t"/>
              </v:shape>
            </v:group>
            <v:group style="position:absolute;left:3863;top:5;width:2;height:413" coordorigin="3863,5" coordsize="2,413">
              <v:shape style="position:absolute;left:3863;top:5;width:2;height:413" coordorigin="3863,5" coordsize="0,413" path="m3863,5l3863,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849;height:2" coordorigin="10,413" coordsize="3849,2">
              <v:shape style="position:absolute;left:10;top:413;width:3849;height:2" coordorigin="10,413" coordsize="3849,0" path="m10,413l3858,413e" filled="false" stroked="true" strokeweight=".48pt" strokecolor="#000000">
                <v:path arrowok="t"/>
              </v:shape>
            </v:group>
            <v:group style="position:absolute;left:3867;top:413;width:5704;height:2" coordorigin="3867,413" coordsize="5704,2">
              <v:shape style="position:absolute;left:3867;top:413;width:5704;height:2" coordorigin="3867,413" coordsize="5704,0" path="m3867,413l9571,413e" filled="false" stroked="true" strokeweight=".48pt" strokecolor="#000000">
                <v:path arrowok="t"/>
              </v:shape>
            </v:group>
            <v:group style="position:absolute;left:23;top:818;width:2;height:394" coordorigin="23,818" coordsize="2,394">
              <v:shape style="position:absolute;left:23;top:818;width:2;height:394" coordorigin="23,818" coordsize="0,394" path="m23,818l23,1212e" filled="false" stroked="true" strokeweight="1.08pt" strokecolor="#d2d2d2">
                <v:path arrowok="t"/>
              </v:shape>
            </v:group>
            <v:group style="position:absolute;left:9559;top:818;width:2;height:394" coordorigin="9559,818" coordsize="2,394">
              <v:shape style="position:absolute;left:9559;top:818;width:2;height:394" coordorigin="9559,818" coordsize="0,394" path="m9559,818l9559,1212e" filled="false" stroked="true" strokeweight="1.2pt" strokecolor="#d2d2d2">
                <v:path arrowok="t"/>
              </v:shape>
            </v:group>
            <v:group style="position:absolute;left:34;top:818;width:9514;height:394" coordorigin="34,818" coordsize="9514,394">
              <v:shape style="position:absolute;left:34;top:818;width:9514;height:394" coordorigin="34,818" coordsize="9514,394" path="m34,1212l9547,1212,9547,818,34,818,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pt" strokecolor="#000000">
                <v:path arrowok="t"/>
              </v:shape>
              <v:shape style="position:absolute;left:175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0;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2"/>
        <w:rPr>
          <w:rFonts w:ascii="宋体" w:hAnsi="宋体" w:cs="宋体" w:eastAsia="宋体" w:hint="default"/>
          <w:sz w:val="18"/>
          <w:szCs w:val="18"/>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1026"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2,913,499.00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17.19%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14,666,030.6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241,068.27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14,014,969.0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82.68%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169,495.09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14,666,030.6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241,068.27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14,014,969.0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82.68%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169,495.09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w:t>
            </w:r>
          </w:p>
        </w:tc>
      </w:tr>
      <w:tr>
        <w:trPr>
          <w:trHeight w:val="102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23,292.75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14,666,030.6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241,068.27</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16,951,760.8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169,495.09</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26"/>
          <w:pgSz w:w="11910" w:h="16840"/>
          <w:pgMar w:footer="1006" w:header="772" w:top="1080" w:bottom="1200" w:left="980" w:right="980"/>
          <w:pgNumType w:start="120"/>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3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80" w:bottom="1200" w:left="980" w:right="980"/>
          <w:cols w:num="2" w:equalWidth="0">
            <w:col w:w="4293" w:space="4536"/>
            <w:col w:w="1121"/>
          </w:cols>
        </w:sectPr>
      </w:pPr>
    </w:p>
    <w:p>
      <w:pPr>
        <w:spacing w:line="240" w:lineRule="auto" w:before="6"/>
        <w:rPr>
          <w:rFonts w:ascii="宋体" w:hAnsi="宋体" w:cs="宋体" w:eastAsia="宋体"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1830"/>
        <w:gridCol w:w="1853"/>
        <w:gridCol w:w="652"/>
        <w:gridCol w:w="1453"/>
        <w:gridCol w:w="1450"/>
        <w:gridCol w:w="652"/>
        <w:gridCol w:w="1668"/>
      </w:tblGrid>
      <w:tr>
        <w:trPr>
          <w:trHeight w:val="402" w:hRule="exact"/>
        </w:trPr>
        <w:tc>
          <w:tcPr>
            <w:tcW w:w="1830" w:type="dxa"/>
            <w:vMerge w:val="restart"/>
            <w:tcBorders>
              <w:top w:val="single" w:sz="4" w:space="0" w:color="000000"/>
              <w:left w:val="single" w:sz="4" w:space="0" w:color="000000"/>
              <w:right w:val="single" w:sz="4" w:space="0" w:color="000000"/>
            </w:tcBorders>
            <w:shd w:val="clear" w:color="auto" w:fill="D2D2D2"/>
          </w:tcPr>
          <w:p>
            <w:pPr/>
          </w:p>
        </w:tc>
        <w:tc>
          <w:tcPr>
            <w:tcW w:w="39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1830" w:type="dxa"/>
            <w:vMerge/>
            <w:tcBorders>
              <w:left w:val="single" w:sz="4" w:space="0" w:color="000000"/>
              <w:bottom w:val="nil" w:sz="6" w:space="0" w:color="auto"/>
              <w:right w:val="single" w:sz="4" w:space="0" w:color="000000"/>
            </w:tcBorders>
            <w:shd w:val="clear" w:color="auto" w:fill="D2D2D2"/>
          </w:tcPr>
          <w:p>
            <w:pPr/>
          </w:p>
        </w:tc>
        <w:tc>
          <w:tcPr>
            <w:tcW w:w="25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3" w:type="dxa"/>
            <w:vMerge w:val="restart"/>
            <w:tcBorders>
              <w:top w:val="single" w:sz="4" w:space="0" w:color="000000"/>
              <w:left w:val="single" w:sz="4" w:space="0" w:color="000000"/>
              <w:right w:val="single" w:sz="4" w:space="0" w:color="000000"/>
            </w:tcBorders>
            <w:shd w:val="clear" w:color="auto" w:fill="D2D2D2"/>
          </w:tcPr>
          <w:p>
            <w:pPr/>
          </w:p>
        </w:tc>
        <w:tc>
          <w:tcPr>
            <w:tcW w:w="21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8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506" w:type="dxa"/>
            <w:gridSpan w:val="2"/>
            <w:vMerge/>
            <w:tcBorders>
              <w:left w:val="single" w:sz="4" w:space="0" w:color="000000"/>
              <w:bottom w:val="single" w:sz="4" w:space="0" w:color="000000"/>
              <w:right w:val="single" w:sz="4" w:space="0" w:color="000000"/>
            </w:tcBorders>
            <w:shd w:val="clear" w:color="auto" w:fill="D2D2D2"/>
          </w:tcPr>
          <w:p>
            <w:pPr/>
          </w:p>
        </w:tc>
        <w:tc>
          <w:tcPr>
            <w:tcW w:w="1453" w:type="dxa"/>
            <w:vMerge/>
            <w:tcBorders>
              <w:left w:val="single" w:sz="4" w:space="0" w:color="000000"/>
              <w:bottom w:val="nil" w:sz="6" w:space="0" w:color="auto"/>
              <w:right w:val="single" w:sz="4" w:space="0" w:color="000000"/>
            </w:tcBorders>
            <w:shd w:val="clear" w:color="auto" w:fill="D2D2D2"/>
          </w:tcPr>
          <w:p>
            <w:pPr/>
          </w:p>
        </w:tc>
        <w:tc>
          <w:tcPr>
            <w:tcW w:w="2102" w:type="dxa"/>
            <w:gridSpan w:val="2"/>
            <w:vMerge/>
            <w:tcBorders>
              <w:left w:val="single" w:sz="4" w:space="0" w:color="000000"/>
              <w:bottom w:val="single" w:sz="4" w:space="0" w:color="000000"/>
              <w:right w:val="single" w:sz="4" w:space="0" w:color="000000"/>
            </w:tcBorders>
            <w:shd w:val="clear" w:color="auto" w:fill="D2D2D2"/>
          </w:tcPr>
          <w:p>
            <w:pPr/>
          </w:p>
        </w:tc>
        <w:tc>
          <w:tcPr>
            <w:tcW w:w="1668"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30" w:type="dxa"/>
            <w:vMerge/>
            <w:tcBorders>
              <w:left w:val="single" w:sz="4" w:space="0" w:color="000000"/>
              <w:bottom w:val="single" w:sz="4" w:space="0" w:color="FFFFFF"/>
              <w:right w:val="single" w:sz="4" w:space="0" w:color="000000"/>
            </w:tcBorders>
            <w:shd w:val="clear" w:color="auto" w:fill="D2D2D2"/>
          </w:tcPr>
          <w:p>
            <w:pPr/>
          </w:p>
        </w:tc>
        <w:tc>
          <w:tcPr>
            <w:tcW w:w="185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6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830" w:type="dxa"/>
            <w:vMerge w:val="restart"/>
            <w:tcBorders>
              <w:top w:val="single" w:sz="4" w:space="0" w:color="FFFFFF"/>
              <w:left w:val="single" w:sz="4" w:space="0" w:color="000000"/>
              <w:right w:val="single" w:sz="4" w:space="0" w:color="000000"/>
            </w:tcBorders>
            <w:shd w:val="clear" w:color="auto" w:fill="D2D2D2"/>
          </w:tcPr>
          <w:p>
            <w:pPr/>
          </w:p>
        </w:tc>
        <w:tc>
          <w:tcPr>
            <w:tcW w:w="185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2D2D2"/>
          </w:tcPr>
          <w:p>
            <w:pPr/>
          </w:p>
        </w:tc>
        <w:tc>
          <w:tcPr>
            <w:tcW w:w="1453"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2D2D2"/>
          </w:tcPr>
          <w:p>
            <w:pPr/>
          </w:p>
        </w:tc>
        <w:tc>
          <w:tcPr>
            <w:tcW w:w="1668"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830" w:type="dxa"/>
            <w:vMerge/>
            <w:tcBorders>
              <w:left w:val="single" w:sz="4" w:space="0" w:color="000000"/>
              <w:right w:val="single" w:sz="4" w:space="0" w:color="000000"/>
            </w:tcBorders>
            <w:shd w:val="clear" w:color="auto" w:fill="D2D2D2"/>
          </w:tcPr>
          <w:p>
            <w:pPr/>
          </w:p>
        </w:tc>
        <w:tc>
          <w:tcPr>
            <w:tcW w:w="1853"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1453"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1668" w:type="dxa"/>
            <w:vMerge w:val="restart"/>
            <w:tcBorders>
              <w:top w:val="nil" w:sz="6" w:space="0" w:color="auto"/>
              <w:left w:val="single" w:sz="4" w:space="0" w:color="000000"/>
              <w:right w:val="single" w:sz="4" w:space="0" w:color="000000"/>
            </w:tcBorders>
            <w:shd w:val="clear" w:color="auto" w:fill="D2D2D2"/>
          </w:tcPr>
          <w:p>
            <w:pPr/>
          </w:p>
        </w:tc>
      </w:tr>
      <w:tr>
        <w:trPr>
          <w:trHeight w:val="162" w:hRule="exact"/>
        </w:trPr>
        <w:tc>
          <w:tcPr>
            <w:tcW w:w="1830" w:type="dxa"/>
            <w:vMerge/>
            <w:tcBorders>
              <w:left w:val="single" w:sz="4" w:space="0" w:color="000000"/>
              <w:bottom w:val="single" w:sz="5" w:space="0" w:color="FFFFFF"/>
              <w:right w:val="single" w:sz="4" w:space="0" w:color="000000"/>
            </w:tcBorders>
            <w:shd w:val="clear" w:color="auto" w:fill="D2D2D2"/>
          </w:tcPr>
          <w:p>
            <w:pPr/>
          </w:p>
        </w:tc>
        <w:tc>
          <w:tcPr>
            <w:tcW w:w="1853" w:type="dxa"/>
            <w:tcBorders>
              <w:top w:val="nil" w:sz="6" w:space="0" w:color="auto"/>
              <w:left w:val="single" w:sz="4" w:space="0" w:color="000000"/>
              <w:bottom w:val="single" w:sz="5" w:space="0" w:color="FFFFFF"/>
              <w:right w:val="single" w:sz="4" w:space="0" w:color="000000"/>
            </w:tcBorders>
            <w:shd w:val="clear" w:color="auto" w:fill="D2D2D2"/>
          </w:tcPr>
          <w:p>
            <w:pPr/>
          </w:p>
        </w:tc>
        <w:tc>
          <w:tcPr>
            <w:tcW w:w="652" w:type="dxa"/>
            <w:vMerge/>
            <w:tcBorders>
              <w:left w:val="single" w:sz="4" w:space="0" w:color="000000"/>
              <w:bottom w:val="single" w:sz="5" w:space="0" w:color="FFFFFF"/>
              <w:right w:val="single" w:sz="4" w:space="0" w:color="000000"/>
            </w:tcBorders>
            <w:shd w:val="clear" w:color="auto" w:fill="D2D2D2"/>
          </w:tcPr>
          <w:p>
            <w:pPr/>
          </w:p>
        </w:tc>
        <w:tc>
          <w:tcPr>
            <w:tcW w:w="1453" w:type="dxa"/>
            <w:vMerge/>
            <w:tcBorders>
              <w:left w:val="single" w:sz="4" w:space="0" w:color="000000"/>
              <w:bottom w:val="single" w:sz="5" w:space="0" w:color="FFFFFF"/>
              <w:right w:val="single" w:sz="4" w:space="0" w:color="000000"/>
            </w:tcBorders>
            <w:shd w:val="clear" w:color="auto" w:fill="D2D2D2"/>
          </w:tcPr>
          <w:p>
            <w:pPr/>
          </w:p>
        </w:tc>
        <w:tc>
          <w:tcPr>
            <w:tcW w:w="1450" w:type="dxa"/>
            <w:tcBorders>
              <w:top w:val="nil" w:sz="6" w:space="0" w:color="auto"/>
              <w:left w:val="single" w:sz="4" w:space="0" w:color="000000"/>
              <w:bottom w:val="single" w:sz="5" w:space="0" w:color="FFFFFF"/>
              <w:right w:val="single" w:sz="4" w:space="0" w:color="000000"/>
            </w:tcBorders>
            <w:shd w:val="clear" w:color="auto" w:fill="D2D2D2"/>
          </w:tcPr>
          <w:p>
            <w:pPr/>
          </w:p>
        </w:tc>
        <w:tc>
          <w:tcPr>
            <w:tcW w:w="652" w:type="dxa"/>
            <w:vMerge/>
            <w:tcBorders>
              <w:left w:val="single" w:sz="4" w:space="0" w:color="000000"/>
              <w:bottom w:val="single" w:sz="5" w:space="0" w:color="FFFFFF"/>
              <w:right w:val="single" w:sz="4" w:space="0" w:color="000000"/>
            </w:tcBorders>
            <w:shd w:val="clear" w:color="auto" w:fill="D2D2D2"/>
          </w:tcPr>
          <w:p>
            <w:pPr/>
          </w:p>
        </w:tc>
        <w:tc>
          <w:tcPr>
            <w:tcW w:w="1668" w:type="dxa"/>
            <w:vMerge/>
            <w:tcBorders>
              <w:left w:val="single" w:sz="4" w:space="0" w:color="000000"/>
              <w:bottom w:val="single" w:sz="5" w:space="0" w:color="FFFFFF"/>
              <w:right w:val="single" w:sz="4" w:space="0" w:color="000000"/>
            </w:tcBorders>
            <w:shd w:val="clear" w:color="auto" w:fill="D2D2D2"/>
          </w:tcPr>
          <w:p>
            <w:pPr/>
          </w:p>
        </w:tc>
      </w:tr>
      <w:tr>
        <w:trPr>
          <w:trHeight w:val="397" w:hRule="exact"/>
        </w:trPr>
        <w:tc>
          <w:tcPr>
            <w:tcW w:w="9559" w:type="dxa"/>
            <w:gridSpan w:val="7"/>
            <w:tcBorders>
              <w:top w:val="single" w:sz="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13,979,342.29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95.32%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139,793.43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13,688,909.07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97.67%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136,889.09</w:t>
            </w: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360,628.40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33,380.24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326,060.00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32,606.00</w:t>
            </w: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326,060.00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67,894.60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14,666,030.69</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241,068.27</w:t>
            </w:r>
          </w:p>
        </w:tc>
        <w:tc>
          <w:tcPr>
            <w:tcW w:w="14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14,014,969.07</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169,495.09</w:t>
            </w:r>
          </w:p>
        </w:tc>
      </w:tr>
    </w:tbl>
    <w:p>
      <w:pPr>
        <w:pStyle w:val="BodyText"/>
        <w:spacing w:line="240" w:lineRule="auto" w:before="49"/>
        <w:ind w:right="0"/>
        <w:jc w:val="left"/>
      </w:pPr>
      <w:r>
        <w:rPr/>
        <w:t>组合中，采用余额百分比法计提坏账准备的其他应收款</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0"/>
        <w:gridCol w:w="1712"/>
        <w:gridCol w:w="1865"/>
        <w:gridCol w:w="1918"/>
        <w:gridCol w:w="1884"/>
      </w:tblGrid>
      <w:tr>
        <w:trPr>
          <w:trHeight w:val="714"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0"/>
        <w:ind w:right="0"/>
        <w:jc w:val="left"/>
      </w:pPr>
      <w:r>
        <w:rPr/>
        <w:t>期末单项金额重大或虽不重大但单独进行减值测试的其他应收账款坏账准备计提</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0"/>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49"/>
        <w:ind w:right="0"/>
        <w:jc w:val="left"/>
      </w:pPr>
      <w:r>
        <w:rPr/>
        <w:t>其他应收款核销说明</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1915"/>
        <w:gridCol w:w="2859"/>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pStyle w:val="BodyText"/>
        <w:spacing w:line="240" w:lineRule="auto" w:before="49"/>
        <w:ind w:right="0"/>
        <w:jc w:val="left"/>
      </w:pPr>
      <w:r>
        <w:rPr/>
        <w:t>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叶青大厦物业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3,020,590.00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中国联合网络通信有限 公司松原市分公司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1,265,900.00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8.63%</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中国联合网络通信有限 公司吉林省分公司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中国联合网络通信有限 公司长春市分公司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398,117.00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牙克石市大型五金建材 经销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5,524,607.00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37.67%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4"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2"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after="0" w:line="240" w:lineRule="auto"/>
        <w:jc w:val="left"/>
        <w:rPr>
          <w:rFonts w:ascii="宋体" w:hAnsi="宋体" w:cs="宋体" w:eastAsia="宋体" w:hint="default"/>
          <w:sz w:val="18"/>
          <w:szCs w:val="18"/>
        </w:rPr>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713;top:14;width:2;height:394" coordorigin="3713,14" coordsize="2,394">
              <v:shape style="position:absolute;left:3713;top:14;width:2;height:394" coordorigin="3713,14" coordsize="0,394" path="m3713,14l3713,408e" filled="false" stroked="true" strokeweight="1.08pt" strokecolor="#d2d2d2">
                <v:path arrowok="t"/>
              </v:shape>
            </v:group>
            <v:group style="position:absolute;left:34;top:14;width:3669;height:394" coordorigin="34,14" coordsize="3669,394">
              <v:shape style="position:absolute;left:34;top:14;width:3669;height:394" coordorigin="34,14" coordsize="3669,394" path="m34,408l3702,408,3702,14,34,14,34,408xe" filled="true" fillcolor="#d2d2d2" stroked="false">
                <v:path arrowok="t"/>
                <v:fill type="solid"/>
              </v:shape>
            </v:group>
            <v:group style="position:absolute;left:3745;top:14;width:2;height:394" coordorigin="3745,14" coordsize="2,394">
              <v:shape style="position:absolute;left:3745;top:14;width:2;height:394" coordorigin="3745,14" coordsize="0,394" path="m3745,14l3745,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3757;top:14;width:5790;height:394" coordorigin="3757,14" coordsize="5790,394">
              <v:shape style="position:absolute;left:3757;top:14;width:5790;height:394" coordorigin="3757,14" coordsize="5790,394" path="m3757,408l9547,408,9547,14,3757,14,3757,408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8pt" strokecolor="#000000">
                <v:path arrowok="t"/>
              </v:shape>
            </v:group>
            <v:group style="position:absolute;left:3728;top:5;width:2;height:413" coordorigin="3728,5" coordsize="2,413">
              <v:shape style="position:absolute;left:3728;top:5;width:2;height:413" coordorigin="3728,5" coordsize="0,413" path="m3728,5l3728,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714;height:2" coordorigin="10,413" coordsize="3714,2">
              <v:shape style="position:absolute;left:10;top:413;width:3714;height:2" coordorigin="10,413" coordsize="3714,0" path="m10,413l3723,413e" filled="false" stroked="true" strokeweight=".48pt" strokecolor="#000000">
                <v:path arrowok="t"/>
              </v:shape>
            </v:group>
            <v:group style="position:absolute;left:3733;top:413;width:5838;height:2" coordorigin="3733,413" coordsize="5838,2">
              <v:shape style="position:absolute;left:3733;top:413;width:5838;height:2" coordorigin="3733,413" coordsize="5838,0" path="m3733,413l9571,413e" filled="false" stroked="true" strokeweight=".48pt" strokecolor="#000000">
                <v:path arrowok="t"/>
              </v:shape>
            </v:group>
            <v:group style="position:absolute;left:23;top:818;width:2;height:394" coordorigin="23,818" coordsize="2,394">
              <v:shape style="position:absolute;left:23;top:818;width:2;height:394" coordorigin="23,818" coordsize="0,394" path="m23,818l23,1212e" filled="false" stroked="true" strokeweight="1.08pt" strokecolor="#d2d2d2">
                <v:path arrowok="t"/>
              </v:shape>
            </v:group>
            <v:group style="position:absolute;left:9559;top:818;width:2;height:394" coordorigin="9559,818" coordsize="2,394">
              <v:shape style="position:absolute;left:9559;top:818;width:2;height:394" coordorigin="9559,818" coordsize="0,394" path="m9559,818l9559,1212e" filled="false" stroked="true" strokeweight="1.2pt" strokecolor="#d2d2d2">
                <v:path arrowok="t"/>
              </v:shape>
            </v:group>
            <v:group style="position:absolute;left:34;top:818;width:9514;height:394" coordorigin="34,818" coordsize="9514,394">
              <v:shape style="position:absolute;left:34;top:818;width:9514;height:394" coordorigin="34,818" coordsize="9514,394" path="m34,1212l9547,1212,9547,818,34,818,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pt" strokecolor="#000000">
                <v:path arrowok="t"/>
              </v:shape>
              <v:shape style="position:absolute;left:168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4"/>
        <w:gridCol w:w="3187"/>
        <w:gridCol w:w="1064"/>
        <w:gridCol w:w="3053"/>
        <w:gridCol w:w="1063"/>
      </w:tblGrid>
      <w:tr>
        <w:trPr>
          <w:trHeight w:val="206" w:hRule="exact"/>
        </w:trPr>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204"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103,807,088.19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103,894,588.19</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1,419,500.00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预付款项账龄的说明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北京市土地整理储备中 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93,613,013.75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预付土地出让金</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联通华盛通信有限公司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3,844,747.14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中国邮电器材集团公司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天音通信有限公司北京 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1,626,500.00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北京市宣武华夏市政工 程有限责任公司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101,574,260.89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36" w:lineRule="auto" w:before="49"/>
        <w:ind w:left="573" w:right="3593" w:hanging="421"/>
        <w:jc w:val="left"/>
      </w:pPr>
      <w:r>
        <w:rPr/>
        <w:t>预付款项主要单位的说明 本公司期末无预付持公司</w:t>
      </w:r>
      <w:r>
        <w:rPr>
          <w:rFonts w:ascii="宋体" w:hAnsi="宋体" w:cs="宋体" w:eastAsia="宋体" w:hint="default"/>
        </w:rPr>
        <w:t>5%</w:t>
      </w:r>
      <w:r>
        <w:rPr/>
        <w:t>（含</w:t>
      </w:r>
      <w:r>
        <w:rPr>
          <w:rFonts w:ascii="宋体" w:hAnsi="宋体" w:cs="宋体" w:eastAsia="宋体" w:hint="default"/>
        </w:rPr>
        <w:t>5%</w:t>
      </w:r>
      <w:r>
        <w:rPr/>
        <w:t>）以上表决权股份的股东单位的款项。</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729"/>
        <w:gridCol w:w="1728"/>
      </w:tblGrid>
      <w:tr>
        <w:trPr>
          <w:trHeight w:val="402"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462"/>
        <w:gridCol w:w="1193"/>
        <w:gridCol w:w="1330"/>
        <w:gridCol w:w="1327"/>
        <w:gridCol w:w="1330"/>
        <w:gridCol w:w="132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11,212,114.23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11,212,114.23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238,352.00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238,352.00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4,059,478.10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4,059,478.10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1,215,197.24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1,215,197.24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15,271,592.33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15,271,592.33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1,453,549.24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1,453,549.24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7"/>
        <w:gridCol w:w="1616"/>
        <w:gridCol w:w="1615"/>
        <w:gridCol w:w="1414"/>
        <w:gridCol w:w="1431"/>
        <w:gridCol w:w="1757"/>
      </w:tblGrid>
      <w:tr>
        <w:trPr>
          <w:trHeight w:val="403" w:hRule="exact"/>
        </w:trPr>
        <w:tc>
          <w:tcPr>
            <w:tcW w:w="1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1737"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c>
          <w:tcPr>
            <w:tcW w:w="1615" w:type="dxa"/>
            <w:vMerge/>
            <w:tcBorders>
              <w:left w:val="single" w:sz="4" w:space="0" w:color="000000"/>
              <w:bottom w:val="single" w:sz="4" w:space="0" w:color="000000"/>
              <w:right w:val="single" w:sz="4" w:space="0" w:color="000000"/>
            </w:tcBorders>
            <w:shd w:val="clear" w:color="auto" w:fill="D2D2D2"/>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6" w:right="9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49"/>
        <w:ind w:right="0"/>
        <w:jc w:val="left"/>
      </w:pPr>
      <w:r>
        <w:rPr/>
        <w:t>存货的说明</w:t>
      </w:r>
    </w:p>
    <w:p>
      <w:pPr>
        <w:spacing w:line="240" w:lineRule="auto" w:before="11"/>
        <w:rPr>
          <w:rFonts w:ascii="宋体" w:hAnsi="宋体" w:cs="宋体" w:eastAsia="宋体" w:hint="default"/>
          <w:sz w:val="14"/>
          <w:szCs w:val="14"/>
        </w:rPr>
      </w:pPr>
    </w:p>
    <w:p>
      <w:pPr>
        <w:pStyle w:val="BodyText"/>
        <w:spacing w:line="240" w:lineRule="auto"/>
        <w:ind w:left="573" w:right="0"/>
        <w:jc w:val="left"/>
      </w:pPr>
      <w:r>
        <w:rPr/>
        <w:t>公司存货经检查测试无减值事项，故未计提存货跌价准备。</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56"/>
        <w:gridCol w:w="2924"/>
        <w:gridCol w:w="3178"/>
      </w:tblGrid>
      <w:tr>
        <w:trPr>
          <w:trHeight w:val="403" w:hRule="exact"/>
        </w:trPr>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0"/>
        <w:jc w:val="left"/>
      </w:pPr>
      <w:r>
        <w:rPr/>
        <w:t>其他流动资产说明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可供出售债券</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94"/>
        <w:jc w:val="left"/>
      </w:pPr>
      <w:r>
        <w:rPr>
          <w:spacing w:val="-4"/>
        </w:rPr>
        <w:t>本期将持有至到期投资重分类为可供出售金融资产的，本期重分类的金额元，该金额占重分类前持有至到期投资总额的比例。</w:t>
      </w:r>
      <w:r>
        <w:rPr>
          <w:spacing w:val="-44"/>
        </w:rPr>
        <w:t> </w:t>
      </w:r>
      <w:r>
        <w:rPr>
          <w:spacing w:val="-44"/>
        </w:rPr>
      </w:r>
      <w:r>
        <w:rPr/>
        <w:t>可供出售金融资产的说明</w:t>
      </w:r>
    </w:p>
    <w:p>
      <w:pPr>
        <w:pStyle w:val="BodyText"/>
        <w:spacing w:line="240" w:lineRule="auto" w:before="29"/>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1"/>
        <w:gridCol w:w="1064"/>
        <w:gridCol w:w="1063"/>
        <w:gridCol w:w="1063"/>
        <w:gridCol w:w="1064"/>
        <w:gridCol w:w="1063"/>
      </w:tblGrid>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75"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4"/>
        <w:jc w:val="left"/>
      </w:pPr>
      <w:r>
        <w:rPr/>
        <w:t>可供出售金融资产的长期债权投资的说明</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3"/>
        <w:gridCol w:w="3190"/>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4"/>
        <w:jc w:val="left"/>
      </w:pPr>
      <w:r>
        <w:rPr/>
        <w:t>持有至到期投资的说明</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7"/>
        <w:gridCol w:w="2792"/>
        <w:gridCol w:w="3982"/>
      </w:tblGrid>
      <w:tr>
        <w:trPr>
          <w:trHeight w:val="401" w:hRule="exact"/>
        </w:trPr>
        <w:tc>
          <w:tcPr>
            <w:tcW w:w="2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4" w:hRule="exact"/>
        </w:trPr>
        <w:tc>
          <w:tcPr>
            <w:tcW w:w="2797" w:type="dxa"/>
            <w:tcBorders>
              <w:top w:val="single" w:sz="4" w:space="0" w:color="000000"/>
              <w:left w:val="single" w:sz="4" w:space="0" w:color="000000"/>
              <w:bottom w:val="single" w:sz="4" w:space="0" w:color="000000"/>
              <w:right w:val="single" w:sz="4" w:space="0" w:color="000000"/>
            </w:tcBorders>
          </w:tcPr>
          <w:p>
            <w:pP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4"/>
        <w:jc w:val="left"/>
      </w:pPr>
      <w:r>
        <w:rPr/>
        <w:t>本报告期内出售但尚未到期的持有至到期投资情况说明</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3324"/>
        <w:gridCol w:w="3442"/>
      </w:tblGrid>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72" w:footer="1006" w:top="1080" w:bottom="1200" w:left="980" w:right="94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102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3"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49"/>
        <w:ind w:right="0"/>
        <w:jc w:val="left"/>
      </w:pPr>
      <w:r>
        <w:rPr/>
        <w:t>合营企业、联营企业的重要会计政策、会计估计与公司的会计政策、会计估计存在重大差异的说明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799"/>
        <w:gridCol w:w="797"/>
      </w:tblGrid>
      <w:tr>
        <w:trPr>
          <w:trHeight w:val="1963"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9" w:right="60"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pStyle w:val="BodyText"/>
        <w:spacing w:line="240" w:lineRule="auto" w:before="49"/>
        <w:ind w:right="0"/>
        <w:jc w:val="left"/>
      </w:pPr>
      <w:r>
        <w:rPr/>
        <w:t>长期股权投资的说明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3"/>
        <w:gridCol w:w="1860"/>
        <w:gridCol w:w="2127"/>
      </w:tblGrid>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四、投资性房地产减</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3"/>
        <w:gridCol w:w="1860"/>
        <w:gridCol w:w="2127"/>
      </w:tblGrid>
      <w:tr>
        <w:trPr>
          <w:trHeight w:val="36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值准备累计金额合计</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8"/>
        <w:gridCol w:w="4221"/>
      </w:tblGrid>
      <w:tr>
        <w:trPr>
          <w:trHeight w:val="401"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44"/>
        <w:gridCol w:w="1011"/>
        <w:gridCol w:w="1010"/>
        <w:gridCol w:w="1011"/>
        <w:gridCol w:w="1010"/>
        <w:gridCol w:w="1010"/>
        <w:gridCol w:w="1018"/>
        <w:gridCol w:w="955"/>
      </w:tblGrid>
      <w:tr>
        <w:trPr>
          <w:trHeight w:val="206" w:hRule="exact"/>
        </w:trPr>
        <w:tc>
          <w:tcPr>
            <w:tcW w:w="2544" w:type="dxa"/>
            <w:vMerge w:val="restart"/>
            <w:tcBorders>
              <w:top w:val="single" w:sz="4" w:space="0" w:color="000000"/>
              <w:left w:val="single" w:sz="4" w:space="0" w:color="000000"/>
              <w:right w:val="single" w:sz="4" w:space="0" w:color="000000"/>
            </w:tcBorders>
            <w:shd w:val="clear" w:color="auto" w:fill="D2D2D2"/>
          </w:tcPr>
          <w:p>
            <w:pPr/>
          </w:p>
        </w:tc>
        <w:tc>
          <w:tcPr>
            <w:tcW w:w="101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3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3" w:hRule="exact"/>
        </w:trPr>
        <w:tc>
          <w:tcPr>
            <w:tcW w:w="2544" w:type="dxa"/>
            <w:vMerge/>
            <w:tcBorders>
              <w:left w:val="single" w:sz="4" w:space="0" w:color="000000"/>
              <w:bottom w:val="nil" w:sz="6" w:space="0" w:color="auto"/>
              <w:right w:val="single" w:sz="4" w:space="0" w:color="000000"/>
            </w:tcBorders>
            <w:shd w:val="clear" w:color="auto" w:fill="D2D2D2"/>
          </w:tcPr>
          <w:p>
            <w:pPr/>
          </w:p>
        </w:tc>
        <w:tc>
          <w:tcPr>
            <w:tcW w:w="101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13"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vMerge/>
            <w:tcBorders>
              <w:left w:val="single" w:sz="4" w:space="0" w:color="000000"/>
              <w:bottom w:val="single" w:sz="4" w:space="0" w:color="000000"/>
              <w:right w:val="single" w:sz="4" w:space="0" w:color="000000"/>
            </w:tcBorders>
            <w:shd w:val="clear" w:color="auto" w:fill="D2D2D2"/>
          </w:tcPr>
          <w:p>
            <w:pPr/>
          </w:p>
        </w:tc>
        <w:tc>
          <w:tcPr>
            <w:tcW w:w="2029" w:type="dxa"/>
            <w:gridSpan w:val="2"/>
            <w:vMerge/>
            <w:tcBorders>
              <w:left w:val="single" w:sz="4" w:space="0" w:color="000000"/>
              <w:bottom w:val="single" w:sz="4" w:space="0" w:color="000000"/>
              <w:right w:val="single" w:sz="4" w:space="0" w:color="000000"/>
            </w:tcBorders>
            <w:shd w:val="clear" w:color="auto" w:fill="D2D2D2"/>
          </w:tcPr>
          <w:p>
            <w:pPr/>
          </w:p>
        </w:tc>
        <w:tc>
          <w:tcPr>
            <w:tcW w:w="95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182" w:hRule="exact"/>
        </w:trPr>
        <w:tc>
          <w:tcPr>
            <w:tcW w:w="25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1" w:type="dxa"/>
            <w:vMerge/>
            <w:tcBorders>
              <w:left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324" w:right="51"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right w:val="single" w:sz="4" w:space="0" w:color="000000"/>
            </w:tcBorders>
            <w:shd w:val="clear" w:color="auto" w:fill="D2D2D2"/>
          </w:tcPr>
          <w:p>
            <w:pPr/>
          </w:p>
        </w:tc>
      </w:tr>
      <w:tr>
        <w:trPr>
          <w:trHeight w:val="192" w:hRule="exact"/>
        </w:trPr>
        <w:tc>
          <w:tcPr>
            <w:tcW w:w="2544" w:type="dxa"/>
            <w:vMerge/>
            <w:tcBorders>
              <w:left w:val="single" w:sz="4" w:space="0" w:color="000000"/>
              <w:bottom w:val="nil" w:sz="6" w:space="0" w:color="auto"/>
              <w:right w:val="single" w:sz="4" w:space="0" w:color="000000"/>
            </w:tcBorders>
            <w:shd w:val="clear" w:color="auto" w:fill="D2D2D2"/>
          </w:tcPr>
          <w:p>
            <w:pPr/>
          </w:p>
        </w:tc>
        <w:tc>
          <w:tcPr>
            <w:tcW w:w="1011" w:type="dxa"/>
            <w:vMerge/>
            <w:tcBorders>
              <w:left w:val="single" w:sz="4" w:space="0" w:color="000000"/>
              <w:right w:val="single" w:sz="4" w:space="0" w:color="000000"/>
            </w:tcBorders>
            <w:shd w:val="clear" w:color="auto" w:fill="D2D2D2"/>
          </w:tcPr>
          <w:p>
            <w:pPr/>
          </w:p>
        </w:tc>
        <w:tc>
          <w:tcPr>
            <w:tcW w:w="10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vMerge/>
            <w:tcBorders>
              <w:left w:val="single" w:sz="4" w:space="0" w:color="000000"/>
              <w:right w:val="single" w:sz="4" w:space="0" w:color="000000"/>
            </w:tcBorders>
            <w:shd w:val="clear" w:color="auto" w:fill="D2D2D2"/>
          </w:tcPr>
          <w:p>
            <w:pPr/>
          </w:p>
        </w:tc>
        <w:tc>
          <w:tcPr>
            <w:tcW w:w="1010" w:type="dxa"/>
            <w:vMerge/>
            <w:tcBorders>
              <w:left w:val="single" w:sz="4" w:space="0" w:color="000000"/>
              <w:right w:val="single" w:sz="4" w:space="0" w:color="000000"/>
            </w:tcBorders>
            <w:shd w:val="clear" w:color="auto" w:fill="D2D2D2"/>
          </w:tcPr>
          <w:p>
            <w:pPr/>
          </w:p>
        </w:tc>
        <w:tc>
          <w:tcPr>
            <w:tcW w:w="10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vMerge/>
            <w:tcBorders>
              <w:left w:val="single" w:sz="4" w:space="0" w:color="000000"/>
              <w:right w:val="single" w:sz="4" w:space="0" w:color="000000"/>
            </w:tcBorders>
            <w:shd w:val="clear" w:color="auto" w:fill="D2D2D2"/>
          </w:tcPr>
          <w:p>
            <w:pPr/>
          </w:p>
        </w:tc>
        <w:tc>
          <w:tcPr>
            <w:tcW w:w="955" w:type="dxa"/>
            <w:vMerge/>
            <w:tcBorders>
              <w:left w:val="single" w:sz="4" w:space="0" w:color="000000"/>
              <w:right w:val="single" w:sz="4" w:space="0" w:color="000000"/>
            </w:tcBorders>
            <w:shd w:val="clear" w:color="auto" w:fill="D2D2D2"/>
          </w:tcPr>
          <w:p>
            <w:pPr/>
          </w:p>
        </w:tc>
      </w:tr>
      <w:tr>
        <w:trPr>
          <w:trHeight w:val="167" w:hRule="exact"/>
        </w:trPr>
        <w:tc>
          <w:tcPr>
            <w:tcW w:w="2544" w:type="dxa"/>
            <w:vMerge w:val="restart"/>
            <w:tcBorders>
              <w:top w:val="nil" w:sz="6" w:space="0" w:color="auto"/>
              <w:left w:val="single" w:sz="4" w:space="0" w:color="000000"/>
              <w:right w:val="single" w:sz="4" w:space="0" w:color="000000"/>
            </w:tcBorders>
            <w:shd w:val="clear" w:color="auto" w:fill="D2D2D2"/>
          </w:tcPr>
          <w:p>
            <w:pPr/>
          </w:p>
        </w:tc>
        <w:tc>
          <w:tcPr>
            <w:tcW w:w="1011" w:type="dxa"/>
            <w:vMerge/>
            <w:tcBorders>
              <w:left w:val="single" w:sz="4" w:space="0" w:color="000000"/>
              <w:bottom w:val="single" w:sz="18" w:space="0" w:color="FFFFFF"/>
              <w:right w:val="single" w:sz="4" w:space="0" w:color="000000"/>
            </w:tcBorders>
            <w:shd w:val="clear" w:color="auto" w:fill="D2D2D2"/>
          </w:tcPr>
          <w:p>
            <w:pPr/>
          </w:p>
        </w:tc>
        <w:tc>
          <w:tcPr>
            <w:tcW w:w="1010" w:type="dxa"/>
            <w:vMerge/>
            <w:tcBorders>
              <w:left w:val="single" w:sz="4" w:space="0" w:color="000000"/>
              <w:bottom w:val="single" w:sz="18" w:space="0" w:color="FFFFFF"/>
              <w:right w:val="single" w:sz="4" w:space="0" w:color="000000"/>
            </w:tcBorders>
            <w:shd w:val="clear" w:color="auto" w:fill="D2D2D2"/>
          </w:tcPr>
          <w:p>
            <w:pPr/>
          </w:p>
        </w:tc>
        <w:tc>
          <w:tcPr>
            <w:tcW w:w="1011" w:type="dxa"/>
            <w:vMerge/>
            <w:tcBorders>
              <w:left w:val="single" w:sz="4" w:space="0" w:color="000000"/>
              <w:right w:val="single" w:sz="4" w:space="0" w:color="000000"/>
            </w:tcBorders>
            <w:shd w:val="clear" w:color="auto" w:fill="D2D2D2"/>
          </w:tcPr>
          <w:p>
            <w:pPr/>
          </w:p>
        </w:tc>
        <w:tc>
          <w:tcPr>
            <w:tcW w:w="1010" w:type="dxa"/>
            <w:vMerge/>
            <w:tcBorders>
              <w:left w:val="single" w:sz="4" w:space="0" w:color="000000"/>
              <w:right w:val="single" w:sz="4" w:space="0" w:color="000000"/>
            </w:tcBorders>
            <w:shd w:val="clear" w:color="auto" w:fill="D2D2D2"/>
          </w:tcPr>
          <w:p>
            <w:pPr/>
          </w:p>
        </w:tc>
        <w:tc>
          <w:tcPr>
            <w:tcW w:w="1010" w:type="dxa"/>
            <w:vMerge/>
            <w:tcBorders>
              <w:left w:val="single" w:sz="4" w:space="0" w:color="000000"/>
              <w:bottom w:val="nil" w:sz="6" w:space="0" w:color="auto"/>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2544" w:type="dxa"/>
            <w:vMerge/>
            <w:tcBorders>
              <w:left w:val="single" w:sz="4" w:space="0" w:color="000000"/>
              <w:bottom w:val="single" w:sz="4" w:space="0" w:color="000000"/>
              <w:right w:val="single" w:sz="4" w:space="0" w:color="000000"/>
            </w:tcBorders>
            <w:shd w:val="clear" w:color="auto" w:fill="D2D2D2"/>
          </w:tcPr>
          <w:p>
            <w:pPr/>
          </w:p>
        </w:tc>
        <w:tc>
          <w:tcPr>
            <w:tcW w:w="1011"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010"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．成本合计</w:t>
            </w:r>
          </w:p>
        </w:tc>
        <w:tc>
          <w:tcPr>
            <w:tcW w:w="10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．公允价值变动合计</w:t>
            </w:r>
          </w:p>
        </w:tc>
        <w:tc>
          <w:tcPr>
            <w:tcW w:w="10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．投资性房地产账面价值合计</w:t>
            </w:r>
          </w:p>
        </w:tc>
        <w:tc>
          <w:tcPr>
            <w:tcW w:w="10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16" w:lineRule="auto" w:before="49"/>
        <w:ind w:right="0"/>
        <w:jc w:val="left"/>
      </w:pP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19,460,400.07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6,773,205.88</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26,233,605.95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6,458,145.87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749,394.00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7,207,539.87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12,709,565.45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3,762,331.92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16,471,897.37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292,688.75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2,261,479.96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2,554,168.71</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4,629,522.66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3,557,878.17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8,187,400.83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1,227,083.15</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849,542.69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2,076,625.84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3,392,290.13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2,494,381.18</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5,886,671.31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10,149.38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213,954.30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224,103.68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14,830,877.41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18,046,205.12</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4506"/>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5,231,062.72</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5,130,914.03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9,317,275.32</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10,585,226.06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282,539.37</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2,330,065.03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14,830,877.41</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18,046,205.12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5,231,062.72</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5,130,914.03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9,317,275.32</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10,585,226.06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282,539.37</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2,330,065.03</w:t>
            </w:r>
          </w:p>
        </w:tc>
      </w:tr>
    </w:tbl>
    <w:p>
      <w:pPr>
        <w:pStyle w:val="BodyText"/>
        <w:spacing w:line="240" w:lineRule="auto" w:before="49"/>
        <w:ind w:right="0"/>
        <w:jc w:val="left"/>
      </w:pPr>
      <w:r>
        <w:rPr/>
        <w:t>本期折旧额</w:t>
      </w:r>
      <w:r>
        <w:rPr>
          <w:spacing w:val="-48"/>
        </w:rPr>
        <w:t> </w:t>
      </w:r>
      <w:r>
        <w:rPr>
          <w:rFonts w:ascii="Times New Roman" w:hAnsi="Times New Roman" w:cs="Times New Roman" w:eastAsia="Times New Roman" w:hint="default"/>
        </w:rPr>
        <w:t>3,557,878.17 </w:t>
      </w:r>
      <w:r>
        <w:rPr/>
        <w:t>元；本期由在建工程转入固定资产原价为</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4"/>
        <w:gridCol w:w="1605"/>
        <w:gridCol w:w="1594"/>
        <w:gridCol w:w="1596"/>
        <w:gridCol w:w="1594"/>
        <w:gridCol w:w="1594"/>
      </w:tblGrid>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tcPr>
          <w:p>
            <w:pP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3"/>
        <w:gridCol w:w="1721"/>
        <w:gridCol w:w="1875"/>
        <w:gridCol w:w="1875"/>
        <w:gridCol w:w="1874"/>
      </w:tblGrid>
      <w:tr>
        <w:trPr>
          <w:trHeight w:val="403" w:hRule="exact"/>
        </w:trPr>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1" w:hRule="exact"/>
        </w:trPr>
        <w:tc>
          <w:tcPr>
            <w:tcW w:w="222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pStyle w:val="BodyText"/>
        <w:spacing w:line="240" w:lineRule="auto" w:before="50"/>
        <w:ind w:right="0"/>
        <w:jc w:val="left"/>
      </w:pPr>
      <w:r>
        <w:rPr/>
        <w:t>固定资产说明</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4"/>
        <w:gridCol w:w="735"/>
        <w:gridCol w:w="734"/>
        <w:gridCol w:w="737"/>
        <w:gridCol w:w="737"/>
        <w:gridCol w:w="735"/>
        <w:gridCol w:w="737"/>
        <w:gridCol w:w="737"/>
        <w:gridCol w:w="735"/>
        <w:gridCol w:w="737"/>
        <w:gridCol w:w="737"/>
      </w:tblGrid>
      <w:tr>
        <w:trPr>
          <w:trHeight w:val="1339"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2"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49"/>
        <w:ind w:right="0"/>
        <w:jc w:val="left"/>
      </w:pPr>
      <w:r>
        <w:rPr/>
        <w:t>在建工程项目变动情况的说明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4"/>
        <w:gridCol w:w="1594"/>
        <w:gridCol w:w="1597"/>
        <w:gridCol w:w="1591"/>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1594"/>
        <w:gridCol w:w="1462"/>
        <w:gridCol w:w="1594"/>
        <w:gridCol w:w="1860"/>
      </w:tblGrid>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49"/>
        <w:ind w:right="0"/>
        <w:jc w:val="left"/>
      </w:pPr>
      <w:r>
        <w:rPr/>
        <w:t>工程物资的说明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2127"/>
        <w:gridCol w:w="2523"/>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52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说明转入固定资产清理起始时间已超过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年的固定资产清理进展情况</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9"/>
        <w:gridCol w:w="1733"/>
        <w:gridCol w:w="1860"/>
        <w:gridCol w:w="2127"/>
        <w:gridCol w:w="1849"/>
      </w:tblGrid>
      <w:tr>
        <w:trPr>
          <w:trHeight w:val="406"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98"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1"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3"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1"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9"/>
        <w:gridCol w:w="1733"/>
        <w:gridCol w:w="1860"/>
        <w:gridCol w:w="2127"/>
        <w:gridCol w:w="1849"/>
      </w:tblGrid>
      <w:tr>
        <w:trPr>
          <w:trHeight w:val="402"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5"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1"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生产性生物资产的说明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51"/>
        <w:gridCol w:w="1720"/>
        <w:gridCol w:w="1841"/>
        <w:gridCol w:w="2105"/>
        <w:gridCol w:w="1841"/>
      </w:tblGrid>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二、累计折耗合计</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7"/>
              <w:jc w:val="left"/>
              <w:rPr>
                <w:rFonts w:ascii="宋体" w:hAnsi="宋体" w:cs="宋体" w:eastAsia="宋体" w:hint="default"/>
                <w:sz w:val="18"/>
                <w:szCs w:val="18"/>
              </w:rPr>
            </w:pPr>
            <w:r>
              <w:rPr>
                <w:rFonts w:ascii="宋体" w:hAnsi="宋体" w:cs="宋体" w:eastAsia="宋体" w:hint="default"/>
                <w:sz w:val="18"/>
                <w:szCs w:val="18"/>
              </w:rPr>
              <w:t>三、油气资产减值准备累 计金额合计</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油气资产的说明</w:t>
      </w:r>
    </w:p>
    <w:p>
      <w:pPr>
        <w:spacing w:after="0" w:line="240" w:lineRule="auto"/>
        <w:jc w:val="left"/>
        <w:sectPr>
          <w:footerReference w:type="default" r:id="rId27"/>
          <w:pgSz w:w="11910" w:h="16840"/>
          <w:pgMar w:footer="1006" w:header="772" w:top="1080" w:bottom="1200" w:left="980" w:right="980"/>
          <w:pgNumType w:start="13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3,004,117.08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47,046,884.67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50,051,001.75</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企业数据仓库系统软件</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1,234,106.00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1,234,106.00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决策支持系统软件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669,221.50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669,221.50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针对性营销与维系挽留系 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1,100,789.58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1,100,789.58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商业智能应用构建工具</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26,252,612.63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26,252,612.63</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探索式数据分析及应用平 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20,772,904.52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20,772,904.52</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管家婆分销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ERP-V3 </w:t>
            </w:r>
            <w:r>
              <w:rPr>
                <w:rFonts w:ascii="宋体" w:hAnsi="宋体" w:cs="宋体" w:eastAsia="宋体" w:hint="default"/>
                <w:sz w:val="18"/>
                <w:szCs w:val="18"/>
              </w:rPr>
              <w:t>通讯行 业版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用户</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21,367.52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21,367.52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1,614,034.37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603,316.32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2,217,350.69</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企业数据仓库系统软件</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761,031.99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246,821.20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1,007,853.19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决策支持系统软件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412,686.58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133,844.30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546,530.88</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针对性营销与维系挽留系 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440,315.80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220,157.92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660,473.72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商业智能应用构建工具</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探索式数据分析及应用平 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管家婆分销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ERP-V3 </w:t>
            </w:r>
            <w:r>
              <w:rPr>
                <w:rFonts w:ascii="宋体" w:hAnsi="宋体" w:cs="宋体" w:eastAsia="宋体" w:hint="default"/>
                <w:sz w:val="18"/>
                <w:szCs w:val="18"/>
              </w:rPr>
              <w:t>通讯行 业版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用户</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2,492.90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2,492.90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1,390,082.71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46,443,568.35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47,833,651.06</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企业数据仓库系统软件</w:t>
            </w:r>
          </w:p>
          <w:p>
            <w:pPr>
              <w:pStyle w:val="TableParagraph"/>
              <w:spacing w:line="240" w:lineRule="auto" w:before="119"/>
              <w:ind w:left="24" w:right="0"/>
              <w:jc w:val="left"/>
              <w:rPr>
                <w:rFonts w:ascii="Times New Roman" w:hAnsi="Times New Roman" w:cs="Times New Roman" w:eastAsia="Times New Roman" w:hint="default"/>
                <w:sz w:val="18"/>
                <w:szCs w:val="18"/>
              </w:rPr>
            </w:pPr>
            <w:r>
              <w:rPr>
                <w:rFonts w:ascii="Times New Roman"/>
                <w:sz w:val="18"/>
              </w:rPr>
              <w:t>V1.0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473,074.01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-246,821.20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226,252.81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决策支持系统软件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256,534.92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-133,844.30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122,690.62</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针对性营销与维系挽留系 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660,473.78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-220,157.90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440,315.86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商业智能应用构建工具</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26,252,612.63</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探索式数据分析及应用平 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20,772,904.52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管家婆分销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ERP-V3 </w:t>
            </w:r>
            <w:r>
              <w:rPr>
                <w:rFonts w:ascii="宋体" w:hAnsi="宋体" w:cs="宋体" w:eastAsia="宋体" w:hint="default"/>
                <w:sz w:val="18"/>
                <w:szCs w:val="18"/>
              </w:rPr>
              <w:t>通讯行</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18,874.62</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36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用户</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企业数据仓库系统软件</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决策支持系统软件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针对性营销与维系挽留系 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商业智能应用构建工具</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探索式数据分析及应用平 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管家婆分销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ERP-V3 </w:t>
            </w:r>
            <w:r>
              <w:rPr>
                <w:rFonts w:ascii="宋体" w:hAnsi="宋体" w:cs="宋体" w:eastAsia="宋体" w:hint="default"/>
                <w:sz w:val="18"/>
                <w:szCs w:val="18"/>
              </w:rPr>
              <w:t>通讯行 业版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用户</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1,390,082.71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46,443,568.35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47,833,651.06</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企业数据仓库系统软件</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473,074.01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-246,821.20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226,252.81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决策支持系统软件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256,534.92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-133,844.30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122,690.62</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针对性营销与维系挽留系 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660,473.78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-220,157.90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440,315.86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商业智能应用构建工具</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26,252,612.63</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探索式数据分析及应用平 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20,772,904.52</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管家婆分销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ERP-V3 </w:t>
            </w:r>
            <w:r>
              <w:rPr>
                <w:rFonts w:ascii="宋体" w:hAnsi="宋体" w:cs="宋体" w:eastAsia="宋体" w:hint="default"/>
                <w:sz w:val="18"/>
                <w:szCs w:val="18"/>
              </w:rPr>
              <w:t>通讯行 业版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用户</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18,874.62</w:t>
            </w:r>
          </w:p>
        </w:tc>
      </w:tr>
    </w:tbl>
    <w:p>
      <w:pPr>
        <w:pStyle w:val="BodyText"/>
        <w:spacing w:line="240" w:lineRule="auto" w:before="49"/>
        <w:ind w:right="0"/>
        <w:jc w:val="left"/>
      </w:pPr>
      <w:r>
        <w:rPr/>
        <w:t>本期摊销额</w:t>
      </w:r>
      <w:r>
        <w:rPr>
          <w:spacing w:val="-47"/>
        </w:rPr>
        <w:t> </w:t>
      </w:r>
      <w:r>
        <w:rPr>
          <w:rFonts w:ascii="Times New Roman" w:hAnsi="Times New Roman" w:cs="Times New Roman" w:eastAsia="Times New Roman" w:hint="default"/>
        </w:rPr>
        <w:t>603,316.32</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2"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商业智能应用构建 工具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10,712,155.14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15,540,457.49</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26,252,612.63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探索式数据分析及 应用平台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9,003,317.64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11,769,586.88</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20,772,904.52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企业数据仓库构建 系统</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17,397,913.68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1,947,222.23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15,450,691.45</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全业务营销及维系 挽留系统</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13,566,482.81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3,707,027.16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9,859,455.65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数据集成和管理工</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17,462,822.43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2,310,158.32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15,152,664.11</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36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具</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数据查询系统</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2,500,493.76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2,500,493.76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收入保障系统</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810,400.00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19,715,472.78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79,048,157.05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11,275,301.47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47,025,517.15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40,462,811.21</w:t>
            </w:r>
          </w:p>
        </w:tc>
      </w:tr>
    </w:tbl>
    <w:p>
      <w:pPr>
        <w:pStyle w:val="BodyText"/>
        <w:spacing w:line="338" w:lineRule="auto" w:before="49"/>
        <w:ind w:right="140"/>
        <w:jc w:val="left"/>
      </w:pPr>
      <w:r>
        <w:rPr/>
        <w:t>本期开发支出占本期研究开发项目支出总额的比例</w:t>
      </w:r>
      <w:r>
        <w:rPr>
          <w:spacing w:val="-44"/>
        </w:rPr>
        <w:t> </w:t>
      </w:r>
      <w:r>
        <w:rPr>
          <w:rFonts w:ascii="Times New Roman" w:hAnsi="Times New Roman" w:cs="Times New Roman" w:eastAsia="Times New Roman" w:hint="default"/>
        </w:rPr>
        <w:t>85.74%</w:t>
      </w:r>
      <w:r>
        <w:rPr/>
        <w:t>。 通过公司内部研发形成的无形资产占无形资产期末账面价值的比例</w:t>
      </w:r>
      <w:r>
        <w:rPr>
          <w:spacing w:val="-43"/>
        </w:rPr>
        <w:t> </w:t>
      </w:r>
      <w:r>
        <w:rPr>
          <w:rFonts w:ascii="Times New Roman" w:hAnsi="Times New Roman" w:cs="Times New Roman" w:eastAsia="Times New Roman" w:hint="default"/>
        </w:rPr>
        <w:t>98.31%</w:t>
      </w:r>
      <w:r>
        <w:rPr/>
        <w:t>。 </w:t>
      </w:r>
      <w:r>
        <w:rPr>
          <w:spacing w:val="-2"/>
        </w:rPr>
        <w:t>公司开发项目的说明，包括本期发生的单项价值在</w:t>
      </w:r>
      <w:r>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4"/>
        </w:rPr>
        <w:t> </w:t>
      </w:r>
      <w:r>
        <w:rPr>
          <w:spacing w:val="-2"/>
        </w:rPr>
        <w:t>万元以上且以评估值为入账依据的，应披露评估机构名称、评估方法</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北京东华信通信息技术有限公 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35,300,223.21</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35,300,223.21</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35,300,223.21</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35,300,223.21</w:t>
            </w:r>
          </w:p>
        </w:tc>
        <w:tc>
          <w:tcPr>
            <w:tcW w:w="11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说明商誉的减值测试方法和减值准备计提方法</w:t>
      </w:r>
    </w:p>
    <w:p>
      <w:pPr>
        <w:spacing w:line="240" w:lineRule="auto" w:before="0"/>
        <w:rPr>
          <w:rFonts w:ascii="宋体" w:hAnsi="宋体" w:cs="宋体" w:eastAsia="宋体" w:hint="default"/>
          <w:sz w:val="15"/>
          <w:szCs w:val="15"/>
        </w:rPr>
      </w:pPr>
    </w:p>
    <w:p>
      <w:pPr>
        <w:pStyle w:val="BodyText"/>
        <w:spacing w:line="477" w:lineRule="auto"/>
        <w:ind w:right="143" w:firstLine="420"/>
        <w:jc w:val="left"/>
      </w:pPr>
      <w:r>
        <w:rPr>
          <w:spacing w:val="-1"/>
        </w:rPr>
        <w:t>（</w:t>
      </w:r>
      <w:r>
        <w:rPr>
          <w:rFonts w:ascii="宋体" w:hAnsi="宋体" w:cs="宋体" w:eastAsia="宋体" w:hint="default"/>
          <w:spacing w:val="-1"/>
        </w:rPr>
        <w:t>1</w:t>
      </w:r>
      <w:r>
        <w:rPr>
          <w:spacing w:val="-1"/>
        </w:rPr>
        <w:t>）公司</w:t>
      </w:r>
      <w:r>
        <w:rPr>
          <w:rFonts w:ascii="宋体" w:hAnsi="宋体" w:cs="宋体" w:eastAsia="宋体" w:hint="default"/>
          <w:spacing w:val="-1"/>
        </w:rPr>
        <w:t>2011</w:t>
      </w:r>
      <w:r>
        <w:rPr>
          <w:spacing w:val="-1"/>
        </w:rPr>
        <w:t>年</w:t>
      </w:r>
      <w:r>
        <w:rPr>
          <w:rFonts w:ascii="宋体" w:hAnsi="宋体" w:cs="宋体" w:eastAsia="宋体" w:hint="default"/>
          <w:spacing w:val="-1"/>
        </w:rPr>
        <w:t>12</w:t>
      </w:r>
      <w:r>
        <w:rPr>
          <w:spacing w:val="-1"/>
        </w:rPr>
        <w:t>月签订协议，收购北京东华信通信息技术有限公司，合并日为</w:t>
      </w:r>
      <w:r>
        <w:rPr>
          <w:rFonts w:ascii="宋体" w:hAnsi="宋体" w:cs="宋体" w:eastAsia="宋体" w:hint="default"/>
          <w:spacing w:val="-1"/>
        </w:rPr>
        <w:t>2011</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日，北京东华信通信息</w:t>
      </w:r>
      <w:r>
        <w:rPr/>
        <w:t> 技术有限公司经审计净资产为</w:t>
      </w:r>
      <w:r>
        <w:rPr>
          <w:rFonts w:ascii="宋体" w:hAnsi="宋体" w:cs="宋体" w:eastAsia="宋体" w:hint="default"/>
        </w:rPr>
        <w:t>16,699,776.79</w:t>
      </w:r>
      <w:r>
        <w:rPr/>
        <w:t>元，收购价格为</w:t>
      </w:r>
      <w:r>
        <w:rPr>
          <w:rFonts w:ascii="宋体" w:hAnsi="宋体" w:cs="宋体" w:eastAsia="宋体" w:hint="default"/>
        </w:rPr>
        <w:t>52,000,000.00</w:t>
      </w:r>
      <w:r>
        <w:rPr/>
        <w:t>元，差额</w:t>
      </w:r>
      <w:r>
        <w:rPr>
          <w:rFonts w:ascii="宋体" w:hAnsi="宋体" w:cs="宋体" w:eastAsia="宋体" w:hint="default"/>
        </w:rPr>
        <w:t>35,300,223.21</w:t>
      </w:r>
      <w:r>
        <w:rPr/>
        <w:t>元作为商誉。</w:t>
      </w:r>
    </w:p>
    <w:p>
      <w:pPr>
        <w:pStyle w:val="BodyText"/>
        <w:spacing w:line="240" w:lineRule="auto" w:before="54"/>
        <w:ind w:left="573" w:right="0"/>
        <w:jc w:val="left"/>
      </w:pPr>
      <w:r>
        <w:rPr/>
        <w:t>（</w:t>
      </w:r>
      <w:r>
        <w:rPr>
          <w:rFonts w:ascii="宋体" w:hAnsi="宋体" w:cs="宋体" w:eastAsia="宋体" w:hint="default"/>
        </w:rPr>
        <w:t>2</w:t>
      </w:r>
      <w:r>
        <w:rPr/>
        <w:t>）公司对商誉减值进行测试，未发现商誉存在减值迹象。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叶青大厦装修费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2,927,427.25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108,423.23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2,819,004.02</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中关村营业厅装 修费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391,880.00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43,542.21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348,337.79</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3,319,307.25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151,965.44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3,167,341.81</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36" w:lineRule="auto" w:before="49"/>
        <w:ind w:left="573" w:right="2963" w:hanging="421"/>
        <w:jc w:val="left"/>
      </w:pPr>
      <w:r>
        <w:rPr/>
        <w:t>长期待摊费用的说明 叶青大厦租赁期限至</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28</w:t>
      </w:r>
      <w:r>
        <w:rPr/>
        <w:t>日，中关村营业厅租赁期限至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已确认的递延所得税资产和递延所得税负债</w:t>
      </w:r>
    </w:p>
    <w:p>
      <w:pPr>
        <w:spacing w:after="0" w:line="240" w:lineRule="auto"/>
        <w:jc w:val="left"/>
        <w:sectPr>
          <w:pgSz w:w="11910" w:h="16840"/>
          <w:pgMar w:header="772" w:footer="1006" w:top="1080" w:bottom="1200" w:left="980" w:right="980"/>
        </w:sectPr>
      </w:pPr>
    </w:p>
    <w:p>
      <w:pPr>
        <w:spacing w:line="240" w:lineRule="auto" w:before="9"/>
        <w:rPr>
          <w:rFonts w:ascii="宋体" w:hAnsi="宋体" w:cs="宋体" w:eastAsia="宋体" w:hint="default"/>
          <w:sz w:val="23"/>
          <w:szCs w:val="23"/>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924"/>
        <w:gridCol w:w="2921"/>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343,496.38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258,971.59</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37,183.63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23,845.75</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115,215.00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166,301.31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87,459.82</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546,981.32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485,492.16</w:t>
            </w:r>
          </w:p>
        </w:tc>
      </w:tr>
      <w:tr>
        <w:trPr>
          <w:trHeight w:val="40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49"/>
        <w:ind w:right="0"/>
        <w:jc w:val="left"/>
      </w:pPr>
      <w:r>
        <w:rPr/>
        <w:t>未确认递延所得税资产明细</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1"/>
        <w:gridCol w:w="2934"/>
        <w:gridCol w:w="2921"/>
      </w:tblGrid>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3,532,367.74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3,532,367.74</w:t>
            </w:r>
          </w:p>
        </w:tc>
        <w:tc>
          <w:tcPr>
            <w:tcW w:w="29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未确认递延所得税资产的可抵扣亏损将于以下年度到期</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2259"/>
        <w:gridCol w:w="1995"/>
        <w:gridCol w:w="3309"/>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0"/>
        <w:jc w:val="left"/>
      </w:pPr>
      <w:r>
        <w:rPr/>
        <w:t>应纳税差异和可抵扣差异项目明细</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4" w:hRule="exact"/>
        </w:trPr>
        <w:tc>
          <w:tcPr>
            <w:tcW w:w="3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1" w:hRule="exact"/>
        </w:trPr>
        <w:tc>
          <w:tcPr>
            <w:tcW w:w="3855"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2,332,830.06</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241,068.27</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958,469.41</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3,532,367.74</w:t>
            </w:r>
          </w:p>
        </w:tc>
        <w:tc>
          <w:tcPr>
            <w:tcW w:w="27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互抵后的递延所得税资产及负债的组成项目</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6"/>
        <w:gridCol w:w="1628"/>
        <w:gridCol w:w="1628"/>
        <w:gridCol w:w="1616"/>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4"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546,981.32</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3" w:right="0"/>
              <w:jc w:val="left"/>
              <w:rPr>
                <w:rFonts w:ascii="Times New Roman" w:hAnsi="Times New Roman" w:cs="Times New Roman" w:eastAsia="Times New Roman" w:hint="default"/>
                <w:sz w:val="18"/>
                <w:szCs w:val="18"/>
              </w:rPr>
            </w:pPr>
            <w:r>
              <w:rPr>
                <w:rFonts w:ascii="Times New Roman"/>
                <w:sz w:val="18"/>
              </w:rPr>
              <w:t>485,492.16</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2" w:footer="1006" w:top="1080" w:bottom="1200" w:left="980" w:right="980"/>
        </w:sectPr>
      </w:pPr>
    </w:p>
    <w:p>
      <w:pPr>
        <w:spacing w:line="240" w:lineRule="auto" w:before="9"/>
        <w:rPr>
          <w:rFonts w:ascii="宋体" w:hAnsi="宋体" w:cs="宋体" w:eastAsia="宋体" w:hint="default"/>
          <w:sz w:val="23"/>
          <w:szCs w:val="23"/>
        </w:rPr>
      </w:pPr>
    </w:p>
    <w:p>
      <w:pPr>
        <w:pStyle w:val="BodyText"/>
        <w:spacing w:line="240" w:lineRule="auto" w:before="44"/>
        <w:ind w:right="0"/>
        <w:jc w:val="left"/>
      </w:pPr>
      <w:r>
        <w:rPr/>
        <w:t>递延所得税资产和递延所得税负债互抵明细</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pStyle w:val="BodyText"/>
        <w:spacing w:line="240" w:lineRule="auto" w:before="49"/>
        <w:ind w:right="0"/>
        <w:jc w:val="left"/>
      </w:pPr>
      <w:r>
        <w:rPr/>
        <w:t>递延所得税资产和递延所得税负债的说明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1,925,186.82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648,711.51</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2,573,898.33</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1,925,186.82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648,711.51</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2,573,898.33</w:t>
            </w:r>
          </w:p>
        </w:tc>
      </w:tr>
    </w:tbl>
    <w:p>
      <w:pPr>
        <w:pStyle w:val="BodyText"/>
        <w:spacing w:line="240" w:lineRule="auto" w:before="49"/>
        <w:ind w:right="0"/>
        <w:jc w:val="left"/>
      </w:pPr>
      <w:r>
        <w:rPr/>
        <w:t>资产减值明细情况的说明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0"/>
        <w:jc w:val="left"/>
      </w:pPr>
      <w:r>
        <w:rPr/>
        <w:t>其他非流动资产的说明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0"/>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3"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pStyle w:val="BodyText"/>
        <w:spacing w:line="357" w:lineRule="auto" w:before="49"/>
        <w:ind w:right="3654"/>
        <w:jc w:val="left"/>
      </w:pPr>
      <w:r>
        <w:rPr/>
        <w:t>资产负债表日后已偿还金额元。 短期借款的说明，包括已到期短期借款获展期的，说明展期条件、新的到期日</w:t>
      </w:r>
    </w:p>
    <w:p>
      <w:pPr>
        <w:spacing w:after="0" w:line="357"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70"/>
        <w:gridCol w:w="2933"/>
        <w:gridCol w:w="3053"/>
      </w:tblGrid>
      <w:tr>
        <w:trPr>
          <w:trHeight w:val="403"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1"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发行的交易性债券</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6"/>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 益的金融负债</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交易性金融负债的说明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357" w:lineRule="auto" w:before="49"/>
        <w:ind w:right="7254"/>
        <w:jc w:val="left"/>
      </w:pPr>
      <w:r>
        <w:rPr/>
        <w:t>下一会计期间将到期的金额元。 应付票据的说明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3,302,513.27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3,156,855.00</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4,502,513.27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3,156,855.00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518,102.80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3,883,400.00</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518,102.80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3,883,400.00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0"/>
      </w:tblGrid>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0" w:right="5377"/>
        <w:jc w:val="center"/>
      </w:pPr>
      <w:r>
        <w:rPr/>
        <w:t>期末本公司预收账款中无预收关联方款项。</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21,715,789.54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128,460,558.64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122,926,911.40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27,249,436.78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4,420,927.73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4,420,927.73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1,351,174.99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15,779,017.64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15,263,667.77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1,866,524.86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239,710.02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4,908,640.74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4,903,462.19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244,888.57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1,073,796.31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9,631,998.03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9,174,005.50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1,531,788.84</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25,284.20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644,364.57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619,429.56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50,219.21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8,344.05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198,532.29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191,402.74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15,473.60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4,040.41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395,482.01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375,367.78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24,154.64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27,869.00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5,342,701.24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5,273,017.82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97,552.42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98,830.79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73,378.46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25,452.33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23,094,833.53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154,102,036.04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147,957,903.18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29,238,966.39</w:t>
            </w:r>
          </w:p>
        </w:tc>
      </w:tr>
    </w:tbl>
    <w:p>
      <w:pPr>
        <w:pStyle w:val="BodyText"/>
        <w:spacing w:line="240" w:lineRule="auto" w:before="49"/>
        <w:ind w:right="0"/>
        <w:jc w:val="left"/>
      </w:pPr>
      <w:r>
        <w:rPr/>
        <w:t>应付职工薪酬中属于拖欠性质的金额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9"/>
          <w:szCs w:val="29"/>
        </w:rPr>
      </w:pPr>
    </w:p>
    <w:p>
      <w:pPr>
        <w:pStyle w:val="BodyText"/>
        <w:spacing w:line="439" w:lineRule="auto" w:before="44"/>
        <w:ind w:right="984" w:firstLine="420"/>
        <w:jc w:val="left"/>
      </w:pPr>
      <w:r>
        <w:rPr/>
        <w:t>工会经费和职工教育经费金额</w:t>
      </w:r>
      <w:r>
        <w:rPr>
          <w:rFonts w:ascii="宋体" w:hAnsi="宋体" w:cs="宋体" w:eastAsia="宋体" w:hint="default"/>
        </w:rPr>
        <w:t>25,452.33</w:t>
      </w:r>
      <w:r>
        <w:rPr/>
        <w:t>元，非货币性福利金额</w:t>
      </w:r>
      <w:r>
        <w:rPr>
          <w:rFonts w:ascii="宋体" w:hAnsi="宋体" w:cs="宋体" w:eastAsia="宋体" w:hint="default"/>
        </w:rPr>
        <w:t>0.00</w:t>
      </w:r>
      <w:r>
        <w:rPr/>
        <w:t>元，因解除劳动关系给予补偿</w:t>
      </w:r>
      <w:r>
        <w:rPr>
          <w:rFonts w:ascii="宋体" w:hAnsi="宋体" w:cs="宋体" w:eastAsia="宋体" w:hint="default"/>
        </w:rPr>
        <w:t>0.00</w:t>
      </w:r>
      <w:r>
        <w:rPr/>
        <w:t>元。 应付职工薪酬预计发放时间、金额等安排</w:t>
      </w:r>
    </w:p>
    <w:p>
      <w:pPr>
        <w:pStyle w:val="BodyText"/>
        <w:spacing w:line="240" w:lineRule="auto" w:before="44"/>
        <w:ind w:left="573" w:right="0"/>
        <w:jc w:val="left"/>
      </w:pPr>
      <w:r>
        <w:rPr/>
        <w:t>当月职工薪酬于次月初发放。</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-1,315,343.22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-328,672.97</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454,405.19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1,279,108.20</w:t>
            </w:r>
          </w:p>
        </w:tc>
      </w:tr>
      <w:tr>
        <w:trPr>
          <w:trHeight w:val="404"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5,963,590.22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6,777,489.53</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625,730.50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219,649.17</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127,280.64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122,272.74</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28,968.16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6,400.40</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2,970.61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3,200.21</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物价调节基金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3,886.44</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57,741.34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52,402.60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5,949,229.88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8,131,849.88</w:t>
            </w:r>
          </w:p>
        </w:tc>
      </w:tr>
    </w:tbl>
    <w:p>
      <w:pPr>
        <w:pStyle w:val="BodyText"/>
        <w:spacing w:line="240" w:lineRule="auto" w:before="49"/>
        <w:ind w:right="0"/>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3"/>
        <w:gridCol w:w="2789"/>
        <w:gridCol w:w="2645"/>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0"/>
        <w:jc w:val="left"/>
      </w:pPr>
      <w:r>
        <w:rPr/>
        <w:t>应付利息说明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994"/>
        <w:gridCol w:w="2127"/>
        <w:gridCol w:w="2645"/>
      </w:tblGrid>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bl>
    <w:p>
      <w:pPr>
        <w:pStyle w:val="BodyText"/>
        <w:spacing w:line="240" w:lineRule="auto" w:before="49"/>
        <w:ind w:right="0"/>
        <w:jc w:val="left"/>
      </w:pPr>
      <w:r>
        <w:rPr/>
        <w:t>应付股利的说明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77"/>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4,640,381.69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26,601,278.68</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488,586.41</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5,128,968.10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26,601,278.68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77"/>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3"/>
        <w:rPr>
          <w:rFonts w:ascii="宋体" w:hAnsi="宋体" w:cs="宋体" w:eastAsia="宋体" w:hint="default"/>
          <w:b/>
          <w:bCs/>
          <w:sz w:val="32"/>
          <w:szCs w:val="32"/>
        </w:rPr>
      </w:pPr>
    </w:p>
    <w:p>
      <w:pPr>
        <w:pStyle w:val="BodyText"/>
        <w:spacing w:line="240" w:lineRule="auto"/>
        <w:ind w:left="0" w:right="98"/>
        <w:jc w:val="right"/>
      </w:pPr>
      <w:r>
        <w:rPr/>
        <w:t>期末其他应付款</w:t>
      </w:r>
      <w:r>
        <w:rPr>
          <w:rFonts w:ascii="宋体" w:hAnsi="宋体" w:cs="宋体" w:eastAsia="宋体" w:hint="default"/>
        </w:rPr>
        <w:t>1-2</w:t>
      </w:r>
      <w:r>
        <w:rPr/>
        <w:t>年未支付款项主要为待付职工报销款、待付的资产采购款和子公司东华信通支付欠付原股东红利。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73" w:right="0"/>
        <w:jc w:val="left"/>
      </w:pPr>
      <w:r>
        <w:rPr/>
        <w:t>期末其他应付款比期初减少</w:t>
      </w:r>
      <w:r>
        <w:rPr>
          <w:rFonts w:ascii="宋体" w:hAnsi="宋体" w:cs="宋体" w:eastAsia="宋体" w:hint="default"/>
        </w:rPr>
        <w:t>94.31%</w:t>
      </w:r>
      <w:r>
        <w:rPr/>
        <w:t>，主要原因为公司支付东华信通股权转让款。</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3"/>
        <w:gridCol w:w="1873"/>
        <w:gridCol w:w="1860"/>
        <w:gridCol w:w="1860"/>
        <w:gridCol w:w="1995"/>
      </w:tblGrid>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375,500.00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375,500.00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375,500.00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375,500.00</w:t>
            </w:r>
          </w:p>
        </w:tc>
      </w:tr>
    </w:tbl>
    <w:p>
      <w:pPr>
        <w:pStyle w:val="BodyText"/>
        <w:spacing w:line="240" w:lineRule="auto" w:before="49"/>
        <w:ind w:right="0"/>
        <w:jc w:val="left"/>
      </w:pPr>
      <w:r>
        <w:rPr/>
        <w:t>预计负债说明</w:t>
      </w:r>
    </w:p>
    <w:p>
      <w:pPr>
        <w:spacing w:line="240" w:lineRule="auto" w:before="4"/>
        <w:rPr>
          <w:rFonts w:ascii="宋体" w:hAnsi="宋体" w:cs="宋体" w:eastAsia="宋体" w:hint="default"/>
          <w:sz w:val="8"/>
          <w:szCs w:val="8"/>
        </w:rPr>
      </w:pPr>
    </w:p>
    <w:tbl>
      <w:tblPr>
        <w:tblW w:w="0" w:type="auto"/>
        <w:jc w:val="left"/>
        <w:tblInd w:w="448" w:type="dxa"/>
        <w:tblLayout w:type="fixed"/>
        <w:tblCellMar>
          <w:top w:w="0" w:type="dxa"/>
          <w:left w:w="0" w:type="dxa"/>
          <w:bottom w:w="0" w:type="dxa"/>
          <w:right w:w="0" w:type="dxa"/>
        </w:tblCellMar>
        <w:tblLook w:val="01E0"/>
      </w:tblPr>
      <w:tblGrid>
        <w:gridCol w:w="2131"/>
        <w:gridCol w:w="1621"/>
        <w:gridCol w:w="1762"/>
        <w:gridCol w:w="1759"/>
        <w:gridCol w:w="1762"/>
      </w:tblGrid>
      <w:tr>
        <w:trPr>
          <w:trHeight w:val="346" w:hRule="exact"/>
        </w:trPr>
        <w:tc>
          <w:tcPr>
            <w:tcW w:w="21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62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4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5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511" w:right="0"/>
              <w:jc w:val="left"/>
              <w:rPr>
                <w:rFonts w:ascii="宋体" w:hAnsi="宋体" w:cs="宋体" w:eastAsia="宋体" w:hint="default"/>
                <w:sz w:val="18"/>
                <w:szCs w:val="18"/>
              </w:rPr>
            </w:pPr>
            <w:r>
              <w:rPr>
                <w:rFonts w:ascii="宋体" w:hAnsi="宋体" w:cs="宋体" w:eastAsia="宋体" w:hint="default"/>
                <w:sz w:val="18"/>
                <w:szCs w:val="18"/>
              </w:rPr>
              <w:t>本期支付</w:t>
            </w:r>
          </w:p>
        </w:tc>
        <w:tc>
          <w:tcPr>
            <w:tcW w:w="17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51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企业所得税滞纳金</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288,700.00</w:t>
            </w:r>
          </w:p>
        </w:tc>
        <w:tc>
          <w:tcPr>
            <w:tcW w:w="1762"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288,700.00</w:t>
            </w:r>
          </w:p>
        </w:tc>
      </w:tr>
      <w:tr>
        <w:trPr>
          <w:trHeight w:val="348" w:hRule="exact"/>
        </w:trPr>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增值税滞纳金</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86,800.00</w:t>
            </w:r>
          </w:p>
        </w:tc>
        <w:tc>
          <w:tcPr>
            <w:tcW w:w="1762"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86,800.00</w:t>
            </w:r>
          </w:p>
        </w:tc>
      </w:tr>
      <w:tr>
        <w:trPr>
          <w:trHeight w:val="346" w:hRule="exact"/>
        </w:trPr>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b/>
                <w:w w:val="95"/>
                <w:sz w:val="18"/>
              </w:rPr>
              <w:t>375,500.00</w:t>
            </w:r>
            <w:r>
              <w:rPr>
                <w:rFonts w:ascii="宋体"/>
                <w:sz w:val="18"/>
              </w:rPr>
            </w:r>
          </w:p>
        </w:tc>
        <w:tc>
          <w:tcPr>
            <w:tcW w:w="1762"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b/>
                <w:w w:val="95"/>
                <w:sz w:val="18"/>
              </w:rPr>
              <w:t>375,500.00</w:t>
            </w:r>
            <w:r>
              <w:rPr>
                <w:rFonts w:ascii="宋体"/>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一年内到期的长期借款</w:t>
      </w:r>
    </w:p>
    <w:p>
      <w:pPr>
        <w:spacing w:after="0" w:line="240" w:lineRule="auto"/>
        <w:jc w:val="left"/>
        <w:sectPr>
          <w:pgSz w:w="11910" w:h="16840"/>
          <w:pgMar w:header="772" w:footer="1006" w:top="1080" w:bottom="1200" w:left="980" w:right="980"/>
        </w:sectPr>
      </w:pPr>
    </w:p>
    <w:p>
      <w:pPr>
        <w:spacing w:line="240" w:lineRule="auto" w:before="9"/>
        <w:rPr>
          <w:rFonts w:ascii="宋体" w:hAnsi="宋体" w:cs="宋体" w:eastAsia="宋体" w:hint="default"/>
          <w:sz w:val="23"/>
          <w:szCs w:val="23"/>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footerReference w:type="default" r:id="rId28"/>
          <w:pgSz w:w="11910" w:h="16840"/>
          <w:pgMar w:footer="1006" w:header="772" w:top="1080" w:bottom="1200" w:left="980" w:right="980"/>
          <w:pgNumType w:start="140"/>
        </w:sectPr>
      </w:pPr>
    </w:p>
    <w:p>
      <w:pPr>
        <w:pStyle w:val="BodyText"/>
        <w:spacing w:line="360" w:lineRule="auto" w:before="49"/>
        <w:ind w:right="-20"/>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80" w:bottom="1200" w:left="980" w:right="980"/>
          <w:cols w:num="2" w:equalWidth="0">
            <w:col w:w="4833" w:space="399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6"/>
        <w:gridCol w:w="1061"/>
      </w:tblGrid>
      <w:tr>
        <w:trPr>
          <w:trHeight w:val="402"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49"/>
        <w:ind w:right="0"/>
        <w:jc w:val="left"/>
      </w:pPr>
      <w:r>
        <w:rPr/>
        <w:t>一年内到期的长期借款中的逾期借款</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57" w:lineRule="auto" w:before="49"/>
        <w:ind w:right="7074"/>
        <w:jc w:val="left"/>
      </w:pPr>
      <w:r>
        <w:rPr/>
        <w:t>资产负债表日后已偿还的金额元。 一年内到期的长期借款说明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一年内到期的应付债券说明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pStyle w:val="BodyText"/>
        <w:spacing w:line="240" w:lineRule="auto" w:before="50"/>
        <w:ind w:right="0"/>
        <w:jc w:val="left"/>
      </w:pPr>
      <w:r>
        <w:rPr/>
        <w:t>一年内到期的长期应付款的说明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pStyle w:val="BodyText"/>
        <w:spacing w:line="240" w:lineRule="auto" w:before="49"/>
        <w:ind w:right="0"/>
        <w:jc w:val="left"/>
      </w:pPr>
      <w:r>
        <w:rPr/>
        <w:t>其他流动负债说明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0"/>
        <w:jc w:val="left"/>
      </w:pPr>
      <w:r>
        <w:rPr/>
        <w:t>长期借款分类的说明</w:t>
      </w:r>
    </w:p>
    <w:p>
      <w:pPr>
        <w:spacing w:after="0" w:line="240" w:lineRule="auto"/>
        <w:jc w:val="left"/>
        <w:sectPr>
          <w:type w:val="continuous"/>
          <w:pgSz w:w="11910" w:h="16840"/>
          <w:pgMar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6"/>
        <w:gridCol w:w="1063"/>
        <w:gridCol w:w="1063"/>
        <w:gridCol w:w="1066"/>
        <w:gridCol w:w="1056"/>
      </w:tblGrid>
      <w:tr>
        <w:trPr>
          <w:trHeight w:val="403"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49"/>
        <w:ind w:right="0"/>
        <w:jc w:val="left"/>
      </w:pPr>
      <w:r>
        <w:rPr/>
        <w:t>长期借款说明，因逾期借款获得展期形成的长期借款，应说明获得展期的条件、本金、利息、预计还款安排等</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应付债券说明，包括可转换公司债券的转股条件、转股时间</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403"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pStyle w:val="BodyText"/>
        <w:spacing w:line="360" w:lineRule="auto" w:before="49"/>
        <w:ind w:right="5814"/>
        <w:jc w:val="left"/>
      </w:pPr>
      <w:r>
        <w:rPr/>
        <w:t>由独立第三方为公司融资租赁提供担保的金额元。 长期应付款的说明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1328"/>
        <w:gridCol w:w="1330"/>
        <w:gridCol w:w="1198"/>
        <w:gridCol w:w="1327"/>
        <w:gridCol w:w="198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pStyle w:val="BodyText"/>
        <w:spacing w:line="240" w:lineRule="auto" w:before="50"/>
        <w:ind w:right="0"/>
        <w:jc w:val="left"/>
      </w:pPr>
      <w:r>
        <w:rPr/>
        <w:t>专项应付款说明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789"/>
        <w:gridCol w:w="3046"/>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pStyle w:val="BodyText"/>
        <w:spacing w:line="240" w:lineRule="auto" w:before="49"/>
        <w:ind w:right="0"/>
        <w:jc w:val="left"/>
      </w:pPr>
      <w:r>
        <w:rPr/>
        <w:t>其他非流动负债说明，包括本报告期取得的各类与资产相关、与收益相关的政府补助及其期末金额</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94"/>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995"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40,500,000.00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81,000,000.00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81,000,000.00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121,500,000.00</w:t>
            </w:r>
          </w:p>
        </w:tc>
      </w:tr>
    </w:tbl>
    <w:p>
      <w:pPr>
        <w:pStyle w:val="BodyText"/>
        <w:spacing w:line="240" w:lineRule="auto" w:before="49"/>
        <w:ind w:right="94"/>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pStyle w:val="BodyText"/>
        <w:spacing w:line="436" w:lineRule="auto" w:before="63"/>
        <w:ind w:left="681" w:right="94" w:hanging="529"/>
        <w:jc w:val="left"/>
      </w:pPr>
      <w:r>
        <w:rPr/>
        <w:t>年的股份有限公司，设立前的年份只需说明净资产情况；有限责任公司整体变更为股份公司应说明公司设立时的验资情况 </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21</w:t>
      </w:r>
      <w:r>
        <w:rPr/>
        <w:t>日经公司</w:t>
      </w:r>
      <w:r>
        <w:rPr>
          <w:rFonts w:ascii="宋体" w:hAnsi="宋体" w:cs="宋体" w:eastAsia="宋体" w:hint="default"/>
        </w:rPr>
        <w:t>2011</w:t>
      </w:r>
      <w:r>
        <w:rPr/>
        <w:t>年度股东大会决议，以截止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4,050.00</w:t>
      </w:r>
      <w:r>
        <w:rPr/>
        <w:t>万股为基数，向全体股东</w:t>
      </w:r>
    </w:p>
    <w:p>
      <w:pPr>
        <w:pStyle w:val="BodyText"/>
        <w:spacing w:line="477" w:lineRule="auto" w:before="85"/>
        <w:ind w:right="94"/>
        <w:jc w:val="left"/>
      </w:pPr>
      <w:r>
        <w:rPr/>
        <w:t>每</w:t>
      </w:r>
      <w:r>
        <w:rPr>
          <w:rFonts w:ascii="宋体" w:hAnsi="宋体" w:cs="宋体" w:eastAsia="宋体" w:hint="default"/>
        </w:rPr>
        <w:t>10</w:t>
      </w:r>
      <w:r>
        <w:rPr/>
        <w:t>股转增</w:t>
      </w:r>
      <w:r>
        <w:rPr>
          <w:rFonts w:ascii="宋体" w:hAnsi="宋体" w:cs="宋体" w:eastAsia="宋体" w:hint="default"/>
        </w:rPr>
        <w:t>10</w:t>
      </w:r>
      <w:r>
        <w:rPr/>
        <w:t>股，共计转增</w:t>
      </w:r>
      <w:r>
        <w:rPr>
          <w:rFonts w:ascii="宋体" w:hAnsi="宋体" w:cs="宋体" w:eastAsia="宋体" w:hint="default"/>
        </w:rPr>
        <w:t>4,050.00</w:t>
      </w:r>
      <w:r>
        <w:rPr/>
        <w:t>万股，将资本公积</w:t>
      </w:r>
      <w:r>
        <w:rPr>
          <w:rFonts w:ascii="宋体" w:hAnsi="宋体" w:cs="宋体" w:eastAsia="宋体" w:hint="default"/>
        </w:rPr>
        <w:t>40,500,000.00</w:t>
      </w:r>
      <w:r>
        <w:rPr/>
        <w:t>元转增股本，增加注册资本人民币</w:t>
      </w:r>
      <w:r>
        <w:rPr>
          <w:rFonts w:ascii="宋体" w:hAnsi="宋体" w:cs="宋体" w:eastAsia="宋体" w:hint="default"/>
        </w:rPr>
        <w:t>40,500,000.00</w:t>
      </w:r>
      <w:r>
        <w:rPr/>
        <w:t>元，</w:t>
      </w:r>
      <w:r>
        <w:rPr>
          <w:spacing w:val="-3"/>
        </w:rPr>
        <w:t> </w:t>
      </w:r>
      <w:r>
        <w:rPr>
          <w:spacing w:val="-2"/>
        </w:rPr>
        <w:t>变更后注册资本为人民币</w:t>
      </w:r>
      <w:r>
        <w:rPr>
          <w:rFonts w:ascii="宋体" w:hAnsi="宋体" w:cs="宋体" w:eastAsia="宋体" w:hint="default"/>
          <w:spacing w:val="-2"/>
        </w:rPr>
        <w:t>81,000,000.00</w:t>
      </w:r>
      <w:r>
        <w:rPr>
          <w:spacing w:val="-2"/>
        </w:rPr>
        <w:t>元。</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22</w:t>
      </w:r>
      <w:r>
        <w:rPr>
          <w:spacing w:val="-2"/>
        </w:rPr>
        <w:t>日，由北京兴华会计师事务所有限责任公司出具</w:t>
      </w:r>
      <w:r>
        <w:rPr>
          <w:rFonts w:ascii="宋体" w:hAnsi="宋体" w:cs="宋体" w:eastAsia="宋体" w:hint="default"/>
          <w:spacing w:val="-2"/>
        </w:rPr>
        <w:t>[2012]</w:t>
      </w:r>
      <w:r>
        <w:rPr>
          <w:spacing w:val="-2"/>
        </w:rPr>
        <w:t>京会兴验字</w:t>
      </w:r>
      <w:r>
        <w:rPr>
          <w:spacing w:val="-49"/>
        </w:rPr>
        <w:t> </w:t>
      </w:r>
      <w:r>
        <w:rPr>
          <w:spacing w:val="-49"/>
        </w:rPr>
      </w:r>
      <w:r>
        <w:rPr/>
        <w:t>第</w:t>
      </w:r>
      <w:r>
        <w:rPr>
          <w:rFonts w:ascii="宋体" w:hAnsi="宋体" w:cs="宋体" w:eastAsia="宋体" w:hint="default"/>
        </w:rPr>
        <w:t>05010020</w:t>
      </w:r>
      <w:r>
        <w:rPr/>
        <w:t>号验资报告予以验证。</w:t>
      </w:r>
    </w:p>
    <w:p>
      <w:pPr>
        <w:pStyle w:val="BodyText"/>
        <w:spacing w:line="477" w:lineRule="auto" w:before="54"/>
        <w:ind w:right="186" w:firstLine="528"/>
        <w:jc w:val="both"/>
      </w:pP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22</w:t>
      </w:r>
      <w:r>
        <w:rPr>
          <w:spacing w:val="-2"/>
        </w:rPr>
        <w:t>日经公司</w:t>
      </w:r>
      <w:r>
        <w:rPr>
          <w:rFonts w:ascii="宋体" w:hAnsi="宋体" w:cs="宋体" w:eastAsia="宋体" w:hint="default"/>
          <w:spacing w:val="-2"/>
        </w:rPr>
        <w:t>2012</w:t>
      </w:r>
      <w:r>
        <w:rPr>
          <w:spacing w:val="-2"/>
        </w:rPr>
        <w:t>年第三次临时股东大会决议，以截止</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日公司总股本</w:t>
      </w:r>
      <w:r>
        <w:rPr>
          <w:rFonts w:ascii="宋体" w:hAnsi="宋体" w:cs="宋体" w:eastAsia="宋体" w:hint="default"/>
          <w:spacing w:val="-2"/>
        </w:rPr>
        <w:t>8,100.00</w:t>
      </w:r>
      <w:r>
        <w:rPr>
          <w:spacing w:val="-2"/>
        </w:rPr>
        <w:t>万股为基数，向全</w:t>
      </w:r>
      <w:r>
        <w:rPr/>
        <w:t> </w:t>
      </w:r>
      <w:r>
        <w:rPr>
          <w:spacing w:val="-3"/>
        </w:rPr>
        <w:t>体股东每</w:t>
      </w:r>
      <w:r>
        <w:rPr>
          <w:rFonts w:ascii="宋体" w:hAnsi="宋体" w:cs="宋体" w:eastAsia="宋体" w:hint="default"/>
          <w:spacing w:val="-3"/>
        </w:rPr>
        <w:t>10</w:t>
      </w:r>
      <w:r>
        <w:rPr>
          <w:spacing w:val="-3"/>
        </w:rPr>
        <w:t>股转增</w:t>
      </w:r>
      <w:r>
        <w:rPr>
          <w:rFonts w:ascii="宋体" w:hAnsi="宋体" w:cs="宋体" w:eastAsia="宋体" w:hint="default"/>
          <w:spacing w:val="-3"/>
        </w:rPr>
        <w:t>5</w:t>
      </w:r>
      <w:r>
        <w:rPr>
          <w:spacing w:val="-3"/>
        </w:rPr>
        <w:t>股，共计转增</w:t>
      </w:r>
      <w:r>
        <w:rPr>
          <w:rFonts w:ascii="宋体" w:hAnsi="宋体" w:cs="宋体" w:eastAsia="宋体" w:hint="default"/>
          <w:spacing w:val="-3"/>
        </w:rPr>
        <w:t>4,050.00</w:t>
      </w:r>
      <w:r>
        <w:rPr>
          <w:spacing w:val="-3"/>
        </w:rPr>
        <w:t>万股，将资本公积</w:t>
      </w:r>
      <w:r>
        <w:rPr>
          <w:rFonts w:ascii="宋体" w:hAnsi="宋体" w:cs="宋体" w:eastAsia="宋体" w:hint="default"/>
          <w:spacing w:val="-3"/>
        </w:rPr>
        <w:t>40,500,000.00</w:t>
      </w:r>
      <w:r>
        <w:rPr>
          <w:spacing w:val="-3"/>
        </w:rPr>
        <w:t>元转增股本，增加注册资本人民币</w:t>
      </w:r>
      <w:r>
        <w:rPr>
          <w:rFonts w:ascii="宋体" w:hAnsi="宋体" w:cs="宋体" w:eastAsia="宋体" w:hint="default"/>
          <w:spacing w:val="-3"/>
        </w:rPr>
        <w:t>40,500,000.00</w:t>
      </w:r>
      <w:r>
        <w:rPr>
          <w:rFonts w:ascii="宋体" w:hAnsi="宋体" w:cs="宋体" w:eastAsia="宋体" w:hint="default"/>
          <w:spacing w:val="-56"/>
        </w:rPr>
        <w:t> </w:t>
      </w:r>
      <w:r>
        <w:rPr>
          <w:rFonts w:ascii="宋体" w:hAnsi="宋体" w:cs="宋体" w:eastAsia="宋体" w:hint="default"/>
          <w:spacing w:val="-56"/>
        </w:rPr>
      </w:r>
      <w:r>
        <w:rPr/>
        <w:t>元，变更后注册资本为人民币</w:t>
      </w:r>
      <w:r>
        <w:rPr>
          <w:rFonts w:ascii="宋体" w:hAnsi="宋体" w:cs="宋体" w:eastAsia="宋体" w:hint="default"/>
        </w:rPr>
        <w:t>121,500,000.00</w:t>
      </w:r>
      <w:r>
        <w:rPr/>
        <w:t>元。</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22</w:t>
      </w:r>
      <w:r>
        <w:rPr/>
        <w:t>日，由北京兴华会计师事务所有限责任公司出具</w:t>
      </w:r>
      <w:r>
        <w:rPr>
          <w:rFonts w:ascii="宋体" w:hAnsi="宋体" w:cs="宋体" w:eastAsia="宋体" w:hint="default"/>
        </w:rPr>
        <w:t>[2012]</w:t>
      </w:r>
      <w:r>
        <w:rPr/>
        <w:t>京会</w:t>
      </w:r>
      <w:r>
        <w:rPr>
          <w:spacing w:val="-86"/>
        </w:rPr>
        <w:t> </w:t>
      </w:r>
      <w:r>
        <w:rPr/>
        <w:t>兴验字第</w:t>
      </w:r>
      <w:r>
        <w:rPr>
          <w:rFonts w:ascii="宋体" w:hAnsi="宋体" w:cs="宋体" w:eastAsia="宋体" w:hint="default"/>
        </w:rPr>
        <w:t>05010168</w:t>
      </w:r>
      <w:r>
        <w:rPr/>
        <w:t>号验资报告予以验证。</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4"/>
        <w:jc w:val="left"/>
      </w:pPr>
      <w:r>
        <w:rPr/>
        <w:t>库存股情况说明</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专项储备情况说明</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516,888,112.47</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435,888,112.47</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292,564.86</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292,564.86</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517,180,677.33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436,180,677.33</w:t>
            </w:r>
          </w:p>
        </w:tc>
      </w:tr>
    </w:tbl>
    <w:p>
      <w:pPr>
        <w:pStyle w:val="BodyText"/>
        <w:spacing w:line="240" w:lineRule="auto" w:before="49"/>
        <w:ind w:right="94"/>
        <w:jc w:val="left"/>
      </w:pPr>
      <w:r>
        <w:rPr/>
        <w:t>资本公积说明</w:t>
      </w:r>
    </w:p>
    <w:p>
      <w:pPr>
        <w:spacing w:line="240" w:lineRule="auto" w:before="11"/>
        <w:rPr>
          <w:rFonts w:ascii="宋体" w:hAnsi="宋体" w:cs="宋体" w:eastAsia="宋体" w:hint="default"/>
          <w:sz w:val="14"/>
          <w:szCs w:val="14"/>
        </w:rPr>
      </w:pPr>
    </w:p>
    <w:p>
      <w:pPr>
        <w:pStyle w:val="BodyText"/>
        <w:spacing w:line="477" w:lineRule="auto"/>
        <w:ind w:right="94" w:firstLine="528"/>
        <w:jc w:val="left"/>
      </w:pP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21</w:t>
      </w:r>
      <w:r>
        <w:rPr/>
        <w:t>日经公司</w:t>
      </w:r>
      <w:r>
        <w:rPr>
          <w:rFonts w:ascii="宋体" w:hAnsi="宋体" w:cs="宋体" w:eastAsia="宋体" w:hint="default"/>
        </w:rPr>
        <w:t>2011</w:t>
      </w:r>
      <w:r>
        <w:rPr/>
        <w:t>年度股东大会决议，以截止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4,050.00</w:t>
      </w:r>
      <w:r>
        <w:rPr/>
        <w:t>万股为基数，向全体股东 每</w:t>
      </w:r>
      <w:r>
        <w:rPr>
          <w:rFonts w:ascii="宋体" w:hAnsi="宋体" w:cs="宋体" w:eastAsia="宋体" w:hint="default"/>
        </w:rPr>
        <w:t>10</w:t>
      </w:r>
      <w:r>
        <w:rPr/>
        <w:t>股转增</w:t>
      </w:r>
      <w:r>
        <w:rPr>
          <w:rFonts w:ascii="宋体" w:hAnsi="宋体" w:cs="宋体" w:eastAsia="宋体" w:hint="default"/>
        </w:rPr>
        <w:t>10</w:t>
      </w:r>
      <w:r>
        <w:rPr/>
        <w:t>股，共计转增</w:t>
      </w:r>
      <w:r>
        <w:rPr>
          <w:rFonts w:ascii="宋体" w:hAnsi="宋体" w:cs="宋体" w:eastAsia="宋体" w:hint="default"/>
        </w:rPr>
        <w:t>4,050.00</w:t>
      </w:r>
      <w:r>
        <w:rPr/>
        <w:t>万股，将资本公积</w:t>
      </w:r>
      <w:r>
        <w:rPr>
          <w:rFonts w:ascii="宋体" w:hAnsi="宋体" w:cs="宋体" w:eastAsia="宋体" w:hint="default"/>
        </w:rPr>
        <w:t>40,500,000.00</w:t>
      </w:r>
      <w:r>
        <w:rPr/>
        <w:t>元转增股本。</w:t>
      </w:r>
    </w:p>
    <w:p>
      <w:pPr>
        <w:pStyle w:val="BodyText"/>
        <w:spacing w:line="240" w:lineRule="auto" w:before="54"/>
        <w:ind w:left="681" w:right="0"/>
        <w:jc w:val="left"/>
      </w:pP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22</w:t>
      </w:r>
      <w:r>
        <w:rPr/>
        <w:t>日经公司</w:t>
      </w:r>
      <w:r>
        <w:rPr>
          <w:rFonts w:ascii="宋体" w:hAnsi="宋体" w:cs="宋体" w:eastAsia="宋体" w:hint="default"/>
        </w:rPr>
        <w:t>2012</w:t>
      </w:r>
      <w:r>
        <w:rPr/>
        <w:t>年第三次临时股东大会决议，以截止</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30</w:t>
      </w:r>
      <w:r>
        <w:rPr/>
        <w:t>日公司总股本</w:t>
      </w:r>
      <w:r>
        <w:rPr>
          <w:rFonts w:ascii="宋体" w:hAnsi="宋体" w:cs="宋体" w:eastAsia="宋体" w:hint="default"/>
        </w:rPr>
        <w:t>8,100.00</w:t>
      </w:r>
      <w:r>
        <w:rPr/>
        <w:t>万股为基数，向全</w:t>
      </w:r>
    </w:p>
    <w:p>
      <w:pPr>
        <w:spacing w:after="0" w:line="240" w:lineRule="auto"/>
        <w:jc w:val="left"/>
        <w:sectPr>
          <w:pgSz w:w="11910" w:h="16840"/>
          <w:pgMar w:header="772" w:footer="1006" w:top="1080" w:bottom="1200" w:left="980" w:right="940"/>
        </w:sectPr>
      </w:pPr>
    </w:p>
    <w:p>
      <w:pPr>
        <w:spacing w:line="240" w:lineRule="auto" w:before="10"/>
        <w:rPr>
          <w:rFonts w:ascii="宋体" w:hAnsi="宋体" w:cs="宋体" w:eastAsia="宋体" w:hint="default"/>
          <w:sz w:val="29"/>
          <w:szCs w:val="29"/>
        </w:rPr>
      </w:pPr>
    </w:p>
    <w:p>
      <w:pPr>
        <w:pStyle w:val="BodyText"/>
        <w:spacing w:line="477" w:lineRule="auto" w:before="44"/>
        <w:ind w:left="681" w:right="2754" w:hanging="529"/>
        <w:jc w:val="left"/>
      </w:pPr>
      <w:r>
        <w:rPr/>
        <w:t>体股东每</w:t>
      </w:r>
      <w:r>
        <w:rPr>
          <w:rFonts w:ascii="宋体" w:hAnsi="宋体" w:cs="宋体" w:eastAsia="宋体" w:hint="default"/>
        </w:rPr>
        <w:t>10</w:t>
      </w:r>
      <w:r>
        <w:rPr/>
        <w:t>股转增</w:t>
      </w:r>
      <w:r>
        <w:rPr>
          <w:rFonts w:ascii="宋体" w:hAnsi="宋体" w:cs="宋体" w:eastAsia="宋体" w:hint="default"/>
        </w:rPr>
        <w:t>5</w:t>
      </w:r>
      <w:r>
        <w:rPr/>
        <w:t>股，共计转增</w:t>
      </w:r>
      <w:r>
        <w:rPr>
          <w:rFonts w:ascii="宋体" w:hAnsi="宋体" w:cs="宋体" w:eastAsia="宋体" w:hint="default"/>
        </w:rPr>
        <w:t>4,050.00</w:t>
      </w:r>
      <w:r>
        <w:rPr/>
        <w:t>万股，将资本公积</w:t>
      </w:r>
      <w:r>
        <w:rPr>
          <w:rFonts w:ascii="宋体" w:hAnsi="宋体" w:cs="宋体" w:eastAsia="宋体" w:hint="default"/>
        </w:rPr>
        <w:t>40,500,000.00</w:t>
      </w:r>
      <w:r>
        <w:rPr/>
        <w:t>元转增股本。 本期资本公积转增股本共计</w:t>
      </w:r>
      <w:r>
        <w:rPr>
          <w:rFonts w:ascii="宋体" w:hAnsi="宋体" w:cs="宋体" w:eastAsia="宋体" w:hint="default"/>
        </w:rPr>
        <w:t>81,000,000.00</w:t>
      </w:r>
      <w:r>
        <w:rPr/>
        <w:t>元。</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13,511,843.52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5,686,710.36</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19,198,553.88</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13,511,843.52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5,686,710.36</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19,198,553.88</w:t>
            </w:r>
          </w:p>
        </w:tc>
      </w:tr>
    </w:tbl>
    <w:p>
      <w:pPr>
        <w:pStyle w:val="BodyText"/>
        <w:spacing w:line="357" w:lineRule="auto" w:before="49"/>
        <w:ind w:right="3474"/>
        <w:jc w:val="left"/>
      </w:pPr>
      <w:r>
        <w:rPr/>
        <w:t>盈余公积说明，用盈余公积转增股本、弥补亏损、分派股利的，应说明有关决议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一般风险准备情况说明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99,431,618.66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99,431,618.66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70,753,506.20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5,686,710.36</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156,398,414.50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调整年初未分配利润明细：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、由于《企业会计准则》及其相关新规定进行追溯调整，影响年初未分配利润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、由于会计政策变更，影响年初未分配利润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3)</w:t>
      </w:r>
      <w:r>
        <w:rPr/>
        <w:t>、由于重大会计差错更正，影响年初未分配利润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4"/>
        <w:ind w:right="0"/>
        <w:jc w:val="left"/>
      </w:pPr>
      <w:r>
        <w:rPr>
          <w:rFonts w:ascii="Times New Roman" w:hAnsi="Times New Roman" w:cs="Times New Roman" w:eastAsia="Times New Roman" w:hint="default"/>
        </w:rPr>
        <w:t>4)</w:t>
      </w:r>
      <w:r>
        <w:rPr/>
        <w:t>、由于同一控制导致的合并范围变更，影响年初未分配利润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324" w:lineRule="auto" w:before="103"/>
        <w:ind w:right="0"/>
        <w:jc w:val="left"/>
      </w:pPr>
      <w:r>
        <w:rPr>
          <w:rFonts w:ascii="Times New Roman" w:hAnsi="Times New Roman" w:cs="Times New Roman" w:eastAsia="Times New Roman" w:hint="default"/>
        </w:rPr>
        <w:t>5)</w:t>
      </w:r>
      <w:r>
        <w:rPr/>
        <w:t>、其他调整合计影响年初未分配利润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w w:val="99"/>
        </w:rPr>
        <w:t> </w:t>
      </w:r>
      <w:r>
        <w:rPr>
          <w:spacing w:val="-2"/>
        </w:rPr>
        <w:t>未分配利润说明，对于首次公开发行证券的公司，如果发行前的滚存利润经股东大会决议由新老股东共同享有，应明确予以</w:t>
      </w:r>
      <w:r>
        <w:rPr>
          <w:spacing w:val="-63"/>
        </w:rPr>
        <w:t> </w:t>
      </w:r>
      <w:r>
        <w:rPr>
          <w:spacing w:val="-63"/>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spacing w:after="0" w:line="324"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313,003,233.22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178,811,264.68</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168,375,448.76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84,473,032.08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282,370,694.87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141,875,743.97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178,441,753.03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84,263,877.00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非电信行业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30,632,538.35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26,499,704.79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369,511.65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209,155.08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313,003,233.22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168,375,448.76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178,811,264.68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84,473,032.08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企业数据平台</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78,493,421.38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34,378,090.95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22,175,641.06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9,517,312.55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数据分析平台</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123,723,820.23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57,317,234.99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91,045,107.54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39,405,074.19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CRM </w:t>
            </w:r>
            <w:r>
              <w:rPr>
                <w:rFonts w:ascii="宋体" w:hAnsi="宋体" w:cs="宋体" w:eastAsia="宋体" w:hint="default"/>
                <w:sz w:val="18"/>
                <w:szCs w:val="18"/>
              </w:rPr>
              <w:t>应用</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82,941,895.89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49,962,128.13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64,251,470.55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34,925,992.20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硬件销售及其他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27,844,095.72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26,717,994.69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1,339,045.53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624,653.14</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313,003,233.22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168,375,448.76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178,811,264.68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84,473,032.08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11,880,002.27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5,397,350.04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17,754,609.41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7,384,868.65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7,640,876.53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4,705,430.13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11,380,736.15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4,526,801.53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209,225,252.37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115,016,053.78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79,108,777.35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41,845,669.18</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6,879,858.89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3,137,527.04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11,199,285.89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4,568,916.77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17,862,716.35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10,868,078.63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17,078,125.21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7,750,237.80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15,270,438.58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5,385,306.33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20,242,624.73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8,518,217.15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44,244,088.23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23,865,702.81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22,047,105.94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9,878,321.00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313,003,233.22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168,375,448.76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178,811,264.68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84,473,032.08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中国联合通信网络公司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64,968,820.00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20.76%</w:t>
            </w:r>
          </w:p>
        </w:tc>
      </w:tr>
      <w:tr>
        <w:trPr>
          <w:trHeight w:val="71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中国联合网络通信有限公司天津 市分公司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47,285,240.15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15.11%</w:t>
            </w:r>
          </w:p>
        </w:tc>
      </w:tr>
      <w:tr>
        <w:trPr>
          <w:trHeight w:val="715"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中国移动通信集团内蒙古有限公 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41,172,257.90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13.15%</w:t>
            </w:r>
          </w:p>
        </w:tc>
      </w:tr>
      <w:tr>
        <w:trPr>
          <w:trHeight w:val="71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中国联合通信网络公司辽宁分公 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26,728,830.00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8.54%</w:t>
            </w:r>
          </w:p>
        </w:tc>
      </w:tr>
      <w:tr>
        <w:trPr>
          <w:trHeight w:val="715"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9"/>
              <w:jc w:val="left"/>
              <w:rPr>
                <w:rFonts w:ascii="宋体" w:hAnsi="宋体" w:cs="宋体" w:eastAsia="宋体" w:hint="default"/>
                <w:sz w:val="18"/>
                <w:szCs w:val="18"/>
              </w:rPr>
            </w:pPr>
            <w:r>
              <w:rPr>
                <w:rFonts w:ascii="宋体" w:hAnsi="宋体" w:cs="宋体" w:eastAsia="宋体" w:hint="default"/>
                <w:sz w:val="18"/>
                <w:szCs w:val="18"/>
              </w:rPr>
              <w:t>中国联合通信网络公司北京分公 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10,982,699.64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191,137,847.69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61.07%</w:t>
            </w:r>
          </w:p>
        </w:tc>
      </w:tr>
    </w:tbl>
    <w:p>
      <w:pPr>
        <w:pStyle w:val="BodyText"/>
        <w:spacing w:line="436" w:lineRule="auto" w:before="49"/>
        <w:ind w:left="470" w:right="0" w:hanging="318"/>
        <w:jc w:val="left"/>
      </w:pPr>
      <w:r>
        <w:rPr/>
        <w:t>营业收入的说明 </w:t>
      </w:r>
      <w:r>
        <w:rPr>
          <w:spacing w:val="-1"/>
        </w:rPr>
        <w:t>公司</w:t>
      </w:r>
      <w:r>
        <w:rPr>
          <w:rFonts w:ascii="宋体" w:hAnsi="宋体" w:cs="宋体" w:eastAsia="宋体" w:hint="default"/>
          <w:spacing w:val="-1"/>
        </w:rPr>
        <w:t>2011</w:t>
      </w:r>
      <w:r>
        <w:rPr>
          <w:spacing w:val="-1"/>
        </w:rPr>
        <w:t>年新设立天津子公司，</w:t>
      </w:r>
      <w:r>
        <w:rPr>
          <w:rFonts w:ascii="宋体" w:hAnsi="宋体" w:cs="宋体" w:eastAsia="宋体" w:hint="default"/>
          <w:spacing w:val="-1"/>
        </w:rPr>
        <w:t>2011</w:t>
      </w:r>
      <w:r>
        <w:rPr>
          <w:spacing w:val="-1"/>
        </w:rPr>
        <w:t>年末收购东华信通子公司，在</w:t>
      </w:r>
      <w:r>
        <w:rPr>
          <w:rFonts w:ascii="宋体" w:hAnsi="宋体" w:cs="宋体" w:eastAsia="宋体" w:hint="default"/>
          <w:spacing w:val="-1"/>
        </w:rPr>
        <w:t>2012</w:t>
      </w:r>
      <w:r>
        <w:rPr>
          <w:spacing w:val="-1"/>
        </w:rPr>
        <w:t>年均形成收入并纳入合并报表。且公司在原有业</w:t>
      </w:r>
    </w:p>
    <w:p>
      <w:pPr>
        <w:pStyle w:val="BodyText"/>
        <w:spacing w:line="477" w:lineRule="auto" w:before="85"/>
        <w:ind w:right="0"/>
        <w:jc w:val="left"/>
      </w:pPr>
      <w:r>
        <w:rPr>
          <w:spacing w:val="-2"/>
        </w:rPr>
        <w:t>务基础上，开展更多的业务类型，获得更多业务市场；公司本年加大软件技术服务的涉及领域，为不断提升业绩，设立新的</w:t>
      </w:r>
      <w:r>
        <w:rPr>
          <w:spacing w:val="-67"/>
        </w:rPr>
        <w:t> </w:t>
      </w:r>
      <w:r>
        <w:rPr>
          <w:spacing w:val="-67"/>
        </w:rPr>
      </w:r>
      <w:r>
        <w:rPr/>
        <w:t>项目组以满足客户多方面的需求。</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41" w:right="20"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1" w:right="20"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pStyle w:val="BodyText"/>
        <w:spacing w:line="240" w:lineRule="auto" w:before="49"/>
        <w:ind w:right="0"/>
        <w:jc w:val="left"/>
      </w:pPr>
      <w:r>
        <w:rPr/>
        <w:t>合同项目的说明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应税收入之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5,465,400.88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3,171,111.25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应税收入之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588,944.73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766,163.22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应缴流转税之</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252,404.88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328,355.70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应缴流转税之</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169,695.31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31,194.73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应缴流转税之</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3,942.06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6,480,387.86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4,296,824.90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营业税金及附加的说明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5,707,004.32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1,642,190.41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5,844,145.18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4,175,268.64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2,261,698.73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1,068,317.40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3,973,833.91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1,262,663.72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2,396,132.58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1,872,697.47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20,182,814.72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10,021,137.64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17,818,093.54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5,557,976.31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983,704.68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418,442.91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895,242.40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666,525.60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603,316.32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600,823.32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4,001,111.68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1,358,656.30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研究开发支出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11,275,385.68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18,617,205.21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10,393,060.82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6,102,324.08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45,969,915.12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33,321,953.73</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-10,333,505.69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-12,507,299.84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144,859.89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23,730.37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-10,188,645.80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-12,483,569.47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公允价值变动收益的说明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10"/>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50"/>
        <w:ind w:right="0"/>
        <w:jc w:val="left"/>
      </w:pPr>
      <w:r>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648,711.51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578,985.54</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648,711.51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578,985.54</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3" w:right="0"/>
              <w:jc w:val="left"/>
              <w:rPr>
                <w:rFonts w:ascii="Times New Roman" w:hAnsi="Times New Roman" w:cs="Times New Roman" w:eastAsia="Times New Roman" w:hint="default"/>
                <w:sz w:val="18"/>
                <w:szCs w:val="18"/>
              </w:rPr>
            </w:pPr>
            <w:r>
              <w:rPr>
                <w:rFonts w:ascii="Times New Roman"/>
                <w:sz w:val="18"/>
              </w:rPr>
              <w:t>1,350,000.00</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878,350.41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7,897,446.03</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2,453.75</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2,228,350.41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8,849,899.78</w:t>
            </w:r>
          </w:p>
        </w:tc>
        <w:tc>
          <w:tcPr>
            <w:tcW w:w="21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朝阳区财政局中小企业发展专项 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朝阳区财政局中小企业发展专项 资金支持项目配套款</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中关村科技园区小企业创新支持 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文化创意产业专项资金奖励款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中关村国家自主创新示范区并购 支持资金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市文化创新发展专项资金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36" w:lineRule="auto" w:before="49"/>
        <w:ind w:left="470" w:right="0" w:hanging="318"/>
        <w:jc w:val="left"/>
      </w:pPr>
      <w:r>
        <w:rPr/>
        <w:t>营业外收入说明 根据《国务院关于印发进一步鼓励软件产业和集成电路产业发展若干政策的通知》（国发</w:t>
      </w:r>
      <w:r>
        <w:rPr>
          <w:rFonts w:ascii="宋体" w:hAnsi="宋体" w:cs="宋体" w:eastAsia="宋体" w:hint="default"/>
        </w:rPr>
        <w:t>[2011]4</w:t>
      </w:r>
      <w:r>
        <w:rPr/>
        <w:t>号）的规定，及财政</w:t>
      </w:r>
    </w:p>
    <w:p>
      <w:pPr>
        <w:pStyle w:val="BodyText"/>
        <w:spacing w:line="477" w:lineRule="auto" w:before="85"/>
        <w:ind w:right="144"/>
        <w:jc w:val="left"/>
      </w:pPr>
      <w:r>
        <w:rPr/>
        <w:t>部、国家税务总局《关于软件产品增值税政策的通知》（财税</w:t>
      </w:r>
      <w:r>
        <w:rPr>
          <w:rFonts w:ascii="宋体" w:hAnsi="宋体" w:cs="宋体" w:eastAsia="宋体" w:hint="default"/>
        </w:rPr>
        <w:t>[2011]100</w:t>
      </w:r>
      <w:r>
        <w:rPr/>
        <w:t>号）的第一条的规定，自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日起，本公司</w:t>
      </w:r>
      <w:r>
        <w:rPr>
          <w:spacing w:val="-86"/>
        </w:rPr>
        <w:t> </w:t>
      </w:r>
      <w:r>
        <w:rPr>
          <w:spacing w:val="-86"/>
        </w:rPr>
      </w:r>
      <w:r>
        <w:rPr/>
        <w:t>自行开发研制的软件产品按</w:t>
      </w:r>
      <w:r>
        <w:rPr>
          <w:rFonts w:ascii="宋体" w:hAnsi="宋体" w:cs="宋体" w:eastAsia="宋体" w:hint="default"/>
        </w:rPr>
        <w:t>17%</w:t>
      </w:r>
      <w:r>
        <w:rPr/>
        <w:t>税率征收增值税后，对其增值税实际税负超过</w:t>
      </w:r>
      <w:r>
        <w:rPr>
          <w:rFonts w:ascii="宋体" w:hAnsi="宋体" w:cs="宋体" w:eastAsia="宋体" w:hint="default"/>
        </w:rPr>
        <w:t>3%</w:t>
      </w:r>
      <w:r>
        <w:rPr/>
        <w:t>的部分实行即征即退政策。</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9"/>
        <w:gridCol w:w="2021"/>
        <w:gridCol w:w="1915"/>
        <w:gridCol w:w="1902"/>
      </w:tblGrid>
      <w:tr>
        <w:trPr>
          <w:trHeight w:val="161" w:hRule="exact"/>
        </w:trPr>
        <w:tc>
          <w:tcPr>
            <w:tcW w:w="3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1" w:right="37"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673"/>
              <w:jc w:val="right"/>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02" w:type="dxa"/>
            <w:vMerge/>
            <w:tcBorders>
              <w:left w:val="single" w:sz="4" w:space="0" w:color="000000"/>
              <w:right w:val="single" w:sz="4" w:space="0" w:color="000000"/>
            </w:tcBorders>
            <w:shd w:val="clear" w:color="auto" w:fill="D2D2D2"/>
          </w:tcPr>
          <w:p>
            <w:pPr/>
          </w:p>
        </w:tc>
      </w:tr>
      <w:tr>
        <w:trPr>
          <w:trHeight w:val="161" w:hRule="exact"/>
        </w:trPr>
        <w:tc>
          <w:tcPr>
            <w:tcW w:w="3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05"/>
              <w:jc w:val="righ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1" w:right="0"/>
              <w:jc w:val="left"/>
              <w:rPr>
                <w:rFonts w:ascii="Times New Roman" w:hAnsi="Times New Roman" w:cs="Times New Roman" w:eastAsia="Times New Roman" w:hint="default"/>
                <w:sz w:val="18"/>
                <w:szCs w:val="18"/>
              </w:rPr>
            </w:pPr>
            <w:r>
              <w:rPr>
                <w:rFonts w:ascii="Times New Roman"/>
                <w:sz w:val="18"/>
              </w:rPr>
              <w:t>41,165.69</w:t>
            </w:r>
          </w:p>
        </w:tc>
        <w:tc>
          <w:tcPr>
            <w:tcW w:w="19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61" w:right="0"/>
              <w:jc w:val="left"/>
              <w:rPr>
                <w:rFonts w:ascii="Times New Roman" w:hAnsi="Times New Roman" w:cs="Times New Roman" w:eastAsia="Times New Roman" w:hint="default"/>
                <w:sz w:val="18"/>
                <w:szCs w:val="18"/>
              </w:rPr>
            </w:pPr>
            <w:r>
              <w:rPr>
                <w:rFonts w:ascii="Times New Roman"/>
                <w:sz w:val="18"/>
              </w:rPr>
              <w:t>41,165.69</w:t>
            </w: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营业外支出说明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13,070,734.42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9,942,388.90</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-61,489.16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-101,334.15</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13,009,245.26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9,841,054.75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58"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年度净资产收益率和每股收益</w:t>
      </w:r>
    </w:p>
    <w:p>
      <w:pPr>
        <w:spacing w:line="240" w:lineRule="auto" w:before="1"/>
        <w:rPr>
          <w:rFonts w:ascii="宋体" w:hAnsi="宋体" w:cs="宋体" w:eastAsia="宋体" w:hint="default"/>
          <w:sz w:val="20"/>
          <w:szCs w:val="20"/>
        </w:rPr>
      </w:pPr>
    </w:p>
    <w:tbl>
      <w:tblPr>
        <w:tblW w:w="0" w:type="auto"/>
        <w:jc w:val="left"/>
        <w:tblInd w:w="537" w:type="dxa"/>
        <w:tblLayout w:type="fixed"/>
        <w:tblCellMar>
          <w:top w:w="0" w:type="dxa"/>
          <w:left w:w="0" w:type="dxa"/>
          <w:bottom w:w="0" w:type="dxa"/>
          <w:right w:w="0" w:type="dxa"/>
        </w:tblCellMar>
        <w:tblLook w:val="01E0"/>
      </w:tblPr>
      <w:tblGrid>
        <w:gridCol w:w="3229"/>
        <w:gridCol w:w="1983"/>
        <w:gridCol w:w="1702"/>
        <w:gridCol w:w="1945"/>
      </w:tblGrid>
      <w:tr>
        <w:trPr>
          <w:trHeight w:val="320" w:hRule="exact"/>
        </w:trPr>
        <w:tc>
          <w:tcPr>
            <w:tcW w:w="3229"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983"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加权平均净资产收益率</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3646"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346" w:hRule="exact"/>
        </w:trPr>
        <w:tc>
          <w:tcPr>
            <w:tcW w:w="3229" w:type="dxa"/>
            <w:vMerge/>
            <w:tcBorders>
              <w:left w:val="single" w:sz="6" w:space="0" w:color="000000"/>
              <w:bottom w:val="single" w:sz="6" w:space="0" w:color="000000"/>
              <w:right w:val="single" w:sz="6" w:space="0" w:color="000000"/>
            </w:tcBorders>
            <w:shd w:val="clear" w:color="auto" w:fill="BEBEBE"/>
          </w:tcPr>
          <w:p>
            <w:pPr/>
          </w:p>
        </w:tc>
        <w:tc>
          <w:tcPr>
            <w:tcW w:w="1983" w:type="dxa"/>
            <w:vMerge/>
            <w:tcBorders>
              <w:left w:val="single" w:sz="6" w:space="0" w:color="000000"/>
              <w:bottom w:val="single" w:sz="6" w:space="0" w:color="000000"/>
              <w:right w:val="single" w:sz="6" w:space="0" w:color="000000"/>
            </w:tcBorders>
            <w:shd w:val="clear" w:color="auto" w:fill="BEBEBE"/>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02"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25"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360"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83" w:type="dxa"/>
            <w:tcBorders>
              <w:top w:val="single" w:sz="12" w:space="0" w:color="BEBEBE"/>
              <w:left w:val="single" w:sz="6" w:space="0" w:color="000000"/>
              <w:bottom w:val="single" w:sz="6" w:space="0" w:color="000000"/>
              <w:right w:val="single" w:sz="6"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z w:val="18"/>
              </w:rPr>
              <w:t>10.12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
              <w:jc w:val="right"/>
              <w:rPr>
                <w:rFonts w:ascii="宋体" w:hAnsi="宋体" w:cs="宋体" w:eastAsia="宋体" w:hint="default"/>
                <w:sz w:val="18"/>
                <w:szCs w:val="18"/>
              </w:rPr>
            </w:pPr>
            <w:r>
              <w:rPr>
                <w:rFonts w:ascii="宋体"/>
                <w:sz w:val="18"/>
              </w:rPr>
              <w:t>0.58</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
              <w:jc w:val="right"/>
              <w:rPr>
                <w:rFonts w:ascii="宋体" w:hAnsi="宋体" w:cs="宋体" w:eastAsia="宋体" w:hint="default"/>
                <w:sz w:val="18"/>
                <w:szCs w:val="18"/>
              </w:rPr>
            </w:pPr>
            <w:r>
              <w:rPr>
                <w:rFonts w:ascii="宋体"/>
                <w:sz w:val="18"/>
              </w:rPr>
              <w:t>0.58</w:t>
            </w:r>
          </w:p>
        </w:tc>
      </w:tr>
      <w:tr>
        <w:trPr>
          <w:trHeight w:val="660"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8"/>
                <w:sz w:val="18"/>
                <w:szCs w:val="18"/>
              </w:rPr>
              <w:t>扣除非经常性损益后归属于公司普通股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股东的净利润</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9.95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0.57</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0.57</w:t>
            </w:r>
          </w:p>
        </w:tc>
      </w:tr>
    </w:tbl>
    <w:p>
      <w:pPr>
        <w:spacing w:line="240" w:lineRule="auto" w:before="4"/>
        <w:rPr>
          <w:rFonts w:ascii="宋体" w:hAnsi="宋体" w:cs="宋体" w:eastAsia="宋体" w:hint="default"/>
          <w:sz w:val="7"/>
          <w:szCs w:val="7"/>
        </w:rPr>
      </w:pPr>
    </w:p>
    <w:p>
      <w:pPr>
        <w:pStyle w:val="Heading4"/>
        <w:spacing w:line="240" w:lineRule="auto" w:before="36"/>
        <w:ind w:left="258"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年度净资产收益率和每股收益</w:t>
      </w:r>
    </w:p>
    <w:p>
      <w:pPr>
        <w:spacing w:line="240" w:lineRule="auto" w:before="2"/>
        <w:rPr>
          <w:rFonts w:ascii="宋体" w:hAnsi="宋体" w:cs="宋体" w:eastAsia="宋体" w:hint="default"/>
          <w:sz w:val="20"/>
          <w:szCs w:val="20"/>
        </w:rPr>
      </w:pPr>
    </w:p>
    <w:tbl>
      <w:tblPr>
        <w:tblW w:w="0" w:type="auto"/>
        <w:jc w:val="left"/>
        <w:tblInd w:w="537" w:type="dxa"/>
        <w:tblLayout w:type="fixed"/>
        <w:tblCellMar>
          <w:top w:w="0" w:type="dxa"/>
          <w:left w:w="0" w:type="dxa"/>
          <w:bottom w:w="0" w:type="dxa"/>
          <w:right w:w="0" w:type="dxa"/>
        </w:tblCellMar>
        <w:tblLook w:val="01E0"/>
      </w:tblPr>
      <w:tblGrid>
        <w:gridCol w:w="3229"/>
        <w:gridCol w:w="1983"/>
        <w:gridCol w:w="1702"/>
        <w:gridCol w:w="1945"/>
      </w:tblGrid>
      <w:tr>
        <w:trPr>
          <w:trHeight w:val="322" w:hRule="exact"/>
        </w:trPr>
        <w:tc>
          <w:tcPr>
            <w:tcW w:w="3229"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983"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加权平均净资产收益率</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3646"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344" w:hRule="exact"/>
        </w:trPr>
        <w:tc>
          <w:tcPr>
            <w:tcW w:w="3229" w:type="dxa"/>
            <w:vMerge/>
            <w:tcBorders>
              <w:left w:val="single" w:sz="6" w:space="0" w:color="000000"/>
              <w:bottom w:val="single" w:sz="6" w:space="0" w:color="000000"/>
              <w:right w:val="single" w:sz="6" w:space="0" w:color="000000"/>
            </w:tcBorders>
            <w:shd w:val="clear" w:color="auto" w:fill="BEBEBE"/>
          </w:tcPr>
          <w:p>
            <w:pPr/>
          </w:p>
        </w:tc>
        <w:tc>
          <w:tcPr>
            <w:tcW w:w="1983" w:type="dxa"/>
            <w:vMerge/>
            <w:tcBorders>
              <w:left w:val="single" w:sz="6" w:space="0" w:color="000000"/>
              <w:bottom w:val="single" w:sz="6" w:space="0" w:color="000000"/>
              <w:right w:val="single" w:sz="6" w:space="0" w:color="000000"/>
            </w:tcBorders>
            <w:shd w:val="clear" w:color="auto" w:fill="BEBEBE"/>
          </w:tcPr>
          <w:p>
            <w:pPr/>
          </w:p>
        </w:tc>
        <w:tc>
          <w:tcPr>
            <w:tcW w:w="170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94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5"/>
              <w:ind w:left="425"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361"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83" w:type="dxa"/>
            <w:tcBorders>
              <w:top w:val="single" w:sz="16" w:space="0" w:color="BEBEBE"/>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9.49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right"/>
              <w:rPr>
                <w:rFonts w:ascii="宋体" w:hAnsi="宋体" w:cs="宋体" w:eastAsia="宋体" w:hint="default"/>
                <w:sz w:val="18"/>
                <w:szCs w:val="18"/>
              </w:rPr>
            </w:pPr>
            <w:r>
              <w:rPr>
                <w:rFonts w:ascii="宋体"/>
                <w:sz w:val="18"/>
              </w:rPr>
              <w:t>0.48</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right"/>
              <w:rPr>
                <w:rFonts w:ascii="宋体" w:hAnsi="宋体" w:cs="宋体" w:eastAsia="宋体" w:hint="default"/>
                <w:sz w:val="18"/>
                <w:szCs w:val="18"/>
              </w:rPr>
            </w:pPr>
            <w:r>
              <w:rPr>
                <w:rFonts w:ascii="宋体"/>
                <w:sz w:val="18"/>
              </w:rPr>
              <w:t>0.48</w:t>
            </w:r>
          </w:p>
        </w:tc>
      </w:tr>
      <w:tr>
        <w:trPr>
          <w:trHeight w:val="660"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8"/>
                <w:sz w:val="18"/>
                <w:szCs w:val="18"/>
              </w:rPr>
              <w:t>扣除非经常性损益后归属于公司普通股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股东的净利润</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9.37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0.48</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0.48</w:t>
            </w:r>
          </w:p>
        </w:tc>
      </w:tr>
    </w:tbl>
    <w:p>
      <w:pPr>
        <w:spacing w:line="240" w:lineRule="auto" w:before="6"/>
        <w:rPr>
          <w:rFonts w:ascii="宋体" w:hAnsi="宋体" w:cs="宋体" w:eastAsia="宋体" w:hint="default"/>
          <w:sz w:val="5"/>
          <w:szCs w:val="5"/>
        </w:rPr>
      </w:pPr>
    </w:p>
    <w:p>
      <w:pPr>
        <w:pStyle w:val="Heading4"/>
        <w:spacing w:line="240" w:lineRule="auto" w:before="36"/>
        <w:ind w:right="0"/>
        <w:jc w:val="left"/>
      </w:pPr>
      <w:r>
        <w:rPr>
          <w:rFonts w:ascii="Times New Roman" w:hAnsi="Times New Roman" w:cs="Times New Roman" w:eastAsia="Times New Roman" w:hint="default"/>
        </w:rPr>
        <w:t>A</w:t>
      </w:r>
      <w:r>
        <w:rPr/>
        <w:t>净资产收益率计算过程</w:t>
      </w:r>
    </w:p>
    <w:p>
      <w:pPr>
        <w:spacing w:line="240" w:lineRule="auto" w:before="9"/>
        <w:rPr>
          <w:rFonts w:ascii="宋体" w:hAnsi="宋体" w:cs="宋体" w:eastAsia="宋体" w:hint="default"/>
          <w:sz w:val="5"/>
          <w:szCs w:val="5"/>
        </w:rPr>
      </w:pPr>
    </w:p>
    <w:tbl>
      <w:tblPr>
        <w:tblW w:w="0" w:type="auto"/>
        <w:jc w:val="left"/>
        <w:tblInd w:w="448" w:type="dxa"/>
        <w:tblLayout w:type="fixed"/>
        <w:tblCellMar>
          <w:top w:w="0" w:type="dxa"/>
          <w:left w:w="0" w:type="dxa"/>
          <w:bottom w:w="0" w:type="dxa"/>
          <w:right w:w="0" w:type="dxa"/>
        </w:tblCellMar>
        <w:tblLook w:val="01E0"/>
      </w:tblPr>
      <w:tblGrid>
        <w:gridCol w:w="2818"/>
        <w:gridCol w:w="3387"/>
        <w:gridCol w:w="1414"/>
        <w:gridCol w:w="1416"/>
      </w:tblGrid>
      <w:tr>
        <w:trPr>
          <w:trHeight w:val="348" w:hRule="exact"/>
        </w:trPr>
        <w:tc>
          <w:tcPr>
            <w:tcW w:w="2818" w:type="dxa"/>
            <w:tcBorders>
              <w:top w:val="single" w:sz="6" w:space="0" w:color="000000"/>
              <w:left w:val="single" w:sz="6" w:space="0" w:color="000000"/>
              <w:bottom w:val="single" w:sz="8" w:space="0" w:color="000000"/>
              <w:right w:val="single" w:sz="6" w:space="0" w:color="000000"/>
            </w:tcBorders>
            <w:shd w:val="clear" w:color="auto" w:fill="BEBEBE"/>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387" w:type="dxa"/>
            <w:tcBorders>
              <w:top w:val="single" w:sz="6" w:space="0" w:color="000000"/>
              <w:left w:val="single" w:sz="6" w:space="0" w:color="000000"/>
              <w:bottom w:val="single" w:sz="8" w:space="0" w:color="000000"/>
              <w:right w:val="single" w:sz="6" w:space="0" w:color="000000"/>
            </w:tcBorders>
            <w:shd w:val="clear" w:color="auto" w:fill="BEBEBE"/>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代码</w:t>
            </w:r>
            <w:r>
              <w:rPr>
                <w:rFonts w:ascii="宋体" w:hAnsi="宋体" w:cs="宋体" w:eastAsia="宋体" w:hint="default"/>
                <w:sz w:val="18"/>
                <w:szCs w:val="18"/>
              </w:rPr>
            </w:r>
          </w:p>
        </w:tc>
        <w:tc>
          <w:tcPr>
            <w:tcW w:w="1414" w:type="dxa"/>
            <w:tcBorders>
              <w:top w:val="single" w:sz="6" w:space="0" w:color="000000"/>
              <w:left w:val="single" w:sz="6" w:space="0" w:color="000000"/>
              <w:bottom w:val="single" w:sz="8" w:space="0" w:color="000000"/>
              <w:right w:val="single" w:sz="6" w:space="0" w:color="000000"/>
            </w:tcBorders>
            <w:shd w:val="clear" w:color="auto" w:fill="BEBEBE"/>
          </w:tcPr>
          <w:p>
            <w:pPr>
              <w:pStyle w:val="TableParagraph"/>
              <w:spacing w:line="240" w:lineRule="auto" w:before="17"/>
              <w:ind w:left="338" w:right="0"/>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c>
          <w:tcPr>
            <w:tcW w:w="1416" w:type="dxa"/>
            <w:tcBorders>
              <w:top w:val="single" w:sz="6" w:space="0" w:color="000000"/>
              <w:left w:val="single" w:sz="6" w:space="0" w:color="000000"/>
              <w:bottom w:val="single" w:sz="8" w:space="0" w:color="000000"/>
              <w:right w:val="single" w:sz="6" w:space="0" w:color="000000"/>
            </w:tcBorders>
            <w:shd w:val="clear" w:color="auto" w:fill="BEBEBE"/>
          </w:tcPr>
          <w:p>
            <w:pPr>
              <w:pStyle w:val="TableParagraph"/>
              <w:spacing w:line="240" w:lineRule="auto" w:before="17"/>
              <w:ind w:left="338"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665" w:hRule="exact"/>
        </w:trPr>
        <w:tc>
          <w:tcPr>
            <w:tcW w:w="281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20"/>
              <w:ind w:left="4" w:right="-7"/>
              <w:jc w:val="left"/>
              <w:rPr>
                <w:rFonts w:ascii="宋体" w:hAnsi="宋体" w:cs="宋体" w:eastAsia="宋体" w:hint="default"/>
                <w:sz w:val="18"/>
                <w:szCs w:val="18"/>
              </w:rPr>
            </w:pPr>
            <w:r>
              <w:rPr>
                <w:rFonts w:ascii="宋体" w:hAnsi="宋体" w:cs="宋体" w:eastAsia="宋体" w:hint="default"/>
                <w:spacing w:val="6"/>
                <w:sz w:val="18"/>
                <w:szCs w:val="18"/>
              </w:rPr>
              <w:t>报告期归属于公司普通股股东的净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利润</w:t>
            </w:r>
          </w:p>
        </w:tc>
        <w:tc>
          <w:tcPr>
            <w:tcW w:w="33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P1</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70,753,506.20</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57,570,579.60</w:t>
            </w:r>
          </w:p>
        </w:tc>
      </w:tr>
      <w:tr>
        <w:trPr>
          <w:trHeight w:val="662" w:hRule="exact"/>
        </w:trPr>
        <w:tc>
          <w:tcPr>
            <w:tcW w:w="281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7"/>
              <w:ind w:left="4" w:right="-7"/>
              <w:jc w:val="left"/>
              <w:rPr>
                <w:rFonts w:ascii="宋体" w:hAnsi="宋体" w:cs="宋体" w:eastAsia="宋体" w:hint="default"/>
                <w:sz w:val="18"/>
                <w:szCs w:val="18"/>
              </w:rPr>
            </w:pPr>
            <w:r>
              <w:rPr>
                <w:rFonts w:ascii="宋体" w:hAnsi="宋体" w:cs="宋体" w:eastAsia="宋体" w:hint="default"/>
                <w:spacing w:val="6"/>
                <w:sz w:val="18"/>
                <w:szCs w:val="18"/>
              </w:rPr>
              <w:t>报告期归属于公司普通股股东的非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经常性损益</w:t>
            </w:r>
          </w:p>
        </w:tc>
        <w:tc>
          <w:tcPr>
            <w:tcW w:w="33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F</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1,147,300.00</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774,594.85</w:t>
            </w:r>
          </w:p>
        </w:tc>
      </w:tr>
      <w:tr>
        <w:trPr>
          <w:trHeight w:val="665" w:hRule="exact"/>
        </w:trPr>
        <w:tc>
          <w:tcPr>
            <w:tcW w:w="281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20"/>
              <w:ind w:left="4" w:right="-7"/>
              <w:jc w:val="left"/>
              <w:rPr>
                <w:rFonts w:ascii="宋体" w:hAnsi="宋体" w:cs="宋体" w:eastAsia="宋体" w:hint="default"/>
                <w:sz w:val="18"/>
                <w:szCs w:val="18"/>
              </w:rPr>
            </w:pPr>
            <w:r>
              <w:rPr>
                <w:rFonts w:ascii="宋体" w:hAnsi="宋体" w:cs="宋体" w:eastAsia="宋体" w:hint="default"/>
                <w:spacing w:val="6"/>
                <w:sz w:val="18"/>
                <w:szCs w:val="18"/>
              </w:rPr>
              <w:t>报告期扣除非经常性损益后归属于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公司普通股股东的净利润</w:t>
            </w:r>
          </w:p>
        </w:tc>
        <w:tc>
          <w:tcPr>
            <w:tcW w:w="33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P2=P1-F</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69,606,206.20</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56,795,984.75</w:t>
            </w:r>
          </w:p>
        </w:tc>
      </w:tr>
      <w:tr>
        <w:trPr>
          <w:trHeight w:val="665" w:hRule="exact"/>
        </w:trPr>
        <w:tc>
          <w:tcPr>
            <w:tcW w:w="281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20"/>
              <w:ind w:left="4" w:right="-7"/>
              <w:jc w:val="left"/>
              <w:rPr>
                <w:rFonts w:ascii="宋体" w:hAnsi="宋体" w:cs="宋体" w:eastAsia="宋体" w:hint="default"/>
                <w:sz w:val="18"/>
                <w:szCs w:val="18"/>
              </w:rPr>
            </w:pPr>
            <w:r>
              <w:rPr>
                <w:rFonts w:ascii="宋体" w:hAnsi="宋体" w:cs="宋体" w:eastAsia="宋体" w:hint="default"/>
                <w:spacing w:val="6"/>
                <w:sz w:val="18"/>
                <w:szCs w:val="18"/>
              </w:rPr>
              <w:t>归属于公司普通股股东的期初净资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产</w:t>
            </w:r>
          </w:p>
        </w:tc>
        <w:tc>
          <w:tcPr>
            <w:tcW w:w="33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E0</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670,624,139.51</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106,219,447.44</w:t>
            </w:r>
          </w:p>
        </w:tc>
      </w:tr>
      <w:tr>
        <w:trPr>
          <w:trHeight w:val="665" w:hRule="exact"/>
        </w:trPr>
        <w:tc>
          <w:tcPr>
            <w:tcW w:w="281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7"/>
              <w:ind w:left="4" w:right="-7"/>
              <w:jc w:val="left"/>
              <w:rPr>
                <w:rFonts w:ascii="宋体" w:hAnsi="宋体" w:cs="宋体" w:eastAsia="宋体" w:hint="default"/>
                <w:sz w:val="18"/>
                <w:szCs w:val="18"/>
              </w:rPr>
            </w:pPr>
            <w:r>
              <w:rPr>
                <w:rFonts w:ascii="宋体" w:hAnsi="宋体" w:cs="宋体" w:eastAsia="宋体" w:hint="default"/>
                <w:spacing w:val="6"/>
                <w:sz w:val="18"/>
                <w:szCs w:val="18"/>
              </w:rPr>
              <w:t>报告期发行新股或债转股等新增的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归属于公司普通股股东的净资产</w:t>
            </w:r>
          </w:p>
        </w:tc>
        <w:tc>
          <w:tcPr>
            <w:tcW w:w="33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Ei</w:t>
            </w:r>
          </w:p>
        </w:tc>
        <w:tc>
          <w:tcPr>
            <w:tcW w:w="1414" w:type="dxa"/>
            <w:tcBorders>
              <w:top w:val="single" w:sz="8" w:space="0" w:color="000000"/>
              <w:left w:val="single" w:sz="6" w:space="0" w:color="000000"/>
              <w:bottom w:val="single" w:sz="8" w:space="0" w:color="000000"/>
              <w:right w:val="single" w:sz="6" w:space="0" w:color="000000"/>
            </w:tcBorders>
          </w:tcPr>
          <w:p>
            <w:pP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527,084,112.47</w:t>
            </w:r>
          </w:p>
        </w:tc>
      </w:tr>
    </w:tbl>
    <w:p>
      <w:pPr>
        <w:spacing w:after="0" w:line="240" w:lineRule="auto"/>
        <w:jc w:val="right"/>
        <w:rPr>
          <w:rFonts w:ascii="宋体" w:hAnsi="宋体" w:cs="宋体" w:eastAsia="宋体"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448" w:type="dxa"/>
        <w:tblLayout w:type="fixed"/>
        <w:tblCellMar>
          <w:top w:w="0" w:type="dxa"/>
          <w:left w:w="0" w:type="dxa"/>
          <w:bottom w:w="0" w:type="dxa"/>
          <w:right w:w="0" w:type="dxa"/>
        </w:tblCellMar>
        <w:tblLook w:val="01E0"/>
      </w:tblPr>
      <w:tblGrid>
        <w:gridCol w:w="2818"/>
        <w:gridCol w:w="3387"/>
        <w:gridCol w:w="1414"/>
        <w:gridCol w:w="1416"/>
      </w:tblGrid>
      <w:tr>
        <w:trPr>
          <w:trHeight w:val="663" w:hRule="exact"/>
        </w:trPr>
        <w:tc>
          <w:tcPr>
            <w:tcW w:w="2818" w:type="dxa"/>
            <w:tcBorders>
              <w:top w:val="single" w:sz="6" w:space="0" w:color="000000"/>
              <w:left w:val="single" w:sz="6" w:space="0" w:color="000000"/>
              <w:bottom w:val="single" w:sz="8" w:space="0" w:color="000000"/>
              <w:right w:val="single" w:sz="6" w:space="0" w:color="000000"/>
            </w:tcBorders>
          </w:tcPr>
          <w:p>
            <w:pPr>
              <w:pStyle w:val="TableParagraph"/>
              <w:spacing w:line="319" w:lineRule="auto" w:before="17"/>
              <w:ind w:left="4" w:right="-7"/>
              <w:jc w:val="left"/>
              <w:rPr>
                <w:rFonts w:ascii="宋体" w:hAnsi="宋体" w:cs="宋体" w:eastAsia="宋体" w:hint="default"/>
                <w:sz w:val="18"/>
                <w:szCs w:val="18"/>
              </w:rPr>
            </w:pPr>
            <w:r>
              <w:rPr>
                <w:rFonts w:ascii="宋体" w:hAnsi="宋体" w:cs="宋体" w:eastAsia="宋体" w:hint="default"/>
                <w:spacing w:val="6"/>
                <w:sz w:val="18"/>
                <w:szCs w:val="18"/>
              </w:rPr>
              <w:t>新增净资产下一月份起至报告期期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末的月份数</w:t>
            </w:r>
          </w:p>
        </w:tc>
        <w:tc>
          <w:tcPr>
            <w:tcW w:w="338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Mi</w:t>
            </w:r>
          </w:p>
        </w:tc>
        <w:tc>
          <w:tcPr>
            <w:tcW w:w="1414" w:type="dxa"/>
            <w:tcBorders>
              <w:top w:val="single" w:sz="6" w:space="0" w:color="000000"/>
              <w:left w:val="single" w:sz="6" w:space="0" w:color="000000"/>
              <w:bottom w:val="single" w:sz="8" w:space="0" w:color="000000"/>
              <w:right w:val="single" w:sz="6" w:space="0" w:color="000000"/>
            </w:tcBorders>
          </w:tcPr>
          <w:p>
            <w:pPr/>
          </w:p>
        </w:tc>
        <w:tc>
          <w:tcPr>
            <w:tcW w:w="14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11</w:t>
            </w:r>
          </w:p>
        </w:tc>
      </w:tr>
      <w:tr>
        <w:trPr>
          <w:trHeight w:val="662" w:hRule="exact"/>
        </w:trPr>
        <w:tc>
          <w:tcPr>
            <w:tcW w:w="281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7"/>
              <w:ind w:left="4" w:right="-7"/>
              <w:jc w:val="left"/>
              <w:rPr>
                <w:rFonts w:ascii="宋体" w:hAnsi="宋体" w:cs="宋体" w:eastAsia="宋体" w:hint="default"/>
                <w:sz w:val="18"/>
                <w:szCs w:val="18"/>
              </w:rPr>
            </w:pPr>
            <w:r>
              <w:rPr>
                <w:rFonts w:ascii="宋体" w:hAnsi="宋体" w:cs="宋体" w:eastAsia="宋体" w:hint="default"/>
                <w:spacing w:val="6"/>
                <w:sz w:val="18"/>
                <w:szCs w:val="18"/>
              </w:rPr>
              <w:t>报告期回购或现金分红等减少的归</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属于公司普通股股东的净资产</w:t>
            </w:r>
          </w:p>
        </w:tc>
        <w:tc>
          <w:tcPr>
            <w:tcW w:w="33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Ej</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8,100,000.00</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20,250,000.00</w:t>
            </w:r>
          </w:p>
        </w:tc>
      </w:tr>
      <w:tr>
        <w:trPr>
          <w:trHeight w:val="665" w:hRule="exact"/>
        </w:trPr>
        <w:tc>
          <w:tcPr>
            <w:tcW w:w="281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20"/>
              <w:ind w:left="4" w:right="-7"/>
              <w:jc w:val="left"/>
              <w:rPr>
                <w:rFonts w:ascii="宋体" w:hAnsi="宋体" w:cs="宋体" w:eastAsia="宋体" w:hint="default"/>
                <w:sz w:val="18"/>
                <w:szCs w:val="18"/>
              </w:rPr>
            </w:pPr>
            <w:r>
              <w:rPr>
                <w:rFonts w:ascii="宋体" w:hAnsi="宋体" w:cs="宋体" w:eastAsia="宋体" w:hint="default"/>
                <w:spacing w:val="6"/>
                <w:sz w:val="18"/>
                <w:szCs w:val="18"/>
              </w:rPr>
              <w:t>减少净资产下一月份起至报告期期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末的月份数</w:t>
            </w:r>
          </w:p>
        </w:tc>
        <w:tc>
          <w:tcPr>
            <w:tcW w:w="33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Mj</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10</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7</w:t>
            </w:r>
          </w:p>
        </w:tc>
      </w:tr>
      <w:tr>
        <w:trPr>
          <w:trHeight w:val="353" w:hRule="exact"/>
        </w:trPr>
        <w:tc>
          <w:tcPr>
            <w:tcW w:w="28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其他事项引起的净资产增减变动</w:t>
            </w:r>
          </w:p>
        </w:tc>
        <w:tc>
          <w:tcPr>
            <w:tcW w:w="33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Ek</w:t>
            </w:r>
          </w:p>
        </w:tc>
        <w:tc>
          <w:tcPr>
            <w:tcW w:w="1414" w:type="dxa"/>
            <w:tcBorders>
              <w:top w:val="single" w:sz="8" w:space="0" w:color="000000"/>
              <w:left w:val="single" w:sz="6" w:space="0" w:color="000000"/>
              <w:bottom w:val="single" w:sz="8" w:space="0" w:color="000000"/>
              <w:right w:val="single" w:sz="6" w:space="0" w:color="000000"/>
            </w:tcBorders>
          </w:tcPr>
          <w:p>
            <w:pPr/>
          </w:p>
        </w:tc>
        <w:tc>
          <w:tcPr>
            <w:tcW w:w="1416" w:type="dxa"/>
            <w:tcBorders>
              <w:top w:val="single" w:sz="8" w:space="0" w:color="000000"/>
              <w:left w:val="single" w:sz="6" w:space="0" w:color="000000"/>
              <w:bottom w:val="single" w:sz="8" w:space="0" w:color="000000"/>
              <w:right w:val="single" w:sz="6" w:space="0" w:color="000000"/>
            </w:tcBorders>
          </w:tcPr>
          <w:p>
            <w:pPr/>
          </w:p>
        </w:tc>
      </w:tr>
      <w:tr>
        <w:trPr>
          <w:trHeight w:val="662" w:hRule="exact"/>
        </w:trPr>
        <w:tc>
          <w:tcPr>
            <w:tcW w:w="281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7"/>
              <w:ind w:left="4" w:right="-7"/>
              <w:jc w:val="left"/>
              <w:rPr>
                <w:rFonts w:ascii="宋体" w:hAnsi="宋体" w:cs="宋体" w:eastAsia="宋体" w:hint="default"/>
                <w:sz w:val="18"/>
                <w:szCs w:val="18"/>
              </w:rPr>
            </w:pPr>
            <w:r>
              <w:rPr>
                <w:rFonts w:ascii="宋体" w:hAnsi="宋体" w:cs="宋体" w:eastAsia="宋体" w:hint="default"/>
                <w:spacing w:val="6"/>
                <w:sz w:val="18"/>
                <w:szCs w:val="18"/>
              </w:rPr>
              <w:t>其他净资产变动下一月份起至报告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期期末的月份数</w:t>
            </w:r>
          </w:p>
        </w:tc>
        <w:tc>
          <w:tcPr>
            <w:tcW w:w="33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Mk</w:t>
            </w:r>
          </w:p>
        </w:tc>
        <w:tc>
          <w:tcPr>
            <w:tcW w:w="1414" w:type="dxa"/>
            <w:tcBorders>
              <w:top w:val="single" w:sz="8" w:space="0" w:color="000000"/>
              <w:left w:val="single" w:sz="6" w:space="0" w:color="000000"/>
              <w:bottom w:val="single" w:sz="8" w:space="0" w:color="000000"/>
              <w:right w:val="single" w:sz="6" w:space="0" w:color="000000"/>
            </w:tcBorders>
          </w:tcPr>
          <w:p>
            <w:pPr/>
          </w:p>
        </w:tc>
        <w:tc>
          <w:tcPr>
            <w:tcW w:w="1416" w:type="dxa"/>
            <w:tcBorders>
              <w:top w:val="single" w:sz="8" w:space="0" w:color="000000"/>
              <w:left w:val="single" w:sz="6" w:space="0" w:color="000000"/>
              <w:bottom w:val="single" w:sz="8" w:space="0" w:color="000000"/>
              <w:right w:val="single" w:sz="6" w:space="0" w:color="000000"/>
            </w:tcBorders>
          </w:tcPr>
          <w:p>
            <w:pPr/>
          </w:p>
        </w:tc>
      </w:tr>
      <w:tr>
        <w:trPr>
          <w:trHeight w:val="353" w:hRule="exact"/>
        </w:trPr>
        <w:tc>
          <w:tcPr>
            <w:tcW w:w="28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33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M0</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12</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12</w:t>
            </w:r>
          </w:p>
        </w:tc>
      </w:tr>
      <w:tr>
        <w:trPr>
          <w:trHeight w:val="665" w:hRule="exact"/>
        </w:trPr>
        <w:tc>
          <w:tcPr>
            <w:tcW w:w="2818" w:type="dxa"/>
            <w:tcBorders>
              <w:top w:val="single" w:sz="8" w:space="0" w:color="000000"/>
              <w:left w:val="single" w:sz="6" w:space="0" w:color="000000"/>
              <w:bottom w:val="single" w:sz="8" w:space="0" w:color="000000"/>
              <w:right w:val="single" w:sz="6" w:space="0" w:color="000000"/>
            </w:tcBorders>
          </w:tcPr>
          <w:p>
            <w:pPr>
              <w:pStyle w:val="TableParagraph"/>
              <w:spacing w:line="319" w:lineRule="auto" w:before="17"/>
              <w:ind w:left="4" w:right="-7"/>
              <w:jc w:val="left"/>
              <w:rPr>
                <w:rFonts w:ascii="宋体" w:hAnsi="宋体" w:cs="宋体" w:eastAsia="宋体" w:hint="default"/>
                <w:sz w:val="18"/>
                <w:szCs w:val="18"/>
              </w:rPr>
            </w:pPr>
            <w:r>
              <w:rPr>
                <w:rFonts w:ascii="宋体" w:hAnsi="宋体" w:cs="宋体" w:eastAsia="宋体" w:hint="default"/>
                <w:spacing w:val="6"/>
                <w:sz w:val="18"/>
                <w:szCs w:val="18"/>
              </w:rPr>
              <w:t>归属于公司普通股股东的期末净资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产</w:t>
            </w:r>
          </w:p>
        </w:tc>
        <w:tc>
          <w:tcPr>
            <w:tcW w:w="33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E1</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733,122,757.59</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670,624,139.51</w:t>
            </w:r>
          </w:p>
        </w:tc>
      </w:tr>
      <w:tr>
        <w:trPr>
          <w:trHeight w:val="662" w:hRule="exact"/>
        </w:trPr>
        <w:tc>
          <w:tcPr>
            <w:tcW w:w="281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7"/>
              <w:ind w:left="4" w:right="-7"/>
              <w:jc w:val="left"/>
              <w:rPr>
                <w:rFonts w:ascii="宋体" w:hAnsi="宋体" w:cs="宋体" w:eastAsia="宋体" w:hint="default"/>
                <w:sz w:val="18"/>
                <w:szCs w:val="18"/>
              </w:rPr>
            </w:pPr>
            <w:r>
              <w:rPr>
                <w:rFonts w:ascii="宋体" w:hAnsi="宋体" w:cs="宋体" w:eastAsia="宋体" w:hint="default"/>
                <w:spacing w:val="6"/>
                <w:sz w:val="18"/>
                <w:szCs w:val="18"/>
              </w:rPr>
              <w:t>归属于公司普通股股东的加权平均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净资产</w:t>
            </w:r>
          </w:p>
        </w:tc>
        <w:tc>
          <w:tcPr>
            <w:tcW w:w="33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E2=E0+P1/2+Ei*Mi/M0-Ej*Mj/M0+Ek*Mk/M0</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699,250,892.61</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606,352,673.67</w:t>
            </w:r>
          </w:p>
        </w:tc>
      </w:tr>
      <w:tr>
        <w:trPr>
          <w:trHeight w:val="665" w:hRule="exact"/>
        </w:trPr>
        <w:tc>
          <w:tcPr>
            <w:tcW w:w="281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20"/>
              <w:ind w:left="4" w:right="-7"/>
              <w:jc w:val="left"/>
              <w:rPr>
                <w:rFonts w:ascii="宋体" w:hAnsi="宋体" w:cs="宋体" w:eastAsia="宋体" w:hint="default"/>
                <w:sz w:val="18"/>
                <w:szCs w:val="18"/>
              </w:rPr>
            </w:pPr>
            <w:r>
              <w:rPr>
                <w:rFonts w:ascii="宋体" w:hAnsi="宋体" w:cs="宋体" w:eastAsia="宋体" w:hint="default"/>
                <w:spacing w:val="6"/>
                <w:sz w:val="18"/>
                <w:szCs w:val="18"/>
              </w:rPr>
              <w:t>归属于公司普通股股东的加权平均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净资产收益率</w:t>
            </w:r>
          </w:p>
        </w:tc>
        <w:tc>
          <w:tcPr>
            <w:tcW w:w="33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Y1=P1/E2</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10.12%</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9.49%</w:t>
            </w:r>
          </w:p>
        </w:tc>
      </w:tr>
      <w:tr>
        <w:trPr>
          <w:trHeight w:val="665" w:hRule="exact"/>
        </w:trPr>
        <w:tc>
          <w:tcPr>
            <w:tcW w:w="281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7"/>
              <w:ind w:left="4" w:right="-7"/>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扣除非经常性损益后归属于公司普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通股股东的加权平均净资产收益率</w:t>
            </w:r>
          </w:p>
        </w:tc>
        <w:tc>
          <w:tcPr>
            <w:tcW w:w="33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Y2=P2/E2</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9.95%</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9.37%</w:t>
            </w:r>
          </w:p>
        </w:tc>
      </w:tr>
    </w:tbl>
    <w:p>
      <w:pPr>
        <w:spacing w:line="240" w:lineRule="auto" w:before="7"/>
        <w:rPr>
          <w:rFonts w:ascii="宋体" w:hAnsi="宋体" w:cs="宋体" w:eastAsia="宋体" w:hint="default"/>
          <w:sz w:val="8"/>
          <w:szCs w:val="8"/>
        </w:rPr>
      </w:pPr>
    </w:p>
    <w:p>
      <w:pPr>
        <w:pStyle w:val="Heading4"/>
        <w:spacing w:line="240" w:lineRule="auto" w:before="36"/>
        <w:ind w:right="0"/>
        <w:jc w:val="left"/>
      </w:pPr>
      <w:r>
        <w:rPr>
          <w:rFonts w:ascii="Times New Roman" w:hAnsi="Times New Roman" w:cs="Times New Roman" w:eastAsia="Times New Roman" w:hint="default"/>
        </w:rPr>
        <w:t>B</w:t>
      </w:r>
      <w:r>
        <w:rPr/>
        <w:t>每股收益计算过程</w:t>
      </w:r>
    </w:p>
    <w:p>
      <w:pPr>
        <w:spacing w:line="240" w:lineRule="auto" w:before="9"/>
        <w:rPr>
          <w:rFonts w:ascii="宋体" w:hAnsi="宋体" w:cs="宋体" w:eastAsia="宋体" w:hint="default"/>
          <w:sz w:val="14"/>
          <w:szCs w:val="14"/>
        </w:rPr>
      </w:pPr>
    </w:p>
    <w:tbl>
      <w:tblPr>
        <w:tblW w:w="0" w:type="auto"/>
        <w:jc w:val="left"/>
        <w:tblInd w:w="448" w:type="dxa"/>
        <w:tblLayout w:type="fixed"/>
        <w:tblCellMar>
          <w:top w:w="0" w:type="dxa"/>
          <w:left w:w="0" w:type="dxa"/>
          <w:bottom w:w="0" w:type="dxa"/>
          <w:right w:w="0" w:type="dxa"/>
        </w:tblCellMar>
        <w:tblLook w:val="01E0"/>
      </w:tblPr>
      <w:tblGrid>
        <w:gridCol w:w="3015"/>
        <w:gridCol w:w="2748"/>
        <w:gridCol w:w="1690"/>
        <w:gridCol w:w="1582"/>
      </w:tblGrid>
      <w:tr>
        <w:trPr>
          <w:trHeight w:val="348" w:hRule="exact"/>
        </w:trPr>
        <w:tc>
          <w:tcPr>
            <w:tcW w:w="301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74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b/>
                <w:bCs/>
                <w:sz w:val="18"/>
                <w:szCs w:val="18"/>
              </w:rPr>
              <w:t>代码</w:t>
            </w:r>
            <w:r>
              <w:rPr>
                <w:rFonts w:ascii="宋体" w:hAnsi="宋体" w:cs="宋体" w:eastAsia="宋体" w:hint="default"/>
                <w:sz w:val="18"/>
                <w:szCs w:val="18"/>
              </w:rPr>
            </w:r>
          </w:p>
        </w:tc>
        <w:tc>
          <w:tcPr>
            <w:tcW w:w="16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475" w:right="0"/>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c>
          <w:tcPr>
            <w:tcW w:w="158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419"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658"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
              <w:jc w:val="left"/>
              <w:rPr>
                <w:rFonts w:ascii="宋体" w:hAnsi="宋体" w:cs="宋体" w:eastAsia="宋体" w:hint="default"/>
                <w:sz w:val="18"/>
                <w:szCs w:val="18"/>
              </w:rPr>
            </w:pPr>
            <w:r>
              <w:rPr>
                <w:rFonts w:ascii="宋体" w:hAnsi="宋体" w:cs="宋体" w:eastAsia="宋体" w:hint="default"/>
                <w:spacing w:val="6"/>
                <w:sz w:val="18"/>
                <w:szCs w:val="18"/>
              </w:rPr>
              <w:t>报告期归属于公司普通股股东的净利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润</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P1</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70,753,506.20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57,570,579.60</w:t>
            </w:r>
          </w:p>
        </w:tc>
      </w:tr>
      <w:tr>
        <w:trPr>
          <w:trHeight w:val="660"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6"/>
                <w:sz w:val="18"/>
                <w:szCs w:val="18"/>
              </w:rPr>
              <w:t>报告期归属于公司普通股股东的非经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常性损益</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F</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1,147,300.00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774,594.85</w:t>
            </w:r>
          </w:p>
        </w:tc>
      </w:tr>
      <w:tr>
        <w:trPr>
          <w:trHeight w:val="660"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6"/>
                <w:sz w:val="18"/>
                <w:szCs w:val="18"/>
              </w:rPr>
              <w:t>报告期扣除非经常性损益后归属于公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司普通股股东的净利润</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P2=P1-F</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69,606,206.20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56,795,984.75</w:t>
            </w:r>
          </w:p>
        </w:tc>
      </w:tr>
      <w:tr>
        <w:trPr>
          <w:trHeight w:val="346"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S0*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40,500,000.00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30,324,000.00</w:t>
            </w:r>
          </w:p>
        </w:tc>
      </w:tr>
      <w:tr>
        <w:trPr>
          <w:trHeight w:val="660"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6"/>
                <w:sz w:val="18"/>
                <w:szCs w:val="18"/>
              </w:rPr>
              <w:t>报告期因公积金转增股本或股票股利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分配等增加股份数</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sz w:val="18"/>
              </w:rPr>
              <w:t>S1</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81,000,000.00</w:t>
            </w: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6"/>
                <w:sz w:val="18"/>
                <w:szCs w:val="18"/>
              </w:rPr>
              <w:t>报告期因发行新股或债转股等增加股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份数</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Si*</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10,176,000.00</w:t>
            </w:r>
          </w:p>
        </w:tc>
      </w:tr>
      <w:tr>
        <w:trPr>
          <w:trHeight w:val="661"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
              <w:jc w:val="left"/>
              <w:rPr>
                <w:rFonts w:ascii="宋体" w:hAnsi="宋体" w:cs="宋体" w:eastAsia="宋体" w:hint="default"/>
                <w:sz w:val="18"/>
                <w:szCs w:val="18"/>
              </w:rPr>
            </w:pPr>
            <w:r>
              <w:rPr>
                <w:rFonts w:ascii="宋体" w:hAnsi="宋体" w:cs="宋体" w:eastAsia="宋体" w:hint="default"/>
                <w:spacing w:val="6"/>
                <w:sz w:val="18"/>
                <w:szCs w:val="18"/>
              </w:rPr>
              <w:t>增加股份下一月份起至报告期期末的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月份数</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sz w:val="18"/>
              </w:rPr>
              <w:t>Mi</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
              <w:jc w:val="right"/>
              <w:rPr>
                <w:rFonts w:ascii="宋体" w:hAnsi="宋体" w:cs="宋体" w:eastAsia="宋体" w:hint="default"/>
                <w:sz w:val="18"/>
                <w:szCs w:val="18"/>
              </w:rPr>
            </w:pPr>
            <w:r>
              <w:rPr>
                <w:rFonts w:ascii="宋体"/>
                <w:sz w:val="18"/>
              </w:rPr>
              <w:t>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
              <w:jc w:val="right"/>
              <w:rPr>
                <w:rFonts w:ascii="宋体" w:hAnsi="宋体" w:cs="宋体" w:eastAsia="宋体" w:hint="default"/>
                <w:sz w:val="18"/>
                <w:szCs w:val="18"/>
              </w:rPr>
            </w:pPr>
            <w:r>
              <w:rPr>
                <w:rFonts w:ascii="宋体"/>
                <w:sz w:val="18"/>
              </w:rPr>
              <w:t>11</w:t>
            </w:r>
          </w:p>
        </w:tc>
      </w:tr>
      <w:tr>
        <w:trPr>
          <w:trHeight w:val="346"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Sj</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6"/>
                <w:sz w:val="18"/>
                <w:szCs w:val="18"/>
              </w:rPr>
              <w:t>减少股份下一月份起至报告期期末的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月份数</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sz w:val="18"/>
              </w:rPr>
              <w:t>Mj</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Sk</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M0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right"/>
              <w:rPr>
                <w:rFonts w:ascii="宋体" w:hAnsi="宋体" w:cs="宋体" w:eastAsia="宋体" w:hint="default"/>
                <w:sz w:val="18"/>
                <w:szCs w:val="18"/>
              </w:rPr>
            </w:pPr>
            <w:r>
              <w:rPr>
                <w:rFonts w:ascii="宋体"/>
                <w:sz w:val="18"/>
              </w:rPr>
              <w:t>12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
              <w:jc w:val="right"/>
              <w:rPr>
                <w:rFonts w:ascii="宋体" w:hAnsi="宋体" w:cs="宋体" w:eastAsia="宋体" w:hint="default"/>
                <w:sz w:val="18"/>
                <w:szCs w:val="18"/>
              </w:rPr>
            </w:pPr>
            <w:r>
              <w:rPr>
                <w:rFonts w:ascii="宋体"/>
                <w:sz w:val="18"/>
              </w:rPr>
              <w:t>12</w:t>
            </w:r>
          </w:p>
        </w:tc>
      </w:tr>
      <w:tr>
        <w:trPr>
          <w:trHeight w:val="348"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S=S0+S1+Si*Mi/M0-Sj*Mj/M0-Sk</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121,500,000.00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118,956,000.00</w:t>
            </w:r>
          </w:p>
        </w:tc>
      </w:tr>
    </w:tbl>
    <w:p>
      <w:pPr>
        <w:spacing w:after="0" w:line="240" w:lineRule="auto"/>
        <w:jc w:val="right"/>
        <w:rPr>
          <w:rFonts w:ascii="宋体" w:hAnsi="宋体" w:cs="宋体" w:eastAsia="宋体" w:hint="default"/>
          <w:sz w:val="18"/>
          <w:szCs w:val="18"/>
        </w:rPr>
        <w:sectPr>
          <w:footerReference w:type="default" r:id="rId29"/>
          <w:pgSz w:w="11910" w:h="16840"/>
          <w:pgMar w:footer="1006" w:header="772" w:top="1080" w:bottom="1200" w:left="980" w:right="980"/>
          <w:pgNumType w:start="150"/>
        </w:sectPr>
      </w:pPr>
    </w:p>
    <w:p>
      <w:pPr>
        <w:spacing w:line="240" w:lineRule="auto" w:before="6"/>
        <w:rPr>
          <w:rFonts w:ascii="宋体" w:hAnsi="宋体" w:cs="宋体" w:eastAsia="宋体" w:hint="default"/>
          <w:sz w:val="26"/>
          <w:szCs w:val="26"/>
        </w:rPr>
      </w:pPr>
    </w:p>
    <w:tbl>
      <w:tblPr>
        <w:tblW w:w="0" w:type="auto"/>
        <w:jc w:val="left"/>
        <w:tblInd w:w="448" w:type="dxa"/>
        <w:tblLayout w:type="fixed"/>
        <w:tblCellMar>
          <w:top w:w="0" w:type="dxa"/>
          <w:left w:w="0" w:type="dxa"/>
          <w:bottom w:w="0" w:type="dxa"/>
          <w:right w:w="0" w:type="dxa"/>
        </w:tblCellMar>
        <w:tblLook w:val="01E0"/>
      </w:tblPr>
      <w:tblGrid>
        <w:gridCol w:w="3015"/>
        <w:gridCol w:w="2748"/>
        <w:gridCol w:w="1690"/>
        <w:gridCol w:w="1582"/>
      </w:tblGrid>
      <w:tr>
        <w:trPr>
          <w:trHeight w:val="660"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
              <w:jc w:val="left"/>
              <w:rPr>
                <w:rFonts w:ascii="宋体" w:hAnsi="宋体" w:cs="宋体" w:eastAsia="宋体" w:hint="default"/>
                <w:sz w:val="18"/>
                <w:szCs w:val="18"/>
              </w:rPr>
            </w:pPr>
            <w:r>
              <w:rPr>
                <w:rFonts w:ascii="宋体" w:hAnsi="宋体" w:cs="宋体" w:eastAsia="宋体" w:hint="default"/>
                <w:spacing w:val="6"/>
                <w:sz w:val="18"/>
                <w:szCs w:val="18"/>
              </w:rPr>
              <w:t>归属于公司普通股股东的基本每股收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益</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X1</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
              <w:jc w:val="right"/>
              <w:rPr>
                <w:rFonts w:ascii="宋体" w:hAnsi="宋体" w:cs="宋体" w:eastAsia="宋体" w:hint="default"/>
                <w:sz w:val="18"/>
                <w:szCs w:val="18"/>
              </w:rPr>
            </w:pPr>
            <w:r>
              <w:rPr>
                <w:rFonts w:ascii="宋体"/>
                <w:sz w:val="18"/>
              </w:rPr>
              <w:t>0.58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4"/>
              <w:jc w:val="right"/>
              <w:rPr>
                <w:rFonts w:ascii="宋体" w:hAnsi="宋体" w:cs="宋体" w:eastAsia="宋体" w:hint="default"/>
                <w:sz w:val="18"/>
                <w:szCs w:val="18"/>
              </w:rPr>
            </w:pPr>
            <w:r>
              <w:rPr>
                <w:rFonts w:ascii="宋体"/>
                <w:sz w:val="18"/>
              </w:rPr>
              <w:t>0.48</w:t>
            </w:r>
          </w:p>
        </w:tc>
      </w:tr>
      <w:tr>
        <w:trPr>
          <w:trHeight w:val="658"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扣除非经常性损益后归属于公司普通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股股东的基本每股收益</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X2</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
              <w:jc w:val="right"/>
              <w:rPr>
                <w:rFonts w:ascii="宋体" w:hAnsi="宋体" w:cs="宋体" w:eastAsia="宋体" w:hint="default"/>
                <w:sz w:val="18"/>
                <w:szCs w:val="18"/>
              </w:rPr>
            </w:pPr>
            <w:r>
              <w:rPr>
                <w:rFonts w:ascii="宋体"/>
                <w:sz w:val="18"/>
              </w:rPr>
              <w:t>0.57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4"/>
              <w:jc w:val="right"/>
              <w:rPr>
                <w:rFonts w:ascii="宋体" w:hAnsi="宋体" w:cs="宋体" w:eastAsia="宋体" w:hint="default"/>
                <w:sz w:val="18"/>
                <w:szCs w:val="18"/>
              </w:rPr>
            </w:pPr>
            <w:r>
              <w:rPr>
                <w:rFonts w:ascii="宋体"/>
                <w:sz w:val="18"/>
              </w:rPr>
              <w:t>0.48</w:t>
            </w:r>
          </w:p>
        </w:tc>
      </w:tr>
    </w:tbl>
    <w:p>
      <w:pPr>
        <w:pStyle w:val="BodyText"/>
        <w:spacing w:line="240" w:lineRule="auto" w:before="8"/>
        <w:ind w:left="513" w:right="0"/>
        <w:jc w:val="left"/>
      </w:pPr>
      <w:r>
        <w:rPr>
          <w:rFonts w:ascii="宋体" w:hAnsi="宋体" w:cs="宋体" w:eastAsia="宋体" w:hint="default"/>
        </w:rPr>
        <w:t>*</w:t>
      </w:r>
      <w:r>
        <w:rPr/>
        <w:t>注：</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21</w:t>
      </w:r>
      <w:r>
        <w:rPr/>
        <w:t>日分派股利、资本公积转增股本</w:t>
      </w:r>
      <w:r>
        <w:rPr>
          <w:rFonts w:ascii="宋体" w:hAnsi="宋体" w:cs="宋体" w:eastAsia="宋体" w:hint="default"/>
        </w:rPr>
        <w:t>10</w:t>
      </w:r>
      <w:r>
        <w:rPr/>
        <w:t>送</w:t>
      </w:r>
      <w:r>
        <w:rPr>
          <w:rFonts w:ascii="宋体" w:hAnsi="宋体" w:cs="宋体" w:eastAsia="宋体" w:hint="default"/>
        </w:rPr>
        <w:t>10</w:t>
      </w:r>
      <w:r>
        <w:rPr/>
        <w:t>，</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22</w:t>
      </w:r>
      <w:r>
        <w:rPr/>
        <w:t>日资本公积转增股本</w:t>
      </w:r>
      <w:r>
        <w:rPr>
          <w:rFonts w:ascii="宋体" w:hAnsi="宋体" w:cs="宋体" w:eastAsia="宋体" w:hint="default"/>
        </w:rPr>
        <w:t>10</w:t>
      </w:r>
      <w:r>
        <w:rPr/>
        <w:t>送</w:t>
      </w:r>
      <w:r>
        <w:rPr>
          <w:rFonts w:ascii="宋体" w:hAnsi="宋体" w:cs="宋体" w:eastAsia="宋体" w:hint="default"/>
        </w:rPr>
        <w:t>5</w:t>
      </w:r>
      <w:r>
        <w:rPr/>
        <w:t>，上年同期金额，按</w:t>
      </w:r>
    </w:p>
    <w:p>
      <w:pPr>
        <w:pStyle w:val="BodyText"/>
        <w:spacing w:line="316" w:lineRule="auto" w:before="76"/>
        <w:ind w:left="604" w:right="4375" w:hanging="92"/>
        <w:jc w:val="left"/>
        <w:rPr>
          <w:rFonts w:ascii="宋体" w:hAnsi="宋体" w:cs="宋体" w:eastAsia="宋体" w:hint="default"/>
        </w:rPr>
      </w:pPr>
      <w:r>
        <w:rPr/>
        <w:t>《企业会计准则第 </w:t>
      </w:r>
      <w:r>
        <w:rPr>
          <w:rFonts w:ascii="宋体" w:hAnsi="宋体" w:cs="宋体" w:eastAsia="宋体" w:hint="default"/>
        </w:rPr>
        <w:t>34</w:t>
      </w:r>
      <w:r>
        <w:rPr>
          <w:rFonts w:ascii="宋体" w:hAnsi="宋体" w:cs="宋体" w:eastAsia="宋体" w:hint="default"/>
          <w:spacing w:val="-1"/>
        </w:rPr>
        <w:t> </w:t>
      </w:r>
      <w:r>
        <w:rPr/>
        <w:t>号——每股收益》规定进行了调整计算。 </w:t>
      </w:r>
      <w:r>
        <w:rPr>
          <w:rFonts w:ascii="宋体" w:hAnsi="宋体" w:cs="宋体" w:eastAsia="宋体" w:hint="default"/>
        </w:rPr>
        <w:t>S0*=30,324,000.00*3*12/12=90,972,000.00 Si*=10,176,000.00*3*11/12=27,984,000.00</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51"/>
        <w:gridCol w:w="2526"/>
        <w:gridCol w:w="2380"/>
      </w:tblGrid>
      <w:tr>
        <w:trPr>
          <w:trHeight w:val="401" w:hRule="exact"/>
        </w:trPr>
        <w:tc>
          <w:tcPr>
            <w:tcW w:w="4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其他综合收益说明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募集资金利息</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11,600,873.53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6,857,775.15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2,287,478.98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22,096,127.66</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7,412,408.20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2,800,859.94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6,739,387.58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682,720.90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4,899,214.70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4,378,572.88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技术咨询费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201,850.00</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其他零星付现费用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11,629,822.04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8,065,503.80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46,810,340.04</w:t>
            </w:r>
          </w:p>
        </w:tc>
      </w:tr>
    </w:tbl>
    <w:p>
      <w:pPr>
        <w:pStyle w:val="BodyText"/>
        <w:spacing w:line="240" w:lineRule="auto" w:before="49"/>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70,753,506.20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57,570,579.60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648,711.51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578,985.54</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3,557,878.17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1,529,560.84</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603,316.32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600,823.32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151,965.44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58,891.08</w:t>
            </w: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41,165.69</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-61,489.16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-101,334.15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-13,818,043.09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2,558,123.32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-59,171,257.05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-31,908,039.45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-20,193,510.98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-15,097,627.67</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6,747,494.04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157,141.27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-10,781,428.60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15,988,269.39</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339,607,063.86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537,816,388.32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537,816,388.32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51,947,981.19</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-198,209,324.46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485,868,407.13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457" w:right="0"/>
              <w:jc w:val="left"/>
              <w:rPr>
                <w:rFonts w:ascii="Times New Roman" w:hAnsi="Times New Roman" w:cs="Times New Roman" w:eastAsia="Times New Roman" w:hint="default"/>
                <w:sz w:val="18"/>
                <w:szCs w:val="18"/>
              </w:rPr>
            </w:pPr>
            <w:r>
              <w:rPr>
                <w:rFonts w:ascii="Times New Roman"/>
                <w:sz w:val="18"/>
              </w:rPr>
              <w:t>10,400,000.00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9" w:right="0"/>
              <w:jc w:val="left"/>
              <w:rPr>
                <w:rFonts w:ascii="Times New Roman" w:hAnsi="Times New Roman" w:cs="Times New Roman" w:eastAsia="Times New Roman" w:hint="default"/>
                <w:sz w:val="18"/>
                <w:szCs w:val="18"/>
              </w:rPr>
            </w:pPr>
            <w:r>
              <w:rPr>
                <w:rFonts w:ascii="Times New Roman"/>
                <w:sz w:val="18"/>
              </w:rPr>
              <w:t>26,483,730.03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339,607,063.86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537,816,388.32</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22,429.87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111,492.19</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339,584,633.99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537,704,896.13</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339,607,063.86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537,816,388.32</w:t>
            </w:r>
          </w:p>
        </w:tc>
      </w:tr>
    </w:tbl>
    <w:p>
      <w:pPr>
        <w:pStyle w:val="BodyText"/>
        <w:spacing w:line="240" w:lineRule="auto" w:before="49"/>
        <w:ind w:right="0"/>
        <w:jc w:val="left"/>
      </w:pPr>
      <w:r>
        <w:rPr/>
        <w:t>现金流量表补充资料的说明</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项目名称及调整金额、由同一控制下企业合并产生的追溯调整等事项</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八、资产证券化业务的会计处理</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71"/>
        <w:gridCol w:w="1367"/>
        <w:gridCol w:w="1365"/>
        <w:gridCol w:w="1368"/>
        <w:gridCol w:w="1367"/>
        <w:gridCol w:w="1367"/>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3"/>
        <w:gridCol w:w="869"/>
        <w:gridCol w:w="871"/>
        <w:gridCol w:w="869"/>
        <w:gridCol w:w="871"/>
        <w:gridCol w:w="869"/>
        <w:gridCol w:w="871"/>
        <w:gridCol w:w="869"/>
        <w:gridCol w:w="872"/>
        <w:gridCol w:w="869"/>
        <w:gridCol w:w="862"/>
      </w:tblGrid>
      <w:tr>
        <w:trPr>
          <w:trHeight w:val="1339" w:hRule="exact"/>
        </w:trPr>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bl>
    <w:p>
      <w:pPr>
        <w:pStyle w:val="BodyText"/>
        <w:spacing w:line="357" w:lineRule="auto" w:before="49"/>
        <w:ind w:right="7434"/>
        <w:jc w:val="left"/>
      </w:pPr>
      <w:r>
        <w:rPr/>
        <w:t>本企业的母公司情况的说明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东方国信</w:t>
            </w:r>
          </w:p>
          <w:p>
            <w:pPr>
              <w:pStyle w:val="TableParagraph"/>
              <w:spacing w:line="316" w:lineRule="auto" w:before="76"/>
              <w:ind w:left="24" w:right="21"/>
              <w:jc w:val="left"/>
              <w:rPr>
                <w:rFonts w:ascii="宋体" w:hAnsi="宋体" w:cs="宋体" w:eastAsia="宋体" w:hint="default"/>
                <w:sz w:val="18"/>
                <w:szCs w:val="18"/>
              </w:rPr>
            </w:pPr>
            <w:r>
              <w:rPr>
                <w:rFonts w:ascii="宋体" w:hAnsi="宋体" w:cs="宋体" w:eastAsia="宋体" w:hint="default"/>
                <w:sz w:val="18"/>
                <w:szCs w:val="18"/>
              </w:rPr>
              <w:t>（天津）科 技有限公司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彭岩</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计算机软件 服务与开发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57230141-5</w:t>
            </w:r>
          </w:p>
        </w:tc>
      </w:tr>
      <w:tr>
        <w:trPr>
          <w:trHeight w:val="227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北京东华信 通信息技术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秦宏伟</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技术推广服 务；经济贸 易咨询；销 售机械设 备、五金交 电、电子产 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67823050-4</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22"/>
              <w:jc w:val="left"/>
              <w:rPr>
                <w:rFonts w:ascii="宋体" w:hAnsi="宋体" w:cs="宋体" w:eastAsia="宋体" w:hint="default"/>
                <w:sz w:val="18"/>
                <w:szCs w:val="18"/>
              </w:rPr>
            </w:pPr>
            <w:r>
              <w:rPr>
                <w:rFonts w:ascii="宋体" w:hAnsi="宋体" w:cs="宋体" w:eastAsia="宋体" w:hint="default"/>
                <w:sz w:val="18"/>
                <w:szCs w:val="18"/>
              </w:rPr>
              <w:t>吉林省东方 国信科技有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陈桂霞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计算机软件 服务与开发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59446663-2</w:t>
            </w:r>
          </w:p>
        </w:tc>
      </w:tr>
    </w:tbl>
    <w:p>
      <w:pPr>
        <w:spacing w:after="0" w:line="240" w:lineRule="auto"/>
        <w:jc w:val="lef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36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成都东方国 信科技有限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王首君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计算机软件 服务与开发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3" w:right="139"/>
              <w:jc w:val="left"/>
              <w:rPr>
                <w:rFonts w:ascii="Times New Roman" w:hAnsi="Times New Roman" w:cs="Times New Roman" w:eastAsia="Times New Roman" w:hint="default"/>
                <w:sz w:val="18"/>
                <w:szCs w:val="18"/>
              </w:rPr>
            </w:pPr>
            <w:r>
              <w:rPr>
                <w:rFonts w:ascii="Times New Roman"/>
                <w:sz w:val="18"/>
              </w:rPr>
              <w:t>59728915- X</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北京国信新 世纪科技有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计算机软件 服务与开发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05563379-6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3"/>
        <w:gridCol w:w="961"/>
        <w:gridCol w:w="955"/>
        <w:gridCol w:w="955"/>
        <w:gridCol w:w="960"/>
        <w:gridCol w:w="958"/>
        <w:gridCol w:w="958"/>
        <w:gridCol w:w="958"/>
        <w:gridCol w:w="960"/>
      </w:tblGrid>
      <w:tr>
        <w:trPr>
          <w:trHeight w:val="1340"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0"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0"/>
              <w:ind w:left="26"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 </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1"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北京仁邦翰威投资咨询有限公司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67236649-4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北京仁邦时代投资咨询有限公司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67236641-9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关联公司股东、公司董事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彭岩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关联公司股东、公司监事会主席</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冯志宏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关联公司股东、公司监事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朱军峰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关联公司股东、公司监事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胡淑瑜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关联公司股东、公司监事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王红庆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关联公司股东、公司副总经理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赵光宇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关联公司股东、公司总工程师</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陈桂霞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关联公司股东、公司财务负责人</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本企业的其他关联方情况的说明</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60"/>
        <w:jc w:val="right"/>
      </w:pPr>
      <w:r>
        <w:rPr/>
        <w:pict>
          <v:shape style="position:absolute;margin-left:409.630005pt;margin-top:3.831728pt;width:85.5pt;height:15.6pt;mso-position-horizontal-relative:page;mso-position-vertical-relative:paragraph;z-index:-875416"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59999pt;margin-top:-51.968273pt;width:479.1pt;height:71.9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5"/>
        <w:rPr>
          <w:rFonts w:ascii="宋体" w:hAnsi="宋体" w:cs="宋体" w:eastAsia="宋体" w:hint="default"/>
          <w:sz w:val="9"/>
          <w:szCs w:val="9"/>
        </w:rPr>
      </w:pPr>
    </w:p>
    <w:p>
      <w:pPr>
        <w:pStyle w:val="BodyText"/>
        <w:spacing w:line="240" w:lineRule="auto" w:before="44"/>
        <w:ind w:right="0"/>
        <w:jc w:val="left"/>
      </w:pPr>
      <w:r>
        <w:rPr/>
        <w:t>出售商品、提供劳务情况表</w:t>
      </w:r>
    </w:p>
    <w:p>
      <w:pPr>
        <w:pStyle w:val="BodyText"/>
        <w:spacing w:line="240" w:lineRule="auto" w:before="115"/>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60"/>
        <w:jc w:val="right"/>
      </w:pPr>
      <w:r>
        <w:rPr/>
        <w:pict>
          <v:shape style="position:absolute;margin-left:409.630005pt;margin-top:3.831743pt;width:85.5pt;height:15.6pt;mso-position-horizontal-relative:page;mso-position-vertical-relative:paragraph;z-index:-875392"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59999pt;margin-top:-51.995258pt;width:479.1pt;height:71.9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公司受托管理</w:t>
      </w:r>
      <w:r>
        <w:rPr>
          <w:rFonts w:ascii="Times New Roman" w:hAnsi="Times New Roman" w:cs="Times New Roman" w:eastAsia="Times New Roman" w:hint="default"/>
        </w:rPr>
        <w:t>/</w:t>
      </w:r>
      <w:r>
        <w:rPr/>
        <w:t>承包情况表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6"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2" w:right="22"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pStyle w:val="BodyText"/>
        <w:spacing w:line="240" w:lineRule="auto" w:before="50"/>
        <w:ind w:right="0"/>
        <w:jc w:val="left"/>
      </w:pPr>
      <w:r>
        <w:rPr/>
        <w:t>公司委托管理</w:t>
      </w:r>
      <w:r>
        <w:rPr>
          <w:rFonts w:ascii="Times New Roman" w:hAnsi="Times New Roman" w:cs="Times New Roman" w:eastAsia="Times New Roman" w:hint="default"/>
        </w:rPr>
        <w:t>/</w:t>
      </w:r>
      <w:r>
        <w:rPr/>
        <w:t>出包情况表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12"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9" w:right="30"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0"/>
        <w:jc w:val="left"/>
      </w:pPr>
      <w:r>
        <w:rPr/>
        <w:t>关联托管</w:t>
      </w:r>
      <w:r>
        <w:rPr>
          <w:rFonts w:ascii="Times New Roman" w:hAnsi="Times New Roman" w:cs="Times New Roman" w:eastAsia="Times New Roman" w:hint="default"/>
        </w:rPr>
        <w:t>/</w:t>
      </w:r>
      <w:r>
        <w:rPr/>
        <w:t>承包情况说明</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公司出租情况表</w:t>
      </w:r>
    </w:p>
    <w:p>
      <w:pPr>
        <w:pStyle w:val="BodyText"/>
        <w:spacing w:line="240" w:lineRule="auto" w:before="118"/>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3"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pStyle w:val="BodyText"/>
        <w:spacing w:line="240" w:lineRule="auto" w:before="49"/>
        <w:ind w:right="0"/>
        <w:jc w:val="left"/>
      </w:pPr>
      <w:r>
        <w:rPr/>
        <w:t>公司承租情况表</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2"/>
        <w:gridCol w:w="1371"/>
        <w:gridCol w:w="1373"/>
        <w:gridCol w:w="1368"/>
        <w:gridCol w:w="1368"/>
        <w:gridCol w:w="1369"/>
        <w:gridCol w:w="1351"/>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pStyle w:val="BodyText"/>
        <w:spacing w:line="240" w:lineRule="auto" w:before="49"/>
        <w:ind w:right="0"/>
        <w:jc w:val="left"/>
      </w:pPr>
      <w:r>
        <w:rPr/>
        <w:t>关联租赁情况说明</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bl>
    <w:p>
      <w:pPr>
        <w:pStyle w:val="BodyText"/>
        <w:spacing w:line="240" w:lineRule="auto" w:before="49"/>
        <w:ind w:right="0"/>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58"/>
        <w:jc w:val="right"/>
      </w:pPr>
      <w:r>
        <w:rPr/>
        <w:pict>
          <v:shape style="position:absolute;margin-left:416.350006pt;margin-top:3.831719pt;width:78.75pt;height:15.6pt;mso-position-horizontal-relative:page;mso-position-vertical-relative:paragraph;z-index:-875320"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59999pt;margin-top:-51.968281pt;width:479.2pt;height:71.9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1"/>
                    <w:gridCol w:w="931"/>
                    <w:gridCol w:w="1460"/>
                    <w:gridCol w:w="1330"/>
                    <w:gridCol w:w="1462"/>
                    <w:gridCol w:w="797"/>
                    <w:gridCol w:w="306"/>
                    <w:gridCol w:w="1156"/>
                    <w:gridCol w:w="797"/>
                  </w:tblGrid>
                  <w:tr>
                    <w:trPr>
                      <w:trHeight w:val="401"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single" w:sz="4" w:space="0" w:color="000000"/>
                          <w:left w:val="single" w:sz="4" w:space="0" w:color="000000"/>
                          <w:bottom w:val="single" w:sz="4" w:space="0" w:color="000000"/>
                          <w:right w:val="nil" w:sz="6" w:space="0" w:color="auto"/>
                        </w:tcBorders>
                        <w:shd w:val="clear" w:color="auto" w:fill="D2D2D2"/>
                      </w:tcPr>
                      <w:p>
                        <w:pPr/>
                      </w:p>
                    </w:tc>
                    <w:tc>
                      <w:tcPr>
                        <w:tcW w:w="11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上市公司应收关联方款项</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6"/>
        <w:gridCol w:w="1462"/>
        <w:gridCol w:w="1463"/>
        <w:gridCol w:w="1459"/>
        <w:gridCol w:w="1459"/>
      </w:tblGrid>
      <w:tr>
        <w:trPr>
          <w:trHeight w:val="403" w:hRule="exact"/>
        </w:trPr>
        <w:tc>
          <w:tcPr>
            <w:tcW w:w="2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2058"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pStyle w:val="BodyText"/>
        <w:spacing w:line="240" w:lineRule="auto" w:before="49"/>
        <w:ind w:right="0"/>
        <w:jc w:val="left"/>
      </w:pPr>
      <w:r>
        <w:rPr/>
        <w:t>上市公司应付关联方款项</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3"/>
        <w:gridCol w:w="2258"/>
        <w:gridCol w:w="2259"/>
        <w:gridCol w:w="2247"/>
      </w:tblGrid>
      <w:tr>
        <w:trPr>
          <w:trHeight w:val="403"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pStyle w:val="BodyText"/>
        <w:spacing w:line="240" w:lineRule="auto" w:before="117"/>
        <w:ind w:right="0"/>
        <w:jc w:val="left"/>
      </w:pPr>
      <w:r>
        <w:rPr/>
        <w:t>股份支付情况的说明</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9"/>
          <w:szCs w:val="29"/>
        </w:rPr>
      </w:pPr>
    </w:p>
    <w:p>
      <w:pPr>
        <w:pStyle w:val="BodyText"/>
        <w:spacing w:line="477" w:lineRule="auto" w:before="44"/>
        <w:ind w:right="155" w:firstLine="420"/>
        <w:jc w:val="both"/>
      </w:pPr>
      <w:r>
        <w:rPr/>
        <w:t>公司于</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13</w:t>
      </w:r>
      <w:r>
        <w:rPr/>
        <w:t>日召开的第二届董事会第十四次会议审议通过了《北京东方国信科技股份有限公司股票期权与限 制性股票激励计划（草案）及其摘要的议案》。</w:t>
      </w:r>
    </w:p>
    <w:p>
      <w:pPr>
        <w:pStyle w:val="BodyText"/>
        <w:spacing w:line="477" w:lineRule="auto" w:before="54"/>
        <w:ind w:right="151" w:firstLine="420"/>
        <w:jc w:val="both"/>
      </w:pP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4</w:t>
      </w:r>
      <w:r>
        <w:rPr/>
        <w:t>日，中国证券监督管理委员会已对公司报送的股权激励计划草案进行了确认及备案。</w:t>
      </w: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6</w:t>
      </w:r>
      <w:r>
        <w:rPr/>
        <w:t>日召开的 公司第二届董事会第十六次会议审议通过了《北京东方国信科技股份有限公司股票期权与限制性股票激励计划（草案修订</w:t>
      </w:r>
      <w:r>
        <w:rPr>
          <w:spacing w:val="-11"/>
        </w:rPr>
        <w:t> </w:t>
      </w:r>
      <w:r>
        <w:rPr>
          <w:spacing w:val="-11"/>
        </w:rPr>
      </w:r>
      <w:r>
        <w:rPr>
          <w:spacing w:val="-2"/>
        </w:rPr>
        <w:t>稿）》和《北京东方国信科技有限公司股票期权与限制性股票激励计划实施考核管理办法（修订稿）》。同日，独立董事对</w:t>
      </w:r>
      <w:r>
        <w:rPr>
          <w:spacing w:val="-68"/>
        </w:rPr>
        <w:t> </w:t>
      </w:r>
      <w:r>
        <w:rPr>
          <w:spacing w:val="-68"/>
        </w:rPr>
      </w:r>
      <w:r>
        <w:rPr>
          <w:spacing w:val="-2"/>
        </w:rPr>
        <w:t>公司拟实施的股票期权与限制性股票激励计划（草案修订稿）发表独立意见，第二届监事会第十二次会议决议通过上述激励</w:t>
      </w:r>
      <w:r>
        <w:rPr>
          <w:spacing w:val="-64"/>
        </w:rPr>
        <w:t> </w:t>
      </w:r>
      <w:r>
        <w:rPr>
          <w:spacing w:val="-64"/>
        </w:rPr>
      </w:r>
      <w:r>
        <w:rPr/>
        <w:t>计划。</w:t>
      </w: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25</w:t>
      </w:r>
      <w:r>
        <w:rPr/>
        <w:t>日召开的公司</w:t>
      </w:r>
      <w:r>
        <w:rPr>
          <w:rFonts w:ascii="宋体" w:hAnsi="宋体" w:cs="宋体" w:eastAsia="宋体" w:hint="default"/>
        </w:rPr>
        <w:t>2013</w:t>
      </w:r>
      <w:r>
        <w:rPr/>
        <w:t>年度第一次临时股东大会审议通过了《北京东方国信科技股份有限公司股票期权与限</w:t>
      </w:r>
      <w:r>
        <w:rPr>
          <w:spacing w:val="-86"/>
        </w:rPr>
        <w:t> </w:t>
      </w:r>
      <w:r>
        <w:rPr>
          <w:spacing w:val="-86"/>
        </w:rPr>
      </w:r>
      <w:r>
        <w:rPr>
          <w:spacing w:val="-2"/>
        </w:rPr>
        <w:t>制性股票激励计划（草案修订稿）》及其摘要，审议通过了《关于北京东方国信科技有限公司股票期权与限制性股票激励计</w:t>
      </w:r>
      <w:r>
        <w:rPr>
          <w:spacing w:val="-65"/>
        </w:rPr>
        <w:t> </w:t>
      </w:r>
      <w:r>
        <w:rPr>
          <w:spacing w:val="-65"/>
        </w:rPr>
      </w:r>
      <w:r>
        <w:rPr>
          <w:spacing w:val="-2"/>
        </w:rPr>
        <w:t>划实施考核管理办法（修订稿）的议案》，审议通过了《关于提请股东大会授权董事会办理公司股票期权与限制性股票激励</w:t>
      </w:r>
      <w:r>
        <w:rPr>
          <w:spacing w:val="-65"/>
        </w:rPr>
        <w:t> </w:t>
      </w:r>
      <w:r>
        <w:rPr>
          <w:spacing w:val="-65"/>
        </w:rPr>
      </w:r>
      <w:r>
        <w:rPr/>
        <w:t>计划有关事项的议案》。</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18</w:t>
      </w:r>
      <w:r>
        <w:rPr/>
        <w:t>日召开的第二届董事会第十七次会议审议通过了《关于公司股票期权与限制性股票激</w:t>
      </w:r>
      <w:r>
        <w:rPr>
          <w:spacing w:val="-85"/>
        </w:rPr>
        <w:t> </w:t>
      </w:r>
      <w:r>
        <w:rPr>
          <w:spacing w:val="-85"/>
        </w:rPr>
      </w:r>
      <w:r>
        <w:rPr/>
        <w:t>励计划首次授予有关事项的议案》，确定</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18</w:t>
      </w:r>
      <w:r>
        <w:rPr/>
        <w:t>日为首次授予日，向</w:t>
      </w:r>
      <w:r>
        <w:rPr>
          <w:rFonts w:ascii="宋体" w:hAnsi="宋体" w:cs="宋体" w:eastAsia="宋体" w:hint="default"/>
        </w:rPr>
        <w:t>150</w:t>
      </w:r>
      <w:r>
        <w:rPr/>
        <w:t>名激励对象首次授予</w:t>
      </w:r>
      <w:r>
        <w:rPr>
          <w:rFonts w:ascii="宋体" w:hAnsi="宋体" w:cs="宋体" w:eastAsia="宋体" w:hint="default"/>
        </w:rPr>
        <w:t>245.25</w:t>
      </w:r>
      <w:r>
        <w:rPr/>
        <w:t>万份股票期权与</w:t>
      </w:r>
      <w:r>
        <w:rPr>
          <w:spacing w:val="-11"/>
        </w:rPr>
        <w:t> </w:t>
      </w:r>
      <w:r>
        <w:rPr>
          <w:spacing w:val="-11"/>
        </w:rPr>
      </w:r>
      <w:r>
        <w:rPr>
          <w:rFonts w:ascii="宋体" w:hAnsi="宋体" w:cs="宋体" w:eastAsia="宋体" w:hint="default"/>
        </w:rPr>
        <w:t>246.75</w:t>
      </w:r>
      <w:r>
        <w:rPr/>
        <w:t>万股限制性股票。</w:t>
      </w:r>
    </w:p>
    <w:p>
      <w:pPr>
        <w:pStyle w:val="BodyText"/>
        <w:spacing w:line="477" w:lineRule="auto" w:before="54"/>
        <w:ind w:right="149" w:firstLine="420"/>
        <w:jc w:val="both"/>
      </w:pPr>
      <w:r>
        <w:rPr/>
        <w:t>上述激励计划包括股票期权激励计划和限制性股票激励计划两部分。其股票来源为公司向激励对象定向发行新股。激 励计划拟向激励对象授予权益总计</w:t>
      </w:r>
      <w:r>
        <w:rPr>
          <w:rFonts w:ascii="宋体" w:hAnsi="宋体" w:cs="宋体" w:eastAsia="宋体" w:hint="default"/>
        </w:rPr>
        <w:t>542.00</w:t>
      </w:r>
      <w:r>
        <w:rPr/>
        <w:t>万份，涉及的标的股票种类为人民币</w:t>
      </w:r>
      <w:r>
        <w:rPr>
          <w:rFonts w:ascii="宋体" w:hAnsi="宋体" w:cs="宋体" w:eastAsia="宋体" w:hint="default"/>
        </w:rPr>
        <w:t>A</w:t>
      </w:r>
      <w:r>
        <w:rPr>
          <w:rFonts w:ascii="宋体" w:hAnsi="宋体" w:cs="宋体" w:eastAsia="宋体" w:hint="default"/>
          <w:spacing w:val="-25"/>
        </w:rPr>
        <w:t> </w:t>
      </w:r>
      <w:r>
        <w:rPr>
          <w:spacing w:val="-3"/>
        </w:rPr>
        <w:t>股普通股，约占本激励计划签署时公司股本</w:t>
      </w:r>
      <w:r>
        <w:rPr/>
        <w:t> </w:t>
      </w:r>
      <w:r>
        <w:rPr>
          <w:spacing w:val="-2"/>
        </w:rPr>
        <w:t>总额</w:t>
      </w:r>
      <w:r>
        <w:rPr>
          <w:rFonts w:ascii="宋体" w:hAnsi="宋体" w:cs="宋体" w:eastAsia="宋体" w:hint="default"/>
          <w:spacing w:val="-2"/>
        </w:rPr>
        <w:t>12,150.00</w:t>
      </w:r>
      <w:r>
        <w:rPr>
          <w:spacing w:val="-2"/>
        </w:rPr>
        <w:t>万股的</w:t>
      </w:r>
      <w:r>
        <w:rPr>
          <w:rFonts w:ascii="宋体" w:hAnsi="宋体" w:cs="宋体" w:eastAsia="宋体" w:hint="default"/>
          <w:spacing w:val="-2"/>
        </w:rPr>
        <w:t>4.46%</w:t>
      </w:r>
      <w:r>
        <w:rPr>
          <w:spacing w:val="-2"/>
        </w:rPr>
        <w:t>，其中首次授予权益</w:t>
      </w:r>
      <w:r>
        <w:rPr>
          <w:rFonts w:ascii="宋体" w:hAnsi="宋体" w:cs="宋体" w:eastAsia="宋体" w:hint="default"/>
          <w:spacing w:val="-2"/>
        </w:rPr>
        <w:t>492.00</w:t>
      </w:r>
      <w:r>
        <w:rPr>
          <w:spacing w:val="-2"/>
        </w:rPr>
        <w:t>万份（其中股票期权</w:t>
      </w:r>
      <w:r>
        <w:rPr>
          <w:rFonts w:ascii="宋体" w:hAnsi="宋体" w:cs="宋体" w:eastAsia="宋体" w:hint="default"/>
          <w:spacing w:val="-2"/>
        </w:rPr>
        <w:t>245.25</w:t>
      </w:r>
      <w:r>
        <w:rPr>
          <w:spacing w:val="-2"/>
        </w:rPr>
        <w:t>万份，限制性股票</w:t>
      </w:r>
      <w:r>
        <w:rPr>
          <w:rFonts w:ascii="宋体" w:hAnsi="宋体" w:cs="宋体" w:eastAsia="宋体" w:hint="default"/>
          <w:spacing w:val="-2"/>
        </w:rPr>
        <w:t>246.75</w:t>
      </w:r>
      <w:r>
        <w:rPr>
          <w:spacing w:val="-2"/>
        </w:rPr>
        <w:t>万股），占本计</w:t>
      </w:r>
      <w:r>
        <w:rPr>
          <w:spacing w:val="-51"/>
        </w:rPr>
        <w:t> </w:t>
      </w:r>
      <w:r>
        <w:rPr>
          <w:spacing w:val="-51"/>
        </w:rPr>
      </w:r>
      <w:r>
        <w:rPr>
          <w:spacing w:val="-1"/>
        </w:rPr>
        <w:t>划签署时公司股本总额</w:t>
      </w:r>
      <w:r>
        <w:rPr>
          <w:rFonts w:ascii="宋体" w:hAnsi="宋体" w:cs="宋体" w:eastAsia="宋体" w:hint="default"/>
          <w:spacing w:val="-1"/>
        </w:rPr>
        <w:t>12,150.00</w:t>
      </w:r>
      <w:r>
        <w:rPr>
          <w:spacing w:val="-1"/>
        </w:rPr>
        <w:t>万股的</w:t>
      </w:r>
      <w:r>
        <w:rPr>
          <w:rFonts w:ascii="宋体" w:hAnsi="宋体" w:cs="宋体" w:eastAsia="宋体" w:hint="default"/>
          <w:spacing w:val="-1"/>
        </w:rPr>
        <w:t>4.05</w:t>
      </w:r>
      <w:r>
        <w:rPr>
          <w:rFonts w:ascii="宋体" w:hAnsi="宋体" w:cs="宋体" w:eastAsia="宋体" w:hint="default"/>
        </w:rPr>
        <w:t> </w:t>
      </w:r>
      <w:r>
        <w:rPr>
          <w:rFonts w:ascii="宋体" w:hAnsi="宋体" w:cs="宋体" w:eastAsia="宋体" w:hint="default"/>
          <w:spacing w:val="-2"/>
        </w:rPr>
        <w:t>%</w:t>
      </w:r>
      <w:r>
        <w:rPr>
          <w:spacing w:val="-2"/>
        </w:rPr>
        <w:t>，预留</w:t>
      </w:r>
      <w:r>
        <w:rPr>
          <w:rFonts w:ascii="宋体" w:hAnsi="宋体" w:cs="宋体" w:eastAsia="宋体" w:hint="default"/>
          <w:spacing w:val="-2"/>
        </w:rPr>
        <w:t>50</w:t>
      </w:r>
      <w:r>
        <w:rPr>
          <w:spacing w:val="-2"/>
        </w:rPr>
        <w:t>万份，占本计划授出权益总数的</w:t>
      </w:r>
      <w:r>
        <w:rPr>
          <w:rFonts w:ascii="宋体" w:hAnsi="宋体" w:cs="宋体" w:eastAsia="宋体" w:hint="default"/>
          <w:spacing w:val="-2"/>
        </w:rPr>
        <w:t>9.23%</w:t>
      </w:r>
      <w:r>
        <w:rPr>
          <w:spacing w:val="-2"/>
        </w:rPr>
        <w:t>，占本计划签署时公司股本总</w:t>
      </w:r>
      <w:r>
        <w:rPr>
          <w:spacing w:val="-78"/>
        </w:rPr>
        <w:t> </w:t>
      </w:r>
      <w:r>
        <w:rPr>
          <w:spacing w:val="-78"/>
        </w:rPr>
      </w:r>
      <w:r>
        <w:rPr/>
        <w:t>额的</w:t>
      </w:r>
      <w:r>
        <w:rPr>
          <w:rFonts w:ascii="宋体" w:hAnsi="宋体" w:cs="宋体" w:eastAsia="宋体" w:hint="default"/>
        </w:rPr>
        <w:t>0.41%</w:t>
      </w:r>
      <w:r>
        <w:rPr/>
        <w:t>。</w:t>
      </w:r>
    </w:p>
    <w:p>
      <w:pPr>
        <w:pStyle w:val="BodyText"/>
        <w:spacing w:line="240" w:lineRule="auto" w:before="54"/>
        <w:ind w:left="573" w:right="0"/>
        <w:jc w:val="left"/>
      </w:pPr>
      <w:r>
        <w:rPr/>
        <w:t>上述激励计划对本报告期内的各项数据无影响。</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72" w:footer="1006" w:top="1080" w:bottom="1200" w:left="980" w:right="980"/>
        </w:sectPr>
      </w:pPr>
    </w:p>
    <w:p>
      <w:pPr>
        <w:spacing w:line="240" w:lineRule="auto" w:before="0"/>
        <w:rPr>
          <w:rFonts w:ascii="宋体" w:hAnsi="宋体" w:cs="宋体" w:eastAsia="宋体" w:hint="default"/>
          <w:b/>
          <w:bCs/>
          <w:sz w:val="18"/>
          <w:szCs w:val="18"/>
        </w:rPr>
      </w:pPr>
    </w:p>
    <w:p>
      <w:pPr>
        <w:pStyle w:val="BodyText"/>
        <w:spacing w:line="240" w:lineRule="auto" w:before="161"/>
        <w:ind w:right="-5"/>
        <w:jc w:val="left"/>
      </w:pPr>
      <w:r>
        <w:rPr/>
        <w:t>以权益结算的股份支付的说明</w:t>
      </w:r>
    </w:p>
    <w:p>
      <w:pPr>
        <w:spacing w:line="240" w:lineRule="auto" w:before="0"/>
        <w:rPr>
          <w:rFonts w:ascii="宋体" w:hAnsi="宋体" w:cs="宋体" w:eastAsia="宋体" w:hint="default"/>
          <w:sz w:val="18"/>
          <w:szCs w:val="18"/>
        </w:rPr>
      </w:pPr>
    </w:p>
    <w:p>
      <w:pPr>
        <w:pStyle w:val="Heading3"/>
        <w:spacing w:line="240" w:lineRule="auto" w:before="120"/>
        <w:ind w:right="-5"/>
        <w:jc w:val="left"/>
        <w:rPr>
          <w:b w:val="0"/>
          <w:bCs w:val="0"/>
        </w:rPr>
      </w:pPr>
      <w:r>
        <w:rPr>
          <w:rFonts w:ascii="Times New Roman" w:hAnsi="Times New Roman" w:cs="Times New Roman" w:eastAsia="Times New Roman" w:hint="default"/>
          <w:spacing w:val="-1"/>
        </w:rPr>
        <w:t>3</w:t>
      </w:r>
      <w:r>
        <w:rPr>
          <w:spacing w:val="-1"/>
        </w:rPr>
        <w:t>、以现金结算的股份支付情况</w:t>
      </w:r>
      <w:r>
        <w:rPr>
          <w:b w:val="0"/>
          <w:bCs w:val="0"/>
          <w:spacing w:val="-1"/>
        </w:rPr>
      </w:r>
    </w:p>
    <w:p>
      <w:pPr>
        <w:pStyle w:val="BodyText"/>
        <w:spacing w:line="240" w:lineRule="auto" w:before="44"/>
        <w:ind w:right="0"/>
        <w:jc w:val="left"/>
      </w:pPr>
      <w:r>
        <w:rPr/>
        <w:br w:type="column"/>
      </w:r>
      <w:r>
        <w:rPr/>
        <w:t>单位：</w:t>
      </w:r>
      <w:r>
        <w:rPr>
          <w:spacing w:val="1"/>
        </w:rPr>
        <w:t> </w:t>
      </w:r>
      <w:r>
        <w:rPr/>
        <w:t>元</w:t>
      </w:r>
    </w:p>
    <w:p>
      <w:pPr>
        <w:spacing w:after="0" w:line="240" w:lineRule="auto"/>
        <w:jc w:val="left"/>
        <w:sectPr>
          <w:type w:val="continuous"/>
          <w:pgSz w:w="11910" w:h="16840"/>
          <w:pgMar w:top="1080" w:bottom="1200" w:left="980" w:right="980"/>
          <w:cols w:num="2" w:equalWidth="0">
            <w:col w:w="3000" w:space="5829"/>
            <w:col w:w="1121"/>
          </w:cols>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80" w:bottom="1200" w:left="980" w:right="980"/>
        </w:sectPr>
      </w:pPr>
    </w:p>
    <w:p>
      <w:pPr>
        <w:spacing w:line="240" w:lineRule="auto" w:before="0"/>
        <w:rPr>
          <w:rFonts w:ascii="宋体" w:hAnsi="宋体" w:cs="宋体" w:eastAsia="宋体" w:hint="default"/>
          <w:sz w:val="18"/>
          <w:szCs w:val="18"/>
        </w:rPr>
      </w:pPr>
    </w:p>
    <w:p>
      <w:pPr>
        <w:pStyle w:val="BodyText"/>
        <w:spacing w:line="240" w:lineRule="auto" w:before="159"/>
        <w:ind w:right="-20"/>
        <w:jc w:val="left"/>
      </w:pPr>
      <w:r>
        <w:rPr/>
        <w:t>以现金结算的股份支付的说明</w:t>
      </w:r>
    </w:p>
    <w:p>
      <w:pPr>
        <w:spacing w:line="240" w:lineRule="auto" w:before="0"/>
        <w:rPr>
          <w:rFonts w:ascii="宋体" w:hAnsi="宋体" w:cs="宋体" w:eastAsia="宋体" w:hint="default"/>
          <w:sz w:val="18"/>
          <w:szCs w:val="18"/>
        </w:rPr>
      </w:pPr>
    </w:p>
    <w:p>
      <w:pPr>
        <w:pStyle w:val="Heading3"/>
        <w:spacing w:line="240" w:lineRule="auto" w:before="120"/>
        <w:ind w:right="-20"/>
        <w:jc w:val="left"/>
        <w:rPr>
          <w:b w:val="0"/>
          <w:bCs w:val="0"/>
        </w:rPr>
      </w:pPr>
      <w:r>
        <w:rPr>
          <w:rFonts w:ascii="Times New Roman" w:hAnsi="Times New Roman" w:cs="Times New Roman" w:eastAsia="Times New Roman" w:hint="default"/>
        </w:rPr>
        <w:t>4</w:t>
      </w:r>
      <w:r>
        <w:rPr/>
        <w:t>、以股份支付服务情况</w:t>
      </w:r>
      <w:r>
        <w:rPr>
          <w:b w:val="0"/>
          <w:bCs w:val="0"/>
        </w:rPr>
      </w:r>
    </w:p>
    <w:p>
      <w:pPr>
        <w:pStyle w:val="BodyText"/>
        <w:spacing w:line="240" w:lineRule="auto" w:before="44"/>
        <w:ind w:right="0"/>
        <w:jc w:val="left"/>
      </w:pPr>
      <w:r>
        <w:rPr/>
        <w:br w:type="column"/>
      </w:r>
      <w:r>
        <w:rPr/>
        <w:t>单位：</w:t>
      </w:r>
      <w:r>
        <w:rPr>
          <w:spacing w:val="1"/>
        </w:rPr>
        <w:t> </w:t>
      </w:r>
      <w:r>
        <w:rPr/>
        <w:t>元</w:t>
      </w:r>
    </w:p>
    <w:p>
      <w:pPr>
        <w:spacing w:after="0" w:line="240" w:lineRule="auto"/>
        <w:jc w:val="left"/>
        <w:sectPr>
          <w:type w:val="continuous"/>
          <w:pgSz w:w="11910" w:h="16840"/>
          <w:pgMar w:top="1080" w:bottom="1200" w:left="980" w:right="980"/>
          <w:cols w:num="2" w:equalWidth="0">
            <w:col w:w="2493" w:space="6336"/>
            <w:col w:w="1121"/>
          </w:cols>
        </w:sectPr>
      </w:pPr>
    </w:p>
    <w:p>
      <w:pPr>
        <w:spacing w:line="240" w:lineRule="auto" w:before="12"/>
        <w:rPr>
          <w:rFonts w:ascii="宋体" w:hAnsi="宋体" w:cs="宋体" w:eastAsia="宋体" w:hint="default"/>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type w:val="continuous"/>
          <w:pgSz w:w="11910" w:h="16840"/>
          <w:pgMar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0"/>
        <w:jc w:val="left"/>
        <w:rPr>
          <w:b w:val="0"/>
          <w:bCs w:val="0"/>
        </w:rPr>
      </w:pPr>
      <w:r>
        <w:rPr/>
        <w:t>十一、或有事项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73" w:right="0"/>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日，本公司不存在应披露的未决诉讼、对外担保等或有事项。</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其他或有负债及其财务影响</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十二、承诺事项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0" w:firstLine="420"/>
        <w:jc w:val="left"/>
      </w:pPr>
      <w:r>
        <w:rPr/>
        <w:t>公司、公司股东及关联方等作出承诺事项及承诺履行情况已在本报告”第五节、承诺事项履行情况“作出说明。除此 之外，截至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日，本公司无需要特别说明的重大承诺事项。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0" w:firstLine="420"/>
        <w:jc w:val="left"/>
      </w:pPr>
      <w:r>
        <w:rPr/>
        <w:t>公司、公司股东及关联方等作出承诺事项及承诺履行情况已在本报告”第五节、承诺事项履行情况“作出说明。除此 之外，截至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日，本公司无需要特别说明的重大承诺事项。</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、重要的资产负债表日后事项说明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73" w:right="138"/>
        <w:jc w:val="left"/>
      </w:pPr>
      <w:r>
        <w:rPr/>
        <w:t>截至</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18</w:t>
      </w:r>
      <w:r>
        <w:rPr/>
        <w:t>日，本公司需披露的资产负债表日后事项如下： </w:t>
      </w:r>
      <w:r>
        <w:rPr>
          <w:spacing w:val="-1"/>
        </w:rPr>
        <w:t>本公司于</w:t>
      </w:r>
      <w:r>
        <w:rPr>
          <w:rFonts w:ascii="宋体" w:hAnsi="宋体" w:cs="宋体" w:eastAsia="宋体" w:hint="default"/>
          <w:spacing w:val="-1"/>
        </w:rPr>
        <w:t>2013</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14</w:t>
      </w:r>
      <w:r>
        <w:rPr>
          <w:spacing w:val="-1"/>
        </w:rPr>
        <w:t>日召开第二届董事会第十五次会议，全体董事一致同意通过《关于增资参股北京千禾颐养家苑养</w:t>
      </w:r>
    </w:p>
    <w:p>
      <w:pPr>
        <w:pStyle w:val="BodyText"/>
        <w:spacing w:line="240" w:lineRule="auto" w:before="54"/>
        <w:ind w:right="0"/>
        <w:jc w:val="left"/>
      </w:pPr>
      <w:r>
        <w:rPr/>
        <w:t>老服务有限责任公司的议案》（北京千禾颐养家苑养老服务有限责任公司以下简称“千禾公司”）。本次对外投资的资金来</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9"/>
          <w:szCs w:val="29"/>
        </w:rPr>
      </w:pPr>
    </w:p>
    <w:p>
      <w:pPr>
        <w:pStyle w:val="BodyText"/>
        <w:spacing w:line="477" w:lineRule="auto" w:before="44"/>
        <w:ind w:left="573" w:right="94" w:hanging="421"/>
        <w:jc w:val="left"/>
        <w:rPr>
          <w:rFonts w:ascii="宋体" w:hAnsi="宋体" w:cs="宋体" w:eastAsia="宋体" w:hint="default"/>
        </w:rPr>
      </w:pPr>
      <w:r>
        <w:rPr>
          <w:spacing w:val="-4"/>
        </w:rPr>
        <w:t>源于自有资金，不涉及关联交易，不构成重大资产重组。本次对外投资额度在董事会权限范围之内，无需提交股东大会审议。</w:t>
      </w:r>
      <w:r>
        <w:rPr>
          <w:spacing w:val="-45"/>
        </w:rPr>
        <w:t> </w:t>
      </w:r>
      <w:r>
        <w:rPr>
          <w:spacing w:val="-45"/>
        </w:rPr>
      </w:r>
      <w:r>
        <w:rPr/>
        <w:t>根据利安达会计师事务所出具的《北京千禾颐养家苑养老服务有限责任公司审计报告》（利安达审字</w:t>
      </w:r>
      <w:r>
        <w:rPr>
          <w:rFonts w:ascii="宋体" w:hAnsi="宋体" w:cs="宋体" w:eastAsia="宋体" w:hint="default"/>
        </w:rPr>
        <w:t>[2013]</w:t>
      </w:r>
      <w:r>
        <w:rPr/>
        <w:t>第</w:t>
      </w:r>
      <w:r>
        <w:rPr>
          <w:rFonts w:ascii="宋体" w:hAnsi="宋体" w:cs="宋体" w:eastAsia="宋体" w:hint="default"/>
        </w:rPr>
        <w:t>A3002</w:t>
      </w:r>
    </w:p>
    <w:p>
      <w:pPr>
        <w:pStyle w:val="BodyText"/>
        <w:spacing w:line="477" w:lineRule="auto" w:before="54"/>
        <w:ind w:right="94"/>
        <w:jc w:val="left"/>
      </w:pPr>
      <w:r>
        <w:rPr>
          <w:spacing w:val="-2"/>
        </w:rPr>
        <w:t>号），千禾公司截止</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日净资产为</w:t>
      </w:r>
      <w:r>
        <w:rPr>
          <w:rFonts w:ascii="宋体" w:hAnsi="宋体" w:cs="宋体" w:eastAsia="宋体" w:hint="default"/>
          <w:spacing w:val="-2"/>
        </w:rPr>
        <w:t>234.63</w:t>
      </w:r>
      <w:r>
        <w:rPr>
          <w:spacing w:val="-2"/>
        </w:rPr>
        <w:t>万元。根据北京龙源智博资产评估有限责任公司出具的《北京东方国信</w:t>
      </w:r>
      <w:r>
        <w:rPr>
          <w:spacing w:val="-55"/>
        </w:rPr>
        <w:t> </w:t>
      </w:r>
      <w:r>
        <w:rPr>
          <w:spacing w:val="-55"/>
        </w:rPr>
      </w:r>
      <w:r>
        <w:rPr>
          <w:spacing w:val="-2"/>
        </w:rPr>
        <w:t>科技股份有限公司拟对北京千禾颐养家苑养老服务有限责任公司增资项目资产评估报告》（龙智评报字</w:t>
      </w:r>
      <w:r>
        <w:rPr>
          <w:rFonts w:ascii="宋体" w:hAnsi="宋体" w:cs="宋体" w:eastAsia="宋体" w:hint="default"/>
          <w:spacing w:val="-2"/>
        </w:rPr>
        <w:t>[2013]</w:t>
      </w:r>
      <w:r>
        <w:rPr>
          <w:spacing w:val="-2"/>
        </w:rPr>
        <w:t>第</w:t>
      </w:r>
      <w:r>
        <w:rPr>
          <w:rFonts w:ascii="宋体" w:hAnsi="宋体" w:cs="宋体" w:eastAsia="宋体" w:hint="default"/>
          <w:spacing w:val="-2"/>
        </w:rPr>
        <w:t>A1001</w:t>
      </w:r>
      <w:r>
        <w:rPr>
          <w:spacing w:val="-2"/>
        </w:rPr>
        <w:t>号），</w:t>
      </w:r>
      <w:r>
        <w:rPr>
          <w:spacing w:val="-56"/>
        </w:rPr>
        <w:t> </w:t>
      </w:r>
      <w:r>
        <w:rPr>
          <w:spacing w:val="-56"/>
        </w:rPr>
      </w:r>
      <w:r>
        <w:rPr>
          <w:spacing w:val="-4"/>
        </w:rPr>
        <w:t>考虑千禾公司现有业务渠道、成熟的经营模式以及管理团队等因素，采用收益法对千禾公司股东全部权益资本价值进行评估，</w:t>
      </w:r>
      <w:r>
        <w:rPr>
          <w:spacing w:val="-43"/>
        </w:rPr>
        <w:t> </w:t>
      </w:r>
      <w:r>
        <w:rPr>
          <w:spacing w:val="-43"/>
        </w:rPr>
      </w:r>
      <w:r>
        <w:rPr>
          <w:spacing w:val="-2"/>
        </w:rPr>
        <w:t>在评估基准日</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日，千禾公司的股东全部权益资本价值为</w:t>
      </w:r>
      <w:r>
        <w:rPr>
          <w:rFonts w:ascii="宋体" w:hAnsi="宋体" w:cs="宋体" w:eastAsia="宋体" w:hint="default"/>
          <w:spacing w:val="-2"/>
        </w:rPr>
        <w:t>2,807.00</w:t>
      </w:r>
      <w:r>
        <w:rPr>
          <w:spacing w:val="-2"/>
        </w:rPr>
        <w:t>万元。按照股东权益资本评估值计算每一元注</w:t>
      </w:r>
      <w:r>
        <w:rPr>
          <w:spacing w:val="-55"/>
        </w:rPr>
        <w:t> </w:t>
      </w:r>
      <w:r>
        <w:rPr>
          <w:spacing w:val="-55"/>
        </w:rPr>
      </w:r>
      <w:r>
        <w:rPr>
          <w:spacing w:val="-2"/>
        </w:rPr>
        <w:t>册资本的资本价值为</w:t>
      </w:r>
      <w:r>
        <w:rPr>
          <w:rFonts w:ascii="宋体" w:hAnsi="宋体" w:cs="宋体" w:eastAsia="宋体" w:hint="default"/>
          <w:spacing w:val="-2"/>
        </w:rPr>
        <w:t>7.02</w:t>
      </w:r>
      <w:r>
        <w:rPr>
          <w:spacing w:val="-2"/>
        </w:rPr>
        <w:t>元，公司投资</w:t>
      </w:r>
      <w:r>
        <w:rPr>
          <w:rFonts w:ascii="宋体" w:hAnsi="宋体" w:cs="宋体" w:eastAsia="宋体" w:hint="default"/>
          <w:spacing w:val="-2"/>
        </w:rPr>
        <w:t>1,200.00</w:t>
      </w:r>
      <w:r>
        <w:rPr>
          <w:spacing w:val="-2"/>
        </w:rPr>
        <w:t>万元，占千禾公司增资后的</w:t>
      </w:r>
      <w:r>
        <w:rPr>
          <w:rFonts w:ascii="宋体" w:hAnsi="宋体" w:cs="宋体" w:eastAsia="宋体" w:hint="default"/>
          <w:spacing w:val="-2"/>
        </w:rPr>
        <w:t>171.43</w:t>
      </w:r>
      <w:r>
        <w:rPr>
          <w:spacing w:val="-2"/>
        </w:rPr>
        <w:t>万元注册资本，剩余的</w:t>
      </w:r>
      <w:r>
        <w:rPr>
          <w:rFonts w:ascii="宋体" w:hAnsi="宋体" w:cs="宋体" w:eastAsia="宋体" w:hint="default"/>
          <w:spacing w:val="-2"/>
        </w:rPr>
        <w:t>1,028.57</w:t>
      </w:r>
      <w:r>
        <w:rPr>
          <w:spacing w:val="-2"/>
        </w:rPr>
        <w:t>万元计入</w:t>
      </w:r>
      <w:r>
        <w:rPr>
          <w:spacing w:val="-49"/>
        </w:rPr>
        <w:t> </w:t>
      </w:r>
      <w:r>
        <w:rPr>
          <w:spacing w:val="-49"/>
        </w:rPr>
      </w:r>
      <w:r>
        <w:rPr/>
        <w:t>千禾公司的资本公积。</w:t>
      </w:r>
    </w:p>
    <w:p>
      <w:pPr>
        <w:pStyle w:val="BodyText"/>
        <w:spacing w:line="477" w:lineRule="auto" w:before="55"/>
        <w:ind w:right="188" w:firstLine="420"/>
        <w:jc w:val="both"/>
      </w:pPr>
      <w:r>
        <w:rPr/>
        <w:t>增资后千禾公司股权结构为：北京东方国信科技股份有限公司出资</w:t>
      </w:r>
      <w:r>
        <w:rPr>
          <w:rFonts w:ascii="宋体" w:hAnsi="宋体" w:cs="宋体" w:eastAsia="宋体" w:hint="default"/>
        </w:rPr>
        <w:t>171.43</w:t>
      </w:r>
      <w:r>
        <w:rPr/>
        <w:t>万元，持股比例</w:t>
      </w:r>
      <w:r>
        <w:rPr>
          <w:rFonts w:ascii="宋体" w:hAnsi="宋体" w:cs="宋体" w:eastAsia="宋体" w:hint="default"/>
        </w:rPr>
        <w:t>30.00%</w:t>
      </w:r>
      <w:r>
        <w:rPr/>
        <w:t>；陈梦霞出资</w:t>
      </w:r>
      <w:r>
        <w:rPr>
          <w:rFonts w:ascii="宋体" w:hAnsi="宋体" w:cs="宋体" w:eastAsia="宋体" w:hint="default"/>
        </w:rPr>
        <w:t>120.00 </w:t>
      </w:r>
      <w:r>
        <w:rPr/>
        <w:t>万元，持股比例</w:t>
      </w:r>
      <w:r>
        <w:rPr>
          <w:rFonts w:ascii="宋体" w:hAnsi="宋体" w:cs="宋体" w:eastAsia="宋体" w:hint="default"/>
        </w:rPr>
        <w:t>21.00%</w:t>
      </w:r>
      <w:r>
        <w:rPr/>
        <w:t>；刘颖红出资</w:t>
      </w:r>
      <w:r>
        <w:rPr>
          <w:rFonts w:ascii="宋体" w:hAnsi="宋体" w:cs="宋体" w:eastAsia="宋体" w:hint="default"/>
        </w:rPr>
        <w:t>112.00</w:t>
      </w:r>
      <w:r>
        <w:rPr/>
        <w:t>万元，持股比例</w:t>
      </w:r>
      <w:r>
        <w:rPr>
          <w:rFonts w:ascii="宋体" w:hAnsi="宋体" w:cs="宋体" w:eastAsia="宋体" w:hint="default"/>
        </w:rPr>
        <w:t>19.60%</w:t>
      </w:r>
      <w:r>
        <w:rPr/>
        <w:t>；韩玉晶出资</w:t>
      </w:r>
      <w:r>
        <w:rPr>
          <w:rFonts w:ascii="宋体" w:hAnsi="宋体" w:cs="宋体" w:eastAsia="宋体" w:hint="default"/>
        </w:rPr>
        <w:t>89.60</w:t>
      </w:r>
      <w:r>
        <w:rPr/>
        <w:t>万元，持股比例</w:t>
      </w:r>
      <w:r>
        <w:rPr>
          <w:rFonts w:ascii="宋体" w:hAnsi="宋体" w:cs="宋体" w:eastAsia="宋体" w:hint="default"/>
        </w:rPr>
        <w:t>15.68%</w:t>
      </w:r>
      <w:r>
        <w:rPr/>
        <w:t>；谭晓雨出资 </w:t>
      </w:r>
      <w:r>
        <w:rPr>
          <w:rFonts w:ascii="宋体" w:hAnsi="宋体" w:cs="宋体" w:eastAsia="宋体" w:hint="default"/>
          <w:spacing w:val="-2"/>
        </w:rPr>
        <w:t>32.00</w:t>
      </w:r>
      <w:r>
        <w:rPr>
          <w:spacing w:val="-2"/>
        </w:rPr>
        <w:t>万元，持股比例</w:t>
      </w:r>
      <w:r>
        <w:rPr>
          <w:rFonts w:ascii="宋体" w:hAnsi="宋体" w:cs="宋体" w:eastAsia="宋体" w:hint="default"/>
          <w:spacing w:val="-2"/>
        </w:rPr>
        <w:t>5.60%</w:t>
      </w:r>
      <w:r>
        <w:rPr>
          <w:spacing w:val="-2"/>
        </w:rPr>
        <w:t>；邹文兵出资</w:t>
      </w:r>
      <w:r>
        <w:rPr>
          <w:rFonts w:ascii="宋体" w:hAnsi="宋体" w:cs="宋体" w:eastAsia="宋体" w:hint="default"/>
          <w:spacing w:val="-2"/>
        </w:rPr>
        <w:t>16.40</w:t>
      </w:r>
      <w:r>
        <w:rPr>
          <w:spacing w:val="-2"/>
        </w:rPr>
        <w:t>万元，持股比例</w:t>
      </w:r>
      <w:r>
        <w:rPr>
          <w:rFonts w:ascii="宋体" w:hAnsi="宋体" w:cs="宋体" w:eastAsia="宋体" w:hint="default"/>
          <w:spacing w:val="-2"/>
        </w:rPr>
        <w:t>2.87%</w:t>
      </w:r>
      <w:r>
        <w:rPr>
          <w:spacing w:val="-2"/>
        </w:rPr>
        <w:t>；赵凤春出资</w:t>
      </w:r>
      <w:r>
        <w:rPr>
          <w:rFonts w:ascii="宋体" w:hAnsi="宋体" w:cs="宋体" w:eastAsia="宋体" w:hint="default"/>
          <w:spacing w:val="-2"/>
        </w:rPr>
        <w:t>14.00</w:t>
      </w:r>
      <w:r>
        <w:rPr>
          <w:spacing w:val="-2"/>
        </w:rPr>
        <w:t>万元，持股比例</w:t>
      </w:r>
      <w:r>
        <w:rPr>
          <w:rFonts w:ascii="宋体" w:hAnsi="宋体" w:cs="宋体" w:eastAsia="宋体" w:hint="default"/>
          <w:spacing w:val="-2"/>
        </w:rPr>
        <w:t>2.45%</w:t>
      </w:r>
      <w:r>
        <w:rPr>
          <w:spacing w:val="-2"/>
        </w:rPr>
        <w:t>；杜明放出资</w:t>
      </w:r>
    </w:p>
    <w:p>
      <w:pPr>
        <w:pStyle w:val="BodyText"/>
        <w:spacing w:line="477" w:lineRule="auto" w:before="54"/>
        <w:ind w:left="573" w:right="94" w:hanging="421"/>
        <w:jc w:val="left"/>
      </w:pPr>
      <w:r>
        <w:rPr>
          <w:rFonts w:ascii="宋体" w:hAnsi="宋体" w:cs="宋体" w:eastAsia="宋体" w:hint="default"/>
        </w:rPr>
        <w:t>12.00</w:t>
      </w:r>
      <w:r>
        <w:rPr/>
        <w:t>万元，持股比例</w:t>
      </w:r>
      <w:r>
        <w:rPr>
          <w:rFonts w:ascii="宋体" w:hAnsi="宋体" w:cs="宋体" w:eastAsia="宋体" w:hint="default"/>
        </w:rPr>
        <w:t>2.10%</w:t>
      </w:r>
      <w:r>
        <w:rPr/>
        <w:t>；茅建晖出资</w:t>
      </w:r>
      <w:r>
        <w:rPr>
          <w:rFonts w:ascii="宋体" w:hAnsi="宋体" w:cs="宋体" w:eastAsia="宋体" w:hint="default"/>
        </w:rPr>
        <w:t>4.00</w:t>
      </w:r>
      <w:r>
        <w:rPr/>
        <w:t>万元，持股比例</w:t>
      </w:r>
      <w:r>
        <w:rPr>
          <w:rFonts w:ascii="宋体" w:hAnsi="宋体" w:cs="宋体" w:eastAsia="宋体" w:hint="default"/>
        </w:rPr>
        <w:t>0.70%</w:t>
      </w:r>
      <w:r>
        <w:rPr/>
        <w:t>；千禾公司注册资本总计为</w:t>
      </w:r>
      <w:r>
        <w:rPr>
          <w:rFonts w:ascii="宋体" w:hAnsi="宋体" w:cs="宋体" w:eastAsia="宋体" w:hint="default"/>
        </w:rPr>
        <w:t>571.43</w:t>
      </w:r>
      <w:r>
        <w:rPr/>
        <w:t>万元。 根据修改后的千禾公司章程，千禾公司董事会由</w:t>
      </w:r>
      <w:r>
        <w:rPr>
          <w:rFonts w:ascii="宋体" w:hAnsi="宋体" w:cs="宋体" w:eastAsia="宋体" w:hint="default"/>
        </w:rPr>
        <w:t>6</w:t>
      </w:r>
      <w:r>
        <w:rPr/>
        <w:t>名成员组成，其中公司提名</w:t>
      </w:r>
      <w:r>
        <w:rPr>
          <w:rFonts w:ascii="宋体" w:hAnsi="宋体" w:cs="宋体" w:eastAsia="宋体" w:hint="default"/>
        </w:rPr>
        <w:t>1</w:t>
      </w:r>
      <w:r>
        <w:rPr/>
        <w:t>名董事参与千禾公司经营决策，不对千</w:t>
      </w:r>
    </w:p>
    <w:p>
      <w:pPr>
        <w:pStyle w:val="BodyText"/>
        <w:spacing w:line="240" w:lineRule="auto" w:before="54"/>
        <w:ind w:right="94"/>
        <w:jc w:val="left"/>
      </w:pPr>
      <w:r>
        <w:rPr/>
        <w:t>禾公司的经营决策等重大事项产生决定性影响，公司不构成控股地位。</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spacing w:line="506" w:lineRule="auto" w:before="0"/>
        <w:ind w:left="152" w:right="7645" w:firstLine="0"/>
        <w:jc w:val="left"/>
        <w:rPr>
          <w:rFonts w:ascii="宋体" w:hAnsi="宋体" w:cs="宋体" w:eastAsia="宋体" w:hint="default"/>
          <w:sz w:val="18"/>
          <w:szCs w:val="18"/>
        </w:rPr>
      </w:pP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3"/>
        <w:spacing w:line="240" w:lineRule="auto" w:before="156"/>
        <w:ind w:right="94"/>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94"/>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无。</w:t>
      </w:r>
    </w:p>
    <w:p>
      <w:pPr>
        <w:spacing w:after="0" w:line="240" w:lineRule="auto"/>
        <w:jc w:val="left"/>
        <w:sectPr>
          <w:footerReference w:type="default" r:id="rId30"/>
          <w:pgSz w:w="11910" w:h="16840"/>
          <w:pgMar w:footer="1006" w:header="772" w:top="1080" w:bottom="1200" w:left="980" w:right="940"/>
          <w:pgNumType w:start="16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44"/>
        <w:gridCol w:w="1532"/>
        <w:gridCol w:w="1517"/>
        <w:gridCol w:w="1517"/>
        <w:gridCol w:w="1528"/>
        <w:gridCol w:w="1522"/>
      </w:tblGrid>
      <w:tr>
        <w:trPr>
          <w:trHeight w:val="161" w:hRule="exact"/>
        </w:trPr>
        <w:tc>
          <w:tcPr>
            <w:tcW w:w="1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71"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7" w:right="30"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9"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7"/>
                <w:sz w:val="18"/>
                <w:szCs w:val="18"/>
              </w:rPr>
              <w:t>融资产（不含衍生金融资</w:t>
            </w:r>
            <w:r>
              <w:rPr>
                <w:rFonts w:ascii="宋体" w:hAnsi="宋体" w:cs="宋体" w:eastAsia="宋体" w:hint="default"/>
                <w:sz w:val="18"/>
                <w:szCs w:val="18"/>
              </w:rPr>
              <w:t> 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3"/>
        <w:gridCol w:w="1531"/>
        <w:gridCol w:w="1511"/>
        <w:gridCol w:w="1511"/>
        <w:gridCol w:w="1523"/>
        <w:gridCol w:w="1517"/>
      </w:tblGrid>
      <w:tr>
        <w:trPr>
          <w:trHeight w:val="161" w:hRule="exact"/>
        </w:trPr>
        <w:tc>
          <w:tcPr>
            <w:tcW w:w="1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05" w:right="27"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2D2D2"/>
          </w:tcPr>
          <w:p>
            <w:pPr/>
          </w:p>
        </w:tc>
        <w:tc>
          <w:tcPr>
            <w:tcW w:w="1511" w:type="dxa"/>
            <w:vMerge/>
            <w:tcBorders>
              <w:left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9"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6"/>
                <w:sz w:val="18"/>
                <w:szCs w:val="18"/>
              </w:rPr>
              <w:t>融资产（不含衍生金融资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公司无年金计划。</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spacing w:line="487" w:lineRule="auto" w:before="36"/>
        <w:ind w:left="152" w:right="5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3"/>
        <w:gridCol w:w="533"/>
        <w:gridCol w:w="1327"/>
        <w:gridCol w:w="665"/>
        <w:gridCol w:w="1195"/>
        <w:gridCol w:w="665"/>
        <w:gridCol w:w="1328"/>
        <w:gridCol w:w="665"/>
      </w:tblGrid>
      <w:tr>
        <w:trPr>
          <w:trHeight w:val="401"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98"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137,213,763.07</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1,955,587.59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87,255,455.15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1,486,878.06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137,213,763.07</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1,955,587.59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87,255,455.15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1,486,878.06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137,213,763.07</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1,955,587.59</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87,255,455.15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1,486,878.06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72" w:footer="1006" w:top="1080" w:bottom="1200" w:left="980" w:right="980"/>
        </w:sectPr>
      </w:pPr>
    </w:p>
    <w:p>
      <w:pPr>
        <w:pStyle w:val="BodyText"/>
        <w:spacing w:line="360" w:lineRule="auto" w:before="49"/>
        <w:ind w:right="-20"/>
        <w:jc w:val="left"/>
      </w:pPr>
      <w:r>
        <w:rPr/>
        <w:t>应收账款种类的说明 期末单项金额重大并单项计提坏账准备的应收账款</w:t>
      </w:r>
    </w:p>
    <w:p>
      <w:pPr>
        <w:pStyle w:val="BodyText"/>
        <w:spacing w:line="340" w:lineRule="auto" w:before="2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80" w:bottom="120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1049"/>
        <w:gridCol w:w="2000"/>
        <w:gridCol w:w="651"/>
        <w:gridCol w:w="1474"/>
        <w:gridCol w:w="2126"/>
        <w:gridCol w:w="660"/>
        <w:gridCol w:w="1593"/>
      </w:tblGrid>
      <w:tr>
        <w:trPr>
          <w:trHeight w:val="403" w:hRule="exact"/>
        </w:trPr>
        <w:tc>
          <w:tcPr>
            <w:tcW w:w="1049" w:type="dxa"/>
            <w:vMerge w:val="restart"/>
            <w:tcBorders>
              <w:top w:val="single" w:sz="4" w:space="0" w:color="000000"/>
              <w:left w:val="single" w:sz="4" w:space="0" w:color="000000"/>
              <w:right w:val="single" w:sz="4" w:space="0" w:color="000000"/>
            </w:tcBorders>
            <w:shd w:val="clear" w:color="auto" w:fill="D2D2D2"/>
          </w:tcPr>
          <w:p>
            <w:pPr/>
          </w:p>
        </w:tc>
        <w:tc>
          <w:tcPr>
            <w:tcW w:w="412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6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74" w:type="dxa"/>
            <w:vMerge w:val="restart"/>
            <w:tcBorders>
              <w:top w:val="single" w:sz="4" w:space="0" w:color="000000"/>
              <w:left w:val="single" w:sz="4" w:space="0" w:color="000000"/>
              <w:right w:val="single" w:sz="4" w:space="0" w:color="000000"/>
            </w:tcBorders>
            <w:shd w:val="clear" w:color="auto" w:fill="D2D2D2"/>
          </w:tcPr>
          <w:p>
            <w:pPr/>
          </w:p>
        </w:tc>
        <w:tc>
          <w:tcPr>
            <w:tcW w:w="27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3"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51" w:type="dxa"/>
            <w:gridSpan w:val="2"/>
            <w:vMerge/>
            <w:tcBorders>
              <w:left w:val="single" w:sz="4" w:space="0" w:color="000000"/>
              <w:bottom w:val="single" w:sz="4" w:space="0" w:color="000000"/>
              <w:right w:val="single" w:sz="4" w:space="0" w:color="000000"/>
            </w:tcBorders>
            <w:shd w:val="clear" w:color="auto" w:fill="D2D2D2"/>
          </w:tcPr>
          <w:p>
            <w:pPr/>
          </w:p>
        </w:tc>
        <w:tc>
          <w:tcPr>
            <w:tcW w:w="1474" w:type="dxa"/>
            <w:vMerge/>
            <w:tcBorders>
              <w:left w:val="single" w:sz="4" w:space="0" w:color="000000"/>
              <w:bottom w:val="nil" w:sz="6" w:space="0" w:color="auto"/>
              <w:right w:val="single" w:sz="4" w:space="0" w:color="000000"/>
            </w:tcBorders>
            <w:shd w:val="clear" w:color="auto" w:fill="D2D2D2"/>
          </w:tcPr>
          <w:p>
            <w:pPr/>
          </w:p>
        </w:tc>
        <w:tc>
          <w:tcPr>
            <w:tcW w:w="2786" w:type="dxa"/>
            <w:gridSpan w:val="2"/>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4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6" w:right="0"/>
              <w:jc w:val="left"/>
              <w:rPr>
                <w:rFonts w:ascii="Times New Roman" w:hAnsi="Times New Roman" w:cs="Times New Roman" w:eastAsia="Times New Roman" w:hint="default"/>
                <w:sz w:val="18"/>
                <w:szCs w:val="18"/>
              </w:rPr>
            </w:pPr>
            <w:r>
              <w:rPr>
                <w:rFonts w:ascii="Times New Roman"/>
                <w:sz w:val="18"/>
              </w:rPr>
              <w:t>(%)</w:t>
            </w:r>
          </w:p>
        </w:tc>
        <w:tc>
          <w:tcPr>
            <w:tcW w:w="1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2"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2D2D2"/>
          </w:tcPr>
          <w:p>
            <w:pPr/>
          </w:p>
        </w:tc>
        <w:tc>
          <w:tcPr>
            <w:tcW w:w="1474"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5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9" w:type="dxa"/>
            <w:vMerge/>
            <w:tcBorders>
              <w:left w:val="single" w:sz="4" w:space="0" w:color="000000"/>
              <w:right w:val="single" w:sz="4" w:space="0" w:color="000000"/>
            </w:tcBorders>
            <w:shd w:val="clear" w:color="auto" w:fill="D2D2D2"/>
          </w:tcPr>
          <w:p>
            <w:pPr/>
          </w:p>
        </w:tc>
        <w:tc>
          <w:tcPr>
            <w:tcW w:w="2000" w:type="dxa"/>
            <w:vMerge/>
            <w:tcBorders>
              <w:left w:val="single" w:sz="4" w:space="0" w:color="000000"/>
              <w:bottom w:val="nil" w:sz="6" w:space="0" w:color="auto"/>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c>
          <w:tcPr>
            <w:tcW w:w="1474" w:type="dxa"/>
            <w:vMerge w:val="restart"/>
            <w:tcBorders>
              <w:top w:val="nil" w:sz="6" w:space="0" w:color="auto"/>
              <w:left w:val="single" w:sz="4" w:space="0" w:color="000000"/>
              <w:right w:val="single" w:sz="4" w:space="0" w:color="000000"/>
            </w:tcBorders>
            <w:shd w:val="clear" w:color="auto" w:fill="D2D2D2"/>
          </w:tcPr>
          <w:p>
            <w:pPr/>
          </w:p>
        </w:tc>
        <w:tc>
          <w:tcPr>
            <w:tcW w:w="2126"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59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1474"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5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6"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132,067,472.23</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96.25%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1,320,674.72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81,315,185.31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93.2%</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813,151.86</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4,781,449.00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3.48%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478,144.90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5,413,277.64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541,327.76</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145,509.84</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2"/>
                <w:sz w:val="18"/>
              </w:rPr>
              <w:t>0.11%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29,101.97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436,992.20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87,398.44</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129,332.00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64,666.00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90,000.00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63,000.00</w:t>
            </w:r>
          </w:p>
        </w:tc>
        <w:tc>
          <w:tcPr>
            <w:tcW w:w="21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137,213,763.07</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1,955,587.59</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87,255,455.15</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1,486,878.06</w:t>
            </w:r>
          </w:p>
        </w:tc>
      </w:tr>
    </w:tbl>
    <w:p>
      <w:pPr>
        <w:pStyle w:val="BodyText"/>
        <w:spacing w:line="240" w:lineRule="auto" w:before="49"/>
        <w:ind w:right="0"/>
        <w:jc w:val="left"/>
      </w:pPr>
      <w:r>
        <w:rPr/>
        <w:t>组合中，采用余额百分比法计提坏账准备的应收账款</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80" w:bottom="1200" w:left="980" w:right="980"/>
        </w:sectPr>
      </w:pPr>
    </w:p>
    <w:p>
      <w:pPr>
        <w:spacing w:line="240" w:lineRule="auto" w:before="9"/>
        <w:rPr>
          <w:rFonts w:ascii="宋体" w:hAnsi="宋体" w:cs="宋体" w:eastAsia="宋体" w:hint="default"/>
          <w:sz w:val="23"/>
          <w:szCs w:val="23"/>
        </w:rPr>
      </w:pPr>
    </w:p>
    <w:p>
      <w:pPr>
        <w:pStyle w:val="BodyText"/>
        <w:spacing w:line="240" w:lineRule="auto" w:before="44"/>
        <w:ind w:right="0"/>
        <w:jc w:val="left"/>
      </w:pPr>
      <w:r>
        <w:rPr/>
        <w:t>组合中，采用其他方法计提坏账准备的应收账款</w:t>
      </w:r>
    </w:p>
    <w:p>
      <w:pPr>
        <w:pStyle w:val="BodyText"/>
        <w:spacing w:line="338" w:lineRule="auto" w:before="117"/>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0"/>
        <w:jc w:val="left"/>
      </w:pPr>
      <w:r>
        <w:rPr/>
        <w:t>期末单项金额重大或虽不重大但单独进行减值测试的应收账款坏账准备计提</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31"/>
        <w:gridCol w:w="1935"/>
        <w:gridCol w:w="1935"/>
        <w:gridCol w:w="1934"/>
        <w:gridCol w:w="1832"/>
      </w:tblGrid>
      <w:tr>
        <w:trPr>
          <w:trHeight w:val="402"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0"/>
        <w:ind w:right="0"/>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3"/>
        <w:gridCol w:w="1862"/>
      </w:tblGrid>
      <w:tr>
        <w:trPr>
          <w:trHeight w:val="402"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中国联合网络通信有限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64,372,230.00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46.91%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中国联合网络通信有限 公司辽宁省分公司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7,352,400.00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7"/>
              <w:jc w:val="center"/>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6,341,000.00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4.62%</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36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陕西分公司</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中国电信集团公司内蒙 古网络资产分公司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5,676,640.00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tabs>
                <w:tab w:pos="969" w:val="left" w:leader="none"/>
              </w:tabs>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4.14%</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中国联合网络通信有限 公司北京市分公司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5,625,627.60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89,367,897.60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65.13%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不符合终止确认条件的应收账款的转移金额为元。</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53"/>
        <w:gridCol w:w="1460"/>
        <w:gridCol w:w="523"/>
        <w:gridCol w:w="1326"/>
        <w:gridCol w:w="529"/>
        <w:gridCol w:w="1321"/>
        <w:gridCol w:w="523"/>
        <w:gridCol w:w="1196"/>
        <w:gridCol w:w="526"/>
      </w:tblGrid>
      <w:tr>
        <w:trPr>
          <w:trHeight w:val="398" w:hRule="exact"/>
        </w:trPr>
        <w:tc>
          <w:tcPr>
            <w:tcW w:w="2153" w:type="dxa"/>
            <w:vMerge w:val="restart"/>
            <w:tcBorders>
              <w:top w:val="single" w:sz="4" w:space="0" w:color="000000"/>
              <w:left w:val="single" w:sz="4" w:space="0" w:color="000000"/>
              <w:right w:val="single" w:sz="4" w:space="0" w:color="000000"/>
            </w:tcBorders>
            <w:shd w:val="clear" w:color="auto" w:fill="D2D2D2"/>
          </w:tcPr>
          <w:p>
            <w:pPr/>
          </w:p>
        </w:tc>
        <w:tc>
          <w:tcPr>
            <w:tcW w:w="38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153" w:type="dxa"/>
            <w:vMerge/>
            <w:tcBorders>
              <w:left w:val="single" w:sz="4" w:space="0" w:color="000000"/>
              <w:bottom w:val="nil" w:sz="6" w:space="0" w:color="auto"/>
              <w:right w:val="single" w:sz="4" w:space="0" w:color="000000"/>
            </w:tcBorders>
            <w:shd w:val="clear" w:color="auto" w:fill="D2D2D2"/>
          </w:tcPr>
          <w:p>
            <w:pPr/>
          </w:p>
        </w:tc>
        <w:tc>
          <w:tcPr>
            <w:tcW w:w="19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0" w:hRule="exact"/>
        </w:trPr>
        <w:tc>
          <w:tcPr>
            <w:tcW w:w="21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种类</w:t>
            </w:r>
          </w:p>
        </w:tc>
        <w:tc>
          <w:tcPr>
            <w:tcW w:w="1983" w:type="dxa"/>
            <w:gridSpan w:val="2"/>
            <w:vMerge/>
            <w:tcBorders>
              <w:left w:val="single" w:sz="4" w:space="0" w:color="000000"/>
              <w:bottom w:val="single" w:sz="4" w:space="0" w:color="000000"/>
              <w:right w:val="single" w:sz="4" w:space="0" w:color="000000"/>
            </w:tcBorders>
            <w:shd w:val="clear" w:color="auto" w:fill="D2D2D2"/>
          </w:tcPr>
          <w:p>
            <w:pP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721" w:type="dxa"/>
            <w:gridSpan w:val="2"/>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2153" w:type="dxa"/>
            <w:vMerge/>
            <w:tcBorders>
              <w:left w:val="single" w:sz="4" w:space="0" w:color="000000"/>
              <w:bottom w:val="single" w:sz="4" w:space="0" w:color="FFFFFF"/>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153" w:type="dxa"/>
            <w:vMerge w:val="restart"/>
            <w:tcBorders>
              <w:top w:val="single" w:sz="4" w:space="0" w:color="FFFFFF"/>
              <w:left w:val="single" w:sz="4" w:space="0" w:color="000000"/>
              <w:right w:val="single" w:sz="4" w:space="0" w:color="000000"/>
            </w:tcBorders>
            <w:shd w:val="clear" w:color="auto" w:fill="D2D2D2"/>
          </w:tcPr>
          <w:p>
            <w:pPr/>
          </w:p>
        </w:tc>
        <w:tc>
          <w:tcPr>
            <w:tcW w:w="1460"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vMerge/>
            <w:tcBorders>
              <w:left w:val="single" w:sz="4" w:space="0" w:color="000000"/>
              <w:right w:val="single" w:sz="4" w:space="0" w:color="000000"/>
            </w:tcBorders>
            <w:shd w:val="clear" w:color="auto" w:fill="D2D2D2"/>
          </w:tcPr>
          <w:p>
            <w:pPr/>
          </w:p>
        </w:tc>
        <w:tc>
          <w:tcPr>
            <w:tcW w:w="13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6" w:type="dxa"/>
            <w:vMerge/>
            <w:tcBorders>
              <w:left w:val="single" w:sz="4" w:space="0" w:color="000000"/>
              <w:right w:val="single" w:sz="4" w:space="0" w:color="000000"/>
            </w:tcBorders>
            <w:shd w:val="clear" w:color="auto" w:fill="D2D2D2"/>
          </w:tcPr>
          <w:p>
            <w:pPr/>
          </w:p>
        </w:tc>
      </w:tr>
      <w:tr>
        <w:trPr>
          <w:trHeight w:val="161" w:hRule="exact"/>
        </w:trPr>
        <w:tc>
          <w:tcPr>
            <w:tcW w:w="2153" w:type="dxa"/>
            <w:vMerge/>
            <w:tcBorders>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9" w:type="dxa"/>
            <w:vMerge/>
            <w:tcBorders>
              <w:left w:val="single" w:sz="4" w:space="0" w:color="000000"/>
              <w:bottom w:val="single" w:sz="4" w:space="0" w:color="000000"/>
              <w:right w:val="single" w:sz="4" w:space="0" w:color="000000"/>
            </w:tcBorders>
            <w:shd w:val="clear" w:color="auto" w:fill="D2D2D2"/>
          </w:tcPr>
          <w:p>
            <w:pPr/>
          </w:p>
        </w:tc>
        <w:tc>
          <w:tcPr>
            <w:tcW w:w="13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52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5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9,144,354.64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91,443.55</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4,901,990.13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49,015.17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w:t>
            </w:r>
          </w:p>
        </w:tc>
      </w:tr>
      <w:tr>
        <w:trPr>
          <w:trHeight w:val="404" w:hRule="exact"/>
        </w:trPr>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9,144,354.64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91,443.55</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4,901,990.13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49,015.17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18,144,354.64</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91,443.55</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4,901,990.13</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35" w:right="0"/>
              <w:jc w:val="left"/>
              <w:rPr>
                <w:rFonts w:ascii="Times New Roman" w:hAnsi="Times New Roman" w:cs="Times New Roman" w:eastAsia="Times New Roman" w:hint="default"/>
                <w:sz w:val="18"/>
                <w:szCs w:val="18"/>
              </w:rPr>
            </w:pPr>
            <w:r>
              <w:rPr>
                <w:rFonts w:ascii="Times New Roman"/>
                <w:sz w:val="18"/>
              </w:rPr>
              <w:t>49,015.17</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439" w:lineRule="auto" w:before="49"/>
        <w:ind w:left="573" w:right="0" w:hanging="421"/>
        <w:jc w:val="left"/>
      </w:pPr>
      <w:r>
        <w:rPr/>
        <w:t>其他应收款种类的说明 单项金额重大并单项计提坏账准备的其他应收款为应收子公司国信吉林往来款</w:t>
      </w:r>
      <w:r>
        <w:rPr>
          <w:rFonts w:ascii="宋体" w:hAnsi="宋体" w:cs="宋体" w:eastAsia="宋体" w:hint="default"/>
        </w:rPr>
        <w:t>8,000,000.00</w:t>
      </w:r>
      <w:r>
        <w:rPr/>
        <w:t>元和应收子公司国信成都</w:t>
      </w:r>
    </w:p>
    <w:p>
      <w:pPr>
        <w:pStyle w:val="BodyText"/>
        <w:spacing w:line="240" w:lineRule="auto" w:before="83"/>
        <w:ind w:right="0"/>
        <w:jc w:val="left"/>
      </w:pPr>
      <w:r>
        <w:rPr/>
        <w:t>往来款</w:t>
      </w:r>
      <w:r>
        <w:rPr>
          <w:rFonts w:ascii="宋体" w:hAnsi="宋体" w:cs="宋体" w:eastAsia="宋体" w:hint="default"/>
        </w:rPr>
        <w:t>1,000,000.00</w:t>
      </w:r>
      <w:r>
        <w:rPr/>
        <w:t>元。</w:t>
      </w:r>
    </w:p>
    <w:p>
      <w:pPr>
        <w:spacing w:line="240" w:lineRule="auto" w:before="11"/>
        <w:rPr>
          <w:rFonts w:ascii="宋体" w:hAnsi="宋体" w:cs="宋体" w:eastAsia="宋体" w:hint="default"/>
          <w:sz w:val="14"/>
          <w:szCs w:val="14"/>
        </w:rPr>
      </w:pPr>
    </w:p>
    <w:p>
      <w:pPr>
        <w:pStyle w:val="BodyText"/>
        <w:spacing w:line="240" w:lineRule="auto"/>
        <w:ind w:right="0"/>
        <w:jc w:val="left"/>
      </w:pPr>
      <w:r>
        <w:rPr/>
        <w:t>期末单项金额重大并单项计提坏账准备的其他应收款</w:t>
      </w:r>
    </w:p>
    <w:p>
      <w:pPr>
        <w:pStyle w:val="BodyText"/>
        <w:spacing w:line="340" w:lineRule="auto" w:before="11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spacing w:after="0" w:line="340" w:lineRule="auto"/>
        <w:jc w:val="left"/>
        <w:sectPr>
          <w:pgSz w:w="11910" w:h="16840"/>
          <w:pgMar w:header="772" w:footer="1006" w:top="1080" w:bottom="1200" w:left="980" w:right="980"/>
        </w:sectPr>
      </w:pPr>
    </w:p>
    <w:p>
      <w:pPr>
        <w:spacing w:line="240" w:lineRule="auto" w:before="9"/>
        <w:rPr>
          <w:rFonts w:ascii="宋体" w:hAnsi="宋体" w:cs="宋体" w:eastAsia="宋体" w:hint="default"/>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0"/>
        <w:gridCol w:w="1805"/>
        <w:gridCol w:w="651"/>
        <w:gridCol w:w="1601"/>
        <w:gridCol w:w="1867"/>
        <w:gridCol w:w="660"/>
        <w:gridCol w:w="1714"/>
      </w:tblGrid>
      <w:tr>
        <w:trPr>
          <w:trHeight w:val="403" w:hRule="exact"/>
        </w:trPr>
        <w:tc>
          <w:tcPr>
            <w:tcW w:w="1250" w:type="dxa"/>
            <w:vMerge w:val="restart"/>
            <w:tcBorders>
              <w:top w:val="single" w:sz="4" w:space="0" w:color="000000"/>
              <w:left w:val="single" w:sz="4" w:space="0" w:color="000000"/>
              <w:right w:val="single" w:sz="4" w:space="0" w:color="000000"/>
            </w:tcBorders>
            <w:shd w:val="clear" w:color="auto" w:fill="D2D2D2"/>
          </w:tcPr>
          <w:p>
            <w:pPr/>
          </w:p>
        </w:tc>
        <w:tc>
          <w:tcPr>
            <w:tcW w:w="40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250" w:type="dxa"/>
            <w:vMerge/>
            <w:tcBorders>
              <w:left w:val="single" w:sz="4" w:space="0" w:color="000000"/>
              <w:bottom w:val="nil" w:sz="6" w:space="0" w:color="auto"/>
              <w:right w:val="single" w:sz="4" w:space="0" w:color="000000"/>
            </w:tcBorders>
            <w:shd w:val="clear" w:color="auto" w:fill="D2D2D2"/>
          </w:tcPr>
          <w:p>
            <w:pPr/>
          </w:p>
        </w:tc>
        <w:tc>
          <w:tcPr>
            <w:tcW w:w="24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1" w:type="dxa"/>
            <w:vMerge w:val="restart"/>
            <w:tcBorders>
              <w:top w:val="single" w:sz="4" w:space="0" w:color="000000"/>
              <w:left w:val="single" w:sz="4" w:space="0" w:color="000000"/>
              <w:right w:val="single" w:sz="4" w:space="0" w:color="000000"/>
            </w:tcBorders>
            <w:shd w:val="clear" w:color="auto" w:fill="D2D2D2"/>
          </w:tcPr>
          <w:p>
            <w:pPr/>
          </w:p>
        </w:tc>
        <w:tc>
          <w:tcPr>
            <w:tcW w:w="2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14" w:type="dxa"/>
            <w:vMerge w:val="restart"/>
            <w:tcBorders>
              <w:top w:val="single" w:sz="4" w:space="0" w:color="000000"/>
              <w:left w:val="single" w:sz="4" w:space="0" w:color="000000"/>
              <w:right w:val="single" w:sz="4" w:space="0" w:color="000000"/>
            </w:tcBorders>
            <w:shd w:val="clear" w:color="auto" w:fill="D2D2D2"/>
          </w:tcPr>
          <w:p>
            <w:pPr/>
          </w:p>
        </w:tc>
      </w:tr>
      <w:tr>
        <w:trPr>
          <w:trHeight w:val="223" w:hRule="exact"/>
        </w:trPr>
        <w:tc>
          <w:tcPr>
            <w:tcW w:w="12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456"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tcBorders>
              <w:left w:val="single" w:sz="4" w:space="0" w:color="000000"/>
              <w:bottom w:val="nil" w:sz="6" w:space="0" w:color="auto"/>
              <w:right w:val="single" w:sz="4" w:space="0" w:color="000000"/>
            </w:tcBorders>
            <w:shd w:val="clear" w:color="auto" w:fill="D2D2D2"/>
          </w:tcPr>
          <w:p>
            <w:pPr/>
          </w:p>
        </w:tc>
        <w:tc>
          <w:tcPr>
            <w:tcW w:w="2527" w:type="dxa"/>
            <w:gridSpan w:val="2"/>
            <w:vMerge/>
            <w:tcBorders>
              <w:left w:val="single" w:sz="4" w:space="0" w:color="000000"/>
              <w:bottom w:val="single" w:sz="4" w:space="0" w:color="000000"/>
              <w:right w:val="single" w:sz="4" w:space="0" w:color="000000"/>
            </w:tcBorders>
            <w:shd w:val="clear" w:color="auto" w:fill="D2D2D2"/>
          </w:tcPr>
          <w:p>
            <w:pPr/>
          </w:p>
        </w:tc>
        <w:tc>
          <w:tcPr>
            <w:tcW w:w="1714" w:type="dxa"/>
            <w:vMerge/>
            <w:tcBorders>
              <w:left w:val="single" w:sz="4" w:space="0" w:color="000000"/>
              <w:bottom w:val="nil" w:sz="6" w:space="0" w:color="auto"/>
              <w:right w:val="single" w:sz="4" w:space="0" w:color="000000"/>
            </w:tcBorders>
            <w:shd w:val="clear" w:color="auto" w:fill="D2D2D2"/>
          </w:tcPr>
          <w:p>
            <w:pPr/>
          </w:p>
        </w:tc>
      </w:tr>
      <w:tr>
        <w:trPr>
          <w:trHeight w:val="175" w:hRule="exact"/>
        </w:trPr>
        <w:tc>
          <w:tcPr>
            <w:tcW w:w="1250" w:type="dxa"/>
            <w:vMerge/>
            <w:tcBorders>
              <w:left w:val="single" w:sz="4" w:space="0" w:color="000000"/>
              <w:bottom w:val="single" w:sz="4" w:space="0" w:color="FFFFFF"/>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8" w:right="0"/>
              <w:jc w:val="left"/>
              <w:rPr>
                <w:rFonts w:ascii="Times New Roman" w:hAnsi="Times New Roman" w:cs="Times New Roman" w:eastAsia="Times New Roman" w:hint="default"/>
                <w:sz w:val="18"/>
                <w:szCs w:val="18"/>
              </w:rPr>
            </w:pPr>
            <w:r>
              <w:rPr>
                <w:rFonts w:ascii="Times New Roman"/>
                <w:sz w:val="18"/>
              </w:rPr>
              <w:t>(%)</w:t>
            </w:r>
          </w:p>
        </w:tc>
        <w:tc>
          <w:tcPr>
            <w:tcW w:w="17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250" w:type="dxa"/>
            <w:vMerge w:val="restart"/>
            <w:tcBorders>
              <w:top w:val="single" w:sz="4" w:space="0" w:color="FFFFFF"/>
              <w:left w:val="single" w:sz="4" w:space="0" w:color="000000"/>
              <w:right w:val="single" w:sz="4" w:space="0" w:color="000000"/>
            </w:tcBorders>
            <w:shd w:val="clear" w:color="auto" w:fill="D2D2D2"/>
          </w:tcPr>
          <w:p>
            <w:pPr/>
          </w:p>
        </w:tc>
        <w:tc>
          <w:tcPr>
            <w:tcW w:w="180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2D2D2"/>
          </w:tcPr>
          <w:p>
            <w:pPr/>
          </w:p>
        </w:tc>
        <w:tc>
          <w:tcPr>
            <w:tcW w:w="1601" w:type="dxa"/>
            <w:vMerge/>
            <w:tcBorders>
              <w:left w:val="single" w:sz="4" w:space="0" w:color="000000"/>
              <w:bottom w:val="nil" w:sz="6" w:space="0" w:color="auto"/>
              <w:right w:val="single" w:sz="4" w:space="0" w:color="000000"/>
            </w:tcBorders>
            <w:shd w:val="clear" w:color="auto" w:fill="D2D2D2"/>
          </w:tcPr>
          <w:p>
            <w:pPr/>
          </w:p>
        </w:tc>
        <w:tc>
          <w:tcPr>
            <w:tcW w:w="18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71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50" w:type="dxa"/>
            <w:vMerge/>
            <w:tcBorders>
              <w:left w:val="single" w:sz="4" w:space="0" w:color="000000"/>
              <w:right w:val="single" w:sz="4" w:space="0" w:color="000000"/>
            </w:tcBorders>
            <w:shd w:val="clear" w:color="auto" w:fill="D2D2D2"/>
          </w:tcPr>
          <w:p>
            <w:pPr/>
          </w:p>
        </w:tc>
        <w:tc>
          <w:tcPr>
            <w:tcW w:w="1805" w:type="dxa"/>
            <w:vMerge/>
            <w:tcBorders>
              <w:left w:val="single" w:sz="4" w:space="0" w:color="000000"/>
              <w:bottom w:val="nil" w:sz="6" w:space="0" w:color="auto"/>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
        </w:tc>
        <w:tc>
          <w:tcPr>
            <w:tcW w:w="1867"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71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5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1601" w:type="dxa"/>
            <w:vMerge/>
            <w:tcBorders>
              <w:left w:val="single" w:sz="4" w:space="0" w:color="000000"/>
              <w:bottom w:val="single" w:sz="4" w:space="0" w:color="000000"/>
              <w:right w:val="single" w:sz="4" w:space="0" w:color="000000"/>
            </w:tcBorders>
            <w:shd w:val="clear" w:color="auto" w:fill="D2D2D2"/>
          </w:tcPr>
          <w:p>
            <w:pPr/>
          </w:p>
        </w:tc>
        <w:tc>
          <w:tcPr>
            <w:tcW w:w="1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714"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4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5"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9,144,354.64</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100%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91,443.55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4,901,990.13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100%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49,015.17</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9,144,354.64</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91,443.55</w:t>
            </w:r>
          </w:p>
        </w:tc>
        <w:tc>
          <w:tcPr>
            <w:tcW w:w="186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4,901,990.13</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7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49,015.17</w:t>
            </w:r>
          </w:p>
        </w:tc>
      </w:tr>
    </w:tbl>
    <w:p>
      <w:pPr>
        <w:pStyle w:val="BodyText"/>
        <w:spacing w:line="240" w:lineRule="auto" w:before="49"/>
        <w:ind w:right="0"/>
        <w:jc w:val="left"/>
      </w:pPr>
      <w:r>
        <w:rPr/>
        <w:t>组合中，采用余额百分比法计提坏账准备的其他应收款</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38" w:lineRule="auto" w:before="41"/>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6"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0"/>
        <w:jc w:val="left"/>
      </w:pPr>
      <w:r>
        <w:rPr/>
        <w:t>期末单项金额重大或虽不重大但单独进行减值测试的其他应收账款坏账准备计提</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2"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0"/>
        <w:ind w:right="0"/>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726"/>
        <w:gridCol w:w="1861"/>
        <w:gridCol w:w="1596"/>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after="0" w:line="240" w:lineRule="auto"/>
        <w:jc w:val="left"/>
        <w:rPr>
          <w:rFonts w:ascii="宋体" w:hAnsi="宋体" w:cs="宋体" w:eastAsia="宋体" w:hint="default"/>
          <w:sz w:val="18"/>
          <w:szCs w:val="18"/>
        </w:rPr>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吉林省东方国信科技有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44.09%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叶青大厦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3,020,540.00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16.65%</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成都东方国信科技有限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中国联合网络通信有限 公司辽宁省分公司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北京合城铭信科技有限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12,320,540.00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不符合终止确认条件的其他应收款项的转移金额为元。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799"/>
        <w:gridCol w:w="797"/>
      </w:tblGrid>
      <w:tr>
        <w:trPr>
          <w:trHeight w:val="1961"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东方国信</w:t>
            </w:r>
          </w:p>
          <w:p>
            <w:pPr>
              <w:pStyle w:val="TableParagraph"/>
              <w:spacing w:line="316" w:lineRule="auto" w:before="76"/>
              <w:ind w:left="22" w:right="39"/>
              <w:jc w:val="left"/>
              <w:rPr>
                <w:rFonts w:ascii="宋体" w:hAnsi="宋体" w:cs="宋体" w:eastAsia="宋体" w:hint="default"/>
                <w:sz w:val="18"/>
                <w:szCs w:val="18"/>
              </w:rPr>
            </w:pPr>
            <w:r>
              <w:rPr>
                <w:rFonts w:ascii="宋体" w:hAnsi="宋体" w:cs="宋体" w:eastAsia="宋体" w:hint="default"/>
                <w:sz w:val="18"/>
                <w:szCs w:val="18"/>
              </w:rPr>
              <w:t>（天津）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北京东华 信通信息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吉林省东 方国信科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成都东方 国信科技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38"/>
              <w:jc w:val="both"/>
              <w:rPr>
                <w:rFonts w:ascii="宋体" w:hAnsi="宋体" w:cs="宋体" w:eastAsia="宋体" w:hint="default"/>
                <w:sz w:val="18"/>
                <w:szCs w:val="18"/>
              </w:rPr>
            </w:pPr>
            <w:r>
              <w:rPr>
                <w:rFonts w:ascii="宋体" w:hAnsi="宋体" w:cs="宋体" w:eastAsia="宋体" w:hint="default"/>
                <w:sz w:val="18"/>
                <w:szCs w:val="18"/>
              </w:rPr>
              <w:t>北京国信 新世纪科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81,000,00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81,000,00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长期股权投资的说明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202,913,985.20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151,162,982.44</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202,913,985.20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151,162,982.44</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90,790,173.83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64,471,135.19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197,346,860.55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87,240,969.92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150,793,470.79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64,261,980.11</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非电信行业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5,567,124.65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3,549,203.91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369,511.65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209,155.08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202,913,985.20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90,790,173.83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151,162,982.44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64,471,135.19</w:t>
            </w:r>
          </w:p>
        </w:tc>
      </w:tr>
    </w:tbl>
    <w:p>
      <w:pPr>
        <w:spacing w:after="0" w:line="240" w:lineRule="auto"/>
        <w:jc w:val="right"/>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企业数据平台</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70,258,969.80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29,973,524.01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22,175,641.06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9,517,312.55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数据分析平台</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94,903,239.70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41,901,250.71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91,045,107.54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39,405,074.19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CRM </w:t>
            </w:r>
            <w:r>
              <w:rPr>
                <w:rFonts w:ascii="宋体" w:hAnsi="宋体" w:cs="宋体" w:eastAsia="宋体" w:hint="default"/>
                <w:sz w:val="18"/>
                <w:szCs w:val="18"/>
              </w:rPr>
              <w:t>应用</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36,473,815.74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17,801,576.30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35,856,748.14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14,388,634.23</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1,277,959.96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1,113,822.81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2,085,485.70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1,160,114.22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202,913,985.20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90,790,173.83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151,162,982.44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64,471,135.19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11,880,002.27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5,397,350.04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17,754,609.41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7,384,868.65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7,640,876.53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4,705,430.13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11,380,736.15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4,526,801.53</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110,530,576.73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47,745,706.96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51,460,495.11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21,843,772.29</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6,879,858.89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3,137,527.04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11,199,285.89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4,568,916.77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13,552,854.70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7,011,331.83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17,078,125.21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7,750,237.80</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15,270,438.58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5,385,306.33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20,242,624.73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8,518,217.15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37,159,377.50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17,407,521.50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22,047,105.94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9,878,321.00</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202,913,985.20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90,790,173.83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151,162,982.44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64,471,135.19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中国联合通信网络公司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64,968,820.00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32.02%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中国联合通信网络公司辽宁分公司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26,728,830.00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13.17%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中国联合通信网络公司北京分公司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10,982,699.64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中国电信股份有限公司吉林省分公司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6,957,177.54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中国联合通信网络公司天津分公司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6,577,615.55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116,215,142.73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57.27%</w:t>
            </w:r>
          </w:p>
        </w:tc>
      </w:tr>
    </w:tbl>
    <w:p>
      <w:pPr>
        <w:pStyle w:val="BodyText"/>
        <w:spacing w:line="240" w:lineRule="auto" w:before="49"/>
        <w:ind w:right="0"/>
        <w:jc w:val="left"/>
      </w:pPr>
      <w:r>
        <w:rPr/>
        <w:t>营业收入的说明</w:t>
      </w:r>
    </w:p>
    <w:p>
      <w:pPr>
        <w:spacing w:after="0" w:line="240" w:lineRule="auto"/>
        <w:jc w:val="left"/>
        <w:sectPr>
          <w:pgSz w:w="11910" w:h="16840"/>
          <w:pgMar w:header="772" w:footer="1006" w:top="1080" w:bottom="1200" w:left="980" w:right="980"/>
        </w:sect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1"/>
        <w:gridCol w:w="2523"/>
        <w:gridCol w:w="2513"/>
      </w:tblGrid>
      <w:tr>
        <w:trPr>
          <w:trHeight w:val="401" w:hRule="exact"/>
        </w:trPr>
        <w:tc>
          <w:tcPr>
            <w:tcW w:w="4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49"/>
        <w:ind w:right="0"/>
        <w:jc w:val="left"/>
      </w:pPr>
      <w:r>
        <w:rPr/>
        <w:t>投资收益的说明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56,867,103.61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55,012,557.54</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511,137.91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548,812.30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2,902,385.44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1,513,098.90</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600,823.42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600,823.32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151,965.44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58,891.08</w:t>
            </w:r>
          </w:p>
        </w:tc>
      </w:tr>
      <w:tr>
        <w:trPr>
          <w:trHeight w:val="71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41,165.69</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-40,110.21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-93,790.84</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-4,811,787.81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2,558,123.32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-61,972,352.23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-28,431,071.42</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-18,724,410.40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-15,912,267.98</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6,747,494.04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157,141.27</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-17,767,750.79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16,053,483.18</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72" w:footer="1006" w:top="1080" w:bottom="120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300,715,890.47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511,733,345.73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511,733,345.73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51,947,981.19</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-211,017,455.26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459,785,364.54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反向购买下以公允价值入账的资产、负债情况</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pStyle w:val="BodyText"/>
        <w:spacing w:line="240" w:lineRule="auto" w:before="49"/>
        <w:ind w:right="0"/>
        <w:jc w:val="left"/>
      </w:pPr>
      <w:r>
        <w:rPr/>
        <w:t>反向购买形成长期股权投资的情况</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1"/>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541"/>
        <w:gridCol w:w="2177"/>
        <w:gridCol w:w="1915"/>
        <w:gridCol w:w="1937"/>
      </w:tblGrid>
      <w:tr>
        <w:trPr>
          <w:trHeight w:val="184" w:hRule="exact"/>
        </w:trPr>
        <w:tc>
          <w:tcPr>
            <w:tcW w:w="3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41"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0.58</w:t>
            </w:r>
          </w:p>
        </w:tc>
      </w:tr>
      <w:tr>
        <w:trPr>
          <w:trHeight w:val="715"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73" w:right="0"/>
        <w:jc w:val="left"/>
      </w:pPr>
      <w:r>
        <w:rPr>
          <w:rFonts w:ascii="宋体" w:hAnsi="宋体" w:cs="宋体" w:eastAsia="宋体" w:hint="default"/>
        </w:rPr>
        <w:t>1</w:t>
      </w:r>
      <w:r>
        <w:rPr/>
        <w:t>、货币资金较期初减少</w:t>
      </w:r>
      <w:r>
        <w:rPr>
          <w:rFonts w:ascii="宋体" w:hAnsi="宋体" w:cs="宋体" w:eastAsia="宋体" w:hint="default"/>
        </w:rPr>
        <w:t>35.55%,</w:t>
      </w:r>
      <w:r>
        <w:rPr/>
        <w:t>主要系购买商品、预付土地款、采购预付款等，支付正常经营业务，导致资金减少所</w:t>
      </w:r>
    </w:p>
    <w:p>
      <w:pPr>
        <w:spacing w:line="240" w:lineRule="auto" w:before="10"/>
        <w:rPr>
          <w:rFonts w:ascii="宋体" w:hAnsi="宋体" w:cs="宋体" w:eastAsia="宋体" w:hint="default"/>
          <w:sz w:val="17"/>
          <w:szCs w:val="17"/>
        </w:rPr>
      </w:pPr>
    </w:p>
    <w:p>
      <w:pPr>
        <w:pStyle w:val="BodyText"/>
        <w:spacing w:line="240" w:lineRule="auto"/>
        <w:ind w:right="0"/>
        <w:jc w:val="left"/>
      </w:pPr>
      <w:r>
        <w:rPr/>
        <w:t>致；</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2</w:t>
      </w:r>
      <w:r>
        <w:rPr/>
        <w:t>、应收账款较期初增加</w:t>
      </w:r>
      <w:r>
        <w:rPr>
          <w:rFonts w:ascii="宋体" w:hAnsi="宋体" w:cs="宋体" w:eastAsia="宋体" w:hint="default"/>
        </w:rPr>
        <w:t>49.59%</w:t>
      </w:r>
      <w:r>
        <w:rPr/>
        <w:t>，主要系收入增加，但款项未到回款期所致；</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3</w:t>
      </w:r>
      <w:r>
        <w:rPr/>
        <w:t>、预付款项较期初大幅增加，主要系预付土地款及商品采购款等增加所致；</w:t>
      </w:r>
    </w:p>
    <w:p>
      <w:pPr>
        <w:spacing w:line="240" w:lineRule="auto" w:before="11"/>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4</w:t>
      </w:r>
      <w:r>
        <w:rPr/>
        <w:t>、应收利息较期初减少</w:t>
      </w:r>
      <w:r>
        <w:rPr>
          <w:rFonts w:ascii="宋体" w:hAnsi="宋体" w:cs="宋体" w:eastAsia="宋体" w:hint="default"/>
        </w:rPr>
        <w:t>71.30%</w:t>
      </w:r>
      <w:r>
        <w:rPr/>
        <w:t>，主要系应收利息到期收回所致；</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5</w:t>
      </w:r>
      <w:r>
        <w:rPr/>
        <w:t>、存货较期初大幅增加，主要系子公司采购库存商品增加所致；</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6</w:t>
      </w:r>
      <w:r>
        <w:rPr/>
        <w:t>、无形资产较期初大幅增加，主要系公司两个募投项目按期完工，形成无形资产所致；</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7</w:t>
      </w:r>
      <w:r>
        <w:rPr/>
        <w:t>、开发支出较期初增加</w:t>
      </w:r>
      <w:r>
        <w:rPr>
          <w:rFonts w:ascii="宋体" w:hAnsi="宋体" w:cs="宋体" w:eastAsia="宋体" w:hint="default"/>
        </w:rPr>
        <w:t>105.23%</w:t>
      </w:r>
      <w:r>
        <w:rPr/>
        <w:t>，主要系公司按期实施募投项目研发，增加投入所致；</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8</w:t>
      </w:r>
      <w:r>
        <w:rPr/>
        <w:t>、应付账款较期初增加</w:t>
      </w:r>
      <w:r>
        <w:rPr>
          <w:rFonts w:ascii="宋体" w:hAnsi="宋体" w:cs="宋体" w:eastAsia="宋体" w:hint="default"/>
        </w:rPr>
        <w:t>42.63%</w:t>
      </w:r>
      <w:r>
        <w:rPr/>
        <w:t>，主要系应付款未到结算期、采购商品等所致；</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9</w:t>
      </w:r>
      <w:r>
        <w:rPr/>
        <w:t>、预收款项较期初减少</w:t>
      </w:r>
      <w:r>
        <w:rPr>
          <w:rFonts w:ascii="宋体" w:hAnsi="宋体" w:cs="宋体" w:eastAsia="宋体" w:hint="default"/>
        </w:rPr>
        <w:t>86.66%</w:t>
      </w:r>
      <w:r>
        <w:rPr/>
        <w:t>，主要系部分预收账款确认收入所致；</w:t>
      </w:r>
    </w:p>
    <w:p>
      <w:pPr>
        <w:spacing w:after="0" w:line="240" w:lineRule="auto"/>
        <w:jc w:val="left"/>
        <w:sectPr>
          <w:footerReference w:type="default" r:id="rId31"/>
          <w:pgSz w:w="11910" w:h="16840"/>
          <w:pgMar w:footer="1006" w:header="772" w:top="1080" w:bottom="1200" w:left="980" w:right="980"/>
          <w:pgNumType w:start="170"/>
        </w:sectPr>
      </w:pPr>
    </w:p>
    <w:p>
      <w:pPr>
        <w:spacing w:line="240" w:lineRule="auto" w:before="10"/>
        <w:rPr>
          <w:rFonts w:ascii="宋体" w:hAnsi="宋体" w:cs="宋体" w:eastAsia="宋体" w:hint="default"/>
          <w:sz w:val="29"/>
          <w:szCs w:val="29"/>
        </w:rPr>
      </w:pPr>
    </w:p>
    <w:p>
      <w:pPr>
        <w:pStyle w:val="BodyText"/>
        <w:spacing w:line="240" w:lineRule="auto" w:before="44"/>
        <w:ind w:left="573" w:right="0"/>
        <w:jc w:val="left"/>
      </w:pPr>
      <w:r>
        <w:rPr>
          <w:rFonts w:ascii="宋体" w:hAnsi="宋体" w:cs="宋体" w:eastAsia="宋体" w:hint="default"/>
        </w:rPr>
        <w:t>10</w:t>
      </w:r>
      <w:r>
        <w:rPr/>
        <w:t>、其他应付款较期初减少</w:t>
      </w:r>
      <w:r>
        <w:rPr>
          <w:rFonts w:ascii="宋体" w:hAnsi="宋体" w:cs="宋体" w:eastAsia="宋体" w:hint="default"/>
        </w:rPr>
        <w:t>80.72%</w:t>
      </w:r>
      <w:r>
        <w:rPr/>
        <w:t>，主要系本期支付收购东华信通款及欠付的原东华信通股东应付股利款所致；</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11</w:t>
      </w:r>
      <w:r>
        <w:rPr/>
        <w:t>、股本较期初增加</w:t>
      </w:r>
      <w:r>
        <w:rPr>
          <w:rFonts w:ascii="宋体" w:hAnsi="宋体" w:cs="宋体" w:eastAsia="宋体" w:hint="default"/>
        </w:rPr>
        <w:t>200%</w:t>
      </w:r>
      <w:r>
        <w:rPr/>
        <w:t>，系公司于报告期内以资本公积金转增股本所致；</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12</w:t>
      </w:r>
      <w:r>
        <w:rPr/>
        <w:t>、营业收入同比增长</w:t>
      </w:r>
      <w:r>
        <w:rPr>
          <w:rFonts w:ascii="宋体" w:hAnsi="宋体" w:cs="宋体" w:eastAsia="宋体" w:hint="default"/>
        </w:rPr>
        <w:t>75.05%</w:t>
      </w:r>
      <w:r>
        <w:rPr/>
        <w:t>，主要系公司加大市场开拓力度，业务项目增加，以及子公司业务收入增加所致；</w:t>
      </w:r>
    </w:p>
    <w:p>
      <w:pPr>
        <w:spacing w:line="240" w:lineRule="auto" w:before="10"/>
        <w:rPr>
          <w:rFonts w:ascii="宋体" w:hAnsi="宋体" w:cs="宋体" w:eastAsia="宋体" w:hint="default"/>
          <w:sz w:val="17"/>
          <w:szCs w:val="17"/>
        </w:rPr>
      </w:pPr>
    </w:p>
    <w:p>
      <w:pPr>
        <w:pStyle w:val="BodyText"/>
        <w:spacing w:line="240" w:lineRule="auto"/>
        <w:ind w:left="573" w:right="0"/>
        <w:jc w:val="left"/>
        <w:rPr>
          <w:rFonts w:ascii="宋体" w:hAnsi="宋体" w:cs="宋体" w:eastAsia="宋体" w:hint="default"/>
        </w:rPr>
      </w:pPr>
      <w:r>
        <w:rPr>
          <w:rFonts w:ascii="宋体" w:hAnsi="宋体" w:cs="宋体" w:eastAsia="宋体" w:hint="default"/>
        </w:rPr>
        <w:t>13</w:t>
      </w:r>
      <w:r>
        <w:rPr/>
        <w:t>、营业成本同比增加</w:t>
      </w:r>
      <w:r>
        <w:rPr>
          <w:rFonts w:ascii="宋体" w:hAnsi="宋体" w:cs="宋体" w:eastAsia="宋体" w:hint="default"/>
        </w:rPr>
        <w:t>99.32%</w:t>
      </w:r>
      <w:r>
        <w:rPr/>
        <w:t>，主要系公司业务收入规模大幅增长</w:t>
      </w:r>
      <w:r>
        <w:rPr>
          <w:rFonts w:ascii="宋体" w:hAnsi="宋体" w:cs="宋体" w:eastAsia="宋体" w:hint="default"/>
        </w:rPr>
        <w:t>,</w:t>
      </w:r>
      <w:r>
        <w:rPr/>
        <w:t>合并子公司经营成本所致</w:t>
      </w:r>
      <w:r>
        <w:rPr>
          <w:rFonts w:ascii="宋体" w:hAnsi="宋体" w:cs="宋体" w:eastAsia="宋体" w:hint="default"/>
        </w:rPr>
        <w:t>;</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14</w:t>
      </w:r>
      <w:r>
        <w:rPr/>
        <w:t>、营业税金及附加同比增加</w:t>
      </w:r>
      <w:r>
        <w:rPr>
          <w:rFonts w:ascii="宋体" w:hAnsi="宋体" w:cs="宋体" w:eastAsia="宋体" w:hint="default"/>
        </w:rPr>
        <w:t>50.82%</w:t>
      </w:r>
      <w:r>
        <w:rPr/>
        <w:t>，主要系新增合并子公司所致；</w:t>
      </w:r>
    </w:p>
    <w:p>
      <w:pPr>
        <w:spacing w:line="240" w:lineRule="auto" w:before="10"/>
        <w:rPr>
          <w:rFonts w:ascii="宋体" w:hAnsi="宋体" w:cs="宋体" w:eastAsia="宋体" w:hint="default"/>
          <w:sz w:val="17"/>
          <w:szCs w:val="17"/>
        </w:rPr>
      </w:pPr>
    </w:p>
    <w:p>
      <w:pPr>
        <w:pStyle w:val="BodyText"/>
        <w:spacing w:line="477" w:lineRule="auto"/>
        <w:ind w:right="151" w:firstLine="420"/>
        <w:jc w:val="left"/>
      </w:pPr>
      <w:r>
        <w:rPr>
          <w:rFonts w:ascii="宋体" w:hAnsi="宋体" w:cs="宋体" w:eastAsia="宋体" w:hint="default"/>
        </w:rPr>
        <w:t>15</w:t>
      </w:r>
      <w:r>
        <w:rPr/>
        <w:t>、</w:t>
      </w:r>
      <w:r>
        <w:rPr>
          <w:spacing w:val="23"/>
        </w:rPr>
        <w:t> </w:t>
      </w:r>
      <w:r>
        <w:rPr/>
        <w:t>销售费用较上年同期增加</w:t>
      </w:r>
      <w:r>
        <w:rPr>
          <w:rFonts w:ascii="宋体" w:hAnsi="宋体" w:cs="宋体" w:eastAsia="宋体" w:hint="default"/>
        </w:rPr>
        <w:t>101.40%</w:t>
      </w:r>
      <w:r>
        <w:rPr/>
        <w:t>，主要系公司加大市场开拓投入，业务项目增多，以及子公司业务推广费用增 加所致；</w:t>
      </w:r>
    </w:p>
    <w:p>
      <w:pPr>
        <w:pStyle w:val="BodyText"/>
        <w:spacing w:line="477" w:lineRule="auto" w:before="54"/>
        <w:ind w:right="0" w:firstLine="420"/>
        <w:jc w:val="left"/>
      </w:pPr>
      <w:r>
        <w:rPr>
          <w:rFonts w:ascii="宋体" w:hAnsi="宋体" w:cs="宋体" w:eastAsia="宋体" w:hint="default"/>
        </w:rPr>
        <w:t>16</w:t>
      </w:r>
      <w:r>
        <w:rPr/>
        <w:t>、管理费用同比增加</w:t>
      </w:r>
      <w:r>
        <w:rPr>
          <w:rFonts w:ascii="宋体" w:hAnsi="宋体" w:cs="宋体" w:eastAsia="宋体" w:hint="default"/>
        </w:rPr>
        <w:t>37.96%</w:t>
      </w:r>
      <w:r>
        <w:rPr/>
        <w:t>，管理费用同比增加</w:t>
      </w:r>
      <w:r>
        <w:rPr>
          <w:rFonts w:ascii="宋体" w:hAnsi="宋体" w:cs="宋体" w:eastAsia="宋体" w:hint="default"/>
        </w:rPr>
        <w:t>37.96%</w:t>
      </w:r>
      <w:r>
        <w:rPr/>
        <w:t>，主要系公司人员规模扩大，引致管理费用增长以及合并子 公司费用所致；</w:t>
      </w:r>
    </w:p>
    <w:p>
      <w:pPr>
        <w:pStyle w:val="BodyText"/>
        <w:spacing w:line="240" w:lineRule="auto" w:before="54"/>
        <w:ind w:left="573" w:right="0"/>
        <w:jc w:val="left"/>
      </w:pPr>
      <w:r>
        <w:rPr>
          <w:rFonts w:ascii="宋体" w:hAnsi="宋体" w:cs="宋体" w:eastAsia="宋体" w:hint="default"/>
        </w:rPr>
        <w:t>17</w:t>
      </w:r>
      <w:r>
        <w:rPr/>
        <w:t>、营业外收入同比减少</w:t>
      </w:r>
      <w:r>
        <w:rPr>
          <w:rFonts w:ascii="宋体" w:hAnsi="宋体" w:cs="宋体" w:eastAsia="宋体" w:hint="default"/>
        </w:rPr>
        <w:t>74.82%</w:t>
      </w:r>
      <w:r>
        <w:rPr/>
        <w:t>，主要系公司软件增值税退税减少所致；</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18</w:t>
      </w:r>
      <w:r>
        <w:rPr/>
        <w:t>、销售商品、提供劳务收到的现金较上年同期增加</w:t>
      </w:r>
      <w:r>
        <w:rPr>
          <w:rFonts w:ascii="宋体" w:hAnsi="宋体" w:cs="宋体" w:eastAsia="宋体" w:hint="default"/>
        </w:rPr>
        <w:t>62.54%</w:t>
      </w:r>
      <w:r>
        <w:rPr/>
        <w:t>，主要系本报告期业务增长及收回部分前期欠款所致；</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19</w:t>
      </w:r>
      <w:r>
        <w:rPr/>
        <w:t>、收到的税费返还同比减少</w:t>
      </w:r>
      <w:r>
        <w:rPr>
          <w:rFonts w:ascii="宋体" w:hAnsi="宋体" w:cs="宋体" w:eastAsia="宋体" w:hint="default"/>
        </w:rPr>
        <w:t>88.88%</w:t>
      </w:r>
      <w:r>
        <w:rPr/>
        <w:t>，主要系公司软件增值税退税减少所致；</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20</w:t>
      </w:r>
      <w:r>
        <w:rPr/>
        <w:t>、收到其他与经营活动有关的现金同比增加</w:t>
      </w:r>
      <w:r>
        <w:rPr>
          <w:rFonts w:ascii="宋体" w:hAnsi="宋体" w:cs="宋体" w:eastAsia="宋体" w:hint="default"/>
        </w:rPr>
        <w:t>32.81%</w:t>
      </w:r>
      <w:r>
        <w:rPr/>
        <w:t>，主要系收到募集资金利息和经营相关的往来款项；</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21</w:t>
      </w:r>
      <w:r>
        <w:rPr/>
        <w:t>、购买商品、接受劳务支付的现金同比大幅增加，主要系业务规模大幅扩张所致；</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22</w:t>
      </w:r>
      <w:r>
        <w:rPr/>
        <w:t>、支付给职工以及为职工支付的现金同比增加</w:t>
      </w:r>
      <w:r>
        <w:rPr>
          <w:rFonts w:ascii="宋体" w:hAnsi="宋体" w:cs="宋体" w:eastAsia="宋体" w:hint="default"/>
        </w:rPr>
        <w:t>81.03%</w:t>
      </w:r>
      <w:r>
        <w:rPr/>
        <w:t>，主要系公司业务增加，业务扩张引致人员大幅增加所致；</w:t>
      </w:r>
    </w:p>
    <w:p>
      <w:pPr>
        <w:spacing w:line="240" w:lineRule="auto" w:before="10"/>
        <w:rPr>
          <w:rFonts w:ascii="宋体" w:hAnsi="宋体" w:cs="宋体" w:eastAsia="宋体" w:hint="default"/>
          <w:sz w:val="17"/>
          <w:szCs w:val="17"/>
        </w:rPr>
      </w:pPr>
    </w:p>
    <w:p>
      <w:pPr>
        <w:pStyle w:val="BodyText"/>
        <w:spacing w:line="477" w:lineRule="auto"/>
        <w:ind w:right="0" w:firstLine="420"/>
        <w:jc w:val="left"/>
      </w:pPr>
      <w:r>
        <w:rPr>
          <w:rFonts w:ascii="宋体" w:hAnsi="宋体" w:cs="宋体" w:eastAsia="宋体" w:hint="default"/>
        </w:rPr>
        <w:t>23</w:t>
      </w:r>
      <w:r>
        <w:rPr/>
        <w:t>、支付其他与经营活动有关的现金同比大幅增加，主要系公司业务项目增多，员工规模扩大，支付的经营性费用等 增加所致。</w:t>
      </w:r>
    </w:p>
    <w:p>
      <w:pPr>
        <w:pStyle w:val="BodyText"/>
        <w:spacing w:line="477" w:lineRule="auto" w:before="54"/>
        <w:ind w:right="140" w:firstLine="420"/>
        <w:jc w:val="left"/>
      </w:pPr>
      <w:r>
        <w:rPr>
          <w:rFonts w:ascii="宋体" w:hAnsi="宋体" w:cs="宋体" w:eastAsia="宋体" w:hint="default"/>
          <w:spacing w:val="-1"/>
        </w:rPr>
        <w:t>24</w:t>
      </w:r>
      <w:r>
        <w:rPr>
          <w:spacing w:val="-1"/>
        </w:rPr>
        <w:t>、报告期经营活动产生的现金流量净额同比减少</w:t>
      </w:r>
      <w:r>
        <w:rPr>
          <w:rFonts w:ascii="宋体" w:hAnsi="宋体" w:cs="宋体" w:eastAsia="宋体" w:hint="default"/>
          <w:spacing w:val="-1"/>
        </w:rPr>
        <w:t>167.43%</w:t>
      </w:r>
      <w:r>
        <w:rPr>
          <w:spacing w:val="-1"/>
        </w:rPr>
        <w:t>，主要原因为报告期人员规模增长较快，支付的职工薪酬增</w:t>
      </w:r>
      <w:r>
        <w:rPr/>
        <w:t> 加和增值税退税金额减少。</w:t>
      </w:r>
    </w:p>
    <w:p>
      <w:pPr>
        <w:pStyle w:val="BodyText"/>
        <w:spacing w:line="477" w:lineRule="auto" w:before="54"/>
        <w:ind w:right="140" w:firstLine="420"/>
        <w:jc w:val="left"/>
      </w:pPr>
      <w:r>
        <w:rPr>
          <w:rFonts w:ascii="宋体" w:hAnsi="宋体" w:cs="宋体" w:eastAsia="宋体" w:hint="default"/>
          <w:spacing w:val="-1"/>
        </w:rPr>
        <w:t>25</w:t>
      </w:r>
      <w:r>
        <w:rPr>
          <w:spacing w:val="-1"/>
        </w:rPr>
        <w:t>、报告期投资活动产生的现金流量净额同比减少</w:t>
      </w:r>
      <w:r>
        <w:rPr>
          <w:rFonts w:ascii="宋体" w:hAnsi="宋体" w:cs="宋体" w:eastAsia="宋体" w:hint="default"/>
          <w:spacing w:val="-1"/>
        </w:rPr>
        <w:t>353.61%</w:t>
      </w:r>
      <w:r>
        <w:rPr>
          <w:spacing w:val="-1"/>
        </w:rPr>
        <w:t>，主要原因为报告期支付办公用房及研发中心用地土地出让</w:t>
      </w:r>
      <w:r>
        <w:rPr/>
        <w:t> 金以及无形资产投资支出增加所致。</w:t>
      </w:r>
    </w:p>
    <w:p>
      <w:pPr>
        <w:pStyle w:val="BodyText"/>
        <w:spacing w:line="477" w:lineRule="auto" w:before="54"/>
        <w:ind w:right="142" w:firstLine="420"/>
        <w:jc w:val="left"/>
      </w:pPr>
      <w:r>
        <w:rPr>
          <w:rFonts w:ascii="宋体" w:hAnsi="宋体" w:cs="宋体" w:eastAsia="宋体" w:hint="default"/>
          <w:spacing w:val="-1"/>
        </w:rPr>
        <w:t>26</w:t>
      </w:r>
      <w:r>
        <w:rPr>
          <w:spacing w:val="-1"/>
        </w:rPr>
        <w:t>、报告期筹资活动产生的现金流量净额同比减少</w:t>
      </w:r>
      <w:r>
        <w:rPr>
          <w:rFonts w:ascii="宋体" w:hAnsi="宋体" w:cs="宋体" w:eastAsia="宋体" w:hint="default"/>
          <w:spacing w:val="-1"/>
        </w:rPr>
        <w:t>103.57%</w:t>
      </w:r>
      <w:r>
        <w:rPr>
          <w:spacing w:val="-1"/>
        </w:rPr>
        <w:t>，主要原因为</w:t>
      </w:r>
      <w:r>
        <w:rPr>
          <w:rFonts w:ascii="宋体" w:hAnsi="宋体" w:cs="宋体" w:eastAsia="宋体" w:hint="default"/>
          <w:spacing w:val="-1"/>
        </w:rPr>
        <w:t>2011</w:t>
      </w:r>
      <w:r>
        <w:rPr>
          <w:spacing w:val="-1"/>
        </w:rPr>
        <w:t>年公司首发上市募集资金到位，以及在报</w:t>
      </w:r>
      <w:r>
        <w:rPr/>
        <w:t> 告期支付</w:t>
      </w:r>
      <w:r>
        <w:rPr>
          <w:rFonts w:ascii="宋体" w:hAnsi="宋体" w:cs="宋体" w:eastAsia="宋体" w:hint="default"/>
        </w:rPr>
        <w:t>2011</w:t>
      </w:r>
      <w:r>
        <w:rPr/>
        <w:t>年度现金股利。</w:t>
      </w:r>
    </w:p>
    <w:p>
      <w:pPr>
        <w:spacing w:after="0" w:line="477" w:lineRule="auto"/>
        <w:jc w:val="left"/>
        <w:sectPr>
          <w:pgSz w:w="11910" w:h="16840"/>
          <w:pgMar w:header="772" w:footer="1006" w:top="108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1"/>
        <w:spacing w:line="240" w:lineRule="auto"/>
        <w:ind w:left="0" w:right="1"/>
        <w:jc w:val="center"/>
        <w:rPr>
          <w:b w:val="0"/>
          <w:bCs w:val="0"/>
        </w:rPr>
      </w:pPr>
      <w:bookmarkStart w:name="_TOC_250000" w:id="10"/>
      <w:r>
        <w:rPr/>
        <w:t>第十节</w:t>
      </w:r>
      <w:r>
        <w:rPr>
          <w:spacing w:val="-6"/>
        </w:rPr>
        <w:t> </w:t>
      </w:r>
      <w:r>
        <w:rPr/>
        <w:t>备查文件目录</w:t>
      </w:r>
      <w:bookmarkEnd w:id="10"/>
      <w:r>
        <w:rPr>
          <w:b w:val="0"/>
          <w:bCs w:val="0"/>
        </w:rPr>
      </w:r>
    </w:p>
    <w:p>
      <w:pPr>
        <w:spacing w:line="240" w:lineRule="auto" w:before="10"/>
        <w:rPr>
          <w:rFonts w:ascii="宋体" w:hAnsi="宋体" w:cs="宋体" w:eastAsia="宋体" w:hint="default"/>
          <w:b/>
          <w:bCs/>
          <w:sz w:val="46"/>
          <w:szCs w:val="46"/>
        </w:rPr>
      </w:pPr>
    </w:p>
    <w:p>
      <w:pPr>
        <w:pStyle w:val="Heading4"/>
        <w:spacing w:line="240" w:lineRule="auto"/>
        <w:ind w:right="0"/>
        <w:jc w:val="left"/>
      </w:pPr>
      <w:r>
        <w:rPr/>
        <w:t>（一）载有公司法定代表人、主管会计工作负责人、会计主管人员签名并盖章的财务报表。</w:t>
      </w:r>
    </w:p>
    <w:p>
      <w:pPr>
        <w:spacing w:line="240" w:lineRule="auto" w:before="12"/>
        <w:rPr>
          <w:rFonts w:ascii="宋体" w:hAnsi="宋体" w:cs="宋体" w:eastAsia="宋体" w:hint="default"/>
          <w:sz w:val="17"/>
          <w:szCs w:val="17"/>
        </w:rPr>
      </w:pPr>
    </w:p>
    <w:p>
      <w:pPr>
        <w:pStyle w:val="Heading4"/>
        <w:spacing w:line="240" w:lineRule="auto"/>
        <w:ind w:right="0"/>
        <w:jc w:val="left"/>
      </w:pPr>
      <w:r>
        <w:rPr/>
        <w:t>（二）载有会计师事务所盖章、注册会计师签名并盖章的审计报告原件。</w:t>
      </w:r>
    </w:p>
    <w:p>
      <w:pPr>
        <w:spacing w:line="240" w:lineRule="auto" w:before="12"/>
        <w:rPr>
          <w:rFonts w:ascii="宋体" w:hAnsi="宋体" w:cs="宋体" w:eastAsia="宋体" w:hint="default"/>
          <w:sz w:val="17"/>
          <w:szCs w:val="17"/>
        </w:rPr>
      </w:pPr>
    </w:p>
    <w:p>
      <w:pPr>
        <w:pStyle w:val="Heading4"/>
        <w:spacing w:line="240" w:lineRule="auto"/>
        <w:ind w:right="0"/>
        <w:jc w:val="left"/>
      </w:pPr>
      <w:r>
        <w:rPr/>
        <w:t>（三）报告期内在中国证监会指定报纸上公开披露过的所有公司文件的正本及公告的原稿。</w:t>
      </w:r>
    </w:p>
    <w:p>
      <w:pPr>
        <w:spacing w:line="240" w:lineRule="auto" w:before="9"/>
        <w:rPr>
          <w:rFonts w:ascii="宋体" w:hAnsi="宋体" w:cs="宋体" w:eastAsia="宋体" w:hint="default"/>
          <w:sz w:val="17"/>
          <w:szCs w:val="17"/>
        </w:rPr>
      </w:pPr>
    </w:p>
    <w:p>
      <w:pPr>
        <w:pStyle w:val="Heading4"/>
        <w:spacing w:line="240" w:lineRule="auto"/>
        <w:ind w:right="0"/>
        <w:jc w:val="left"/>
      </w:pPr>
      <w:r>
        <w:rPr/>
        <w:t>（四）经公司法定代表人签名的</w:t>
      </w:r>
      <w:r>
        <w:rPr>
          <w:rFonts w:ascii="宋体" w:hAnsi="宋体" w:cs="宋体" w:eastAsia="宋体" w:hint="default"/>
        </w:rPr>
        <w:t>2012</w:t>
      </w:r>
      <w:r>
        <w:rPr/>
        <w:t>年年度报告文本原件。</w:t>
      </w:r>
    </w:p>
    <w:p>
      <w:pPr>
        <w:spacing w:line="240" w:lineRule="auto" w:before="12"/>
        <w:rPr>
          <w:rFonts w:ascii="宋体" w:hAnsi="宋体" w:cs="宋体" w:eastAsia="宋体" w:hint="default"/>
          <w:sz w:val="17"/>
          <w:szCs w:val="17"/>
        </w:rPr>
      </w:pPr>
    </w:p>
    <w:p>
      <w:pPr>
        <w:pStyle w:val="Heading4"/>
        <w:spacing w:line="240" w:lineRule="auto"/>
        <w:ind w:right="0"/>
        <w:jc w:val="left"/>
      </w:pPr>
      <w:r>
        <w:rPr/>
        <w:t>（五）其他相关资料。</w:t>
      </w:r>
    </w:p>
    <w:p>
      <w:pPr>
        <w:spacing w:line="240" w:lineRule="auto" w:before="12"/>
        <w:rPr>
          <w:rFonts w:ascii="宋体" w:hAnsi="宋体" w:cs="宋体" w:eastAsia="宋体" w:hint="default"/>
          <w:sz w:val="17"/>
          <w:szCs w:val="17"/>
        </w:rPr>
      </w:pPr>
    </w:p>
    <w:p>
      <w:pPr>
        <w:pStyle w:val="Heading4"/>
        <w:spacing w:line="240" w:lineRule="auto"/>
        <w:ind w:right="0"/>
        <w:jc w:val="left"/>
      </w:pPr>
      <w:r>
        <w:rPr/>
        <w:t>（六）以上备查文件的备置地点：公司证券事务部。</w:t>
      </w:r>
    </w:p>
    <w:sectPr>
      <w:pgSz w:w="11910" w:h="16840"/>
      <w:pgMar w:header="772" w:footer="1006" w:top="1080" w:bottom="120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Narrow">
    <w:altName w:val="Arial Narrow"/>
    <w:charset w:val="0"/>
    <w:family w:val="swiss"/>
    <w:pitch w:val="variable"/>
  </w:font>
  <w:font w:name="方正姚体">
    <w:altName w:val="方正姚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4.903999pt;margin-top:794.215271pt;width:92pt;height:11pt;mso-position-horizontal-relative:page;mso-position-vertical-relative:page;z-index:-876904" type="#_x0000_t202" filled="false" stroked="false">
          <v:textbox inset="0,0,0,0">
            <w:txbxContent>
              <w:p>
                <w:pPr>
                  <w:pStyle w:val="BodyText"/>
                  <w:spacing w:line="202" w:lineRule="exact"/>
                  <w:ind w:left="20" w:right="0"/>
                  <w:jc w:val="left"/>
                  <w:rPr>
                    <w:rFonts w:ascii="方正姚体" w:hAnsi="方正姚体" w:cs="方正姚体" w:eastAsia="方正姚体" w:hint="default"/>
                  </w:rPr>
                </w:pPr>
                <w:r>
                  <w:rPr>
                    <w:rFonts w:ascii="方正姚体" w:hAnsi="方正姚体" w:cs="方正姚体" w:eastAsia="方正姚体" w:hint="default"/>
                  </w:rPr>
                  <w:t>让数据改变工作与生活</w:t>
                </w:r>
              </w:p>
            </w:txbxContent>
          </v:textbox>
          <w10:wrap type="none"/>
        </v:shape>
      </w:pict>
    </w:r>
    <w:r>
      <w:rPr/>
      <w:pict>
        <v:shape style="position:absolute;margin-left:533.219971pt;margin-top:794.797913pt;width:6.5pt;height:11pt;mso-position-horizontal-relative:page;mso-position-vertical-relative:page;z-index:-8768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880001pt;margin-top:780.631226pt;width:92pt;height:11pt;mso-position-horizontal-relative:page;mso-position-vertical-relative:page;z-index:-876472" type="#_x0000_t202" filled="false" stroked="false">
          <v:textbox inset="0,0,0,0">
            <w:txbxContent>
              <w:p>
                <w:pPr>
                  <w:pStyle w:val="BodyText"/>
                  <w:spacing w:line="202" w:lineRule="exact"/>
                  <w:ind w:left="20" w:right="0"/>
                  <w:jc w:val="left"/>
                  <w:rPr>
                    <w:rFonts w:ascii="方正姚体" w:hAnsi="方正姚体" w:cs="方正姚体" w:eastAsia="方正姚体" w:hint="default"/>
                  </w:rPr>
                </w:pPr>
                <w:r>
                  <w:rPr>
                    <w:rFonts w:ascii="方正姚体" w:hAnsi="方正姚体" w:cs="方正姚体" w:eastAsia="方正姚体" w:hint="default"/>
                  </w:rPr>
                  <w:t>让数据改变工作与生活</w:t>
                </w:r>
              </w:p>
            </w:txbxContent>
          </v:textbox>
          <w10:wrap type="none"/>
        </v:shape>
      </w:pict>
    </w:r>
    <w:r>
      <w:rPr/>
      <w:pict>
        <v:shape style="position:absolute;margin-left:523.219971pt;margin-top:781.213928pt;width:17.5pt;height:11pt;mso-position-horizontal-relative:page;mso-position-vertical-relative:page;z-index:-876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880001pt;margin-top:780.631226pt;width:92pt;height:11pt;mso-position-horizontal-relative:page;mso-position-vertical-relative:page;z-index:-876424" type="#_x0000_t202" filled="false" stroked="false">
          <v:textbox inset="0,0,0,0">
            <w:txbxContent>
              <w:p>
                <w:pPr>
                  <w:pStyle w:val="BodyText"/>
                  <w:spacing w:line="202" w:lineRule="exact"/>
                  <w:ind w:left="20" w:right="0"/>
                  <w:jc w:val="left"/>
                  <w:rPr>
                    <w:rFonts w:ascii="方正姚体" w:hAnsi="方正姚体" w:cs="方正姚体" w:eastAsia="方正姚体" w:hint="default"/>
                  </w:rPr>
                </w:pPr>
                <w:r>
                  <w:rPr>
                    <w:rFonts w:ascii="方正姚体" w:hAnsi="方正姚体" w:cs="方正姚体" w:eastAsia="方正姚体" w:hint="default"/>
                  </w:rPr>
                  <w:t>让数据改变工作与生活</w:t>
                </w:r>
              </w:p>
            </w:txbxContent>
          </v:textbox>
          <w10:wrap type="none"/>
        </v:shape>
      </w:pict>
    </w:r>
    <w:r>
      <w:rPr/>
      <w:pict>
        <v:shape style="position:absolute;margin-left:523.219971pt;margin-top:781.213928pt;width:17.5pt;height:11pt;mso-position-horizontal-relative:page;mso-position-vertical-relative:page;z-index:-876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880001pt;margin-top:780.631226pt;width:92pt;height:11pt;mso-position-horizontal-relative:page;mso-position-vertical-relative:page;z-index:-876376" type="#_x0000_t202" filled="false" stroked="false">
          <v:textbox inset="0,0,0,0">
            <w:txbxContent>
              <w:p>
                <w:pPr>
                  <w:pStyle w:val="BodyText"/>
                  <w:spacing w:line="202" w:lineRule="exact"/>
                  <w:ind w:left="20" w:right="0"/>
                  <w:jc w:val="left"/>
                  <w:rPr>
                    <w:rFonts w:ascii="方正姚体" w:hAnsi="方正姚体" w:cs="方正姚体" w:eastAsia="方正姚体" w:hint="default"/>
                  </w:rPr>
                </w:pPr>
                <w:r>
                  <w:rPr>
                    <w:rFonts w:ascii="方正姚体" w:hAnsi="方正姚体" w:cs="方正姚体" w:eastAsia="方正姚体" w:hint="default"/>
                  </w:rPr>
                  <w:t>让数据改变工作与生活</w:t>
                </w:r>
              </w:p>
            </w:txbxContent>
          </v:textbox>
          <w10:wrap type="none"/>
        </v:shape>
      </w:pict>
    </w:r>
    <w:r>
      <w:rPr/>
      <w:pict>
        <v:shape style="position:absolute;margin-left:523.219971pt;margin-top:781.213928pt;width:17.5pt;height:11pt;mso-position-horizontal-relative:page;mso-position-vertical-relative:page;z-index:-876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880001pt;margin-top:780.631226pt;width:92pt;height:11pt;mso-position-horizontal-relative:page;mso-position-vertical-relative:page;z-index:-876328" type="#_x0000_t202" filled="false" stroked="false">
          <v:textbox inset="0,0,0,0">
            <w:txbxContent>
              <w:p>
                <w:pPr>
                  <w:pStyle w:val="BodyText"/>
                  <w:spacing w:line="202" w:lineRule="exact"/>
                  <w:ind w:left="20" w:right="0"/>
                  <w:jc w:val="left"/>
                  <w:rPr>
                    <w:rFonts w:ascii="方正姚体" w:hAnsi="方正姚体" w:cs="方正姚体" w:eastAsia="方正姚体" w:hint="default"/>
                  </w:rPr>
                </w:pPr>
                <w:r>
                  <w:rPr>
                    <w:rFonts w:ascii="方正姚体" w:hAnsi="方正姚体" w:cs="方正姚体" w:eastAsia="方正姚体" w:hint="default"/>
                  </w:rPr>
                  <w:t>让数据改变工作与生活</w:t>
                </w:r>
              </w:p>
            </w:txbxContent>
          </v:textbox>
          <w10:wrap type="none"/>
        </v:shape>
      </w:pict>
    </w:r>
    <w:r>
      <w:rPr/>
      <w:pict>
        <v:shape style="position:absolute;margin-left:523.219971pt;margin-top:781.213928pt;width:17.5pt;height:11pt;mso-position-horizontal-relative:page;mso-position-vertical-relative:page;z-index:-876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880001pt;margin-top:780.631226pt;width:92pt;height:11pt;mso-position-horizontal-relative:page;mso-position-vertical-relative:page;z-index:-876280" type="#_x0000_t202" filled="false" stroked="false">
          <v:textbox inset="0,0,0,0">
            <w:txbxContent>
              <w:p>
                <w:pPr>
                  <w:pStyle w:val="BodyText"/>
                  <w:spacing w:line="202" w:lineRule="exact"/>
                  <w:ind w:left="20" w:right="0"/>
                  <w:jc w:val="left"/>
                  <w:rPr>
                    <w:rFonts w:ascii="方正姚体" w:hAnsi="方正姚体" w:cs="方正姚体" w:eastAsia="方正姚体" w:hint="default"/>
                  </w:rPr>
                </w:pPr>
                <w:r>
                  <w:rPr>
                    <w:rFonts w:ascii="方正姚体" w:hAnsi="方正姚体" w:cs="方正姚体" w:eastAsia="方正姚体" w:hint="default"/>
                  </w:rPr>
                  <w:t>让数据改变工作与生活</w:t>
                </w:r>
              </w:p>
            </w:txbxContent>
          </v:textbox>
          <w10:wrap type="none"/>
        </v:shape>
      </w:pict>
    </w:r>
    <w:r>
      <w:rPr/>
      <w:pict>
        <v:shape style="position:absolute;margin-left:523.219971pt;margin-top:781.213928pt;width:17.5pt;height:11pt;mso-position-horizontal-relative:page;mso-position-vertical-relative:page;z-index:-876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880001pt;margin-top:780.631226pt;width:92pt;height:11pt;mso-position-horizontal-relative:page;mso-position-vertical-relative:page;z-index:-876232" type="#_x0000_t202" filled="false" stroked="false">
          <v:textbox inset="0,0,0,0">
            <w:txbxContent>
              <w:p>
                <w:pPr>
                  <w:pStyle w:val="BodyText"/>
                  <w:spacing w:line="202" w:lineRule="exact"/>
                  <w:ind w:left="20" w:right="0"/>
                  <w:jc w:val="left"/>
                  <w:rPr>
                    <w:rFonts w:ascii="方正姚体" w:hAnsi="方正姚体" w:cs="方正姚体" w:eastAsia="方正姚体" w:hint="default"/>
                  </w:rPr>
                </w:pPr>
                <w:r>
                  <w:rPr>
                    <w:rFonts w:ascii="方正姚体" w:hAnsi="方正姚体" w:cs="方正姚体" w:eastAsia="方正姚体" w:hint="default"/>
                  </w:rPr>
                  <w:t>让数据改变工作与生活</w:t>
                </w:r>
              </w:p>
            </w:txbxContent>
          </v:textbox>
          <w10:wrap type="none"/>
        </v:shape>
      </w:pict>
    </w:r>
    <w:r>
      <w:rPr/>
      <w:pict>
        <v:shape style="position:absolute;margin-left:523.219971pt;margin-top:781.213928pt;width:17.5pt;height:11pt;mso-position-horizontal-relative:page;mso-position-vertical-relative:page;z-index:-876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32pt;margin-top:780.631226pt;width:92pt;height:11pt;mso-position-horizontal-relative:page;mso-position-vertical-relative:page;z-index:-876856" type="#_x0000_t202" filled="false" stroked="false">
          <v:textbox inset="0,0,0,0">
            <w:txbxContent>
              <w:p>
                <w:pPr>
                  <w:pStyle w:val="BodyText"/>
                  <w:spacing w:line="202" w:lineRule="exact"/>
                  <w:ind w:left="20" w:right="0"/>
                  <w:jc w:val="left"/>
                  <w:rPr>
                    <w:rFonts w:ascii="方正姚体" w:hAnsi="方正姚体" w:cs="方正姚体" w:eastAsia="方正姚体" w:hint="default"/>
                  </w:rPr>
                </w:pPr>
                <w:r>
                  <w:rPr>
                    <w:rFonts w:ascii="方正姚体" w:hAnsi="方正姚体" w:cs="方正姚体" w:eastAsia="方正姚体" w:hint="default"/>
                  </w:rPr>
                  <w:t>让数据改变工作与生活</w:t>
                </w:r>
              </w:p>
            </w:txbxContent>
          </v:textbox>
          <w10:wrap type="none"/>
        </v:shape>
      </w:pict>
    </w:r>
    <w:r>
      <w:rPr/>
      <w:pict>
        <v:shape style="position:absolute;margin-left:527.659973pt;margin-top:781.213928pt;width:13.15pt;height:11pt;mso-position-horizontal-relative:page;mso-position-vertical-relative:page;z-index:-876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32pt;margin-top:780.631226pt;width:92pt;height:11pt;mso-position-horizontal-relative:page;mso-position-vertical-relative:page;z-index:-876808" type="#_x0000_t202" filled="false" stroked="false">
          <v:textbox inset="0,0,0,0">
            <w:txbxContent>
              <w:p>
                <w:pPr>
                  <w:pStyle w:val="BodyText"/>
                  <w:spacing w:line="202" w:lineRule="exact"/>
                  <w:ind w:left="20" w:right="0"/>
                  <w:jc w:val="left"/>
                  <w:rPr>
                    <w:rFonts w:ascii="方正姚体" w:hAnsi="方正姚体" w:cs="方正姚体" w:eastAsia="方正姚体" w:hint="default"/>
                  </w:rPr>
                </w:pPr>
                <w:r>
                  <w:rPr>
                    <w:rFonts w:ascii="方正姚体" w:hAnsi="方正姚体" w:cs="方正姚体" w:eastAsia="方正姚体" w:hint="default"/>
                  </w:rPr>
                  <w:t>让数据改变工作与生活</w:t>
                </w:r>
              </w:p>
            </w:txbxContent>
          </v:textbox>
          <w10:wrap type="none"/>
        </v:shape>
      </w:pict>
    </w:r>
    <w:r>
      <w:rPr/>
      <w:pict>
        <v:shape style="position:absolute;margin-left:527.659973pt;margin-top:781.213928pt;width:13.15pt;height:11pt;mso-position-horizontal-relative:page;mso-position-vertical-relative:page;z-index:-8767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33</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32pt;margin-top:780.631226pt;width:92pt;height:11pt;mso-position-horizontal-relative:page;mso-position-vertical-relative:page;z-index:-876760" type="#_x0000_t202" filled="false" stroked="false">
          <v:textbox inset="0,0,0,0">
            <w:txbxContent>
              <w:p>
                <w:pPr>
                  <w:pStyle w:val="BodyText"/>
                  <w:spacing w:line="202" w:lineRule="exact"/>
                  <w:ind w:left="20" w:right="0"/>
                  <w:jc w:val="left"/>
                  <w:rPr>
                    <w:rFonts w:ascii="方正姚体" w:hAnsi="方正姚体" w:cs="方正姚体" w:eastAsia="方正姚体" w:hint="default"/>
                  </w:rPr>
                </w:pPr>
                <w:r>
                  <w:rPr>
                    <w:rFonts w:ascii="方正姚体" w:hAnsi="方正姚体" w:cs="方正姚体" w:eastAsia="方正姚体" w:hint="default"/>
                  </w:rPr>
                  <w:t>让数据改变工作与生活</w:t>
                </w:r>
              </w:p>
            </w:txbxContent>
          </v:textbox>
          <w10:wrap type="none"/>
        </v:shape>
      </w:pict>
    </w:r>
    <w:r>
      <w:rPr/>
      <w:pict>
        <v:shape style="position:absolute;margin-left:527.659973pt;margin-top:781.213928pt;width:13.15pt;height:11pt;mso-position-horizontal-relative:page;mso-position-vertical-relative:page;z-index:-8767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43</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32pt;margin-top:780.631226pt;width:92pt;height:11pt;mso-position-horizontal-relative:page;mso-position-vertical-relative:page;z-index:-876712" type="#_x0000_t202" filled="false" stroked="false">
          <v:textbox inset="0,0,0,0">
            <w:txbxContent>
              <w:p>
                <w:pPr>
                  <w:pStyle w:val="BodyText"/>
                  <w:spacing w:line="202" w:lineRule="exact"/>
                  <w:ind w:left="20" w:right="0"/>
                  <w:jc w:val="left"/>
                  <w:rPr>
                    <w:rFonts w:ascii="方正姚体" w:hAnsi="方正姚体" w:cs="方正姚体" w:eastAsia="方正姚体" w:hint="default"/>
                  </w:rPr>
                </w:pPr>
                <w:r>
                  <w:rPr>
                    <w:rFonts w:ascii="方正姚体" w:hAnsi="方正姚体" w:cs="方正姚体" w:eastAsia="方正姚体" w:hint="default"/>
                  </w:rPr>
                  <w:t>让数据改变工作与生活</w:t>
                </w:r>
              </w:p>
            </w:txbxContent>
          </v:textbox>
          <w10:wrap type="none"/>
        </v:shape>
      </w:pict>
    </w:r>
    <w:r>
      <w:rPr/>
      <w:pict>
        <v:shape style="position:absolute;margin-left:527.659973pt;margin-top:781.213928pt;width:13.15pt;height:11pt;mso-position-horizontal-relative:page;mso-position-vertical-relative:page;z-index:-876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32pt;margin-top:780.631226pt;width:92pt;height:11pt;mso-position-horizontal-relative:page;mso-position-vertical-relative:page;z-index:-876664" type="#_x0000_t202" filled="false" stroked="false">
          <v:textbox inset="0,0,0,0">
            <w:txbxContent>
              <w:p>
                <w:pPr>
                  <w:pStyle w:val="BodyText"/>
                  <w:spacing w:line="202" w:lineRule="exact"/>
                  <w:ind w:left="20" w:right="0"/>
                  <w:jc w:val="left"/>
                  <w:rPr>
                    <w:rFonts w:ascii="方正姚体" w:hAnsi="方正姚体" w:cs="方正姚体" w:eastAsia="方正姚体" w:hint="default"/>
                  </w:rPr>
                </w:pPr>
                <w:r>
                  <w:rPr>
                    <w:rFonts w:ascii="方正姚体" w:hAnsi="方正姚体" w:cs="方正姚体" w:eastAsia="方正姚体" w:hint="default"/>
                  </w:rPr>
                  <w:t>让数据改变工作与生活</w:t>
                </w:r>
              </w:p>
            </w:txbxContent>
          </v:textbox>
          <w10:wrap type="none"/>
        </v:shape>
      </w:pict>
    </w:r>
    <w:r>
      <w:rPr/>
      <w:pict>
        <v:shape style="position:absolute;margin-left:527.659973pt;margin-top:781.213928pt;width:13.15pt;height:11pt;mso-position-horizontal-relative:page;mso-position-vertical-relative:page;z-index:-876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32pt;margin-top:780.631226pt;width:92pt;height:11pt;mso-position-horizontal-relative:page;mso-position-vertical-relative:page;z-index:-876616" type="#_x0000_t202" filled="false" stroked="false">
          <v:textbox inset="0,0,0,0">
            <w:txbxContent>
              <w:p>
                <w:pPr>
                  <w:pStyle w:val="BodyText"/>
                  <w:spacing w:line="202" w:lineRule="exact"/>
                  <w:ind w:left="20" w:right="0"/>
                  <w:jc w:val="left"/>
                  <w:rPr>
                    <w:rFonts w:ascii="方正姚体" w:hAnsi="方正姚体" w:cs="方正姚体" w:eastAsia="方正姚体" w:hint="default"/>
                  </w:rPr>
                </w:pPr>
                <w:r>
                  <w:rPr>
                    <w:rFonts w:ascii="方正姚体" w:hAnsi="方正姚体" w:cs="方正姚体" w:eastAsia="方正姚体" w:hint="default"/>
                  </w:rPr>
                  <w:t>让数据改变工作与生活</w:t>
                </w:r>
              </w:p>
            </w:txbxContent>
          </v:textbox>
          <w10:wrap type="none"/>
        </v:shape>
      </w:pict>
    </w:r>
    <w:r>
      <w:rPr/>
      <w:pict>
        <v:shape style="position:absolute;margin-left:527.659973pt;margin-top:781.213928pt;width:13.15pt;height:11pt;mso-position-horizontal-relative:page;mso-position-vertical-relative:page;z-index:-876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92</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880001pt;margin-top:780.631226pt;width:92pt;height:11pt;mso-position-horizontal-relative:page;mso-position-vertical-relative:page;z-index:-876568" type="#_x0000_t202" filled="false" stroked="false">
          <v:textbox inset="0,0,0,0">
            <w:txbxContent>
              <w:p>
                <w:pPr>
                  <w:pStyle w:val="BodyText"/>
                  <w:spacing w:line="202" w:lineRule="exact"/>
                  <w:ind w:left="20" w:right="0"/>
                  <w:jc w:val="left"/>
                  <w:rPr>
                    <w:rFonts w:ascii="方正姚体" w:hAnsi="方正姚体" w:cs="方正姚体" w:eastAsia="方正姚体" w:hint="default"/>
                  </w:rPr>
                </w:pPr>
                <w:r>
                  <w:rPr>
                    <w:rFonts w:ascii="方正姚体" w:hAnsi="方正姚体" w:cs="方正姚体" w:eastAsia="方正姚体" w:hint="default"/>
                  </w:rPr>
                  <w:t>让数据改变工作与生活</w:t>
                </w:r>
              </w:p>
            </w:txbxContent>
          </v:textbox>
          <w10:wrap type="none"/>
        </v:shape>
      </w:pict>
    </w:r>
    <w:r>
      <w:rPr/>
      <w:pict>
        <v:shape style="position:absolute;margin-left:523.219971pt;margin-top:781.213928pt;width:17.5pt;height:11pt;mso-position-horizontal-relative:page;mso-position-vertical-relative:page;z-index:-8765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240002pt;margin-top:780.631226pt;width:92pt;height:11pt;mso-position-horizontal-relative:page;mso-position-vertical-relative:page;z-index:-876520" type="#_x0000_t202" filled="false" stroked="false">
          <v:textbox inset="0,0,0,0">
            <w:txbxContent>
              <w:p>
                <w:pPr>
                  <w:pStyle w:val="BodyText"/>
                  <w:spacing w:line="202" w:lineRule="exact"/>
                  <w:ind w:left="20" w:right="0"/>
                  <w:jc w:val="left"/>
                  <w:rPr>
                    <w:rFonts w:ascii="方正姚体" w:hAnsi="方正姚体" w:cs="方正姚体" w:eastAsia="方正姚体" w:hint="default"/>
                  </w:rPr>
                </w:pPr>
                <w:r>
                  <w:rPr>
                    <w:rFonts w:ascii="方正姚体" w:hAnsi="方正姚体" w:cs="方正姚体" w:eastAsia="方正姚体" w:hint="default"/>
                  </w:rPr>
                  <w:t>让数据改变工作与生活</w:t>
                </w:r>
              </w:p>
            </w:txbxContent>
          </v:textbox>
          <w10:wrap type="none"/>
        </v:shape>
      </w:pict>
    </w:r>
    <w:r>
      <w:rPr/>
      <w:pict>
        <v:shape style="position:absolute;margin-left:523.580017pt;margin-top:781.213928pt;width:17.150pt;height:11pt;mso-position-horizontal-relative:page;mso-position-vertical-relative:page;z-index:-876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90002pt;margin-top:37.585609pt;width:204.5pt;height:11.5pt;mso-position-horizontal-relative:page;mso-position-vertical-relative:page;z-index:-876928" type="#_x0000_t202" filled="false" stroked="false">
          <v:textbox inset="0,0,0,0">
            <w:txbxContent>
              <w:p>
                <w:pPr>
                  <w:pStyle w:val="BodyText"/>
                  <w:spacing w:line="214" w:lineRule="exact"/>
                  <w:ind w:left="20" w:right="0"/>
                  <w:jc w:val="left"/>
                </w:pPr>
                <w:r>
                  <w:rPr/>
                  <w:t>北京东方国信科技股份有限公司</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617"/>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73"/>
      <w:outlineLvl w:val="4"/>
    </w:pPr>
    <w:rPr>
      <w:rFonts w:ascii="宋体" w:hAnsi="宋体" w:eastAsia="宋体"/>
      <w:sz w:val="21"/>
      <w:szCs w:val="21"/>
    </w:rPr>
  </w:style>
  <w:style w:styleId="Heading5" w:type="paragraph">
    <w:name w:val="Heading 5"/>
    <w:basedOn w:val="Normal"/>
    <w:uiPriority w:val="1"/>
    <w:qFormat/>
    <w:pPr>
      <w:spacing w:before="54"/>
      <w:ind w:left="51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hyperlink" Target="http://www.bonc.com.cn/" TargetMode="External"/><Relationship Id="rId11" Type="http://schemas.openxmlformats.org/officeDocument/2006/relationships/hyperlink" Target="mailto:investor@bonc.com.cn" TargetMode="External"/><Relationship Id="rId12" Type="http://schemas.openxmlformats.org/officeDocument/2006/relationships/hyperlink" Target="http://www.cninfo.com.cn/"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3.xml"/><Relationship Id="rId16" Type="http://schemas.openxmlformats.org/officeDocument/2006/relationships/hyperlink" Target="http://www.cninfo.com.cn/finalpage/2012-" TargetMode="External"/><Relationship Id="rId17" Type="http://schemas.openxmlformats.org/officeDocument/2006/relationships/hyperlink" Target="http://www.cninfo.com.cn/finalpage/2013-" TargetMode="External"/><Relationship Id="rId18" Type="http://schemas.openxmlformats.org/officeDocument/2006/relationships/footer" Target="footer4.xml"/><Relationship Id="rId19" Type="http://schemas.openxmlformats.org/officeDocument/2006/relationships/image" Target="media/image5.png"/><Relationship Id="rId20" Type="http://schemas.openxmlformats.org/officeDocument/2006/relationships/footer" Target="footer5.xml"/><Relationship Id="rId21" Type="http://schemas.openxmlformats.org/officeDocument/2006/relationships/hyperlink" Target="http://www.cninfo.com.cn/final" TargetMode="Externa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2020-05-04T01:56:40Z</dcterms:created>
  <dcterms:modified xsi:type="dcterms:W3CDTF">2020-05-04T01:56:40Z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2013-04-19T00:00:00Z</vt:filetime>
  </property>
  <property fmtid="{D5CDD505-2E9C-101B-9397-08002B2CF9AE}" pid="3" name="Creator">
    <vt:lpwstr>Microsoft® Office Word 2007</vt:lpwstr>
  </property>
  <property fmtid="{D5CDD505-2E9C-101B-9397-08002B2CF9AE}" pid="4" name="LastSaved">
    <vt:filetime>2020-05-03T00:00:00Z</vt:filetime>
  </property>
</Properties>
</file>