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p>
      <w:pPr>
        <w:spacing w:line="540" w:lineRule="exact" w:before="0"/>
        <w:ind w:left="0" w:right="0" w:firstLine="0"/>
        <w:jc w:val="center"/>
        <w:rPr>
          <w:rFonts w:ascii="宋体" w:hAnsi="宋体" w:cs="宋体" w:eastAsia="宋体" w:hint="default"/>
          <w:sz w:val="44"/>
          <w:szCs w:val="44"/>
        </w:rPr>
      </w:pPr>
      <w:r>
        <w:rPr/>
        <w:pict>
          <v:group style="position:absolute;margin-left:55.200001pt;margin-top:-66.376564pt;width:485pt;height:.1pt;mso-position-horizontal-relative:page;mso-position-vertical-relative:paragraph;z-index:0" coordorigin="1104,-1328" coordsize="9700,2">
            <v:shape style="position:absolute;left:1104;top:-1328;width:9700;height:2" coordorigin="1104,-1328" coordsize="9700,0" path="m1104,-1328l10804,-1328e" filled="false" stroked="true" strokeweight=".72pt" strokecolor="#000000">
              <v:path arrowok="t"/>
            </v:shape>
            <w10:wrap type="none"/>
          </v:group>
        </w:pict>
      </w:r>
      <w:r>
        <w:rPr>
          <w:rFonts w:ascii="宋体" w:hAnsi="宋体" w:cs="宋体" w:eastAsia="宋体" w:hint="default"/>
          <w:b/>
          <w:bCs/>
          <w:sz w:val="44"/>
          <w:szCs w:val="44"/>
        </w:rPr>
        <w:t>北京东方国信科技股份有限公司</w:t>
      </w:r>
      <w:r>
        <w:rPr>
          <w:rFonts w:ascii="宋体" w:hAnsi="宋体" w:cs="宋体" w:eastAsia="宋体" w:hint="default"/>
          <w:sz w:val="44"/>
          <w:szCs w:val="44"/>
        </w:rPr>
      </w:r>
    </w:p>
    <w:p>
      <w:pPr>
        <w:spacing w:before="395"/>
        <w:ind w:left="0" w:right="0"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2014</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2524" w:lineRule="exact"/>
        <w:ind w:left="2608"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004800" cy="160277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004800" cy="1602771"/>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line="487" w:lineRule="exact" w:before="0"/>
        <w:ind w:left="0" w:right="0"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2015</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年</w:t>
      </w:r>
      <w:r>
        <w:rPr>
          <w:rFonts w:ascii="宋体" w:hAnsi="宋体" w:cs="宋体" w:eastAsia="宋体" w:hint="default"/>
          <w:b/>
          <w:bCs/>
          <w:spacing w:val="-92"/>
          <w:sz w:val="36"/>
          <w:szCs w:val="36"/>
        </w:rPr>
        <w:t> </w:t>
      </w:r>
      <w:r>
        <w:rPr>
          <w:rFonts w:ascii="Times New Roman" w:hAnsi="Times New Roman" w:cs="Times New Roman" w:eastAsia="Times New Roman" w:hint="default"/>
          <w:b/>
          <w:bCs/>
          <w:sz w:val="36"/>
          <w:szCs w:val="36"/>
        </w:rPr>
        <w:t>03 </w:t>
      </w:r>
      <w:r>
        <w:rPr>
          <w:rFonts w:ascii="宋体" w:hAnsi="宋体" w:cs="宋体" w:eastAsia="宋体" w:hint="default"/>
          <w:b/>
          <w:bCs/>
          <w:sz w:val="36"/>
          <w:szCs w:val="36"/>
        </w:rPr>
        <w:t>月</w:t>
      </w:r>
      <w:r>
        <w:rPr>
          <w:rFonts w:ascii="宋体" w:hAnsi="宋体" w:cs="宋体" w:eastAsia="宋体" w:hint="default"/>
          <w:sz w:val="36"/>
          <w:szCs w:val="36"/>
        </w:rPr>
      </w:r>
    </w:p>
    <w:p>
      <w:pPr>
        <w:spacing w:after="0" w:line="487" w:lineRule="exact"/>
        <w:jc w:val="center"/>
        <w:rPr>
          <w:rFonts w:ascii="宋体" w:hAnsi="宋体" w:cs="宋体" w:eastAsia="宋体" w:hint="default"/>
          <w:sz w:val="36"/>
          <w:szCs w:val="36"/>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公司负责人管连平、主管会计工作负责人陈桂霞及会计机构负责人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姜海青声明：保证年度报告中财务报告的真实、准确、完整。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tabs>
          <w:tab w:pos="723"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2" w:val="right" w:leader="dot"/>
            </w:tabs>
            <w:spacing w:line="240" w:lineRule="auto" w:before="97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rPr>
              <w:tab/>
              <w:t>181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980"/>
        </w:sectPr>
      </w:pPr>
    </w:p>
    <w:p>
      <w:pPr>
        <w:tabs>
          <w:tab w:pos="643" w:val="left" w:leader="none"/>
        </w:tabs>
        <w:spacing w:before="725"/>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3582"/>
        <w:gridCol w:w="605"/>
        <w:gridCol w:w="5508"/>
      </w:tblGrid>
      <w:tr>
        <w:trPr>
          <w:trHeight w:val="402" w:hRule="exact"/>
        </w:trPr>
        <w:tc>
          <w:tcPr>
            <w:tcW w:w="3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中国证券业监督管理委员会</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北京市科委</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公司、本公司、母公司</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公司股票在深圳证券交易所挂牌交易</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本次公开发行的每股面值人民币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元的人民币普通股</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北京东方国信科技股份有限公司首次公开发行股票招股说明书</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报告期、本年度</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r>
              <w:rPr>
                <w:rFonts w:ascii="Times New Roman" w:hAnsi="Times New Roman" w:cs="Times New Roman" w:eastAsia="Times New Roman" w:hint="default"/>
                <w:sz w:val="18"/>
                <w:szCs w:val="18"/>
              </w:rPr>
              <w:t>)</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北京东方国信科技股份有限公司股东大会</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北京东方国信科技股份有限公司董事会</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北京东方国信科技股份有限公司监事会</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东方国信有限</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北京东方国信电子有限公司，本公司前身</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仁邦翰威</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北京仁邦翰威投资咨询有限公司、新余仁邦翰威投资管理有限公司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仁邦时代</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北京仁邦时代投资咨询有限公司、新余仁邦时代投资管理有限公司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东华信通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北京东华信通信息技术有限公司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国信天津、天津子公司</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东方国信（天津）科技有限公司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国信吉林、吉林子公司</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吉林省东方国信科技有限公司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国信成都、四川子公司、成都子公司</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成都东方国信科技有限公司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国信新世纪、北京子公司</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北京国信新世纪科技有限公司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北科亿力</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科瑞明</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屹通信息</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微软</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Microsoft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，全球最大的计算机软件提供商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shape style="position:absolute;margin-left:55.080002pt;margin-top:71.999985pt;width:485.5pt;height:694.6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0"/>
                    <w:gridCol w:w="628"/>
                    <w:gridCol w:w="5496"/>
                  </w:tblGrid>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IBM</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国际商业机器公司，全球领先的信息技术和业务解决方案提供商</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Oracle</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 </w:t>
                        </w:r>
                        <w:r>
                          <w:rPr>
                            <w:rFonts w:ascii="Times New Roman" w:hAnsi="Times New Roman" w:cs="Times New Roman" w:eastAsia="Times New Roman" w:hint="default"/>
                            <w:sz w:val="18"/>
                            <w:szCs w:val="18"/>
                          </w:rPr>
                          <w:t>Oracle</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公司，全球领先的信息管理软件及服务提供商</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SAP</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公司，总部位于德国，全球领先的企业管理软件提供商</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二次开发</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为满足客户需要，在通用软件、平台的基础上，利用通用软件、平台 提供的应用程序编程接口进行的软件开发</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为解决企业运营、信息化建设中某一方面的问题而提供的方案，包括 整体路线、功能架构、技术架构、产品组合、应用设计、定制开发、 部署方案等</w:t>
                        </w:r>
                      </w:p>
                    </w:tc>
                  </w:tr>
                  <w:tr>
                    <w:trPr>
                      <w:trHeight w:val="165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全业务</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电信业发展的方向，即电信运营商突破以前仅能提供单一通信方式和 有限通信内容的局限，转向为用户提供包括有线通信、无线通信的全 部通信方式和语音、数据、视频等多种通信内容的全业务通信服务； </w:t>
                        </w:r>
                        <w:r>
                          <w:rPr>
                            <w:rFonts w:ascii="宋体" w:hAnsi="宋体" w:cs="宋体" w:eastAsia="宋体" w:hint="default"/>
                            <w:spacing w:val="-3"/>
                            <w:sz w:val="18"/>
                            <w:szCs w:val="18"/>
                          </w:rPr>
                          <w:t>电信运营商向全业务运营的转型，要求</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支撑系统具备全业务支撑能 力</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商业智能应用软件</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采用数据仓库、数据统计、挖掘及信息表现技术，支持企业的信息获 取、分析、共享、决策支持等需求的应用软件</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数据质量</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数据的正确性、一致性、定义明晰性等一系列衡量数据可用性的度量 </w:t>
                        </w:r>
                        <w:r>
                          <w:rPr>
                            <w:rFonts w:ascii="宋体" w:hAnsi="宋体" w:cs="宋体" w:eastAsia="宋体" w:hint="default"/>
                            <w:spacing w:val="-2"/>
                            <w:sz w:val="18"/>
                            <w:szCs w:val="18"/>
                          </w:rPr>
                          <w:t>的集合；数据质量直接影响数据应用的成本和效果；在企业业务复杂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数据量巨大的情况下，数据质量尤为重要</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维系挽留</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电信运营商对用户进行个性化服务，以提高用户感知度、忠诚度、降 低客户流失率的一系列客户关系管理活动；相应的，对这一系列客户 关系管理活动提供支撑的软件系统称为维系挽留系统</w:t>
                        </w:r>
                      </w:p>
                    </w:tc>
                  </w:tr>
                  <w:tr>
                    <w:trPr>
                      <w:trHeight w:val="1338"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元数据</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在数据仓库体系中，用来描述数据及其环境的数据集合；元数据的作 用是使其陈述的对象具有自描述性，使这些对象更易于应用和管理； </w:t>
                        </w:r>
                        <w:r>
                          <w:rPr>
                            <w:rFonts w:ascii="宋体" w:hAnsi="宋体" w:cs="宋体" w:eastAsia="宋体" w:hint="default"/>
                            <w:spacing w:val="-2"/>
                            <w:sz w:val="18"/>
                            <w:szCs w:val="18"/>
                          </w:rPr>
                          <w:t>元数据的分类方法很多，按描述对象的种类不同，可分为技术元数据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业务元数据等</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 technology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的英文缩写，即信息技术</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w:t>
                        </w:r>
                        <w:r>
                          <w:rPr>
                            <w:rFonts w:ascii="宋体" w:hAnsi="宋体" w:cs="宋体" w:eastAsia="宋体" w:hint="default"/>
                            <w:sz w:val="18"/>
                            <w:szCs w:val="18"/>
                          </w:rPr>
                          <w:t>商业智能</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Business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intelligence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的英文缩写，即商业智能；商业智能指从数 据中发现有价值的规律、模式，将数据转化为知识，支持企业的决策 营销、服务的一系列软件、技术、方法的集合</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CRM</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 management</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的英文缩写，即客户关系管理，指企</w:t>
                        </w:r>
                        <w:r>
                          <w:rPr>
                            <w:rFonts w:ascii="宋体" w:hAnsi="宋体" w:cs="宋体" w:eastAsia="宋体" w:hint="default"/>
                            <w:w w:val="99"/>
                            <w:sz w:val="18"/>
                            <w:szCs w:val="18"/>
                          </w:rPr>
                          <w:t> </w:t>
                        </w:r>
                        <w:r>
                          <w:rPr>
                            <w:rFonts w:ascii="宋体" w:hAnsi="宋体" w:cs="宋体" w:eastAsia="宋体" w:hint="default"/>
                            <w:sz w:val="18"/>
                            <w:szCs w:val="18"/>
                          </w:rPr>
                          <w:t>业采取的一系列用以提升客户满意度，从而提高企业竞争力的营销、</w:t>
                        </w:r>
                        <w:r>
                          <w:rPr>
                            <w:rFonts w:ascii="宋体" w:hAnsi="宋体" w:cs="宋体" w:eastAsia="宋体" w:hint="default"/>
                            <w:w w:val="99"/>
                            <w:sz w:val="18"/>
                            <w:szCs w:val="18"/>
                          </w:rPr>
                          <w:t> </w:t>
                        </w:r>
                        <w:r>
                          <w:rPr>
                            <w:rFonts w:ascii="宋体" w:hAnsi="宋体" w:cs="宋体" w:eastAsia="宋体" w:hint="default"/>
                            <w:sz w:val="18"/>
                            <w:szCs w:val="18"/>
                          </w:rPr>
                          <w:t>销售及服务手段</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DM/</w:t>
                        </w:r>
                        <w:r>
                          <w:rPr>
                            <w:rFonts w:ascii="宋体" w:hAnsi="宋体" w:cs="宋体" w:eastAsia="宋体" w:hint="default"/>
                            <w:sz w:val="18"/>
                            <w:szCs w:val="18"/>
                          </w:rPr>
                          <w:t>数据挖掘</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DM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Data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mining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的英文缩写，即数据挖掘；数据挖掘综合利用人工 智能、机器学习等领域的知识和技术，采用非平凡的过程从大量数据 中获取有效的、新颖的、潜在有用的、最终可理解的模式</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w:t>
                        </w:r>
                        <w:r>
                          <w:rPr>
                            <w:rFonts w:ascii="宋体" w:hAnsi="宋体" w:cs="宋体" w:eastAsia="宋体" w:hint="default"/>
                            <w:sz w:val="18"/>
                            <w:szCs w:val="18"/>
                          </w:rPr>
                          <w:t>数据仓库</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DW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Data warehouse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的英文缩写，即数据仓库；数据仓库是一个面 向主题的、集成的、相对稳定的、反映时变的数据集合；数据仓库用 于支持上层的商业智能应用、数据挖掘等典型的商业智能活动</w:t>
                        </w:r>
                      </w:p>
                    </w:tc>
                  </w:tr>
                  <w:tr>
                    <w:trPr>
                      <w:trHeight w:val="67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ETL</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Extract, transform, load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的英文缩写，即数据抽取、转换和加载；</w:t>
                        </w:r>
                        <w:r>
                          <w:rPr>
                            <w:rFonts w:ascii="Times New Roman" w:hAnsi="Times New Roman" w:cs="Times New Roman" w:eastAsia="Times New Roman" w:hint="default"/>
                            <w:sz w:val="18"/>
                            <w:szCs w:val="18"/>
                          </w:rPr>
                          <w:t>ETL </w:t>
                        </w:r>
                        <w:r>
                          <w:rPr>
                            <w:rFonts w:ascii="宋体" w:hAnsi="宋体" w:cs="宋体" w:eastAsia="宋体" w:hint="default"/>
                            <w:sz w:val="18"/>
                            <w:szCs w:val="18"/>
                          </w:rPr>
                          <w:t>是数据仓库构建、运转过程中的重要环节，负责将分布的、异构数据</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40" w:lineRule="auto" w:before="44"/>
        <w:ind w:left="0" w:right="1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0" w:right="1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02"/>
        <w:jc w:val="right"/>
      </w:pPr>
      <w:r>
        <w:rPr/>
        <w:t>、</w:t>
      </w:r>
    </w:p>
    <w:p>
      <w:pPr>
        <w:spacing w:after="0" w:line="240" w:lineRule="auto"/>
        <w:jc w:val="righ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0" w:right="101"/>
        <w:jc w:val="right"/>
      </w:pPr>
      <w:r>
        <w:rPr/>
        <w:pict>
          <v:shape style="position:absolute;margin-left:55.080002pt;margin-top:-134.828262pt;width:485.5pt;height:168.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0"/>
                    <w:gridCol w:w="628"/>
                    <w:gridCol w:w="5496"/>
                  </w:tblGrid>
                  <w:tr>
                    <w:trPr>
                      <w:trHeight w:val="674" w:hRule="exact"/>
                    </w:trPr>
                    <w:tc>
                      <w:tcPr>
                        <w:tcW w:w="357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left"/>
                          <w:rPr>
                            <w:rFonts w:ascii="宋体" w:hAnsi="宋体" w:cs="宋体" w:eastAsia="宋体" w:hint="default"/>
                            <w:sz w:val="18"/>
                            <w:szCs w:val="18"/>
                          </w:rPr>
                        </w:pPr>
                        <w:r>
                          <w:rPr>
                            <w:rFonts w:ascii="宋体" w:hAnsi="宋体" w:cs="宋体" w:eastAsia="宋体" w:hint="default"/>
                            <w:sz w:val="18"/>
                            <w:szCs w:val="18"/>
                          </w:rPr>
                          <w:t>源中的数据抽取到临时中间层进行清洗、转换、集成，最后加载到数 据仓库中</w:t>
                        </w:r>
                      </w:p>
                    </w:tc>
                  </w:tr>
                  <w:tr>
                    <w:trPr>
                      <w:trHeight w:val="1338"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基础设施的交付和使用模式，指通过网络以按需、易扩展的方式获</w:t>
                        </w:r>
                        <w:r>
                          <w:rPr>
                            <w:rFonts w:ascii="宋体" w:hAnsi="宋体" w:cs="宋体" w:eastAsia="宋体" w:hint="default"/>
                            <w:w w:val="99"/>
                            <w:sz w:val="18"/>
                            <w:szCs w:val="18"/>
                          </w:rPr>
                          <w:t> </w:t>
                        </w:r>
                        <w:r>
                          <w:rPr>
                            <w:rFonts w:ascii="宋体" w:hAnsi="宋体" w:cs="宋体" w:eastAsia="宋体" w:hint="default"/>
                            <w:sz w:val="18"/>
                            <w:szCs w:val="18"/>
                          </w:rPr>
                          <w:t>得所需的资源，具有超大规模、虚拟化、可靠安全等独特功效，其基</w:t>
                        </w:r>
                        <w:r>
                          <w:rPr>
                            <w:rFonts w:ascii="宋体" w:hAnsi="宋体" w:cs="宋体" w:eastAsia="宋体" w:hint="default"/>
                            <w:w w:val="99"/>
                            <w:sz w:val="18"/>
                            <w:szCs w:val="18"/>
                          </w:rPr>
                          <w:t> </w:t>
                        </w:r>
                        <w:r>
                          <w:rPr>
                            <w:rFonts w:ascii="宋体" w:hAnsi="宋体" w:cs="宋体" w:eastAsia="宋体" w:hint="default"/>
                            <w:sz w:val="18"/>
                            <w:szCs w:val="18"/>
                          </w:rPr>
                          <w:t>本原理是通过使计算分布在大量的分布式计算机上，而非本地计算机</w:t>
                        </w:r>
                        <w:r>
                          <w:rPr>
                            <w:rFonts w:ascii="宋体" w:hAnsi="宋体" w:cs="宋体" w:eastAsia="宋体" w:hint="default"/>
                            <w:w w:val="99"/>
                            <w:sz w:val="18"/>
                            <w:szCs w:val="18"/>
                          </w:rPr>
                          <w:t> </w:t>
                        </w:r>
                        <w:r>
                          <w:rPr>
                            <w:rFonts w:ascii="宋体" w:hAnsi="宋体" w:cs="宋体" w:eastAsia="宋体" w:hint="default"/>
                            <w:sz w:val="18"/>
                            <w:szCs w:val="18"/>
                          </w:rPr>
                          <w:t>或远程服务器中，企业数据中心的运行将更与互联网相似</w:t>
                        </w:r>
                      </w:p>
                    </w:tc>
                  </w:tr>
                  <w:tr>
                    <w:trPr>
                      <w:trHeight w:val="1338"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指的是所涉及的资料量规模巨大到无法透过目前主流软件工具，在合 理时间内达到撷取、管理、处理、并整理成为帮助企业经营决策更积 极目的的资讯。</w:t>
                        </w:r>
                        <w:r>
                          <w:rPr>
                            <w:rFonts w:ascii="宋体" w:hAnsi="宋体" w:cs="宋体" w:eastAsia="宋体" w:hint="default"/>
                            <w:spacing w:val="-31"/>
                            <w:sz w:val="18"/>
                            <w:szCs w:val="18"/>
                          </w:rPr>
                          <w:t> </w:t>
                        </w:r>
                        <w:r>
                          <w:rPr>
                            <w:rFonts w:ascii="宋体" w:hAnsi="宋体" w:cs="宋体" w:eastAsia="宋体" w:hint="default"/>
                            <w:spacing w:val="-5"/>
                            <w:sz w:val="18"/>
                            <w:szCs w:val="18"/>
                          </w:rPr>
                          <w:t>大数据具有：数据体量巨大，类型繁多，价值密度低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商业价值高和处理速度快四个特点</w:t>
                        </w:r>
                      </w:p>
                    </w:tc>
                  </w:tr>
                </w:tbl>
                <w:p>
                  <w:pPr/>
                </w:p>
              </w:txbxContent>
            </v:textbox>
            <w10:wrap type="none"/>
          </v:shape>
        </w:pict>
      </w:r>
      <w:r>
        <w:rPr/>
        <w:t>、</w:t>
      </w:r>
    </w:p>
    <w:p>
      <w:pPr>
        <w:spacing w:after="0" w:line="240" w:lineRule="auto"/>
        <w:jc w:val="righ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300166</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东方国信</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Business-intelligence of Oriental Nations Corporation</w:t>
            </w:r>
            <w:r>
              <w:rPr>
                <w:rFonts w:ascii="Times New Roman"/>
                <w:spacing w:val="-7"/>
                <w:sz w:val="18"/>
              </w:rPr>
              <w:t> </w:t>
            </w:r>
            <w:r>
              <w:rPr>
                <w:rFonts w:ascii="Times New Roman"/>
                <w:sz w:val="18"/>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BONC</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管连平</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http://www.bonc.com.cn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马长兴</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010-64392089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010-64392089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010-64398978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010-64398978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923"/>
        <w:gridCol w:w="1594"/>
        <w:gridCol w:w="1595"/>
        <w:gridCol w:w="1339"/>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北京市朝阳区酒仙桥路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05249629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110105633027609</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923"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339"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923"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北京市朝阳区酒仙桥路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05249629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变更注册地址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北京市朝阳区万红路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1101052249629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北京市朝阳区万红路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1101052249629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1101052249629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有限公司变更股份 制公司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变更经营范围、经营</w:t>
            </w:r>
            <w:r>
              <w:rPr>
                <w:rFonts w:ascii="宋体" w:hAnsi="宋体" w:cs="宋体" w:eastAsia="宋体" w:hint="default"/>
                <w:sz w:val="18"/>
                <w:szCs w:val="18"/>
              </w:rPr>
              <w:t> 期限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号叶青大厦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增加注册资本、变更</w:t>
            </w:r>
            <w:r>
              <w:rPr>
                <w:rFonts w:ascii="宋体" w:hAnsi="宋体" w:cs="宋体" w:eastAsia="宋体" w:hint="default"/>
                <w:sz w:val="18"/>
                <w:szCs w:val="18"/>
              </w:rPr>
              <w:t> 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增加注册资本、变更</w:t>
            </w:r>
            <w:r>
              <w:rPr>
                <w:rFonts w:ascii="宋体" w:hAnsi="宋体" w:cs="宋体" w:eastAsia="宋体" w:hint="default"/>
                <w:sz w:val="18"/>
                <w:szCs w:val="18"/>
              </w:rPr>
              <w:t> 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减少注册资本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北京市朝阳区望京北路</w:t>
            </w:r>
          </w:p>
          <w:p>
            <w:pPr>
              <w:pStyle w:val="TableParagraph"/>
              <w:spacing w:line="240" w:lineRule="auto" w:before="7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110105002496292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110105633027609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63302760-9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955600"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48"/>
        <w:gridCol w:w="1427"/>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615,266,383.37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468,161,375.81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313,003,233.22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317,815,234.89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259,276,069.47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168,375,448.76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138,087,289.58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88,649,871.66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81,534,601.05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147,449,640.36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97,211,511.33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83,762,751.46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135,628,693.07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90,236,363.71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70,753,506.20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131,415,106.20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84,980,688.30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69,606,206.20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85,786,671.23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-42,074,120.20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303.89%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-10,781,428.60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199.19%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-0.0887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279,017,838.00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135,720,988.00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1,816,795,989.67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1,135,197,833.49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778,990,926.15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312,914,942.25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119,419,523.14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45,713,280.44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1,497,696,626.90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1,013,646,668.04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733,277,645.71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5.3677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7.4686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6.0352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w:t>
            </w:r>
          </w:p>
        </w:tc>
      </w:tr>
    </w:tbl>
    <w:p>
      <w:pPr>
        <w:pStyle w:val="BodyText"/>
        <w:spacing w:line="316" w:lineRule="auto" w:before="51"/>
        <w:ind w:left="154"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0.4779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-871,070.13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-17,350.29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7,571,992.97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-112,104.76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-65,100.00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-1,098,199.80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-1,598,392.27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215,038.44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635,475.00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202,500.00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4,213,586.87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5,255,675.41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1,147,300.00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334" w:right="0"/>
        <w:jc w:val="left"/>
      </w:pPr>
      <w:r>
        <w:rPr/>
        <w:t>对公司根据《公开发行证券的公司信息披露解释性公告第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非经常性损益》定义界定的非经常性损益项目，以及把</w:t>
      </w:r>
    </w:p>
    <w:p>
      <w:pPr>
        <w:pStyle w:val="BodyText"/>
        <w:spacing w:line="302" w:lineRule="auto" w:before="63"/>
        <w:ind w:left="154" w:right="234"/>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6" w:firstLine="180"/>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w:t>
      </w:r>
      <w:r>
        <w:rPr/>
        <w:t> 益项目界定为经常性损益的项目的情形。</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四、重大风险提示" w:id="16"/>
      <w:bookmarkEnd w:id="16"/>
      <w:r>
        <w:rPr>
          <w:b w:val="0"/>
          <w:bCs w:val="0"/>
        </w:rPr>
      </w:r>
      <w:r>
        <w:rPr/>
        <w:t>四、重大风险提示</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636" w:right="0"/>
        <w:jc w:val="left"/>
      </w:pPr>
      <w:r>
        <w:rPr>
          <w:rFonts w:ascii="Times New Roman" w:hAnsi="Times New Roman" w:cs="Times New Roman" w:eastAsia="Times New Roman" w:hint="default"/>
        </w:rPr>
        <w:t>1</w:t>
      </w:r>
      <w:r>
        <w:rPr/>
        <w:t>、客户集中风险 </w:t>
      </w:r>
      <w:r>
        <w:rPr>
          <w:spacing w:val="-1"/>
        </w:rPr>
        <w:t>公司的客户主要集中在电信行业，营业收入主要来自中国联通、中国电信和中国移动，对主要客户依赖度较强。如果</w:t>
      </w:r>
    </w:p>
    <w:p>
      <w:pPr>
        <w:pStyle w:val="BodyText"/>
        <w:spacing w:line="240" w:lineRule="auto" w:before="74"/>
        <w:ind w:left="154" w:right="0"/>
        <w:jc w:val="left"/>
      </w:pPr>
      <w:r>
        <w:rPr/>
        <w:t>未来电信行业的宏观环境发生不利变化，或者电信运营商对信息化建设的投资规模下降，将对公司的盈利能力产生影响。</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92" w:firstLine="482"/>
        <w:jc w:val="left"/>
      </w:pPr>
      <w:r>
        <w:rPr/>
        <w:t>针对上述风险，公司拟采取如下应对措施：（</w:t>
      </w:r>
      <w:r>
        <w:rPr>
          <w:rFonts w:ascii="Times New Roman" w:hAnsi="Times New Roman" w:cs="Times New Roman" w:eastAsia="Times New Roman" w:hint="default"/>
        </w:rPr>
        <w:t>1</w:t>
      </w:r>
      <w:r>
        <w:rPr/>
        <w:t>）坚持互利共赢原则，与客户建立长期的战略合作伙伴关系，持续创 </w:t>
      </w:r>
      <w:r>
        <w:rPr>
          <w:spacing w:val="-2"/>
        </w:rPr>
        <w:t>新和升级软件产品，以满足客户不断增长的需求，并提高服务质量，更好的服务客户；（</w:t>
      </w:r>
      <w:r>
        <w:rPr>
          <w:rFonts w:ascii="Times New Roman" w:hAnsi="Times New Roman" w:cs="Times New Roman" w:eastAsia="Times New Roman" w:hint="default"/>
          <w:spacing w:val="-2"/>
        </w:rPr>
        <w:t>2</w:t>
      </w:r>
      <w:r>
        <w:rPr>
          <w:spacing w:val="-2"/>
        </w:rPr>
        <w:t>）加大对非电信行业的开拓力度，</w:t>
      </w:r>
      <w:r>
        <w:rPr>
          <w:spacing w:val="-65"/>
        </w:rPr>
        <w:t> </w:t>
      </w:r>
      <w:r>
        <w:rPr>
          <w:spacing w:val="-65"/>
        </w:rPr>
      </w:r>
      <w:r>
        <w:rPr>
          <w:spacing w:val="-4"/>
        </w:rPr>
        <w:t>依托大数据应用技术、品牌优势以及在电信行业积累的丰富经验，向金融、电力、能源、保险等行业的大数据应用市场渗透；</w:t>
      </w:r>
    </w:p>
    <w:p>
      <w:pPr>
        <w:pStyle w:val="BodyText"/>
        <w:spacing w:line="451" w:lineRule="auto" w:before="74"/>
        <w:ind w:left="154" w:right="182"/>
        <w:jc w:val="left"/>
      </w:pPr>
      <w:r>
        <w:rPr/>
        <w:t>（</w:t>
      </w:r>
      <w:r>
        <w:rPr>
          <w:rFonts w:ascii="Times New Roman" w:hAnsi="Times New Roman" w:cs="Times New Roman" w:eastAsia="Times New Roman" w:hint="default"/>
        </w:rPr>
        <w:t>4</w:t>
      </w:r>
      <w:r>
        <w:rPr/>
        <w:t>）紧跟行业前沿技术，加大研发投入，稳步推进募投项目完工达产，升级产品结构和产品层次，涉足更广阔的大数据领</w:t>
      </w:r>
      <w:r>
        <w:rPr>
          <w:spacing w:val="-83"/>
        </w:rPr>
        <w:t> </w:t>
      </w:r>
      <w:r>
        <w:rPr>
          <w:spacing w:val="-83"/>
        </w:rPr>
      </w:r>
      <w:r>
        <w:rPr/>
        <w:t>域市场，参与更广泛的市场竞争，不断探索全新的商业模式和创新产品，寻找利润增长点。</w:t>
      </w:r>
    </w:p>
    <w:p>
      <w:pPr>
        <w:pStyle w:val="BodyText"/>
        <w:spacing w:line="451" w:lineRule="auto" w:before="74"/>
        <w:ind w:left="636" w:right="150"/>
        <w:jc w:val="left"/>
      </w:pPr>
      <w:r>
        <w:rPr>
          <w:rFonts w:ascii="Times New Roman" w:hAnsi="Times New Roman" w:cs="Times New Roman" w:eastAsia="Times New Roman" w:hint="default"/>
        </w:rPr>
        <w:t>2</w:t>
      </w:r>
      <w:r>
        <w:rPr/>
        <w:t>、市场竞争与新模式创新风险 公司定位为提供最优产品和最佳服务，打造大数据民族品牌企业。公司的愿景是让数据改变工作与生活。当前时代，</w:t>
      </w:r>
    </w:p>
    <w:p>
      <w:pPr>
        <w:pStyle w:val="BodyText"/>
        <w:spacing w:line="477" w:lineRule="auto" w:before="74"/>
        <w:ind w:left="154" w:right="92"/>
        <w:jc w:val="left"/>
      </w:pPr>
      <w:r>
        <w:rPr>
          <w:spacing w:val="-2"/>
        </w:rPr>
        <w:t>数据的价值日益凸显，虽然公司所处的行业未来具有广阔的发展空间，但市场机会增加的同时，也伴随着参与竞争的企业数</w:t>
      </w:r>
      <w:r>
        <w:rPr>
          <w:spacing w:val="-66"/>
        </w:rPr>
        <w:t> </w:t>
      </w:r>
      <w:r>
        <w:rPr>
          <w:spacing w:val="-66"/>
        </w:rPr>
      </w:r>
      <w:r>
        <w:rPr/>
        <w:t>量增加，若公司不能在产品研发、技术创新、客户服务等方面进一步增强实力，未来将面临市场竞争加剧的风险。</w:t>
      </w:r>
    </w:p>
    <w:p>
      <w:pPr>
        <w:pStyle w:val="BodyText"/>
        <w:spacing w:line="451" w:lineRule="auto" w:before="54"/>
        <w:ind w:right="92" w:firstLine="482"/>
        <w:jc w:val="left"/>
      </w:pPr>
      <w:r>
        <w:rPr>
          <w:spacing w:val="-1"/>
        </w:rPr>
        <w:t>针对以上风险，公司拟采取如下应对措施：（</w:t>
      </w:r>
      <w:r>
        <w:rPr>
          <w:rFonts w:ascii="Times New Roman" w:hAnsi="Times New Roman" w:cs="Times New Roman" w:eastAsia="Times New Roman" w:hint="default"/>
          <w:spacing w:val="-1"/>
        </w:rPr>
        <w:t>1</w:t>
      </w:r>
      <w:r>
        <w:rPr>
          <w:spacing w:val="-1"/>
        </w:rPr>
        <w:t>）公司将加强自主创新，不断开发新产品，对原有产品进行升级换代，</w:t>
      </w:r>
      <w:r>
        <w:rPr/>
        <w:t> 以满足客户不断增长的需求，并致力提高服务质量，为客户创造更大的价值；（</w:t>
      </w:r>
      <w:r>
        <w:rPr>
          <w:rFonts w:ascii="Times New Roman" w:hAnsi="Times New Roman" w:cs="Times New Roman" w:eastAsia="Times New Roman" w:hint="default"/>
        </w:rPr>
        <w:t>2</w:t>
      </w:r>
      <w:r>
        <w:rPr/>
        <w:t>）对市场进行充分调研，深刻理解客户需</w:t>
      </w:r>
      <w:r>
        <w:rPr>
          <w:spacing w:val="-82"/>
        </w:rPr>
        <w:t> </w:t>
      </w:r>
      <w:r>
        <w:rPr>
          <w:spacing w:val="-82"/>
        </w:rPr>
      </w:r>
      <w:r>
        <w:rPr/>
        <w:t>求，加强项目可行性研究分析，从而控制和分散相关风险。</w:t>
      </w:r>
    </w:p>
    <w:p>
      <w:pPr>
        <w:pStyle w:val="BodyText"/>
        <w:spacing w:line="451" w:lineRule="auto" w:before="74"/>
        <w:ind w:left="636" w:right="92"/>
        <w:jc w:val="left"/>
      </w:pPr>
      <w:r>
        <w:rPr>
          <w:rFonts w:ascii="Times New Roman" w:hAnsi="Times New Roman" w:cs="Times New Roman" w:eastAsia="Times New Roman" w:hint="default"/>
        </w:rPr>
        <w:t>3</w:t>
      </w:r>
      <w:r>
        <w:rPr/>
        <w:t>、企业管理风险 </w:t>
      </w:r>
      <w:r>
        <w:rPr>
          <w:spacing w:val="-1"/>
        </w:rPr>
        <w:t>公司上市以来收入快速增长，经营规模、业务范围和人员规模不断扩大，对企业管理体制、理念和方法等方面提出了</w:t>
      </w:r>
    </w:p>
    <w:p>
      <w:pPr>
        <w:pStyle w:val="BodyText"/>
        <w:spacing w:line="477" w:lineRule="auto" w:before="74"/>
        <w:ind w:left="154" w:right="92"/>
        <w:jc w:val="left"/>
      </w:pPr>
      <w:r>
        <w:rPr>
          <w:spacing w:val="-2"/>
        </w:rPr>
        <w:t>更高的要求，如果公司管理水平不能及时适应规模迅速扩张的需要，将削弱公司的市场竞争力，存在规模迅速扩张导致的管</w:t>
      </w:r>
      <w:r>
        <w:rPr>
          <w:spacing w:val="-66"/>
        </w:rPr>
        <w:t> </w:t>
      </w:r>
      <w:r>
        <w:rPr>
          <w:spacing w:val="-66"/>
        </w:rPr>
      </w:r>
      <w:r>
        <w:rPr/>
        <w:t>理风险。</w:t>
      </w:r>
    </w:p>
    <w:p>
      <w:pPr>
        <w:pStyle w:val="BodyText"/>
        <w:spacing w:line="458" w:lineRule="auto" w:before="54"/>
        <w:ind w:right="189" w:firstLine="482"/>
        <w:jc w:val="both"/>
      </w:pPr>
      <w:r>
        <w:rPr/>
        <w:t>针对上述风险，公司拟采取如下应对措施：（</w:t>
      </w:r>
      <w:r>
        <w:rPr>
          <w:rFonts w:ascii="Times New Roman" w:hAnsi="Times New Roman" w:cs="Times New Roman" w:eastAsia="Times New Roman" w:hint="default"/>
        </w:rPr>
        <w:t>1</w:t>
      </w:r>
      <w:r>
        <w:rPr/>
        <w:t>）上市至今，公司基本完成了人才储备工作，未来将结合业务发展科 学配备人员，并不断优化人员结构，提高人员的综合素质和工作绩效；（</w:t>
      </w:r>
      <w:r>
        <w:rPr>
          <w:rFonts w:ascii="Times New Roman" w:hAnsi="Times New Roman" w:cs="Times New Roman" w:eastAsia="Times New Roman" w:hint="default"/>
        </w:rPr>
        <w:t>2</w:t>
      </w:r>
      <w:r>
        <w:rPr/>
        <w:t>）公司通过优化组织结构、全面预算管理、完善</w:t>
      </w:r>
      <w:r>
        <w:rPr>
          <w:spacing w:val="-82"/>
        </w:rPr>
        <w:t> </w:t>
      </w:r>
      <w:r>
        <w:rPr>
          <w:spacing w:val="-82"/>
        </w:rPr>
      </w:r>
      <w:r>
        <w:rPr/>
        <w:t>绩效考核、提高企业信息化管理水平，并不断完善各项制度，细化内部控制制度，提高管理效率；（</w:t>
      </w:r>
      <w:r>
        <w:rPr>
          <w:rFonts w:ascii="Times New Roman" w:hAnsi="Times New Roman" w:cs="Times New Roman" w:eastAsia="Times New Roman" w:hint="default"/>
        </w:rPr>
        <w:t>3</w:t>
      </w:r>
      <w:r>
        <w:rPr/>
        <w:t>）公司对管理层加强</w:t>
      </w:r>
      <w:r>
        <w:rPr>
          <w:spacing w:val="-81"/>
        </w:rPr>
        <w:t> </w:t>
      </w:r>
      <w:r>
        <w:rPr>
          <w:spacing w:val="-81"/>
        </w:rPr>
      </w:r>
      <w:r>
        <w:rPr>
          <w:spacing w:val="-2"/>
        </w:rPr>
        <w:t>培训与学习，提高管理素质和决策能力，并引入外部管理人才、聘请行业专家和顾问，积极学习先进的管理理念与方法，使</w:t>
      </w:r>
      <w:r>
        <w:rPr>
          <w:spacing w:val="-66"/>
        </w:rPr>
        <w:t> </w:t>
      </w:r>
      <w:r>
        <w:rPr>
          <w:spacing w:val="-66"/>
        </w:rPr>
      </w:r>
      <w:r>
        <w:rPr/>
        <w:t>企业管理更加制度化、规范化、科学化。</w:t>
      </w:r>
    </w:p>
    <w:p>
      <w:pPr>
        <w:pStyle w:val="BodyText"/>
        <w:spacing w:line="451" w:lineRule="auto" w:before="68"/>
        <w:ind w:left="636" w:right="92"/>
        <w:jc w:val="left"/>
      </w:pPr>
      <w:r>
        <w:rPr>
          <w:rFonts w:ascii="Times New Roman" w:hAnsi="Times New Roman" w:cs="Times New Roman" w:eastAsia="Times New Roman" w:hint="default"/>
        </w:rPr>
        <w:t>4</w:t>
      </w:r>
      <w:r>
        <w:rPr/>
        <w:t>、专业技术风险 大数据应用软件开发技术发展快、研发投入大、市场需求多变，</w:t>
      </w:r>
      <w:r>
        <w:rPr>
          <w:rFonts w:ascii="Times New Roman" w:hAnsi="Times New Roman" w:cs="Times New Roman" w:eastAsia="Times New Roman" w:hint="default"/>
        </w:rPr>
        <w:t>“</w:t>
      </w:r>
      <w:r>
        <w:rPr/>
        <w:t>大服务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云计算</w:t>
      </w:r>
      <w:r>
        <w:rPr>
          <w:rFonts w:ascii="Times New Roman" w:hAnsi="Times New Roman" w:cs="Times New Roman" w:eastAsia="Times New Roman" w:hint="default"/>
        </w:rPr>
        <w:t>”</w:t>
      </w:r>
      <w:r>
        <w:rPr/>
        <w:t>催动信息技术以及相关领域的业</w:t>
      </w:r>
    </w:p>
    <w:p>
      <w:pPr>
        <w:pStyle w:val="BodyText"/>
        <w:spacing w:line="477" w:lineRule="auto" w:before="43"/>
        <w:ind w:right="92"/>
        <w:jc w:val="left"/>
      </w:pPr>
      <w:r>
        <w:rPr>
          <w:spacing w:val="-2"/>
        </w:rPr>
        <w:t>务出现更为复杂的变化。如果公司不能持续、及时地关注技术发展的国际动态，持续研发创新，从而无法进行技术和产品升</w:t>
      </w:r>
      <w:r>
        <w:rPr>
          <w:spacing w:val="-66"/>
        </w:rPr>
        <w:t> </w:t>
      </w:r>
      <w:r>
        <w:rPr>
          <w:spacing w:val="-66"/>
        </w:rPr>
      </w:r>
      <w:r>
        <w:rPr/>
        <w:t>级换代，现有的技术和产品将面临被淘汰的风险。</w:t>
      </w:r>
    </w:p>
    <w:p>
      <w:pPr>
        <w:pStyle w:val="BodyText"/>
        <w:spacing w:line="451" w:lineRule="auto" w:before="54"/>
        <w:ind w:right="191" w:firstLine="482"/>
        <w:jc w:val="both"/>
      </w:pPr>
      <w:r>
        <w:rPr/>
        <w:t>针对以上风险，公司拟采取如下应对措施：（</w:t>
      </w:r>
      <w:r>
        <w:rPr>
          <w:rFonts w:ascii="Times New Roman" w:hAnsi="Times New Roman" w:cs="Times New Roman" w:eastAsia="Times New Roman" w:hint="default"/>
        </w:rPr>
        <w:t>1</w:t>
      </w:r>
      <w:r>
        <w:rPr/>
        <w:t>）公司将紧密跟踪国内外大数据的技术走向，及时学习国内外前沿技 术；（</w:t>
      </w:r>
      <w:r>
        <w:rPr>
          <w:rFonts w:ascii="Times New Roman" w:hAnsi="Times New Roman" w:cs="Times New Roman" w:eastAsia="Times New Roman" w:hint="default"/>
        </w:rPr>
        <w:t>2</w:t>
      </w:r>
      <w:r>
        <w:rPr/>
        <w:t>）深入调研各行业客户的实际需求，加大研发投入，加强专业人才引进，加深与国际知名</w:t>
      </w:r>
      <w:r>
        <w:rPr>
          <w:rFonts w:ascii="Times New Roman" w:hAnsi="Times New Roman" w:cs="Times New Roman" w:eastAsia="Times New Roman" w:hint="default"/>
        </w:rPr>
        <w:t>IT</w:t>
      </w:r>
      <w:r>
        <w:rPr/>
        <w:t>企业、国内著名高校、</w:t>
      </w:r>
      <w:r>
        <w:rPr>
          <w:spacing w:val="-75"/>
        </w:rPr>
        <w:t> </w:t>
      </w:r>
      <w:r>
        <w:rPr>
          <w:spacing w:val="-75"/>
        </w:rPr>
      </w:r>
      <w:r>
        <w:rPr/>
        <w:t>研究所的合作与交流，提升公司专业技术水平。</w:t>
      </w:r>
    </w:p>
    <w:p>
      <w:pPr>
        <w:pStyle w:val="BodyText"/>
        <w:spacing w:line="451" w:lineRule="auto" w:before="74"/>
        <w:ind w:left="636" w:right="92"/>
        <w:jc w:val="left"/>
      </w:pPr>
      <w:r>
        <w:rPr>
          <w:rFonts w:ascii="Times New Roman" w:hAnsi="Times New Roman" w:cs="Times New Roman" w:eastAsia="Times New Roman" w:hint="default"/>
        </w:rPr>
        <w:t>5</w:t>
      </w:r>
      <w:r>
        <w:rPr/>
        <w:t>、人才流失风险 </w:t>
      </w:r>
      <w:r>
        <w:rPr>
          <w:spacing w:val="-3"/>
        </w:rPr>
        <w:t>高素质的软件开发团队是软件企业高效运营和可持续发展的根本保障，也是促进软件企业发展的最重要资本。近年来，</w:t>
      </w:r>
    </w:p>
    <w:p>
      <w:pPr>
        <w:spacing w:after="0" w:line="451"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89"/>
        <w:jc w:val="both"/>
      </w:pPr>
      <w:r>
        <w:rPr>
          <w:spacing w:val="-2"/>
        </w:rPr>
        <w:t>公司初步建立了合理、健康、稳定的人力资源管理模式，构建了一支由高级管理人才和</w:t>
      </w:r>
      <w:r>
        <w:rPr>
          <w:rFonts w:ascii="Times New Roman" w:hAnsi="Times New Roman" w:cs="Times New Roman" w:eastAsia="Times New Roman" w:hint="default"/>
          <w:spacing w:val="-2"/>
        </w:rPr>
        <w:t>“</w:t>
      </w:r>
      <w:r>
        <w:rPr>
          <w:spacing w:val="-2"/>
        </w:rPr>
        <w:t>高、精、尖</w:t>
      </w:r>
      <w:r>
        <w:rPr>
          <w:rFonts w:ascii="Times New Roman" w:hAnsi="Times New Roman" w:cs="Times New Roman" w:eastAsia="Times New Roman" w:hint="default"/>
          <w:spacing w:val="-2"/>
        </w:rPr>
        <w:t>”</w:t>
      </w:r>
      <w:r>
        <w:rPr>
          <w:spacing w:val="-2"/>
        </w:rPr>
        <w:t>技术人才所组成的经营</w:t>
      </w:r>
      <w:r>
        <w:rPr>
          <w:spacing w:val="-46"/>
        </w:rPr>
        <w:t> </w:t>
      </w:r>
      <w:r>
        <w:rPr>
          <w:spacing w:val="-2"/>
        </w:rPr>
        <w:t>团队。随着行业竞争的加剧，同行业企业均在吸引和挖掘此类技术人才，这将对公司构建经营团队带来压力，造成人才流失</w:t>
      </w:r>
      <w:r>
        <w:rPr>
          <w:spacing w:val="-66"/>
        </w:rPr>
        <w:t> </w:t>
      </w:r>
      <w:r>
        <w:rPr>
          <w:spacing w:val="-66"/>
        </w:rPr>
      </w:r>
      <w:r>
        <w:rPr/>
        <w:t>风险。</w:t>
      </w:r>
    </w:p>
    <w:p>
      <w:pPr>
        <w:pStyle w:val="BodyText"/>
        <w:spacing w:line="451" w:lineRule="auto" w:before="65"/>
        <w:ind w:left="154" w:right="190" w:firstLine="482"/>
        <w:jc w:val="both"/>
      </w:pPr>
      <w:r>
        <w:rPr/>
        <w:t>针对以上风险，公司拟采取如下应对措施：（</w:t>
      </w:r>
      <w:r>
        <w:rPr>
          <w:rFonts w:ascii="Times New Roman" w:hAnsi="Times New Roman" w:cs="Times New Roman" w:eastAsia="Times New Roman" w:hint="default"/>
        </w:rPr>
        <w:t>1</w:t>
      </w:r>
      <w:r>
        <w:rPr/>
        <w:t>）公司在</w:t>
      </w:r>
      <w:r>
        <w:rPr>
          <w:rFonts w:ascii="Times New Roman" w:hAnsi="Times New Roman" w:cs="Times New Roman" w:eastAsia="Times New Roman" w:hint="default"/>
        </w:rPr>
        <w:t>2012</w:t>
      </w:r>
      <w:r>
        <w:rPr/>
        <w:t>年推出了股权激励计划，使骨干员工与公司发展紧密结 合，提高了员工的归属感和使命意识，以机制留住人才；（</w:t>
      </w:r>
      <w:r>
        <w:rPr>
          <w:rFonts w:ascii="Times New Roman" w:hAnsi="Times New Roman" w:cs="Times New Roman" w:eastAsia="Times New Roman" w:hint="default"/>
        </w:rPr>
        <w:t>2</w:t>
      </w:r>
      <w:r>
        <w:rPr/>
        <w:t>）制订了完善的绩效考核制度，根据绩效提升技术人员薪酬，</w:t>
      </w:r>
      <w:r>
        <w:rPr>
          <w:spacing w:val="-82"/>
        </w:rPr>
        <w:t> </w:t>
      </w:r>
      <w:r>
        <w:rPr>
          <w:spacing w:val="-82"/>
        </w:rPr>
      </w:r>
      <w:r>
        <w:rPr/>
        <w:t>以薪酬留住人才；（</w:t>
      </w:r>
      <w:r>
        <w:rPr>
          <w:rFonts w:ascii="Times New Roman" w:hAnsi="Times New Roman" w:cs="Times New Roman" w:eastAsia="Times New Roman" w:hint="default"/>
        </w:rPr>
        <w:t>3</w:t>
      </w:r>
      <w:r>
        <w:rPr/>
        <w:t>）积极创造良好的企业文化，通过科学管理、文化融合、多重激励和职业生涯培训等方式，以发展留</w:t>
      </w:r>
      <w:r>
        <w:rPr>
          <w:spacing w:val="-83"/>
        </w:rPr>
        <w:t> </w:t>
      </w:r>
      <w:r>
        <w:rPr>
          <w:spacing w:val="-83"/>
        </w:rPr>
      </w:r>
      <w:r>
        <w:rPr/>
        <w:t>住人才。</w:t>
      </w:r>
    </w:p>
    <w:p>
      <w:pPr>
        <w:pStyle w:val="BodyText"/>
        <w:spacing w:line="451" w:lineRule="auto" w:before="74"/>
        <w:ind w:left="636" w:right="150"/>
        <w:jc w:val="left"/>
      </w:pPr>
      <w:r>
        <w:rPr>
          <w:rFonts w:ascii="Times New Roman" w:hAnsi="Times New Roman" w:cs="Times New Roman" w:eastAsia="Times New Roman" w:hint="default"/>
        </w:rPr>
        <w:t>6</w:t>
      </w:r>
      <w:r>
        <w:rPr/>
        <w:t>、产业并购的整合风险 公司上市至今，实施了多次产业并购，并购后的目标公司作为独立经营实体存续并由其原有经营管理团队继续运营。</w:t>
      </w:r>
    </w:p>
    <w:p>
      <w:pPr>
        <w:pStyle w:val="BodyText"/>
        <w:spacing w:line="477" w:lineRule="auto" w:before="74"/>
        <w:ind w:left="154" w:right="92"/>
        <w:jc w:val="left"/>
      </w:pPr>
      <w:r>
        <w:rPr>
          <w:spacing w:val="-2"/>
        </w:rPr>
        <w:t>在此基础之上，公司计划从客户资源、项目管理、技术研发、企业文化、业务团队、管理制度等方面与其进行整合。虽然上</w:t>
      </w:r>
      <w:r>
        <w:rPr>
          <w:spacing w:val="-72"/>
        </w:rPr>
        <w:t> </w:t>
      </w:r>
      <w:r>
        <w:rPr>
          <w:spacing w:val="-72"/>
        </w:rPr>
      </w:r>
      <w:r>
        <w:rPr/>
        <w:t>市公司和目标公司同处软件行业，但由于发展阶段、所处地域、业务规模有所不同，未来能否顺利完成整合存在不确定性。 若上述整合无法顺利完成，将影响产业并购协同效应的发挥，对上市公司整体经营管理造成不利影响。</w:t>
      </w:r>
    </w:p>
    <w:p>
      <w:pPr>
        <w:pStyle w:val="BodyText"/>
        <w:spacing w:line="240" w:lineRule="auto" w:before="54"/>
        <w:ind w:left="636" w:right="92"/>
        <w:jc w:val="left"/>
      </w:pPr>
      <w:r>
        <w:rPr/>
        <w:t>对此，公司将在经营规划、管理架构和财务管理等方面统筹规划，加强管理，最大程度的降低整合风险。</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70" w:right="208"/>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1" w:firstLine="480"/>
        <w:jc w:val="both"/>
      </w:pPr>
      <w:r>
        <w:rPr>
          <w:spacing w:val="-1"/>
        </w:rPr>
        <w:t>报告期内，公司董事会按照有关法律法规的要求和《公司章程》赋予的职责，严格执行股东大会决议，不断完善公司</w:t>
      </w:r>
      <w:r>
        <w:rPr/>
        <w:t> </w:t>
      </w:r>
      <w:r>
        <w:rPr>
          <w:spacing w:val="-2"/>
        </w:rPr>
        <w:t>治理水平，提升公司规范运作能力。公司管理层在董事会的领导下，积极贯彻执行年初制定的年度经营目标，为公司可持续</w:t>
      </w:r>
      <w:r>
        <w:rPr>
          <w:spacing w:val="-66"/>
        </w:rPr>
        <w:t> </w:t>
      </w:r>
      <w:r>
        <w:rPr>
          <w:spacing w:val="-66"/>
        </w:rPr>
      </w:r>
      <w:r>
        <w:rPr/>
        <w:t>发展奠定了的基础。</w:t>
      </w:r>
    </w:p>
    <w:p>
      <w:pPr>
        <w:pStyle w:val="BodyText"/>
        <w:spacing w:line="451" w:lineRule="auto" w:before="54"/>
        <w:ind w:right="92" w:firstLine="480"/>
        <w:jc w:val="left"/>
      </w:pPr>
      <w:r>
        <w:rPr>
          <w:spacing w:val="-5"/>
        </w:rPr>
        <w:t>本年度，公司实现营业总收入</w:t>
      </w:r>
      <w:r>
        <w:rPr>
          <w:rFonts w:ascii="Times New Roman" w:hAnsi="Times New Roman" w:cs="Times New Roman" w:eastAsia="Times New Roman" w:hint="default"/>
          <w:spacing w:val="-5"/>
        </w:rPr>
        <w:t>6.15</w:t>
      </w:r>
      <w:r>
        <w:rPr>
          <w:spacing w:val="-5"/>
        </w:rPr>
        <w:t>亿元，较上年同期增长</w:t>
      </w:r>
      <w:r>
        <w:rPr>
          <w:rFonts w:ascii="Times New Roman" w:hAnsi="Times New Roman" w:cs="Times New Roman" w:eastAsia="Times New Roman" w:hint="default"/>
          <w:spacing w:val="-5"/>
        </w:rPr>
        <w:t>31.42%</w:t>
      </w:r>
      <w:r>
        <w:rPr>
          <w:spacing w:val="-5"/>
        </w:rPr>
        <w:t>；实现营业利润</w:t>
      </w:r>
      <w:r>
        <w:rPr>
          <w:rFonts w:ascii="Times New Roman" w:hAnsi="Times New Roman" w:cs="Times New Roman" w:eastAsia="Times New Roman" w:hint="default"/>
          <w:spacing w:val="-5"/>
        </w:rPr>
        <w:t>13,808.73</w:t>
      </w:r>
      <w:r>
        <w:rPr>
          <w:spacing w:val="-5"/>
        </w:rPr>
        <w:t>万元，较上年同期增长</w:t>
      </w:r>
      <w:r>
        <w:rPr>
          <w:rFonts w:ascii="Times New Roman" w:hAnsi="Times New Roman" w:cs="Times New Roman" w:eastAsia="Times New Roman" w:hint="default"/>
          <w:spacing w:val="-5"/>
        </w:rPr>
        <w:t>55.77%</w:t>
      </w:r>
      <w:r>
        <w:rPr>
          <w:spacing w:val="-5"/>
        </w:rPr>
        <w:t>；</w:t>
      </w:r>
      <w:r>
        <w:rPr/>
        <w:t> 实现利润总额</w:t>
      </w:r>
      <w:r>
        <w:rPr>
          <w:rFonts w:ascii="Times New Roman" w:hAnsi="Times New Roman" w:cs="Times New Roman" w:eastAsia="Times New Roman" w:hint="default"/>
        </w:rPr>
        <w:t>14,744.96</w:t>
      </w:r>
      <w:r>
        <w:rPr/>
        <w:t>万元，较上年同期增长</w:t>
      </w:r>
      <w:r>
        <w:rPr>
          <w:rFonts w:ascii="Times New Roman" w:hAnsi="Times New Roman" w:cs="Times New Roman" w:eastAsia="Times New Roman" w:hint="default"/>
        </w:rPr>
        <w:t>51.68%</w:t>
      </w:r>
      <w:r>
        <w:rPr/>
        <w:t>；实现归属于上市公司股东的净利润</w:t>
      </w:r>
      <w:r>
        <w:rPr>
          <w:rFonts w:ascii="Times New Roman" w:hAnsi="Times New Roman" w:cs="Times New Roman" w:eastAsia="Times New Roman" w:hint="default"/>
        </w:rPr>
        <w:t>13,562.87</w:t>
      </w:r>
      <w:r>
        <w:rPr/>
        <w:t>万元，较上年同期增长</w:t>
      </w:r>
      <w:r>
        <w:rPr>
          <w:spacing w:val="-21"/>
        </w:rPr>
        <w:t> </w:t>
      </w:r>
      <w:r>
        <w:rPr>
          <w:spacing w:val="-21"/>
        </w:rPr>
      </w:r>
      <w:r>
        <w:rPr>
          <w:rFonts w:ascii="Times New Roman" w:hAnsi="Times New Roman" w:cs="Times New Roman" w:eastAsia="Times New Roman" w:hint="default"/>
        </w:rPr>
        <w:t>50.30%</w:t>
      </w:r>
      <w:r>
        <w:rPr/>
        <w:t>，完成了本年度各项目标和工作任务。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636" w:right="92"/>
        <w:jc w:val="left"/>
      </w:pPr>
      <w:r>
        <w:rPr/>
        <w:t>报告期内，公司开展的重点工作如下：</w:t>
      </w:r>
    </w:p>
    <w:p>
      <w:pPr>
        <w:spacing w:line="240" w:lineRule="auto" w:before="0"/>
        <w:rPr>
          <w:rFonts w:ascii="宋体" w:hAnsi="宋体" w:cs="宋体" w:eastAsia="宋体" w:hint="default"/>
          <w:sz w:val="18"/>
          <w:szCs w:val="18"/>
        </w:rPr>
      </w:pPr>
    </w:p>
    <w:p>
      <w:pPr>
        <w:pStyle w:val="Heading5"/>
        <w:spacing w:line="240" w:lineRule="auto" w:before="153"/>
        <w:ind w:left="455" w:right="92"/>
        <w:jc w:val="left"/>
        <w:rPr>
          <w:b w:val="0"/>
          <w:bCs w:val="0"/>
        </w:rPr>
      </w:pPr>
      <w:r>
        <w:rPr/>
        <w:t>（</w:t>
      </w:r>
      <w:r>
        <w:rPr>
          <w:rFonts w:ascii="Times New Roman" w:hAnsi="Times New Roman" w:cs="Times New Roman" w:eastAsia="Times New Roman" w:hint="default"/>
        </w:rPr>
        <w:t>1</w:t>
      </w:r>
      <w:r>
        <w:rPr/>
        <w:t>）市场格局</w:t>
      </w:r>
      <w:r>
        <w:rPr>
          <w:rFonts w:ascii="Times New Roman" w:hAnsi="Times New Roman" w:cs="Times New Roman" w:eastAsia="Times New Roman" w:hint="default"/>
        </w:rPr>
        <w:t>:</w:t>
      </w:r>
      <w:r>
        <w:rPr/>
        <w:t>电信运营商市场地位进一步夯实，移动金融市场实现规模突破，多元发展市场格局形成。</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39"/>
        <w:ind w:left="633" w:right="153"/>
        <w:jc w:val="left"/>
      </w:pPr>
      <w:r>
        <w:rPr/>
        <w:t>经过市场的布局，公司已经形成了集通信、金融、智慧城市与工业互联网多元发展的市场格局。 通信领域，公司在通信运营商领域的市场地位进一步夯实：公司中标中国移动集团深度分析云平台（</w:t>
      </w:r>
      <w:r>
        <w:rPr>
          <w:rFonts w:ascii="Times New Roman" w:hAnsi="Times New Roman" w:cs="Times New Roman" w:eastAsia="Times New Roman" w:hint="default"/>
        </w:rPr>
        <w:t>MPP</w:t>
      </w:r>
      <w:r>
        <w:rPr/>
        <w:t>数据中心）</w:t>
      </w:r>
    </w:p>
    <w:p>
      <w:pPr>
        <w:pStyle w:val="BodyText"/>
        <w:spacing w:line="451" w:lineRule="auto" w:before="21"/>
        <w:ind w:right="190"/>
        <w:jc w:val="both"/>
      </w:pPr>
      <w:r>
        <w:rPr/>
        <w:t>项目，实现了公司在联通、电信、移动集团级的大数据布局；盈利责任平台在中国联通全国推广</w:t>
      </w:r>
      <w:r>
        <w:rPr>
          <w:rFonts w:ascii="Times New Roman" w:hAnsi="Times New Roman" w:cs="Times New Roman" w:eastAsia="Times New Roman" w:hint="default"/>
        </w:rPr>
        <w:t>,</w:t>
      </w:r>
      <w:r>
        <w:rPr/>
        <w:t>累计收入贡献超</w:t>
      </w:r>
      <w:r>
        <w:rPr>
          <w:rFonts w:ascii="Times New Roman" w:hAnsi="Times New Roman" w:cs="Times New Roman" w:eastAsia="Times New Roman" w:hint="default"/>
        </w:rPr>
        <w:t>6000</w:t>
      </w:r>
      <w:r>
        <w:rPr/>
        <w:t>万，</w:t>
      </w:r>
      <w:r>
        <w:rPr>
          <w:spacing w:val="-42"/>
        </w:rPr>
        <w:t> </w:t>
      </w:r>
      <w:r>
        <w:rPr/>
        <w:t>实现了一套平台规模发展的模式突破；进入电信重点大省</w:t>
      </w:r>
      <w:r>
        <w:rPr>
          <w:rFonts w:ascii="Times New Roman" w:hAnsi="Times New Roman" w:cs="Times New Roman" w:eastAsia="Times New Roman" w:hint="default"/>
        </w:rPr>
        <w:t>,</w:t>
      </w:r>
      <w:r>
        <w:rPr/>
        <w:t>承建广东电信大数据挖掘平台，实现了南方电信大省市场布局；</w:t>
      </w:r>
      <w:r>
        <w:rPr>
          <w:spacing w:val="-42"/>
        </w:rPr>
        <w:t> </w:t>
      </w:r>
      <w:r>
        <w:rPr>
          <w:spacing w:val="-42"/>
        </w:rPr>
      </w:r>
      <w:r>
        <w:rPr/>
        <w:t>上海电信等省份合同额创历史新高，千万级规模省份增多。</w:t>
      </w:r>
    </w:p>
    <w:p>
      <w:pPr>
        <w:pStyle w:val="BodyText"/>
        <w:spacing w:line="477" w:lineRule="auto" w:before="74"/>
        <w:ind w:right="110" w:firstLine="480"/>
        <w:jc w:val="both"/>
      </w:pPr>
      <w:r>
        <w:rPr/>
        <w:t>金融领域，公司金融事业部、子公司科瑞明、子公司屹通信息进一步巩固了金融市场的格局，实现了金融领域业务的 规模发展；子公司上海屹通信息成功中标包商银行数字银行项目，创新了金融领域业务模式，开拓了金融业务新的增长点。</w:t>
      </w:r>
    </w:p>
    <w:p>
      <w:pPr>
        <w:pStyle w:val="BodyText"/>
        <w:spacing w:line="477" w:lineRule="auto" w:before="54"/>
        <w:ind w:right="193" w:firstLine="480"/>
        <w:jc w:val="both"/>
      </w:pPr>
      <w:r>
        <w:rPr>
          <w:spacing w:val="-1"/>
        </w:rPr>
        <w:t>智慧城市与工业互联网领域：公司整合资源，发力智慧城市与工业互联网领域。借助公司在大数据领域的技术与经验</w:t>
      </w:r>
      <w:r>
        <w:rPr/>
        <w:t> 优势，拓展了智慧能源、智慧环保、智慧工业、智慧安监等重大智慧应用项目，智慧工业成功进入伊朗等海外市场。</w:t>
      </w:r>
    </w:p>
    <w:p>
      <w:pPr>
        <w:spacing w:line="240" w:lineRule="auto" w:before="1"/>
        <w:rPr>
          <w:rFonts w:ascii="宋体" w:hAnsi="宋体" w:cs="宋体" w:eastAsia="宋体" w:hint="default"/>
          <w:sz w:val="16"/>
          <w:szCs w:val="16"/>
        </w:rPr>
      </w:pPr>
    </w:p>
    <w:p>
      <w:pPr>
        <w:pStyle w:val="Heading5"/>
        <w:spacing w:line="240" w:lineRule="auto"/>
        <w:ind w:left="455" w:right="92"/>
        <w:jc w:val="left"/>
        <w:rPr>
          <w:b w:val="0"/>
          <w:bCs w:val="0"/>
        </w:rPr>
      </w:pPr>
      <w:r>
        <w:rPr/>
        <w:t>（</w:t>
      </w:r>
      <w:r>
        <w:rPr>
          <w:rFonts w:ascii="Times New Roman" w:hAnsi="Times New Roman" w:cs="Times New Roman" w:eastAsia="Times New Roman" w:hint="default"/>
        </w:rPr>
        <w:t>2</w:t>
      </w:r>
      <w:r>
        <w:rPr/>
        <w:t>）技术创新：核心技术优势显现，竞争力提升，产品化转变取得成效。</w:t>
      </w:r>
      <w:r>
        <w:rPr>
          <w:b w:val="0"/>
          <w:bCs w:val="0"/>
        </w:rPr>
      </w:r>
    </w:p>
    <w:p>
      <w:pPr>
        <w:spacing w:line="240" w:lineRule="auto" w:before="0"/>
        <w:rPr>
          <w:rFonts w:ascii="宋体" w:hAnsi="宋体" w:cs="宋体" w:eastAsia="宋体" w:hint="default"/>
          <w:b/>
          <w:bCs/>
          <w:sz w:val="18"/>
          <w:szCs w:val="18"/>
        </w:rPr>
      </w:pPr>
    </w:p>
    <w:p>
      <w:pPr>
        <w:pStyle w:val="BodyText"/>
        <w:spacing w:line="458" w:lineRule="auto" w:before="139"/>
        <w:ind w:right="190" w:firstLine="480"/>
        <w:jc w:val="both"/>
      </w:pPr>
      <w:r>
        <w:rPr/>
        <w:t>公司对标国内外主流厂商的软件产品，紧密结合技术发展趋势和市场动态，提升大数据产品研发能力，召开首次</w:t>
      </w:r>
      <w:r>
        <w:rPr>
          <w:rFonts w:ascii="Times New Roman" w:hAnsi="Times New Roman" w:cs="Times New Roman" w:eastAsia="Times New Roman" w:hint="default"/>
        </w:rPr>
        <w:t>“</w:t>
      </w:r>
      <w:r>
        <w:rPr/>
        <w:t>大 数据，新未来</w:t>
      </w:r>
      <w:r>
        <w:rPr>
          <w:rFonts w:ascii="Times New Roman" w:hAnsi="Times New Roman" w:cs="Times New Roman" w:eastAsia="Times New Roman" w:hint="default"/>
        </w:rPr>
        <w:t>”</w:t>
      </w:r>
      <w:r>
        <w:rPr/>
        <w:t>的产品发布会；企业数据仓库构建系统和全业务营销及维系挽留系统两个募投项目顺利完工，推广和升级商</w:t>
      </w:r>
      <w:r>
        <w:rPr>
          <w:spacing w:val="-77"/>
        </w:rPr>
        <w:t> </w:t>
      </w:r>
      <w:r>
        <w:rPr>
          <w:spacing w:val="-77"/>
        </w:rPr>
      </w:r>
      <w:r>
        <w:rPr>
          <w:spacing w:val="-2"/>
        </w:rPr>
        <w:t>业智能应用构建工具、探索式数据分析及应用平台、数据集成和管理工具项目等平台产品；公司尝试研发产品的产品化，推</w:t>
      </w:r>
      <w:r>
        <w:rPr>
          <w:spacing w:val="-66"/>
        </w:rPr>
        <w:t> </w:t>
      </w:r>
      <w:r>
        <w:rPr>
          <w:spacing w:val="-66"/>
        </w:rPr>
      </w:r>
      <w:r>
        <w:rPr/>
        <w:t>出了</w:t>
      </w:r>
      <w:r>
        <w:rPr>
          <w:rFonts w:ascii="Times New Roman" w:hAnsi="Times New Roman" w:cs="Times New Roman" w:eastAsia="Times New Roman" w:hint="default"/>
        </w:rPr>
        <w:t>9</w:t>
      </w:r>
      <w:r>
        <w:rPr/>
        <w:t>个重点研发产品市场销售，落实合同</w:t>
      </w:r>
      <w:r>
        <w:rPr>
          <w:rFonts w:ascii="Times New Roman" w:hAnsi="Times New Roman" w:cs="Times New Roman" w:eastAsia="Times New Roman" w:hint="default"/>
        </w:rPr>
        <w:t>59</w:t>
      </w:r>
      <w:r>
        <w:rPr/>
        <w:t>个，推广</w:t>
      </w:r>
      <w:r>
        <w:rPr>
          <w:rFonts w:ascii="Times New Roman" w:hAnsi="Times New Roman" w:cs="Times New Roman" w:eastAsia="Times New Roman" w:hint="default"/>
        </w:rPr>
        <w:t>82</w:t>
      </w:r>
      <w:r>
        <w:rPr/>
        <w:t>套；大数据一体机在</w:t>
      </w:r>
      <w:r>
        <w:rPr>
          <w:rFonts w:ascii="Times New Roman" w:hAnsi="Times New Roman" w:cs="Times New Roman" w:eastAsia="Times New Roman" w:hint="default"/>
        </w:rPr>
        <w:t>7</w:t>
      </w:r>
      <w:r>
        <w:rPr/>
        <w:t>省电信运营商部署</w:t>
      </w:r>
      <w:r>
        <w:rPr>
          <w:rFonts w:ascii="Times New Roman" w:hAnsi="Times New Roman" w:cs="Times New Roman" w:eastAsia="Times New Roman" w:hint="default"/>
        </w:rPr>
        <w:t>,</w:t>
      </w:r>
      <w:r>
        <w:rPr/>
        <w:t>节点达</w:t>
      </w:r>
      <w:r>
        <w:rPr>
          <w:rFonts w:ascii="Times New Roman" w:hAnsi="Times New Roman" w:cs="Times New Roman" w:eastAsia="Times New Roman" w:hint="default"/>
        </w:rPr>
        <w:t>50</w:t>
      </w:r>
      <w:r>
        <w:rPr/>
        <w:t>个；</w:t>
      </w:r>
      <w:r>
        <w:rPr>
          <w:rFonts w:ascii="Times New Roman" w:hAnsi="Times New Roman" w:cs="Times New Roman" w:eastAsia="Times New Roman" w:hint="default"/>
        </w:rPr>
        <w:t>Hadoop</w:t>
      </w:r>
      <w:r>
        <w:rPr/>
        <w:t>平台</w:t>
      </w:r>
    </w:p>
    <w:p>
      <w:pPr>
        <w:spacing w:after="0" w:line="458"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93"/>
        <w:jc w:val="left"/>
      </w:pPr>
      <w:r>
        <w:rPr/>
        <w:t>在</w:t>
      </w:r>
      <w:r>
        <w:rPr>
          <w:rFonts w:ascii="Times New Roman" w:hAnsi="Times New Roman" w:cs="Times New Roman" w:eastAsia="Times New Roman" w:hint="default"/>
        </w:rPr>
        <w:t>18</w:t>
      </w:r>
      <w:r>
        <w:rPr/>
        <w:t>省运营商部署</w:t>
      </w:r>
      <w:r>
        <w:rPr>
          <w:rFonts w:ascii="Times New Roman" w:hAnsi="Times New Roman" w:cs="Times New Roman" w:eastAsia="Times New Roman" w:hint="default"/>
        </w:rPr>
        <w:t>,</w:t>
      </w:r>
      <w:r>
        <w:rPr/>
        <w:t>节点近千个；引进了大数据技术精英团队，自主研发</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平台产品，以平台化的产品思路和专业化</w:t>
      </w:r>
      <w:r>
        <w:rPr>
          <w:spacing w:val="-30"/>
        </w:rPr>
        <w:t> </w:t>
      </w:r>
      <w:r>
        <w:rPr>
          <w:spacing w:val="-30"/>
        </w:rPr>
      </w:r>
      <w:r>
        <w:rPr/>
        <w:t>的系统优势切入市场，为行业大数据应用搭建通道，提升企业效率的杠杆效应，提高公司在大数据全产业链的产品竞争力。 公司推进了企业核心知识能力的沉淀，通过知识管理夯实企业发展的技术基础。</w:t>
      </w:r>
    </w:p>
    <w:p>
      <w:pPr>
        <w:spacing w:line="240" w:lineRule="auto" w:before="12"/>
        <w:rPr>
          <w:rFonts w:ascii="宋体" w:hAnsi="宋体" w:cs="宋体" w:eastAsia="宋体" w:hint="default"/>
          <w:sz w:val="16"/>
          <w:szCs w:val="16"/>
        </w:rPr>
      </w:pPr>
    </w:p>
    <w:p>
      <w:pPr>
        <w:pStyle w:val="Heading5"/>
        <w:spacing w:line="240" w:lineRule="auto"/>
        <w:ind w:left="455" w:right="92"/>
        <w:jc w:val="left"/>
        <w:rPr>
          <w:b w:val="0"/>
          <w:bCs w:val="0"/>
        </w:rPr>
      </w:pPr>
      <w:r>
        <w:rPr/>
        <w:t>（</w:t>
      </w:r>
      <w:r>
        <w:rPr>
          <w:rFonts w:ascii="Times New Roman" w:hAnsi="Times New Roman" w:cs="Times New Roman" w:eastAsia="Times New Roman" w:hint="default"/>
        </w:rPr>
        <w:t>3</w:t>
      </w:r>
      <w:r>
        <w:rPr/>
        <w:t>）战略投资：完成跨行业规模并购，外延扩张打造强势产业链</w:t>
      </w:r>
      <w:r>
        <w:rPr>
          <w:spacing w:val="-18"/>
        </w:rPr>
        <w:t> </w:t>
      </w:r>
      <w:r>
        <w:rPr/>
        <w:t>。</w:t>
      </w:r>
      <w:r>
        <w:rPr>
          <w:b w:val="0"/>
          <w:bCs w:val="0"/>
        </w:rPr>
      </w:r>
    </w:p>
    <w:p>
      <w:pPr>
        <w:spacing w:line="240" w:lineRule="auto" w:before="0"/>
        <w:rPr>
          <w:rFonts w:ascii="宋体" w:hAnsi="宋体" w:cs="宋体" w:eastAsia="宋体" w:hint="default"/>
          <w:b/>
          <w:bCs/>
          <w:sz w:val="18"/>
          <w:szCs w:val="18"/>
        </w:rPr>
      </w:pPr>
    </w:p>
    <w:p>
      <w:pPr>
        <w:pStyle w:val="BodyText"/>
        <w:spacing w:line="468" w:lineRule="auto" w:before="139"/>
        <w:ind w:left="154" w:right="191" w:firstLine="480"/>
        <w:jc w:val="both"/>
      </w:pPr>
      <w:r>
        <w:rPr/>
        <w:t>报告期内，公司先后收购了上海屹通信息</w:t>
      </w:r>
      <w:r>
        <w:rPr>
          <w:rFonts w:ascii="Times New Roman" w:hAnsi="Times New Roman" w:cs="Times New Roman" w:eastAsia="Times New Roman" w:hint="default"/>
        </w:rPr>
        <w:t>100%</w:t>
      </w:r>
      <w:r>
        <w:rPr/>
        <w:t>股权、北京汉桥科创</w:t>
      </w:r>
      <w:r>
        <w:rPr>
          <w:rFonts w:ascii="Times New Roman" w:hAnsi="Times New Roman" w:cs="Times New Roman" w:eastAsia="Times New Roman" w:hint="default"/>
        </w:rPr>
        <w:t>51%</w:t>
      </w:r>
      <w:r>
        <w:rPr/>
        <w:t>股权及北京普泽创智</w:t>
      </w:r>
      <w:r>
        <w:rPr>
          <w:rFonts w:ascii="Times New Roman" w:hAnsi="Times New Roman" w:cs="Times New Roman" w:eastAsia="Times New Roman" w:hint="default"/>
        </w:rPr>
        <w:t>100%</w:t>
      </w:r>
      <w:r>
        <w:rPr/>
        <w:t>股权。通过一系列 </w:t>
      </w:r>
      <w:r>
        <w:rPr>
          <w:spacing w:val="-2"/>
        </w:rPr>
        <w:t>收购，加强了在大数据产业链的技术实力，进一步拓展了公司在金融、电信等领域的市场规模与能力，培养了新的金融行业</w:t>
      </w:r>
      <w:r>
        <w:rPr>
          <w:spacing w:val="-66"/>
        </w:rPr>
        <w:t> </w:t>
      </w:r>
      <w:r>
        <w:rPr>
          <w:spacing w:val="-66"/>
        </w:rPr>
      </w:r>
      <w:r>
        <w:rPr>
          <w:spacing w:val="-2"/>
        </w:rPr>
        <w:t>战略性客户，开拓了新的利润增长点和新的市场空间。通过战略收购，全面整合双方的优质客户资源、人才资源、产品和技</w:t>
      </w:r>
      <w:r>
        <w:rPr>
          <w:spacing w:val="-66"/>
        </w:rPr>
        <w:t> </w:t>
      </w:r>
      <w:r>
        <w:rPr>
          <w:spacing w:val="-66"/>
        </w:rPr>
      </w:r>
      <w:r>
        <w:rPr/>
        <w:t>术资源，充分发挥大平台的优势，进一步增强双方的竞争力和竞争优势，实现一加一大于二的双赢效果。</w:t>
      </w:r>
    </w:p>
    <w:p>
      <w:pPr>
        <w:spacing w:line="240" w:lineRule="auto" w:before="8"/>
        <w:rPr>
          <w:rFonts w:ascii="宋体" w:hAnsi="宋体" w:cs="宋体" w:eastAsia="宋体" w:hint="default"/>
          <w:sz w:val="16"/>
          <w:szCs w:val="16"/>
        </w:rPr>
      </w:pPr>
    </w:p>
    <w:p>
      <w:pPr>
        <w:pStyle w:val="Heading5"/>
        <w:spacing w:line="240" w:lineRule="auto"/>
        <w:ind w:left="455" w:right="92"/>
        <w:jc w:val="left"/>
        <w:rPr>
          <w:b w:val="0"/>
          <w:bCs w:val="0"/>
        </w:rPr>
      </w:pPr>
      <w:r>
        <w:rPr/>
        <w:t>（</w:t>
      </w:r>
      <w:r>
        <w:rPr>
          <w:rFonts w:ascii="Times New Roman" w:hAnsi="Times New Roman" w:cs="Times New Roman" w:eastAsia="Times New Roman" w:hint="default"/>
        </w:rPr>
        <w:t>4</w:t>
      </w:r>
      <w:r>
        <w:rPr/>
        <w:t>）管理提升：管理精细化取得成效，文化融合助力经营提升。</w:t>
      </w:r>
      <w:r>
        <w:rPr>
          <w:b w:val="0"/>
          <w:bCs w:val="0"/>
        </w:rPr>
      </w:r>
    </w:p>
    <w:p>
      <w:pPr>
        <w:spacing w:line="240" w:lineRule="auto" w:before="0"/>
        <w:rPr>
          <w:rFonts w:ascii="宋体" w:hAnsi="宋体" w:cs="宋体" w:eastAsia="宋体" w:hint="default"/>
          <w:b/>
          <w:bCs/>
          <w:sz w:val="18"/>
          <w:szCs w:val="18"/>
        </w:rPr>
      </w:pPr>
    </w:p>
    <w:p>
      <w:pPr>
        <w:pStyle w:val="BodyText"/>
        <w:spacing w:line="463" w:lineRule="auto" w:before="139"/>
        <w:ind w:left="154" w:right="90" w:firstLine="480"/>
        <w:jc w:val="left"/>
      </w:pPr>
      <w:r>
        <w:rPr>
          <w:rFonts w:ascii="Times New Roman" w:hAnsi="Times New Roman" w:cs="Times New Roman" w:eastAsia="Times New Roman" w:hint="default"/>
        </w:rPr>
        <w:t>2014</w:t>
      </w:r>
      <w:r>
        <w:rPr/>
        <w:t>年，公司落实经营任务的分解和执行，以实现部门规模化运营，并在规模化运营过程中实现效益最大化；继续加 强预算管理及对子公司的管控，优化完善财务审批流程，严格控制财务风险；继续严格控制费用开支，通过全面预算管理， </w:t>
      </w:r>
      <w:r>
        <w:rPr>
          <w:spacing w:val="-3"/>
        </w:rPr>
        <w:t>并结合</w:t>
      </w:r>
      <w:r>
        <w:rPr>
          <w:rFonts w:ascii="Times New Roman" w:hAnsi="Times New Roman" w:cs="Times New Roman" w:eastAsia="Times New Roman" w:hint="default"/>
          <w:spacing w:val="-3"/>
        </w:rPr>
        <w:t>IT</w:t>
      </w:r>
      <w:r>
        <w:rPr>
          <w:spacing w:val="-3"/>
        </w:rPr>
        <w:t>系统与绩效考核等手段，加强对成本、费用的控制，使成本和费用增长保持在合理水平，公司盈利能力进一步提升。</w:t>
      </w:r>
    </w:p>
    <w:p>
      <w:pPr>
        <w:pStyle w:val="BodyText"/>
        <w:spacing w:line="463" w:lineRule="auto" w:before="33"/>
        <w:ind w:left="154" w:right="191" w:firstLine="480"/>
        <w:jc w:val="both"/>
      </w:pPr>
      <w:r>
        <w:rPr>
          <w:spacing w:val="-1"/>
        </w:rPr>
        <w:t>报告期内，公司在各事业部、子公司等</w:t>
      </w:r>
      <w:r>
        <w:rPr>
          <w:rFonts w:ascii="Times New Roman" w:hAnsi="Times New Roman" w:cs="Times New Roman" w:eastAsia="Times New Roman" w:hint="default"/>
          <w:spacing w:val="-1"/>
        </w:rPr>
        <w:t>10</w:t>
      </w:r>
      <w:r>
        <w:rPr>
          <w:spacing w:val="-1"/>
        </w:rPr>
        <w:t>个省市开展了企业文化巡讲活动，通过官网、微信平台等，及时分发公司资</w:t>
      </w:r>
      <w:r>
        <w:rPr/>
        <w:t> </w:t>
      </w:r>
      <w:r>
        <w:rPr>
          <w:spacing w:val="-2"/>
        </w:rPr>
        <w:t>讯；完善公司学习体系建设，开展智慧大讲堂分享和通用技能培训；组织了多次员工活动和社会公益活动。持续深化了企业</w:t>
      </w:r>
      <w:r>
        <w:rPr>
          <w:spacing w:val="-66"/>
        </w:rPr>
        <w:t> </w:t>
      </w:r>
      <w:r>
        <w:rPr>
          <w:spacing w:val="-66"/>
        </w:rPr>
      </w:r>
      <w:r>
        <w:rPr/>
        <w:t>文化建设，推进企业文化的有效传播、灌输和认同，促进文化融和，提升公司向心力和执行力。</w:t>
      </w:r>
    </w:p>
    <w:p>
      <w:pPr>
        <w:pStyle w:val="BodyText"/>
        <w:spacing w:line="451" w:lineRule="auto" w:before="65"/>
        <w:ind w:right="191" w:firstLine="480"/>
        <w:jc w:val="both"/>
      </w:pPr>
      <w:r>
        <w:rPr>
          <w:spacing w:val="-1"/>
        </w:rPr>
        <w:t>为激励公司核心人员，充分调动其工作的积极性，公司在</w:t>
      </w:r>
      <w:r>
        <w:rPr>
          <w:rFonts w:ascii="Times New Roman" w:hAnsi="Times New Roman" w:cs="Times New Roman" w:eastAsia="Times New Roman" w:hint="default"/>
          <w:spacing w:val="-1"/>
        </w:rPr>
        <w:t>2012</w:t>
      </w:r>
      <w:r>
        <w:rPr>
          <w:spacing w:val="-1"/>
        </w:rPr>
        <w:t>年推出股权激励计划，报告期内，公司股权激励计划第</w:t>
      </w:r>
      <w:r>
        <w:rPr/>
        <w:t> 一个考核期已完成可行权和解锁手续。股权激励的顺利实施使员工能够分享企业成长所带来的收益</w:t>
      </w:r>
      <w:r>
        <w:rPr>
          <w:rFonts w:ascii="Times New Roman" w:hAnsi="Times New Roman" w:cs="Times New Roman" w:eastAsia="Times New Roman" w:hint="default"/>
        </w:rPr>
        <w:t>,</w:t>
      </w:r>
      <w:r>
        <w:rPr/>
        <w:t>增强员工的归属感和认</w:t>
      </w:r>
      <w:r>
        <w:rPr>
          <w:spacing w:val="-42"/>
        </w:rPr>
        <w:t> </w:t>
      </w:r>
      <w:r>
        <w:rPr>
          <w:spacing w:val="-42"/>
        </w:rPr>
      </w:r>
      <w:r>
        <w:rPr/>
        <w:t>同感</w:t>
      </w:r>
      <w:r>
        <w:rPr>
          <w:rFonts w:ascii="Times New Roman" w:hAnsi="Times New Roman" w:cs="Times New Roman" w:eastAsia="Times New Roman" w:hint="default"/>
        </w:rPr>
        <w:t>,</w:t>
      </w:r>
      <w:r>
        <w:rPr/>
        <w:t>激发员工的积极性和创造性，并为公司持续发展奠定了人才基础。</w:t>
      </w:r>
    </w:p>
    <w:p>
      <w:pPr>
        <w:spacing w:line="240" w:lineRule="auto" w:before="4"/>
        <w:rPr>
          <w:rFonts w:ascii="宋体" w:hAnsi="宋体" w:cs="宋体" w:eastAsia="宋体" w:hint="default"/>
          <w:sz w:val="24"/>
          <w:szCs w:val="24"/>
        </w:rPr>
      </w:pPr>
    </w:p>
    <w:p>
      <w:pPr>
        <w:pStyle w:val="Heading3"/>
        <w:spacing w:line="240" w:lineRule="auto"/>
        <w:ind w:left="154" w:right="92"/>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54" w:right="92"/>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left="154" w:right="92"/>
        <w:jc w:val="left"/>
      </w:pPr>
      <w:r>
        <w:rPr>
          <w:rFonts w:ascii="Times New Roman" w:hAnsi="Times New Roman" w:cs="Times New Roman" w:eastAsia="Times New Roman" w:hint="default"/>
        </w:rPr>
        <w:t>1</w:t>
      </w:r>
      <w:r>
        <w:rPr/>
        <w:t>）概述</w:t>
      </w:r>
    </w:p>
    <w:p>
      <w:pPr>
        <w:spacing w:line="240" w:lineRule="auto" w:before="6"/>
        <w:rPr>
          <w:rFonts w:ascii="宋体" w:hAnsi="宋体" w:cs="宋体" w:eastAsia="宋体" w:hint="default"/>
          <w:sz w:val="18"/>
          <w:szCs w:val="18"/>
        </w:rPr>
      </w:pPr>
    </w:p>
    <w:p>
      <w:pPr>
        <w:pStyle w:val="BodyText"/>
        <w:spacing w:line="458" w:lineRule="auto"/>
        <w:ind w:left="154" w:right="190" w:firstLine="360"/>
        <w:jc w:val="both"/>
      </w:pPr>
      <w:r>
        <w:rPr>
          <w:spacing w:val="-2"/>
        </w:rPr>
        <w:t>本年度，公司实现营业总收入</w:t>
      </w:r>
      <w:r>
        <w:rPr>
          <w:rFonts w:ascii="Times New Roman" w:hAnsi="Times New Roman" w:cs="Times New Roman" w:eastAsia="Times New Roman" w:hint="default"/>
          <w:spacing w:val="-2"/>
        </w:rPr>
        <w:t>6.15</w:t>
      </w:r>
      <w:r>
        <w:rPr>
          <w:spacing w:val="-2"/>
        </w:rPr>
        <w:t>亿元，较上年同期增长</w:t>
      </w:r>
      <w:r>
        <w:rPr>
          <w:rFonts w:ascii="Times New Roman" w:hAnsi="Times New Roman" w:cs="Times New Roman" w:eastAsia="Times New Roman" w:hint="default"/>
          <w:spacing w:val="-2"/>
        </w:rPr>
        <w:t>31.42%</w:t>
      </w:r>
      <w:r>
        <w:rPr>
          <w:spacing w:val="-2"/>
        </w:rPr>
        <w:t>，营业成本较上年同期增长</w:t>
      </w:r>
      <w:r>
        <w:rPr>
          <w:rFonts w:ascii="Times New Roman" w:hAnsi="Times New Roman" w:cs="Times New Roman" w:eastAsia="Times New Roman" w:hint="default"/>
          <w:spacing w:val="-2"/>
        </w:rPr>
        <w:t>22.58%</w:t>
      </w:r>
      <w:r>
        <w:rPr>
          <w:spacing w:val="-2"/>
        </w:rPr>
        <w:t>，销售费用较上年同</w:t>
      </w:r>
      <w:r>
        <w:rPr/>
        <w:t> </w:t>
      </w:r>
      <w:r>
        <w:rPr>
          <w:spacing w:val="-1"/>
        </w:rPr>
        <w:t>期增长</w:t>
      </w:r>
      <w:r>
        <w:rPr>
          <w:rFonts w:ascii="Times New Roman" w:hAnsi="Times New Roman" w:cs="Times New Roman" w:eastAsia="Times New Roman" w:hint="default"/>
          <w:spacing w:val="-1"/>
        </w:rPr>
        <w:t>32.47%</w:t>
      </w:r>
      <w:r>
        <w:rPr>
          <w:spacing w:val="-1"/>
        </w:rPr>
        <w:t>，管理费用较上年同期增长</w:t>
      </w:r>
      <w:r>
        <w:rPr>
          <w:rFonts w:ascii="Times New Roman" w:hAnsi="Times New Roman" w:cs="Times New Roman" w:eastAsia="Times New Roman" w:hint="default"/>
          <w:spacing w:val="-1"/>
        </w:rPr>
        <w:t>20.07%</w:t>
      </w:r>
      <w:r>
        <w:rPr>
          <w:spacing w:val="-1"/>
        </w:rPr>
        <w:t>，经营性现金流净额较上年同期增长</w:t>
      </w:r>
      <w:r>
        <w:rPr>
          <w:rFonts w:ascii="Times New Roman" w:hAnsi="Times New Roman" w:cs="Times New Roman" w:eastAsia="Times New Roman" w:hint="default"/>
          <w:spacing w:val="-1"/>
        </w:rPr>
        <w:t>303.89%</w:t>
      </w:r>
      <w:r>
        <w:rPr>
          <w:spacing w:val="-1"/>
        </w:rPr>
        <w:t>，主要系公司在电信行业市场</w:t>
      </w:r>
      <w:r>
        <w:rPr>
          <w:spacing w:val="-71"/>
        </w:rPr>
        <w:t> </w:t>
      </w:r>
      <w:r>
        <w:rPr>
          <w:spacing w:val="-71"/>
        </w:rPr>
      </w:r>
      <w:r>
        <w:rPr>
          <w:spacing w:val="-2"/>
        </w:rPr>
        <w:t>地位进一步夯实，同时通过内生和外延方式拓展金融、工业等领域，市场份额稳步提升，同时优化管理，成本、费用增速下</w:t>
      </w:r>
      <w:r>
        <w:rPr>
          <w:spacing w:val="-68"/>
        </w:rPr>
        <w:t> </w:t>
      </w:r>
      <w:r>
        <w:rPr>
          <w:spacing w:val="-68"/>
        </w:rPr>
      </w:r>
      <w:r>
        <w:rPr/>
        <w:t>降，进一步提升了公司盈利能力。</w:t>
      </w:r>
    </w:p>
    <w:p>
      <w:pPr>
        <w:pStyle w:val="BodyText"/>
        <w:spacing w:line="240" w:lineRule="auto" w:before="31"/>
        <w:ind w:left="154" w:right="92"/>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2"/>
          <w:pgSz w:w="11910" w:h="16840"/>
          <w:pgMar w:footer="979" w:header="747" w:top="1060" w:bottom="1160" w:left="980" w:right="940"/>
          <w:pgNumType w:start="14"/>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3</w:t>
      </w:r>
      <w:r>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35" w:right="0"/>
              <w:jc w:val="left"/>
              <w:rPr>
                <w:rFonts w:ascii="Times New Roman" w:hAnsi="Times New Roman" w:cs="Times New Roman" w:eastAsia="Times New Roman" w:hint="default"/>
                <w:sz w:val="18"/>
                <w:szCs w:val="18"/>
              </w:rPr>
            </w:pPr>
            <w:r>
              <w:rPr>
                <w:rFonts w:ascii="Times New Roman"/>
                <w:sz w:val="18"/>
              </w:rPr>
              <w:t>615,266,383.37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468,161,375.81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31.42%</w:t>
            </w:r>
          </w:p>
        </w:tc>
      </w:tr>
    </w:tbl>
    <w:p>
      <w:pPr>
        <w:pStyle w:val="BodyText"/>
        <w:spacing w:line="436" w:lineRule="auto" w:before="51"/>
        <w:ind w:left="513" w:right="0" w:hanging="360"/>
        <w:jc w:val="left"/>
      </w:pPr>
      <w:r>
        <w:rPr/>
        <w:t>驱动收入变化的因素 </w:t>
      </w:r>
      <w:r>
        <w:rPr>
          <w:spacing w:val="-2"/>
        </w:rPr>
        <w:t>本报告期公司营业收入大幅增长的主要原因系：公司凭借较强的技术实力及经验和品牌优势，在大数据全产业链产品及</w:t>
      </w:r>
    </w:p>
    <w:p>
      <w:pPr>
        <w:pStyle w:val="BodyText"/>
        <w:spacing w:line="477" w:lineRule="auto" w:before="85"/>
        <w:ind w:right="151"/>
        <w:jc w:val="both"/>
      </w:pPr>
      <w:r>
        <w:rPr>
          <w:spacing w:val="-2"/>
        </w:rPr>
        <w:t>解决方案的竞争力进一步凸显，市场份额进一步提升；积极推动大数据创新应用落地，探索新的盈利模式，全面布局非电信</w:t>
      </w:r>
      <w:r>
        <w:rPr>
          <w:spacing w:val="-66"/>
        </w:rPr>
        <w:t> </w:t>
      </w:r>
      <w:r>
        <w:rPr>
          <w:spacing w:val="-66"/>
        </w:rPr>
      </w:r>
      <w:r>
        <w:rPr>
          <w:spacing w:val="-2"/>
        </w:rPr>
        <w:t>行业市场业务，逐步推动在金融、工业、政府等领域项目的落地，合同订单量保持稳定增长；本期北科亿力和科瑞明两家公</w:t>
      </w:r>
      <w:r>
        <w:rPr>
          <w:spacing w:val="-66"/>
        </w:rPr>
        <w:t> </w:t>
      </w:r>
      <w:r>
        <w:rPr>
          <w:spacing w:val="-66"/>
        </w:rPr>
      </w:r>
      <w:r>
        <w:rPr/>
        <w:t>司纳入合并报表范围。</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980"/>
        </w:sectPr>
      </w:pPr>
    </w:p>
    <w:p>
      <w:pPr>
        <w:pStyle w:val="BodyText"/>
        <w:spacing w:line="240" w:lineRule="auto" w:before="44"/>
        <w:ind w:right="-19"/>
        <w:jc w:val="left"/>
      </w:pPr>
      <w:r>
        <w:rPr/>
        <w:t>公司实物销售收入是否大于劳务收入</w:t>
      </w:r>
    </w:p>
    <w:p>
      <w:pPr>
        <w:pStyle w:val="BodyText"/>
        <w:spacing w:line="338" w:lineRule="auto" w:before="117"/>
        <w:ind w:right="23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3"/>
        <w:ind w:right="26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0"/>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2"/>
        <w:ind w:right="0"/>
        <w:jc w:val="left"/>
      </w:pPr>
      <w:r>
        <w:rPr/>
        <w:t>单位：元</w:t>
      </w:r>
    </w:p>
    <w:p>
      <w:pPr>
        <w:spacing w:after="0" w:line="240" w:lineRule="auto"/>
        <w:jc w:val="left"/>
        <w:sectPr>
          <w:type w:val="continuous"/>
          <w:pgSz w:w="11910" w:h="16840"/>
          <w:pgMar w:top="1060" w:bottom="1160" w:left="980" w:right="980"/>
          <w:cols w:num="2" w:equalWidth="0">
            <w:col w:w="4475" w:space="444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137,477,989.10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105,216,971.13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28,715,705.56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23,625,477.69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87,335,049.43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76,203,596.25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劳务支出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475,457.83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8,632,393.13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4,187,975.76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6,107,845.41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10,417,567.18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9,672,742.54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外购软件、材料等费</w:t>
            </w:r>
            <w:r>
              <w:rPr>
                <w:rFonts w:ascii="宋体" w:hAnsi="宋体" w:cs="宋体" w:eastAsia="宋体" w:hint="default"/>
                <w:sz w:val="18"/>
                <w:szCs w:val="18"/>
              </w:rPr>
              <w:t> 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41,625,316.66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20,542,298.71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10,320,027.79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6,181,192.67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892,750.88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1,063,786.97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-16.08%</w:t>
            </w:r>
          </w:p>
        </w:tc>
      </w:tr>
    </w:tbl>
    <w:p>
      <w:pPr>
        <w:pStyle w:val="BodyText"/>
        <w:spacing w:line="240" w:lineRule="auto" w:before="51"/>
        <w:ind w:left="154" w:right="0"/>
        <w:jc w:val="left"/>
      </w:pPr>
      <w:r>
        <w:rPr>
          <w:rFonts w:ascii="Times New Roman" w:hAnsi="Times New Roman" w:cs="Times New Roman" w:eastAsia="Times New Roman" w:hint="default"/>
        </w:rPr>
        <w:t>5</w:t>
      </w:r>
      <w:r>
        <w:rPr/>
        <w:t>）费用</w:t>
      </w:r>
    </w:p>
    <w:p>
      <w:pPr>
        <w:pStyle w:val="BodyText"/>
        <w:spacing w:line="240" w:lineRule="auto" w:before="10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38,728,595.42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29,236,770.46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32.47%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主要是由于本年业务规模扩大，人员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支出及办公费用等增加所致。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108,618,407.92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90,461,861.28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主要是由于本年业务规模扩大、人员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支出、研发形成的无形资产摊销和研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发投入较上年增长等所致。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-379,466.77</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-5,359,475.25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主要系公司年度内新增短期借款</w:t>
            </w:r>
          </w:p>
          <w:p>
            <w:pPr>
              <w:pStyle w:val="TableParagraph"/>
              <w:spacing w:line="240" w:lineRule="auto" w:before="7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6,500 </w:t>
            </w:r>
            <w:r>
              <w:rPr>
                <w:rFonts w:ascii="宋体" w:hAnsi="宋体" w:cs="宋体" w:eastAsia="宋体" w:hint="default"/>
                <w:sz w:val="18"/>
                <w:szCs w:val="18"/>
              </w:rPr>
              <w:t>万元，导致借款利息支出增加</w:t>
            </w:r>
            <w:r>
              <w:rPr>
                <w:rFonts w:ascii="Times New Roman" w:hAnsi="Times New Roman" w:cs="Times New Roman" w:eastAsia="Times New Roman" w:hint="default"/>
                <w:sz w:val="18"/>
                <w:szCs w:val="18"/>
              </w:rPr>
              <w:t>.</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12,596,364.47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7,293,505.31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主要系公司本年度利润增长导致本 </w:t>
            </w:r>
            <w:r>
              <w:rPr>
                <w:rFonts w:ascii="宋体" w:hAnsi="宋体" w:cs="宋体" w:eastAsia="宋体" w:hint="default"/>
                <w:spacing w:val="-2"/>
                <w:sz w:val="18"/>
                <w:szCs w:val="18"/>
              </w:rPr>
              <w:t>期所得税费用增加，以及本年度转回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以前年度确认的递延所得税所致。</w:t>
            </w:r>
          </w:p>
        </w:tc>
      </w:tr>
    </w:tbl>
    <w:p>
      <w:pPr>
        <w:pStyle w:val="BodyText"/>
        <w:spacing w:line="240" w:lineRule="auto" w:before="51"/>
        <w:ind w:left="154" w:right="92"/>
        <w:jc w:val="left"/>
      </w:pPr>
      <w:r>
        <w:rPr>
          <w:rFonts w:ascii="Times New Roman" w:hAnsi="Times New Roman" w:cs="Times New Roman" w:eastAsia="Times New Roman" w:hint="default"/>
        </w:rPr>
        <w:t>6</w:t>
      </w:r>
      <w:r>
        <w:rPr/>
        <w:t>）研发投入</w:t>
      </w:r>
    </w:p>
    <w:p>
      <w:pPr>
        <w:pStyle w:val="BodyText"/>
        <w:spacing w:line="319" w:lineRule="auto" w:before="103"/>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本报告期，公司研发总投入为</w:t>
      </w:r>
      <w:r>
        <w:rPr>
          <w:rFonts w:ascii="Times New Roman" w:hAnsi="Times New Roman" w:cs="Times New Roman" w:eastAsia="Times New Roman" w:hint="default"/>
          <w:spacing w:val="-4"/>
        </w:rPr>
        <w:t>92,564,654.20</w:t>
      </w:r>
      <w:r>
        <w:rPr>
          <w:spacing w:val="-4"/>
        </w:rPr>
        <w:t>元，占营业收入的</w:t>
      </w:r>
      <w:r>
        <w:rPr>
          <w:rFonts w:ascii="Times New Roman" w:hAnsi="Times New Roman" w:cs="Times New Roman" w:eastAsia="Times New Roman" w:hint="default"/>
          <w:spacing w:val="-4"/>
        </w:rPr>
        <w:t>15.04%</w:t>
      </w:r>
      <w:r>
        <w:rPr>
          <w:spacing w:val="-4"/>
        </w:rPr>
        <w:t>；研发支出资本化</w:t>
      </w:r>
      <w:r>
        <w:rPr>
          <w:rFonts w:ascii="Times New Roman" w:hAnsi="Times New Roman" w:cs="Times New Roman" w:eastAsia="Times New Roman" w:hint="default"/>
          <w:spacing w:val="-4"/>
        </w:rPr>
        <w:t>43,731,772.71</w:t>
      </w:r>
      <w:r>
        <w:rPr>
          <w:spacing w:val="-4"/>
        </w:rPr>
        <w:t>元，占研发投入的</w:t>
      </w:r>
      <w:r>
        <w:rPr>
          <w:rFonts w:ascii="Times New Roman" w:hAnsi="Times New Roman" w:cs="Times New Roman" w:eastAsia="Times New Roman" w:hint="default"/>
          <w:spacing w:val="-4"/>
        </w:rPr>
        <w:t>47.24%</w:t>
      </w:r>
      <w:r>
        <w:rPr>
          <w:spacing w:val="-4"/>
        </w:rPr>
        <w:t>，</w:t>
      </w:r>
      <w:r>
        <w:rPr/>
        <w:t> 占本期净利润的</w:t>
      </w:r>
      <w:r>
        <w:rPr>
          <w:rFonts w:ascii="Times New Roman" w:hAnsi="Times New Roman" w:cs="Times New Roman" w:eastAsia="Times New Roman" w:hint="default"/>
        </w:rPr>
        <w:t>32.24%</w:t>
      </w:r>
      <w:r>
        <w:rPr/>
        <w:t>。重点研发项目相关情况如下：</w:t>
      </w:r>
    </w:p>
    <w:p>
      <w:pPr>
        <w:spacing w:line="240" w:lineRule="auto" w:before="10"/>
        <w:rPr>
          <w:rFonts w:ascii="宋体" w:hAnsi="宋体" w:cs="宋体" w:eastAsia="宋体" w:hint="default"/>
          <w:sz w:val="23"/>
          <w:szCs w:val="23"/>
        </w:rPr>
      </w:pPr>
    </w:p>
    <w:tbl>
      <w:tblPr>
        <w:tblW w:w="0" w:type="auto"/>
        <w:jc w:val="left"/>
        <w:tblInd w:w="137" w:type="dxa"/>
        <w:tblLayout w:type="fixed"/>
        <w:tblCellMar>
          <w:top w:w="0" w:type="dxa"/>
          <w:left w:w="0" w:type="dxa"/>
          <w:bottom w:w="0" w:type="dxa"/>
          <w:right w:w="0" w:type="dxa"/>
        </w:tblCellMar>
        <w:tblLook w:val="01E0"/>
      </w:tblPr>
      <w:tblGrid>
        <w:gridCol w:w="1005"/>
        <w:gridCol w:w="1490"/>
        <w:gridCol w:w="4037"/>
        <w:gridCol w:w="3117"/>
      </w:tblGrid>
      <w:tr>
        <w:trPr>
          <w:trHeight w:val="334" w:hRule="exact"/>
        </w:trPr>
        <w:tc>
          <w:tcPr>
            <w:tcW w:w="10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33"/>
              <w:jc w:val="right"/>
              <w:rPr>
                <w:rFonts w:ascii="宋体" w:hAnsi="宋体" w:cs="宋体" w:eastAsia="宋体" w:hint="default"/>
                <w:sz w:val="18"/>
                <w:szCs w:val="18"/>
              </w:rPr>
            </w:pPr>
            <w:r>
              <w:rPr>
                <w:rFonts w:ascii="宋体" w:hAnsi="宋体" w:cs="宋体" w:eastAsia="宋体" w:hint="default"/>
                <w:b/>
                <w:bCs/>
                <w:w w:val="95"/>
                <w:sz w:val="18"/>
                <w:szCs w:val="18"/>
              </w:rPr>
              <w:t>项目名称</w:t>
            </w:r>
            <w:r>
              <w:rPr>
                <w:rFonts w:ascii="宋体" w:hAnsi="宋体" w:cs="宋体" w:eastAsia="宋体" w:hint="default"/>
                <w:sz w:val="18"/>
                <w:szCs w:val="18"/>
              </w:rPr>
            </w:r>
          </w:p>
        </w:tc>
        <w:tc>
          <w:tcPr>
            <w:tcW w:w="14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75" w:right="0"/>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40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项目目标</w:t>
            </w:r>
            <w:r>
              <w:rPr>
                <w:rFonts w:ascii="宋体" w:hAnsi="宋体" w:cs="宋体" w:eastAsia="宋体" w:hint="default"/>
                <w:sz w:val="18"/>
                <w:szCs w:val="18"/>
              </w:rPr>
            </w:r>
          </w:p>
        </w:tc>
        <w:tc>
          <w:tcPr>
            <w:tcW w:w="31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190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1"/>
              <w:jc w:val="both"/>
              <w:rPr>
                <w:rFonts w:ascii="宋体" w:hAnsi="宋体" w:cs="宋体" w:eastAsia="宋体" w:hint="default"/>
                <w:sz w:val="18"/>
                <w:szCs w:val="18"/>
              </w:rPr>
            </w:pPr>
            <w:r>
              <w:rPr>
                <w:rFonts w:ascii="宋体" w:hAnsi="宋体" w:cs="宋体" w:eastAsia="宋体" w:hint="default"/>
                <w:spacing w:val="16"/>
                <w:sz w:val="18"/>
                <w:szCs w:val="18"/>
              </w:rPr>
              <w:t>企业数据仓</w:t>
            </w:r>
            <w:r>
              <w:rPr>
                <w:rFonts w:ascii="宋体" w:hAnsi="宋体" w:cs="宋体" w:eastAsia="宋体" w:hint="default"/>
                <w:spacing w:val="-86"/>
                <w:sz w:val="18"/>
                <w:szCs w:val="18"/>
              </w:rPr>
              <w:t> </w:t>
            </w:r>
            <w:r>
              <w:rPr>
                <w:rFonts w:ascii="宋体" w:hAnsi="宋体" w:cs="宋体" w:eastAsia="宋体" w:hint="default"/>
                <w:spacing w:val="16"/>
                <w:sz w:val="18"/>
                <w:szCs w:val="18"/>
              </w:rPr>
              <w:t>库构建系统</w:t>
            </w:r>
            <w:r>
              <w:rPr>
                <w:rFonts w:ascii="宋体" w:hAnsi="宋体" w:cs="宋体" w:eastAsia="宋体" w:hint="default"/>
                <w:spacing w:val="-86"/>
                <w:sz w:val="18"/>
                <w:szCs w:val="18"/>
              </w:rPr>
              <w:t> </w:t>
            </w:r>
            <w:r>
              <w:rPr>
                <w:rFonts w:ascii="宋体" w:hAnsi="宋体" w:cs="宋体" w:eastAsia="宋体" w:hint="default"/>
                <w:sz w:val="18"/>
                <w:szCs w:val="18"/>
              </w:rPr>
              <w:t>项目</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left"/>
              <w:rPr>
                <w:rFonts w:ascii="宋体" w:hAnsi="宋体" w:cs="宋体" w:eastAsia="宋体" w:hint="default"/>
                <w:sz w:val="18"/>
                <w:szCs w:val="18"/>
              </w:rPr>
            </w:pPr>
            <w:r>
              <w:rPr>
                <w:rFonts w:ascii="宋体" w:hAnsi="宋体" w:cs="宋体" w:eastAsia="宋体" w:hint="default"/>
                <w:sz w:val="18"/>
                <w:szCs w:val="18"/>
              </w:rPr>
              <w:t>基于公司在电信行业的企业数据平台产品线，研发 企业数据核心模型、行业应用模板及数据仓库构建 工具。目标是扩展公司数据仓库产品支撑的行业范 </w:t>
            </w:r>
            <w:r>
              <w:rPr>
                <w:rFonts w:ascii="宋体" w:hAnsi="宋体" w:cs="宋体" w:eastAsia="宋体" w:hint="default"/>
                <w:spacing w:val="-5"/>
                <w:sz w:val="18"/>
                <w:szCs w:val="18"/>
              </w:rPr>
              <w:t>围，提升数据仓库的数据质量管控、数据共享能力，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使数据仓库项目的实施过程自动化、智能化。</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9"/>
              <w:jc w:val="both"/>
              <w:rPr>
                <w:rFonts w:ascii="宋体" w:hAnsi="宋体" w:cs="宋体" w:eastAsia="宋体" w:hint="default"/>
                <w:sz w:val="18"/>
                <w:szCs w:val="18"/>
              </w:rPr>
            </w:pPr>
            <w:r>
              <w:rPr>
                <w:rFonts w:ascii="宋体" w:hAnsi="宋体" w:cs="宋体" w:eastAsia="宋体" w:hint="default"/>
                <w:sz w:val="18"/>
                <w:szCs w:val="18"/>
              </w:rPr>
              <w:t>该项目填补国内外快速高标准建设企业 级数据仓库的空白，提供各行业领域的 数据仓库基础核心架构，缩短企业构建 数据仓库的建设周期，保障企业数据仓 库的建设质量，节约公司项目实施的成 本。</w:t>
            </w:r>
          </w:p>
        </w:tc>
      </w:tr>
      <w:tr>
        <w:trPr>
          <w:trHeight w:val="1595"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21"/>
              <w:jc w:val="both"/>
              <w:rPr>
                <w:rFonts w:ascii="宋体" w:hAnsi="宋体" w:cs="宋体" w:eastAsia="宋体" w:hint="default"/>
                <w:sz w:val="18"/>
                <w:szCs w:val="18"/>
              </w:rPr>
            </w:pPr>
            <w:r>
              <w:rPr>
                <w:rFonts w:ascii="宋体" w:hAnsi="宋体" w:cs="宋体" w:eastAsia="宋体" w:hint="default"/>
                <w:spacing w:val="16"/>
                <w:sz w:val="18"/>
                <w:szCs w:val="18"/>
              </w:rPr>
              <w:t>全业务营销</w:t>
            </w:r>
            <w:r>
              <w:rPr>
                <w:rFonts w:ascii="宋体" w:hAnsi="宋体" w:cs="宋体" w:eastAsia="宋体" w:hint="default"/>
                <w:spacing w:val="-86"/>
                <w:sz w:val="18"/>
                <w:szCs w:val="18"/>
              </w:rPr>
              <w:t> </w:t>
            </w:r>
            <w:r>
              <w:rPr>
                <w:rFonts w:ascii="宋体" w:hAnsi="宋体" w:cs="宋体" w:eastAsia="宋体" w:hint="default"/>
                <w:spacing w:val="16"/>
                <w:sz w:val="18"/>
                <w:szCs w:val="18"/>
              </w:rPr>
              <w:t>及维系挽留</w:t>
            </w:r>
            <w:r>
              <w:rPr>
                <w:rFonts w:ascii="宋体" w:hAnsi="宋体" w:cs="宋体" w:eastAsia="宋体" w:hint="default"/>
                <w:spacing w:val="-86"/>
                <w:sz w:val="18"/>
                <w:szCs w:val="18"/>
              </w:rPr>
              <w:t> </w:t>
            </w:r>
            <w:r>
              <w:rPr>
                <w:rFonts w:ascii="宋体" w:hAnsi="宋体" w:cs="宋体" w:eastAsia="宋体" w:hint="default"/>
                <w:sz w:val="18"/>
                <w:szCs w:val="18"/>
              </w:rPr>
              <w:t>系统项目</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建设全业务营销及维系挽留系统，一种面向电信行 </w:t>
            </w:r>
            <w:r>
              <w:rPr>
                <w:rFonts w:ascii="宋体" w:hAnsi="宋体" w:cs="宋体" w:eastAsia="宋体" w:hint="default"/>
                <w:spacing w:val="-7"/>
                <w:sz w:val="18"/>
                <w:szCs w:val="18"/>
              </w:rPr>
              <w:t>业的分析型</w:t>
            </w:r>
            <w:r>
              <w:rPr>
                <w:rFonts w:ascii="Times New Roman" w:hAnsi="Times New Roman" w:cs="Times New Roman" w:eastAsia="Times New Roman" w:hint="default"/>
                <w:spacing w:val="-7"/>
                <w:sz w:val="18"/>
                <w:szCs w:val="18"/>
              </w:rPr>
              <w:t>CRM</w:t>
            </w:r>
            <w:r>
              <w:rPr>
                <w:rFonts w:ascii="宋体" w:hAnsi="宋体" w:cs="宋体" w:eastAsia="宋体" w:hint="default"/>
                <w:spacing w:val="-7"/>
                <w:sz w:val="18"/>
                <w:szCs w:val="18"/>
              </w:rPr>
              <w:t>软件平台。该平台是在现有基础上，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通过提升客户识别准确度、完善对客户各类特征的</w:t>
            </w:r>
            <w:r>
              <w:rPr>
                <w:rFonts w:ascii="宋体" w:hAnsi="宋体" w:cs="宋体" w:eastAsia="宋体" w:hint="default"/>
                <w:sz w:val="18"/>
                <w:szCs w:val="18"/>
              </w:rPr>
              <w:t> 把握，达到提升营销与维系挽留效果、降低成本的 最终目标。</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39"/>
              <w:jc w:val="left"/>
              <w:rPr>
                <w:rFonts w:ascii="宋体" w:hAnsi="宋体" w:cs="宋体" w:eastAsia="宋体" w:hint="default"/>
                <w:sz w:val="18"/>
                <w:szCs w:val="18"/>
              </w:rPr>
            </w:pPr>
            <w:r>
              <w:rPr>
                <w:rFonts w:ascii="宋体" w:hAnsi="宋体" w:cs="宋体" w:eastAsia="宋体" w:hint="default"/>
                <w:sz w:val="18"/>
                <w:szCs w:val="18"/>
              </w:rPr>
              <w:t>提升公司在企业客户营销和维系等方面 的建设与服务能力</w:t>
            </w:r>
          </w:p>
        </w:tc>
      </w:tr>
      <w:tr>
        <w:trPr>
          <w:trHeight w:val="5339"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7"/>
              <w:jc w:val="right"/>
              <w:rPr>
                <w:rFonts w:ascii="宋体" w:hAnsi="宋体" w:cs="宋体" w:eastAsia="宋体" w:hint="default"/>
                <w:sz w:val="18"/>
                <w:szCs w:val="18"/>
              </w:rPr>
            </w:pPr>
            <w:r>
              <w:rPr>
                <w:rFonts w:ascii="宋体" w:hAnsi="宋体" w:cs="宋体" w:eastAsia="宋体" w:hint="default"/>
                <w:sz w:val="18"/>
                <w:szCs w:val="18"/>
              </w:rPr>
              <w:t>大数据平台</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both"/>
              <w:rPr>
                <w:rFonts w:ascii="宋体" w:hAnsi="宋体" w:cs="宋体" w:eastAsia="宋体" w:hint="default"/>
                <w:sz w:val="18"/>
                <w:szCs w:val="18"/>
              </w:rPr>
            </w:pPr>
            <w:r>
              <w:rPr>
                <w:rFonts w:ascii="宋体" w:hAnsi="宋体" w:cs="宋体" w:eastAsia="宋体" w:hint="default"/>
                <w:spacing w:val="3"/>
                <w:sz w:val="18"/>
                <w:szCs w:val="18"/>
              </w:rPr>
              <w:t>完成元数据系统的</w:t>
            </w:r>
            <w:r>
              <w:rPr>
                <w:rFonts w:ascii="宋体" w:hAnsi="宋体" w:cs="宋体" w:eastAsia="宋体" w:hint="default"/>
                <w:sz w:val="18"/>
                <w:szCs w:val="18"/>
              </w:rPr>
              <w:t> </w:t>
            </w:r>
            <w:r>
              <w:rPr>
                <w:rFonts w:ascii="宋体" w:hAnsi="宋体" w:cs="宋体" w:eastAsia="宋体" w:hint="default"/>
                <w:spacing w:val="3"/>
                <w:sz w:val="18"/>
                <w:szCs w:val="18"/>
              </w:rPr>
              <w:t>元数据管理、元数</w:t>
            </w:r>
            <w:r>
              <w:rPr>
                <w:rFonts w:ascii="宋体" w:hAnsi="宋体" w:cs="宋体" w:eastAsia="宋体" w:hint="default"/>
                <w:sz w:val="18"/>
                <w:szCs w:val="18"/>
              </w:rPr>
              <w:t> </w:t>
            </w:r>
            <w:r>
              <w:rPr>
                <w:rFonts w:ascii="宋体" w:hAnsi="宋体" w:cs="宋体" w:eastAsia="宋体" w:hint="default"/>
                <w:spacing w:val="3"/>
                <w:sz w:val="18"/>
                <w:szCs w:val="18"/>
              </w:rPr>
              <w:t>据维护、元数据服</w:t>
            </w:r>
            <w:r>
              <w:rPr>
                <w:rFonts w:ascii="宋体" w:hAnsi="宋体" w:cs="宋体" w:eastAsia="宋体" w:hint="default"/>
                <w:sz w:val="18"/>
                <w:szCs w:val="18"/>
              </w:rPr>
              <w:t> </w:t>
            </w:r>
            <w:r>
              <w:rPr>
                <w:rFonts w:ascii="宋体" w:hAnsi="宋体" w:cs="宋体" w:eastAsia="宋体" w:hint="default"/>
                <w:spacing w:val="3"/>
                <w:sz w:val="18"/>
                <w:szCs w:val="18"/>
              </w:rPr>
              <w:t>务等；数据中心的</w:t>
            </w:r>
            <w:r>
              <w:rPr>
                <w:rFonts w:ascii="宋体" w:hAnsi="宋体" w:cs="宋体" w:eastAsia="宋体" w:hint="default"/>
                <w:sz w:val="18"/>
                <w:szCs w:val="18"/>
              </w:rPr>
              <w:t> 各</w:t>
            </w:r>
            <w:r>
              <w:rPr>
                <w:rFonts w:ascii="宋体" w:hAnsi="宋体" w:cs="宋体" w:eastAsia="宋体" w:hint="default"/>
                <w:spacing w:val="-56"/>
                <w:sz w:val="18"/>
                <w:szCs w:val="18"/>
              </w:rPr>
              <w:t> </w:t>
            </w:r>
            <w:r>
              <w:rPr>
                <w:rFonts w:ascii="宋体" w:hAnsi="宋体" w:cs="宋体" w:eastAsia="宋体" w:hint="default"/>
                <w:sz w:val="18"/>
                <w:szCs w:val="18"/>
              </w:rPr>
              <w:t>类</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6"/>
                <w:sz w:val="18"/>
                <w:szCs w:val="18"/>
              </w:rPr>
              <w:t> </w:t>
            </w:r>
            <w:r>
              <w:rPr>
                <w:rFonts w:ascii="宋体" w:hAnsi="宋体" w:cs="宋体" w:eastAsia="宋体" w:hint="default"/>
                <w:sz w:val="18"/>
                <w:szCs w:val="18"/>
              </w:rPr>
              <w:t>源</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pacing w:val="-55"/>
                <w:sz w:val="18"/>
                <w:szCs w:val="18"/>
              </w:rPr>
              <w:t> </w:t>
            </w:r>
            <w:r>
              <w:rPr>
                <w:rFonts w:ascii="宋体" w:hAnsi="宋体" w:cs="宋体" w:eastAsia="宋体" w:hint="default"/>
                <w:sz w:val="18"/>
                <w:szCs w:val="18"/>
              </w:rPr>
              <w:t>配</w:t>
            </w:r>
            <w:r>
              <w:rPr>
                <w:rFonts w:ascii="宋体" w:hAnsi="宋体" w:cs="宋体" w:eastAsia="宋体" w:hint="default"/>
                <w:spacing w:val="-56"/>
                <w:sz w:val="18"/>
                <w:szCs w:val="18"/>
              </w:rPr>
              <w:t> </w:t>
            </w:r>
            <w:r>
              <w:rPr>
                <w:rFonts w:ascii="宋体" w:hAnsi="宋体" w:cs="宋体" w:eastAsia="宋体" w:hint="default"/>
                <w:sz w:val="18"/>
                <w:szCs w:val="18"/>
              </w:rPr>
              <w:t>接</w:t>
            </w:r>
            <w:r>
              <w:rPr>
                <w:rFonts w:ascii="宋体" w:hAnsi="宋体" w:cs="宋体" w:eastAsia="宋体" w:hint="default"/>
                <w:sz w:val="18"/>
                <w:szCs w:val="18"/>
              </w:rPr>
              <w:t> </w:t>
            </w:r>
            <w:r>
              <w:rPr>
                <w:rFonts w:ascii="宋体" w:hAnsi="宋体" w:cs="宋体" w:eastAsia="宋体" w:hint="default"/>
                <w:spacing w:val="3"/>
                <w:sz w:val="18"/>
                <w:szCs w:val="18"/>
              </w:rPr>
              <w:t>口、数据查询服务</w:t>
            </w:r>
            <w:r>
              <w:rPr>
                <w:rFonts w:ascii="宋体" w:hAnsi="宋体" w:cs="宋体" w:eastAsia="宋体" w:hint="default"/>
                <w:sz w:val="18"/>
                <w:szCs w:val="18"/>
              </w:rPr>
              <w:t> </w:t>
            </w:r>
            <w:r>
              <w:rPr>
                <w:rFonts w:ascii="宋体" w:hAnsi="宋体" w:cs="宋体" w:eastAsia="宋体" w:hint="default"/>
                <w:spacing w:val="3"/>
                <w:sz w:val="18"/>
                <w:szCs w:val="18"/>
              </w:rPr>
              <w:t>等；数据治理的数</w:t>
            </w:r>
            <w:r>
              <w:rPr>
                <w:rFonts w:ascii="宋体" w:hAnsi="宋体" w:cs="宋体" w:eastAsia="宋体" w:hint="default"/>
                <w:sz w:val="18"/>
                <w:szCs w:val="18"/>
              </w:rPr>
              <w:t> </w:t>
            </w:r>
            <w:r>
              <w:rPr>
                <w:rFonts w:ascii="宋体" w:hAnsi="宋体" w:cs="宋体" w:eastAsia="宋体" w:hint="default"/>
                <w:spacing w:val="3"/>
                <w:sz w:val="18"/>
                <w:szCs w:val="18"/>
              </w:rPr>
              <w:t>据质量管理中心、</w:t>
            </w:r>
            <w:r>
              <w:rPr>
                <w:rFonts w:ascii="宋体" w:hAnsi="宋体" w:cs="宋体" w:eastAsia="宋体" w:hint="default"/>
                <w:sz w:val="18"/>
                <w:szCs w:val="18"/>
              </w:rPr>
              <w:t> </w:t>
            </w:r>
            <w:r>
              <w:rPr>
                <w:rFonts w:ascii="宋体" w:hAnsi="宋体" w:cs="宋体" w:eastAsia="宋体" w:hint="default"/>
                <w:spacing w:val="3"/>
                <w:sz w:val="18"/>
                <w:szCs w:val="18"/>
              </w:rPr>
              <w:t>数据稽核、问题管</w:t>
            </w:r>
            <w:r>
              <w:rPr>
                <w:rFonts w:ascii="宋体" w:hAnsi="宋体" w:cs="宋体" w:eastAsia="宋体" w:hint="default"/>
                <w:sz w:val="18"/>
                <w:szCs w:val="18"/>
              </w:rPr>
              <w:t> 理等相关工作</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大数据平台项目的研发内容是为海量数据的管理、 集成、计算、查询提供一站式解决方案，包括元数 据管理、数据中心（各类资源适配接口、数据查询 服务）、计算平台（数据计算服务、</w:t>
            </w:r>
            <w:r>
              <w:rPr>
                <w:rFonts w:ascii="Times New Roman" w:hAnsi="Times New Roman" w:cs="Times New Roman" w:eastAsia="Times New Roman" w:hint="default"/>
                <w:sz w:val="18"/>
                <w:szCs w:val="18"/>
              </w:rPr>
              <w:t>Hadoop</w:t>
            </w:r>
            <w:r>
              <w:rPr>
                <w:rFonts w:ascii="宋体" w:hAnsi="宋体" w:cs="宋体" w:eastAsia="宋体" w:hint="default"/>
                <w:sz w:val="18"/>
                <w:szCs w:val="18"/>
              </w:rPr>
              <w:t>处理引 擎、</w:t>
            </w:r>
            <w:r>
              <w:rPr>
                <w:rFonts w:ascii="Times New Roman" w:hAnsi="Times New Roman" w:cs="Times New Roman" w:eastAsia="Times New Roman" w:hint="default"/>
                <w:sz w:val="18"/>
                <w:szCs w:val="18"/>
              </w:rPr>
              <w:t>Sql</w:t>
            </w:r>
            <w:r>
              <w:rPr>
                <w:rFonts w:ascii="宋体" w:hAnsi="宋体" w:cs="宋体" w:eastAsia="宋体" w:hint="default"/>
                <w:sz w:val="18"/>
                <w:szCs w:val="18"/>
              </w:rPr>
              <w:t>处理引擎）、数据治理、数据集成（可视化 设计、作业流、数据流）。目前大数据需求日益迫 切，电信、金融等数据密集行业普遍体现出要对海 量数据进行集成、应用的需求，目前的解决方案包 </w:t>
            </w:r>
            <w:r>
              <w:rPr>
                <w:rFonts w:ascii="宋体" w:hAnsi="宋体" w:cs="宋体" w:eastAsia="宋体" w:hint="default"/>
                <w:spacing w:val="-2"/>
                <w:sz w:val="18"/>
                <w:szCs w:val="18"/>
              </w:rPr>
              <w:t>括以</w:t>
            </w:r>
            <w:r>
              <w:rPr>
                <w:rFonts w:ascii="Times New Roman" w:hAnsi="Times New Roman" w:cs="Times New Roman" w:eastAsia="Times New Roman" w:hint="default"/>
                <w:spacing w:val="-2"/>
                <w:sz w:val="18"/>
                <w:szCs w:val="18"/>
              </w:rPr>
              <w:t>IBM</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Oracle</w:t>
            </w:r>
            <w:r>
              <w:rPr>
                <w:rFonts w:ascii="宋体" w:hAnsi="宋体" w:cs="宋体" w:eastAsia="宋体" w:hint="default"/>
                <w:spacing w:val="-2"/>
                <w:sz w:val="18"/>
                <w:szCs w:val="18"/>
              </w:rPr>
              <w:t>为代表的一体机方案，以开源技术</w:t>
            </w:r>
          </w:p>
          <w:p>
            <w:pPr>
              <w:pStyle w:val="TableParagraph"/>
              <w:spacing w:line="309" w:lineRule="auto" w:before="1"/>
              <w:ind w:left="2" w:right="29"/>
              <w:jc w:val="both"/>
              <w:rPr>
                <w:rFonts w:ascii="宋体" w:hAnsi="宋体" w:cs="宋体" w:eastAsia="宋体" w:hint="default"/>
                <w:sz w:val="18"/>
                <w:szCs w:val="18"/>
              </w:rPr>
            </w:pPr>
            <w:r>
              <w:rPr>
                <w:rFonts w:ascii="宋体" w:hAnsi="宋体" w:cs="宋体" w:eastAsia="宋体" w:hint="default"/>
                <w:sz w:val="18"/>
                <w:szCs w:val="18"/>
              </w:rPr>
              <w:t>（如</w:t>
            </w:r>
            <w:r>
              <w:rPr>
                <w:rFonts w:ascii="Times New Roman" w:hAnsi="Times New Roman" w:cs="Times New Roman" w:eastAsia="Times New Roman" w:hint="default"/>
                <w:sz w:val="18"/>
                <w:szCs w:val="18"/>
              </w:rPr>
              <w:t>Hadoop</w:t>
            </w:r>
            <w:r>
              <w:rPr>
                <w:rFonts w:ascii="宋体" w:hAnsi="宋体" w:cs="宋体" w:eastAsia="宋体" w:hint="default"/>
                <w:sz w:val="18"/>
                <w:szCs w:val="18"/>
              </w:rPr>
              <w:t>）为基础进行项目化开发的方案。一体 机方案前期投入较高，后期维护费用不菲，且大型 企业客户开始注重自身</w:t>
            </w:r>
            <w:r>
              <w:rPr>
                <w:rFonts w:ascii="Times New Roman" w:hAnsi="Times New Roman" w:cs="Times New Roman" w:eastAsia="Times New Roman" w:hint="default"/>
                <w:sz w:val="18"/>
                <w:szCs w:val="18"/>
              </w:rPr>
              <w:t>IT</w:t>
            </w:r>
            <w:r>
              <w:rPr>
                <w:rFonts w:ascii="宋体" w:hAnsi="宋体" w:cs="宋体" w:eastAsia="宋体" w:hint="default"/>
                <w:sz w:val="18"/>
                <w:szCs w:val="18"/>
              </w:rPr>
              <w:t>架构的开放性，一体机方 案的封闭性、未来的可扩展性已成为大型企业客户 的隐忧；以开源技术（如</w:t>
            </w:r>
            <w:r>
              <w:rPr>
                <w:rFonts w:ascii="Times New Roman" w:hAnsi="Times New Roman" w:cs="Times New Roman" w:eastAsia="Times New Roman" w:hint="default"/>
                <w:sz w:val="18"/>
                <w:szCs w:val="18"/>
              </w:rPr>
              <w:t>Hadoop</w:t>
            </w:r>
            <w:r>
              <w:rPr>
                <w:rFonts w:ascii="宋体" w:hAnsi="宋体" w:cs="宋体" w:eastAsia="宋体" w:hint="default"/>
                <w:sz w:val="18"/>
                <w:szCs w:val="18"/>
              </w:rPr>
              <w:t>）为基础进行项目 化开发的方案只能满足一时一地的需要，且在健壮 性、可管理性、效率等各方面均有不足。大数据平 台项目能够为大型企业客户提供大数据集成、计算</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9"/>
              <w:jc w:val="left"/>
              <w:rPr>
                <w:rFonts w:ascii="宋体" w:hAnsi="宋体" w:cs="宋体" w:eastAsia="宋体" w:hint="default"/>
                <w:sz w:val="18"/>
                <w:szCs w:val="18"/>
              </w:rPr>
            </w:pPr>
            <w:r>
              <w:rPr>
                <w:rFonts w:ascii="宋体" w:hAnsi="宋体" w:cs="宋体" w:eastAsia="宋体" w:hint="default"/>
                <w:sz w:val="18"/>
                <w:szCs w:val="18"/>
              </w:rPr>
              <w:t>提升公司在海量异构数据方面的管控能 力</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005"/>
        <w:gridCol w:w="1490"/>
        <w:gridCol w:w="4037"/>
        <w:gridCol w:w="3117"/>
      </w:tblGrid>
      <w:tr>
        <w:trPr>
          <w:trHeight w:val="1907" w:hRule="exact"/>
        </w:trPr>
        <w:tc>
          <w:tcPr>
            <w:tcW w:w="1005"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8"/>
              <w:jc w:val="both"/>
              <w:rPr>
                <w:rFonts w:ascii="宋体" w:hAnsi="宋体" w:cs="宋体" w:eastAsia="宋体" w:hint="default"/>
                <w:sz w:val="18"/>
                <w:szCs w:val="18"/>
              </w:rPr>
            </w:pPr>
            <w:r>
              <w:rPr>
                <w:rFonts w:ascii="宋体" w:hAnsi="宋体" w:cs="宋体" w:eastAsia="宋体" w:hint="default"/>
                <w:sz w:val="18"/>
                <w:szCs w:val="18"/>
              </w:rPr>
              <w:t>的一站式解决方案，相较于前述一体机方案，具有 成本低、架构开放的优势（可采用廉价硬件快速扩 展），并提供更多增值功能，相较于项目化开发方 案，具有通用性、健壮性、可管理性、实施效率、 运行效率等诸多方面的优势。该项目具有非常良好 的市场前景。</w:t>
            </w:r>
          </w:p>
        </w:tc>
        <w:tc>
          <w:tcPr>
            <w:tcW w:w="3117" w:type="dxa"/>
            <w:tcBorders>
              <w:top w:val="single" w:sz="6" w:space="0" w:color="000000"/>
              <w:left w:val="single" w:sz="6" w:space="0" w:color="000000"/>
              <w:bottom w:val="single" w:sz="6" w:space="0" w:color="000000"/>
              <w:right w:val="single" w:sz="6" w:space="0" w:color="000000"/>
            </w:tcBorders>
          </w:tcPr>
          <w:p>
            <w:pPr/>
          </w:p>
        </w:tc>
      </w:tr>
      <w:tr>
        <w:trPr>
          <w:trHeight w:val="2843"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1"/>
              <w:jc w:val="both"/>
              <w:rPr>
                <w:rFonts w:ascii="宋体" w:hAnsi="宋体" w:cs="宋体" w:eastAsia="宋体" w:hint="default"/>
                <w:sz w:val="18"/>
                <w:szCs w:val="18"/>
              </w:rPr>
            </w:pPr>
            <w:r>
              <w:rPr>
                <w:rFonts w:ascii="宋体" w:hAnsi="宋体" w:cs="宋体" w:eastAsia="宋体" w:hint="default"/>
                <w:spacing w:val="16"/>
                <w:sz w:val="18"/>
                <w:szCs w:val="18"/>
              </w:rPr>
              <w:t>商业智能数</w:t>
            </w:r>
            <w:r>
              <w:rPr>
                <w:rFonts w:ascii="宋体" w:hAnsi="宋体" w:cs="宋体" w:eastAsia="宋体" w:hint="default"/>
                <w:spacing w:val="-86"/>
                <w:sz w:val="18"/>
                <w:szCs w:val="18"/>
              </w:rPr>
              <w:t> </w:t>
            </w:r>
            <w:r>
              <w:rPr>
                <w:rFonts w:ascii="宋体" w:hAnsi="宋体" w:cs="宋体" w:eastAsia="宋体" w:hint="default"/>
                <w:spacing w:val="16"/>
                <w:sz w:val="18"/>
                <w:szCs w:val="18"/>
              </w:rPr>
              <w:t>据可视化应</w:t>
            </w:r>
            <w:r>
              <w:rPr>
                <w:rFonts w:ascii="宋体" w:hAnsi="宋体" w:cs="宋体" w:eastAsia="宋体" w:hint="default"/>
                <w:spacing w:val="-86"/>
                <w:sz w:val="18"/>
                <w:szCs w:val="18"/>
              </w:rPr>
              <w:t> </w:t>
            </w:r>
            <w:r>
              <w:rPr>
                <w:rFonts w:ascii="宋体" w:hAnsi="宋体" w:cs="宋体" w:eastAsia="宋体" w:hint="default"/>
                <w:sz w:val="18"/>
                <w:szCs w:val="18"/>
              </w:rPr>
              <w:t>用平台</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both"/>
              <w:rPr>
                <w:rFonts w:ascii="宋体" w:hAnsi="宋体" w:cs="宋体" w:eastAsia="宋体" w:hint="default"/>
                <w:sz w:val="18"/>
                <w:szCs w:val="18"/>
              </w:rPr>
            </w:pPr>
            <w:r>
              <w:rPr>
                <w:rFonts w:ascii="宋体" w:hAnsi="宋体" w:cs="宋体" w:eastAsia="宋体" w:hint="default"/>
                <w:spacing w:val="3"/>
                <w:sz w:val="18"/>
                <w:szCs w:val="18"/>
              </w:rPr>
              <w:t>完成构建工具集成</w:t>
            </w:r>
            <w:r>
              <w:rPr>
                <w:rFonts w:ascii="宋体" w:hAnsi="宋体" w:cs="宋体" w:eastAsia="宋体" w:hint="default"/>
                <w:sz w:val="18"/>
                <w:szCs w:val="18"/>
              </w:rPr>
              <w:t> </w:t>
            </w:r>
            <w:r>
              <w:rPr>
                <w:rFonts w:ascii="宋体" w:hAnsi="宋体" w:cs="宋体" w:eastAsia="宋体" w:hint="default"/>
                <w:spacing w:val="3"/>
                <w:sz w:val="18"/>
                <w:szCs w:val="18"/>
              </w:rPr>
              <w:t>开发工具包的数据</w:t>
            </w:r>
            <w:r>
              <w:rPr>
                <w:rFonts w:ascii="宋体" w:hAnsi="宋体" w:cs="宋体" w:eastAsia="宋体" w:hint="default"/>
                <w:sz w:val="18"/>
                <w:szCs w:val="18"/>
              </w:rPr>
              <w:t> </w:t>
            </w:r>
            <w:r>
              <w:rPr>
                <w:rFonts w:ascii="宋体" w:hAnsi="宋体" w:cs="宋体" w:eastAsia="宋体" w:hint="default"/>
                <w:spacing w:val="3"/>
                <w:sz w:val="18"/>
                <w:szCs w:val="18"/>
              </w:rPr>
              <w:t>获取及运算、组件</w:t>
            </w:r>
            <w:r>
              <w:rPr>
                <w:rFonts w:ascii="宋体" w:hAnsi="宋体" w:cs="宋体" w:eastAsia="宋体" w:hint="default"/>
                <w:sz w:val="18"/>
                <w:szCs w:val="18"/>
              </w:rPr>
              <w:t> </w:t>
            </w:r>
            <w:r>
              <w:rPr>
                <w:rFonts w:ascii="宋体" w:hAnsi="宋体" w:cs="宋体" w:eastAsia="宋体" w:hint="default"/>
                <w:spacing w:val="3"/>
                <w:sz w:val="18"/>
                <w:szCs w:val="18"/>
              </w:rPr>
              <w:t>渲染、参数注入接</w:t>
            </w:r>
            <w:r>
              <w:rPr>
                <w:rFonts w:ascii="宋体" w:hAnsi="宋体" w:cs="宋体" w:eastAsia="宋体" w:hint="default"/>
                <w:sz w:val="18"/>
                <w:szCs w:val="18"/>
              </w:rPr>
              <w:t> </w:t>
            </w:r>
            <w:r>
              <w:rPr>
                <w:rFonts w:ascii="宋体" w:hAnsi="宋体" w:cs="宋体" w:eastAsia="宋体" w:hint="default"/>
                <w:spacing w:val="3"/>
                <w:sz w:val="18"/>
                <w:szCs w:val="18"/>
              </w:rPr>
              <w:t>口等类库；数据可</w:t>
            </w:r>
            <w:r>
              <w:rPr>
                <w:rFonts w:ascii="宋体" w:hAnsi="宋体" w:cs="宋体" w:eastAsia="宋体" w:hint="default"/>
                <w:sz w:val="18"/>
                <w:szCs w:val="18"/>
              </w:rPr>
              <w:t> </w:t>
            </w:r>
            <w:r>
              <w:rPr>
                <w:rFonts w:ascii="宋体" w:hAnsi="宋体" w:cs="宋体" w:eastAsia="宋体" w:hint="default"/>
                <w:spacing w:val="3"/>
                <w:sz w:val="18"/>
                <w:szCs w:val="18"/>
              </w:rPr>
              <w:t>视化高级特性的平</w:t>
            </w:r>
            <w:r>
              <w:rPr>
                <w:rFonts w:ascii="宋体" w:hAnsi="宋体" w:cs="宋体" w:eastAsia="宋体" w:hint="default"/>
                <w:sz w:val="18"/>
                <w:szCs w:val="18"/>
              </w:rPr>
              <w:t> </w:t>
            </w:r>
            <w:r>
              <w:rPr>
                <w:rFonts w:ascii="宋体" w:hAnsi="宋体" w:cs="宋体" w:eastAsia="宋体" w:hint="default"/>
                <w:spacing w:val="3"/>
                <w:sz w:val="18"/>
                <w:szCs w:val="18"/>
              </w:rPr>
              <w:t>凡图形库以及联动</w:t>
            </w:r>
            <w:r>
              <w:rPr>
                <w:rFonts w:ascii="宋体" w:hAnsi="宋体" w:cs="宋体" w:eastAsia="宋体" w:hint="default"/>
                <w:sz w:val="18"/>
                <w:szCs w:val="18"/>
              </w:rPr>
              <w:t> </w:t>
            </w:r>
            <w:r>
              <w:rPr>
                <w:rFonts w:ascii="宋体" w:hAnsi="宋体" w:cs="宋体" w:eastAsia="宋体" w:hint="default"/>
                <w:spacing w:val="3"/>
                <w:sz w:val="18"/>
                <w:szCs w:val="18"/>
              </w:rPr>
              <w:t>分析图库等相关工</w:t>
            </w:r>
            <w:r>
              <w:rPr>
                <w:rFonts w:ascii="宋体" w:hAnsi="宋体" w:cs="宋体" w:eastAsia="宋体" w:hint="default"/>
                <w:sz w:val="18"/>
                <w:szCs w:val="18"/>
              </w:rPr>
              <w:t> 作。</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针对商业智能应用领域、面向公司内部开发人员提 供便捷的开发工具包，为项目实施提供代码级开发 </w:t>
            </w:r>
            <w:r>
              <w:rPr>
                <w:rFonts w:ascii="宋体" w:hAnsi="宋体" w:cs="宋体" w:eastAsia="宋体" w:hint="default"/>
                <w:spacing w:val="-4"/>
                <w:w w:val="99"/>
                <w:sz w:val="18"/>
                <w:szCs w:val="18"/>
              </w:rPr>
              <w:t>环境支撑；面向行业最终用户提供数据可视化和</w:t>
            </w:r>
            <w:r>
              <w:rPr>
                <w:rFonts w:ascii="Times New Roman" w:hAnsi="Times New Roman" w:cs="Times New Roman" w:eastAsia="Times New Roman" w:hint="default"/>
                <w:spacing w:val="-4"/>
                <w:w w:val="99"/>
                <w:sz w:val="18"/>
                <w:szCs w:val="18"/>
              </w:rPr>
              <w:t>PPT</w:t>
            </w:r>
            <w:r>
              <w:rPr>
                <w:rFonts w:ascii="Times New Roman" w:hAnsi="Times New Roman" w:cs="Times New Roman" w:eastAsia="Times New Roman" w:hint="default"/>
                <w:spacing w:val="-26"/>
                <w:w w:val="99"/>
                <w:sz w:val="18"/>
                <w:szCs w:val="18"/>
              </w:rPr>
              <w:t> </w:t>
            </w:r>
            <w:r>
              <w:rPr>
                <w:rFonts w:ascii="宋体" w:hAnsi="宋体" w:cs="宋体" w:eastAsia="宋体" w:hint="default"/>
                <w:sz w:val="18"/>
                <w:szCs w:val="18"/>
              </w:rPr>
              <w:t>设计等高级特性，填补了分析报告工具支撑的空白 使得</w:t>
            </w:r>
            <w:r>
              <w:rPr>
                <w:rFonts w:ascii="Times New Roman" w:hAnsi="Times New Roman" w:cs="Times New Roman" w:eastAsia="Times New Roman" w:hint="default"/>
                <w:sz w:val="18"/>
                <w:szCs w:val="18"/>
              </w:rPr>
              <w:t>BI</w:t>
            </w:r>
            <w:r>
              <w:rPr>
                <w:rFonts w:ascii="宋体" w:hAnsi="宋体" w:cs="宋体" w:eastAsia="宋体" w:hint="default"/>
                <w:sz w:val="18"/>
                <w:szCs w:val="18"/>
              </w:rPr>
              <w:t>应用平台真正的全面支撑应用。目标用途为 作为公司商业智能应用解决方案的高级平台和增值 工具；作为高可用、可定制开发的商业智能工具软 件面向各行业进行销售。</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9"/>
              <w:jc w:val="left"/>
              <w:rPr>
                <w:rFonts w:ascii="宋体" w:hAnsi="宋体" w:cs="宋体" w:eastAsia="宋体" w:hint="default"/>
                <w:sz w:val="18"/>
                <w:szCs w:val="18"/>
              </w:rPr>
            </w:pPr>
            <w:r>
              <w:rPr>
                <w:rFonts w:ascii="宋体" w:hAnsi="宋体" w:cs="宋体" w:eastAsia="宋体" w:hint="default"/>
                <w:sz w:val="18"/>
                <w:szCs w:val="18"/>
              </w:rPr>
              <w:t>提升公司在数据可视化方面的分析展示 能力</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5963"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IMobileBI </w:t>
            </w:r>
            <w:r>
              <w:rPr>
                <w:rFonts w:ascii="宋体" w:hAnsi="宋体" w:cs="宋体" w:eastAsia="宋体" w:hint="default"/>
                <w:sz w:val="18"/>
                <w:szCs w:val="18"/>
              </w:rPr>
              <w:t>系</w:t>
            </w:r>
            <w:r>
              <w:rPr>
                <w:rFonts w:ascii="宋体" w:hAnsi="宋体" w:cs="宋体" w:eastAsia="宋体" w:hint="default"/>
                <w:w w:val="99"/>
                <w:sz w:val="18"/>
                <w:szCs w:val="18"/>
              </w:rPr>
              <w:t> </w:t>
            </w:r>
            <w:r>
              <w:rPr>
                <w:rFonts w:ascii="宋体" w:hAnsi="宋体" w:cs="宋体" w:eastAsia="宋体" w:hint="default"/>
                <w:sz w:val="18"/>
                <w:szCs w:val="18"/>
              </w:rPr>
              <w:t>统</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完成云端系统面向</w:t>
            </w:r>
            <w:r>
              <w:rPr>
                <w:rFonts w:ascii="宋体" w:hAnsi="宋体" w:cs="宋体" w:eastAsia="宋体" w:hint="default"/>
                <w:sz w:val="18"/>
                <w:szCs w:val="18"/>
              </w:rPr>
              <w:t> </w:t>
            </w:r>
            <w:r>
              <w:rPr>
                <w:rFonts w:ascii="宋体" w:hAnsi="宋体" w:cs="宋体" w:eastAsia="宋体" w:hint="default"/>
                <w:spacing w:val="3"/>
                <w:sz w:val="18"/>
                <w:szCs w:val="18"/>
              </w:rPr>
              <w:t>移动端提供的元数</w:t>
            </w:r>
            <w:r>
              <w:rPr>
                <w:rFonts w:ascii="宋体" w:hAnsi="宋体" w:cs="宋体" w:eastAsia="宋体" w:hint="default"/>
                <w:sz w:val="18"/>
                <w:szCs w:val="18"/>
              </w:rPr>
              <w:t> </w:t>
            </w:r>
            <w:r>
              <w:rPr>
                <w:rFonts w:ascii="宋体" w:hAnsi="宋体" w:cs="宋体" w:eastAsia="宋体" w:hint="default"/>
                <w:spacing w:val="10"/>
                <w:sz w:val="18"/>
                <w:szCs w:val="18"/>
              </w:rPr>
              <w:t>据</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7"/>
                <w:sz w:val="18"/>
                <w:szCs w:val="18"/>
              </w:rPr>
              <w:t>主要为业务元</w:t>
            </w:r>
            <w:r>
              <w:rPr>
                <w:rFonts w:ascii="宋体" w:hAnsi="宋体" w:cs="宋体" w:eastAsia="宋体" w:hint="default"/>
                <w:sz w:val="18"/>
                <w:szCs w:val="18"/>
              </w:rPr>
              <w:t> </w:t>
            </w:r>
            <w:r>
              <w:rPr>
                <w:rFonts w:ascii="宋体" w:hAnsi="宋体" w:cs="宋体" w:eastAsia="宋体" w:hint="default"/>
                <w:spacing w:val="-4"/>
                <w:sz w:val="18"/>
                <w:szCs w:val="18"/>
              </w:rPr>
              <w:t>数据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服务；通用数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据查询引擎服务；</w:t>
            </w:r>
            <w:r>
              <w:rPr>
                <w:rFonts w:ascii="宋体" w:hAnsi="宋体" w:cs="宋体" w:eastAsia="宋体" w:hint="default"/>
                <w:sz w:val="18"/>
                <w:szCs w:val="18"/>
              </w:rPr>
              <w:t> </w:t>
            </w:r>
            <w:r>
              <w:rPr>
                <w:rFonts w:ascii="宋体" w:hAnsi="宋体" w:cs="宋体" w:eastAsia="宋体" w:hint="default"/>
                <w:spacing w:val="3"/>
                <w:sz w:val="18"/>
                <w:szCs w:val="18"/>
              </w:rPr>
              <w:t>通用数据格式转换</w:t>
            </w:r>
            <w:r>
              <w:rPr>
                <w:rFonts w:ascii="宋体" w:hAnsi="宋体" w:cs="宋体" w:eastAsia="宋体" w:hint="default"/>
                <w:sz w:val="18"/>
                <w:szCs w:val="18"/>
              </w:rPr>
              <w:t> </w:t>
            </w:r>
            <w:r>
              <w:rPr>
                <w:rFonts w:ascii="宋体" w:hAnsi="宋体" w:cs="宋体" w:eastAsia="宋体" w:hint="default"/>
                <w:spacing w:val="3"/>
                <w:sz w:val="18"/>
                <w:szCs w:val="18"/>
              </w:rPr>
              <w:t>引擎服务；安全管</w:t>
            </w:r>
            <w:r>
              <w:rPr>
                <w:rFonts w:ascii="宋体" w:hAnsi="宋体" w:cs="宋体" w:eastAsia="宋体" w:hint="default"/>
                <w:sz w:val="18"/>
                <w:szCs w:val="18"/>
              </w:rPr>
              <w:t> 理等服务。 </w:t>
            </w:r>
            <w:r>
              <w:rPr>
                <w:rFonts w:ascii="宋体" w:hAnsi="宋体" w:cs="宋体" w:eastAsia="宋体" w:hint="default"/>
                <w:spacing w:val="3"/>
                <w:sz w:val="18"/>
                <w:szCs w:val="18"/>
              </w:rPr>
              <w:t>完成移动端面向最</w:t>
            </w:r>
            <w:r>
              <w:rPr>
                <w:rFonts w:ascii="宋体" w:hAnsi="宋体" w:cs="宋体" w:eastAsia="宋体" w:hint="default"/>
                <w:sz w:val="18"/>
                <w:szCs w:val="18"/>
              </w:rPr>
              <w:t> </w:t>
            </w:r>
            <w:r>
              <w:rPr>
                <w:rFonts w:ascii="宋体" w:hAnsi="宋体" w:cs="宋体" w:eastAsia="宋体" w:hint="default"/>
                <w:spacing w:val="3"/>
                <w:sz w:val="18"/>
                <w:szCs w:val="18"/>
              </w:rPr>
              <w:t>终用户提供的业务</w:t>
            </w:r>
            <w:r>
              <w:rPr>
                <w:rFonts w:ascii="宋体" w:hAnsi="宋体" w:cs="宋体" w:eastAsia="宋体" w:hint="default"/>
                <w:sz w:val="18"/>
                <w:szCs w:val="18"/>
              </w:rPr>
              <w:t> </w:t>
            </w:r>
            <w:r>
              <w:rPr>
                <w:rFonts w:ascii="宋体" w:hAnsi="宋体" w:cs="宋体" w:eastAsia="宋体" w:hint="default"/>
                <w:spacing w:val="3"/>
                <w:sz w:val="18"/>
                <w:szCs w:val="18"/>
              </w:rPr>
              <w:t>组件设计器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业务</w:t>
            </w:r>
            <w:r>
              <w:rPr>
                <w:rFonts w:ascii="宋体" w:hAnsi="宋体" w:cs="宋体" w:eastAsia="宋体" w:hint="default"/>
                <w:spacing w:val="-85"/>
                <w:sz w:val="18"/>
                <w:szCs w:val="18"/>
              </w:rPr>
              <w:t> </w:t>
            </w:r>
            <w:r>
              <w:rPr>
                <w:rFonts w:ascii="宋体" w:hAnsi="宋体" w:cs="宋体" w:eastAsia="宋体" w:hint="default"/>
                <w:spacing w:val="3"/>
                <w:sz w:val="18"/>
                <w:szCs w:val="18"/>
              </w:rPr>
              <w:t>组件设计服务；基</w:t>
            </w:r>
            <w:r>
              <w:rPr>
                <w:rFonts w:ascii="宋体" w:hAnsi="宋体" w:cs="宋体" w:eastAsia="宋体" w:hint="default"/>
                <w:sz w:val="18"/>
                <w:szCs w:val="18"/>
              </w:rPr>
              <w:t> </w:t>
            </w:r>
            <w:r>
              <w:rPr>
                <w:rFonts w:ascii="宋体" w:hAnsi="宋体" w:cs="宋体" w:eastAsia="宋体" w:hint="default"/>
                <w:spacing w:val="3"/>
                <w:sz w:val="18"/>
                <w:szCs w:val="18"/>
              </w:rPr>
              <w:t>础视图组件库</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提</w:t>
            </w:r>
            <w:r>
              <w:rPr>
                <w:rFonts w:ascii="宋体" w:hAnsi="宋体" w:cs="宋体" w:eastAsia="宋体" w:hint="default"/>
                <w:sz w:val="18"/>
                <w:szCs w:val="18"/>
              </w:rPr>
              <w:t> </w:t>
            </w:r>
            <w:r>
              <w:rPr>
                <w:rFonts w:ascii="宋体" w:hAnsi="宋体" w:cs="宋体" w:eastAsia="宋体" w:hint="default"/>
                <w:spacing w:val="3"/>
                <w:sz w:val="18"/>
                <w:szCs w:val="18"/>
              </w:rPr>
              <w:t>供基础视图组件以</w:t>
            </w:r>
            <w:r>
              <w:rPr>
                <w:rFonts w:ascii="宋体" w:hAnsi="宋体" w:cs="宋体" w:eastAsia="宋体" w:hint="default"/>
                <w:sz w:val="18"/>
                <w:szCs w:val="18"/>
              </w:rPr>
              <w:t> </w:t>
            </w:r>
            <w:r>
              <w:rPr>
                <w:rFonts w:ascii="宋体" w:hAnsi="宋体" w:cs="宋体" w:eastAsia="宋体" w:hint="default"/>
                <w:spacing w:val="3"/>
                <w:sz w:val="18"/>
                <w:szCs w:val="18"/>
              </w:rPr>
              <w:t>供分析；移动设备</w:t>
            </w:r>
            <w:r>
              <w:rPr>
                <w:rFonts w:ascii="宋体" w:hAnsi="宋体" w:cs="宋体" w:eastAsia="宋体" w:hint="default"/>
                <w:sz w:val="18"/>
                <w:szCs w:val="18"/>
              </w:rPr>
              <w:t> </w:t>
            </w:r>
            <w:r>
              <w:rPr>
                <w:rFonts w:ascii="宋体" w:hAnsi="宋体" w:cs="宋体" w:eastAsia="宋体" w:hint="default"/>
                <w:spacing w:val="3"/>
                <w:sz w:val="18"/>
                <w:szCs w:val="18"/>
              </w:rPr>
              <w:t>缓存引擎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加速用</w:t>
            </w:r>
            <w:r>
              <w:rPr>
                <w:rFonts w:ascii="宋体" w:hAnsi="宋体" w:cs="宋体" w:eastAsia="宋体" w:hint="default"/>
                <w:sz w:val="18"/>
                <w:szCs w:val="18"/>
              </w:rPr>
              <w:t> </w:t>
            </w:r>
            <w:r>
              <w:rPr>
                <w:rFonts w:ascii="宋体" w:hAnsi="宋体" w:cs="宋体" w:eastAsia="宋体" w:hint="default"/>
                <w:spacing w:val="3"/>
                <w:sz w:val="18"/>
                <w:szCs w:val="18"/>
              </w:rPr>
              <w:t>户分析的响应速度</w:t>
            </w:r>
            <w:r>
              <w:rPr>
                <w:rFonts w:ascii="宋体" w:hAnsi="宋体" w:cs="宋体" w:eastAsia="宋体" w:hint="default"/>
                <w:sz w:val="18"/>
                <w:szCs w:val="18"/>
              </w:rPr>
              <w:t> 等相关工作。</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iMobileBI</w:t>
            </w:r>
            <w:r>
              <w:rPr>
                <w:rFonts w:ascii="宋体" w:hAnsi="宋体" w:cs="宋体" w:eastAsia="宋体" w:hint="default"/>
                <w:sz w:val="18"/>
                <w:szCs w:val="18"/>
              </w:rPr>
              <w:t>系统项目的研发内容是为用户提供基于移</w:t>
            </w:r>
            <w:r>
              <w:rPr>
                <w:rFonts w:ascii="宋体" w:hAnsi="宋体" w:cs="宋体" w:eastAsia="宋体" w:hint="default"/>
                <w:w w:val="99"/>
                <w:sz w:val="18"/>
                <w:szCs w:val="18"/>
              </w:rPr>
              <w:t> </w:t>
            </w:r>
            <w:r>
              <w:rPr>
                <w:rFonts w:ascii="宋体" w:hAnsi="宋体" w:cs="宋体" w:eastAsia="宋体" w:hint="default"/>
                <w:sz w:val="18"/>
                <w:szCs w:val="18"/>
              </w:rPr>
              <w:t>动终端的商业智能解决方案，包括云端系统（元数</w:t>
            </w:r>
            <w:r>
              <w:rPr>
                <w:rFonts w:ascii="宋体" w:hAnsi="宋体" w:cs="宋体" w:eastAsia="宋体" w:hint="default"/>
                <w:w w:val="99"/>
                <w:sz w:val="18"/>
                <w:szCs w:val="18"/>
              </w:rPr>
              <w:t> </w:t>
            </w:r>
            <w:r>
              <w:rPr>
                <w:rFonts w:ascii="宋体" w:hAnsi="宋体" w:cs="宋体" w:eastAsia="宋体" w:hint="default"/>
                <w:sz w:val="18"/>
                <w:szCs w:val="18"/>
              </w:rPr>
              <w:t>据接口、数据查询引擎、数据格式转换引擎、仪表</w:t>
            </w:r>
            <w:r>
              <w:rPr>
                <w:rFonts w:ascii="宋体" w:hAnsi="宋体" w:cs="宋体" w:eastAsia="宋体" w:hint="default"/>
                <w:w w:val="99"/>
                <w:sz w:val="18"/>
                <w:szCs w:val="18"/>
              </w:rPr>
              <w:t> </w:t>
            </w:r>
            <w:r>
              <w:rPr>
                <w:rFonts w:ascii="宋体" w:hAnsi="宋体" w:cs="宋体" w:eastAsia="宋体" w:hint="default"/>
                <w:sz w:val="18"/>
                <w:szCs w:val="18"/>
              </w:rPr>
              <w:t>盘发布及订阅管理、</w:t>
            </w:r>
            <w:r>
              <w:rPr>
                <w:rFonts w:ascii="Times New Roman" w:hAnsi="Times New Roman" w:cs="Times New Roman" w:eastAsia="Times New Roman" w:hint="default"/>
                <w:sz w:val="18"/>
                <w:szCs w:val="18"/>
              </w:rPr>
              <w:t>SOA</w:t>
            </w:r>
            <w:r>
              <w:rPr>
                <w:rFonts w:ascii="宋体" w:hAnsi="宋体" w:cs="宋体" w:eastAsia="宋体" w:hint="default"/>
                <w:sz w:val="18"/>
                <w:szCs w:val="18"/>
              </w:rPr>
              <w:t>架构、安全管理），移动 端（仪表盘设计器、业务组件设计器、移动设备 </w:t>
            </w:r>
            <w:r>
              <w:rPr>
                <w:rFonts w:ascii="Times New Roman" w:hAnsi="Times New Roman" w:cs="Times New Roman" w:eastAsia="Times New Roman" w:hint="default"/>
                <w:sz w:val="18"/>
                <w:szCs w:val="18"/>
              </w:rPr>
              <w:t>Widget</w:t>
            </w:r>
            <w:r>
              <w:rPr>
                <w:rFonts w:ascii="宋体" w:hAnsi="宋体" w:cs="宋体" w:eastAsia="宋体" w:hint="default"/>
                <w:sz w:val="18"/>
                <w:szCs w:val="18"/>
              </w:rPr>
              <w:t>渲染、数据调度引擎、移动设备缓存引擎、 仪表盘发布及订阅管理、门户管理）。随着移动终 端的普及，越来越多的企业用户习惯于在移动终端 上使用商业智能系统功能，基于移动终端的商业智 能（</w:t>
            </w:r>
            <w:r>
              <w:rPr>
                <w:rFonts w:ascii="Times New Roman" w:hAnsi="Times New Roman" w:cs="Times New Roman" w:eastAsia="Times New Roman" w:hint="default"/>
                <w:sz w:val="18"/>
                <w:szCs w:val="18"/>
              </w:rPr>
              <w:t>iOS</w:t>
            </w:r>
            <w:r>
              <w:rPr>
                <w:rFonts w:ascii="宋体" w:hAnsi="宋体" w:cs="宋体" w:eastAsia="宋体" w:hint="default"/>
                <w:sz w:val="18"/>
                <w:szCs w:val="18"/>
              </w:rPr>
              <w:t>、</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手机、平板）在商业智能整体应 用中所占的比重正在逐渐上升。</w:t>
            </w:r>
            <w:r>
              <w:rPr>
                <w:rFonts w:ascii="Times New Roman" w:hAnsi="Times New Roman" w:cs="Times New Roman" w:eastAsia="Times New Roman" w:hint="default"/>
                <w:sz w:val="18"/>
                <w:szCs w:val="18"/>
              </w:rPr>
              <w:t>iMobileBI</w:t>
            </w:r>
            <w:r>
              <w:rPr>
                <w:rFonts w:ascii="宋体" w:hAnsi="宋体" w:cs="宋体" w:eastAsia="宋体" w:hint="default"/>
                <w:sz w:val="18"/>
                <w:szCs w:val="18"/>
              </w:rPr>
              <w:t>项目研发 成功后，将提供给用户基于移动终端快速组织数据 设计分析、发现及共享知识的能力，具有广阔的市 </w:t>
            </w:r>
            <w:r>
              <w:rPr>
                <w:rFonts w:ascii="宋体" w:hAnsi="宋体" w:cs="宋体" w:eastAsia="宋体" w:hint="default"/>
                <w:spacing w:val="-2"/>
                <w:sz w:val="18"/>
                <w:szCs w:val="18"/>
              </w:rPr>
              <w:t>场前景。该项目计划研发周期为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年。公司已对该项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目进行充分研究，在资金、技术、人员等方面均能 够提供充分保障，且该项目研发成功后能够为既有 客户提供更加便捷高效的移动终端商业智能解决方 案、能够帮助公司拓展新的客户、具有非常良好的 市场前景。</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7"/>
              <w:jc w:val="left"/>
              <w:rPr>
                <w:rFonts w:ascii="宋体" w:hAnsi="宋体" w:cs="宋体" w:eastAsia="宋体" w:hint="default"/>
                <w:sz w:val="18"/>
                <w:szCs w:val="18"/>
              </w:rPr>
            </w:pPr>
            <w:r>
              <w:rPr>
                <w:rFonts w:ascii="宋体" w:hAnsi="宋体" w:cs="宋体" w:eastAsia="宋体" w:hint="default"/>
                <w:sz w:val="18"/>
                <w:szCs w:val="18"/>
              </w:rPr>
              <w:t>提升公司在移动终端上的可视化分析展 示能力</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56"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21"/>
              <w:jc w:val="both"/>
              <w:rPr>
                <w:rFonts w:ascii="宋体" w:hAnsi="宋体" w:cs="宋体" w:eastAsia="宋体" w:hint="default"/>
                <w:sz w:val="18"/>
                <w:szCs w:val="18"/>
              </w:rPr>
            </w:pPr>
            <w:r>
              <w:rPr>
                <w:rFonts w:ascii="宋体" w:hAnsi="宋体" w:cs="宋体" w:eastAsia="宋体" w:hint="default"/>
                <w:spacing w:val="14"/>
                <w:sz w:val="18"/>
                <w:szCs w:val="18"/>
              </w:rPr>
              <w:t>基于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架 </w:t>
            </w:r>
            <w:r>
              <w:rPr>
                <w:rFonts w:ascii="宋体" w:hAnsi="宋体" w:cs="宋体" w:eastAsia="宋体" w:hint="default"/>
                <w:spacing w:val="16"/>
                <w:sz w:val="18"/>
                <w:szCs w:val="18"/>
              </w:rPr>
              <w:t>构的分析型</w:t>
            </w:r>
            <w:r>
              <w:rPr>
                <w:rFonts w:ascii="宋体" w:hAnsi="宋体" w:cs="宋体" w:eastAsia="宋体" w:hint="default"/>
                <w:spacing w:val="-86"/>
                <w:sz w:val="18"/>
                <w:szCs w:val="18"/>
              </w:rPr>
              <w:t> </w:t>
            </w:r>
            <w:r>
              <w:rPr>
                <w:rFonts w:ascii="宋体" w:hAnsi="宋体" w:cs="宋体" w:eastAsia="宋体" w:hint="default"/>
                <w:sz w:val="18"/>
                <w:szCs w:val="18"/>
              </w:rPr>
              <w:t>数据库</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both"/>
              <w:rPr>
                <w:rFonts w:ascii="宋体" w:hAnsi="宋体" w:cs="宋体" w:eastAsia="宋体" w:hint="default"/>
                <w:sz w:val="18"/>
                <w:szCs w:val="18"/>
              </w:rPr>
            </w:pPr>
            <w:r>
              <w:rPr>
                <w:rFonts w:ascii="宋体" w:hAnsi="宋体" w:cs="宋体" w:eastAsia="宋体" w:hint="default"/>
                <w:spacing w:val="3"/>
                <w:sz w:val="18"/>
                <w:szCs w:val="18"/>
              </w:rPr>
              <w:t>完成分布式数据支</w:t>
            </w:r>
            <w:r>
              <w:rPr>
                <w:rFonts w:ascii="宋体" w:hAnsi="宋体" w:cs="宋体" w:eastAsia="宋体" w:hint="default"/>
                <w:sz w:val="18"/>
                <w:szCs w:val="18"/>
              </w:rPr>
              <w:t> </w:t>
            </w:r>
            <w:r>
              <w:rPr>
                <w:rFonts w:ascii="宋体" w:hAnsi="宋体" w:cs="宋体" w:eastAsia="宋体" w:hint="default"/>
                <w:spacing w:val="3"/>
                <w:sz w:val="18"/>
                <w:szCs w:val="18"/>
              </w:rPr>
              <w:t>撑子系统的分布式</w:t>
            </w:r>
            <w:r>
              <w:rPr>
                <w:rFonts w:ascii="宋体" w:hAnsi="宋体" w:cs="宋体" w:eastAsia="宋体" w:hint="default"/>
                <w:sz w:val="18"/>
                <w:szCs w:val="18"/>
              </w:rPr>
              <w:t> </w:t>
            </w:r>
            <w:r>
              <w:rPr>
                <w:rFonts w:ascii="宋体" w:hAnsi="宋体" w:cs="宋体" w:eastAsia="宋体" w:hint="default"/>
                <w:spacing w:val="3"/>
                <w:sz w:val="18"/>
                <w:szCs w:val="18"/>
              </w:rPr>
              <w:t>存储、高速数据传</w:t>
            </w:r>
            <w:r>
              <w:rPr>
                <w:rFonts w:ascii="宋体" w:hAnsi="宋体" w:cs="宋体" w:eastAsia="宋体" w:hint="default"/>
                <w:sz w:val="18"/>
                <w:szCs w:val="18"/>
              </w:rPr>
              <w:t> </w:t>
            </w:r>
            <w:r>
              <w:rPr>
                <w:rFonts w:ascii="宋体" w:hAnsi="宋体" w:cs="宋体" w:eastAsia="宋体" w:hint="default"/>
                <w:spacing w:val="3"/>
                <w:sz w:val="18"/>
                <w:szCs w:val="18"/>
              </w:rPr>
              <w:t>输、集群负载均衡</w:t>
            </w:r>
            <w:r>
              <w:rPr>
                <w:rFonts w:ascii="宋体" w:hAnsi="宋体" w:cs="宋体" w:eastAsia="宋体" w:hint="default"/>
                <w:sz w:val="18"/>
                <w:szCs w:val="18"/>
              </w:rPr>
              <w:t> </w:t>
            </w:r>
            <w:r>
              <w:rPr>
                <w:rFonts w:ascii="宋体" w:hAnsi="宋体" w:cs="宋体" w:eastAsia="宋体" w:hint="default"/>
                <w:spacing w:val="3"/>
                <w:sz w:val="18"/>
                <w:szCs w:val="18"/>
              </w:rPr>
              <w:t>等模块；完成列存</w:t>
            </w:r>
            <w:r>
              <w:rPr>
                <w:rFonts w:ascii="宋体" w:hAnsi="宋体" w:cs="宋体" w:eastAsia="宋体" w:hint="default"/>
                <w:sz w:val="18"/>
                <w:szCs w:val="18"/>
              </w:rPr>
              <w:t> </w:t>
            </w:r>
            <w:r>
              <w:rPr>
                <w:rFonts w:ascii="宋体" w:hAnsi="宋体" w:cs="宋体" w:eastAsia="宋体" w:hint="default"/>
                <w:spacing w:val="3"/>
                <w:sz w:val="18"/>
                <w:szCs w:val="18"/>
              </w:rPr>
              <w:t>数据引擎的数据存</w:t>
            </w:r>
            <w:r>
              <w:rPr>
                <w:rFonts w:ascii="宋体" w:hAnsi="宋体" w:cs="宋体" w:eastAsia="宋体" w:hint="default"/>
                <w:sz w:val="18"/>
                <w:szCs w:val="18"/>
              </w:rPr>
              <w:t> </w:t>
            </w:r>
            <w:r>
              <w:rPr>
                <w:rFonts w:ascii="宋体" w:hAnsi="宋体" w:cs="宋体" w:eastAsia="宋体" w:hint="default"/>
                <w:spacing w:val="12"/>
                <w:sz w:val="18"/>
                <w:szCs w:val="18"/>
              </w:rPr>
              <w:t>储层</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数</w:t>
            </w:r>
            <w:r>
              <w:rPr>
                <w:rFonts w:ascii="宋体" w:hAnsi="宋体" w:cs="宋体" w:eastAsia="宋体" w:hint="default"/>
                <w:spacing w:val="-67"/>
                <w:sz w:val="18"/>
                <w:szCs w:val="18"/>
              </w:rPr>
              <w:t> </w:t>
            </w:r>
            <w:r>
              <w:rPr>
                <w:rFonts w:ascii="宋体" w:hAnsi="宋体" w:cs="宋体" w:eastAsia="宋体" w:hint="default"/>
                <w:sz w:val="18"/>
                <w:szCs w:val="18"/>
              </w:rPr>
              <w:t>据</w:t>
            </w:r>
            <w:r>
              <w:rPr>
                <w:rFonts w:ascii="宋体" w:hAnsi="宋体" w:cs="宋体" w:eastAsia="宋体" w:hint="default"/>
                <w:spacing w:val="-68"/>
                <w:sz w:val="18"/>
                <w:szCs w:val="18"/>
              </w:rPr>
              <w:t> </w:t>
            </w:r>
            <w:r>
              <w:rPr>
                <w:rFonts w:ascii="宋体" w:hAnsi="宋体" w:cs="宋体" w:eastAsia="宋体" w:hint="default"/>
                <w:sz w:val="18"/>
                <w:szCs w:val="18"/>
              </w:rPr>
              <w:t>加</w:t>
            </w:r>
            <w:r>
              <w:rPr>
                <w:rFonts w:ascii="宋体" w:hAnsi="宋体" w:cs="宋体" w:eastAsia="宋体" w:hint="default"/>
                <w:spacing w:val="-68"/>
                <w:sz w:val="18"/>
                <w:szCs w:val="18"/>
              </w:rPr>
              <w:t> </w:t>
            </w:r>
            <w:r>
              <w:rPr>
                <w:rFonts w:ascii="宋体" w:hAnsi="宋体" w:cs="宋体" w:eastAsia="宋体" w:hint="default"/>
                <w:sz w:val="18"/>
                <w:szCs w:val="18"/>
              </w:rPr>
              <w:t>载</w:t>
            </w:r>
            <w:r>
              <w:rPr>
                <w:rFonts w:ascii="宋体" w:hAnsi="宋体" w:cs="宋体" w:eastAsia="宋体" w:hint="default"/>
                <w:spacing w:val="-67"/>
                <w:sz w:val="18"/>
                <w:szCs w:val="18"/>
              </w:rPr>
              <w:t> </w:t>
            </w:r>
            <w:r>
              <w:rPr>
                <w:rFonts w:ascii="宋体" w:hAnsi="宋体" w:cs="宋体" w:eastAsia="宋体" w:hint="default"/>
                <w:sz w:val="18"/>
                <w:szCs w:val="18"/>
              </w:rPr>
              <w:t>等</w:t>
            </w:r>
            <w:r>
              <w:rPr>
                <w:rFonts w:ascii="宋体" w:hAnsi="宋体" w:cs="宋体" w:eastAsia="宋体" w:hint="default"/>
                <w:sz w:val="18"/>
                <w:szCs w:val="18"/>
              </w:rPr>
              <w:t> </w:t>
            </w:r>
            <w:r>
              <w:rPr>
                <w:rFonts w:ascii="宋体" w:hAnsi="宋体" w:cs="宋体" w:eastAsia="宋体" w:hint="default"/>
                <w:spacing w:val="3"/>
                <w:sz w:val="18"/>
                <w:szCs w:val="18"/>
              </w:rPr>
              <w:t>模块，完成分布式</w:t>
            </w:r>
            <w:r>
              <w:rPr>
                <w:rFonts w:ascii="宋体" w:hAnsi="宋体" w:cs="宋体" w:eastAsia="宋体" w:hint="default"/>
                <w:sz w:val="18"/>
                <w:szCs w:val="18"/>
              </w:rPr>
              <w:t> </w:t>
            </w:r>
            <w:r>
              <w:rPr>
                <w:rFonts w:ascii="宋体" w:hAnsi="宋体" w:cs="宋体" w:eastAsia="宋体" w:hint="default"/>
                <w:spacing w:val="3"/>
                <w:sz w:val="18"/>
                <w:szCs w:val="18"/>
              </w:rPr>
              <w:t>数据服务子系统的</w:t>
            </w:r>
            <w:r>
              <w:rPr>
                <w:rFonts w:ascii="宋体" w:hAnsi="宋体" w:cs="宋体" w:eastAsia="宋体" w:hint="default"/>
                <w:sz w:val="18"/>
                <w:szCs w:val="18"/>
              </w:rPr>
              <w:t> </w:t>
            </w:r>
            <w:r>
              <w:rPr>
                <w:rFonts w:ascii="Times New Roman" w:hAnsi="Times New Roman" w:cs="Times New Roman" w:eastAsia="Times New Roman" w:hint="default"/>
                <w:spacing w:val="6"/>
                <w:sz w:val="18"/>
                <w:szCs w:val="18"/>
              </w:rPr>
              <w:t>SQL</w:t>
            </w:r>
            <w:r>
              <w:rPr>
                <w:rFonts w:ascii="宋体" w:hAnsi="宋体" w:cs="宋体" w:eastAsia="宋体" w:hint="default"/>
                <w:spacing w:val="6"/>
                <w:sz w:val="18"/>
                <w:szCs w:val="18"/>
              </w:rPr>
              <w:t>指令解析，作</w:t>
            </w:r>
            <w:r>
              <w:rPr>
                <w:rFonts w:ascii="宋体" w:hAnsi="宋体" w:cs="宋体" w:eastAsia="宋体" w:hint="default"/>
                <w:sz w:val="18"/>
                <w:szCs w:val="18"/>
              </w:rPr>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left"/>
              <w:rPr>
                <w:rFonts w:ascii="宋体" w:hAnsi="宋体" w:cs="宋体" w:eastAsia="宋体" w:hint="default"/>
                <w:sz w:val="18"/>
                <w:szCs w:val="18"/>
              </w:rPr>
            </w:pPr>
            <w:r>
              <w:rPr>
                <w:rFonts w:ascii="宋体" w:hAnsi="宋体" w:cs="宋体" w:eastAsia="宋体" w:hint="default"/>
                <w:sz w:val="18"/>
                <w:szCs w:val="18"/>
              </w:rPr>
              <w:t>本项目围绕海量数据分析的数据库建设领域的重大 </w:t>
            </w:r>
            <w:r>
              <w:rPr>
                <w:rFonts w:ascii="宋体" w:hAnsi="宋体" w:cs="宋体" w:eastAsia="宋体" w:hint="default"/>
                <w:spacing w:val="-5"/>
                <w:sz w:val="18"/>
                <w:szCs w:val="18"/>
              </w:rPr>
              <w:t>需求，致力于实现列存数据引擎、分布式存储技术、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分布式数据分析引擎和高性能数据传输技术等核心</w:t>
            </w:r>
            <w:r>
              <w:rPr>
                <w:rFonts w:ascii="宋体" w:hAnsi="宋体" w:cs="宋体" w:eastAsia="宋体" w:hint="default"/>
                <w:sz w:val="18"/>
                <w:szCs w:val="18"/>
              </w:rPr>
              <w:t> 技术的关键性突破，解决海量数据存储和分析的性 能瓶颈问题，未来成果对促进我国信息化基础设施 建设、提高我国数据库产业的核心竞争力和自主创 新能力具有重要意义。</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9"/>
              <w:jc w:val="left"/>
              <w:rPr>
                <w:rFonts w:ascii="宋体" w:hAnsi="宋体" w:cs="宋体" w:eastAsia="宋体" w:hint="default"/>
                <w:sz w:val="18"/>
                <w:szCs w:val="18"/>
              </w:rPr>
            </w:pPr>
            <w:r>
              <w:rPr>
                <w:rFonts w:ascii="宋体" w:hAnsi="宋体" w:cs="宋体" w:eastAsia="宋体" w:hint="default"/>
                <w:sz w:val="18"/>
                <w:szCs w:val="18"/>
              </w:rPr>
              <w:t>提升公司在大数据存储、数据查询及海 量数据分析方面的能力</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p>
      <w:pPr>
        <w:pStyle w:val="BodyText"/>
        <w:spacing w:line="316" w:lineRule="auto"/>
        <w:ind w:left="1158" w:right="7304"/>
        <w:jc w:val="left"/>
      </w:pPr>
      <w:r>
        <w:rPr>
          <w:spacing w:val="3"/>
        </w:rPr>
        <w:t>业调度与并行处理</w:t>
      </w:r>
      <w:r>
        <w:rPr/>
        <w:t> 等相关工作。</w:t>
      </w:r>
    </w:p>
    <w:p>
      <w:pPr>
        <w:pStyle w:val="BodyText"/>
        <w:spacing w:line="240" w:lineRule="auto" w:before="53"/>
        <w:ind w:left="154" w:right="0"/>
        <w:jc w:val="left"/>
      </w:pPr>
      <w:r>
        <w:rPr>
          <w:spacing w:val="4"/>
        </w:rPr>
        <w:t>数据服务平完成数据服务的数数据服务平台为大型企业</w:t>
      </w:r>
      <w:r>
        <w:rPr>
          <w:rFonts w:ascii="Times New Roman" w:hAnsi="Times New Roman" w:cs="Times New Roman" w:eastAsia="Times New Roman" w:hint="default"/>
          <w:spacing w:val="4"/>
        </w:rPr>
        <w:t>IT</w:t>
      </w:r>
      <w:r>
        <w:rPr>
          <w:spacing w:val="4"/>
        </w:rPr>
        <w:t>架构中应用与数据解耦</w:t>
      </w:r>
      <w:r>
        <w:rPr>
          <w:spacing w:val="-1"/>
        </w:rPr>
        <w:t> </w:t>
      </w:r>
      <w:r>
        <w:rPr/>
        <w:t>提升公司在大数据面向各个层面的服务</w:t>
      </w:r>
    </w:p>
    <w:p>
      <w:pPr>
        <w:pStyle w:val="BodyText"/>
        <w:tabs>
          <w:tab w:pos="1158" w:val="left" w:leader="none"/>
        </w:tabs>
        <w:spacing w:line="316" w:lineRule="auto" w:before="63"/>
        <w:ind w:left="1158" w:right="198" w:hanging="1005"/>
        <w:jc w:val="left"/>
      </w:pPr>
      <w:r>
        <w:rPr/>
        <w:t>台</w:t>
        <w:tab/>
      </w:r>
      <w:r>
        <w:rPr>
          <w:spacing w:val="3"/>
        </w:rPr>
        <w:t>据服务平台门户、</w:t>
      </w:r>
      <w:r>
        <w:rPr>
          <w:spacing w:val="-69"/>
        </w:rPr>
        <w:t> </w:t>
      </w:r>
      <w:r>
        <w:rPr/>
        <w:t>问题、异构数据交换问题、数据使用管理问题提供</w:t>
      </w:r>
      <w:r>
        <w:rPr>
          <w:spacing w:val="-13"/>
        </w:rPr>
        <w:t> </w:t>
      </w:r>
      <w:r>
        <w:rPr/>
        <w:t>能力，让数据使用者能够方便的访问和</w:t>
      </w:r>
      <w:r>
        <w:rPr/>
        <w:t> 数据服务引擎、任解决方案，研发内容包括：数据服务子系统（数据</w:t>
      </w:r>
      <w:r>
        <w:rPr>
          <w:spacing w:val="-12"/>
        </w:rPr>
        <w:t> </w:t>
      </w:r>
      <w:r>
        <w:rPr/>
        <w:t>使用数据信息</w:t>
      </w:r>
      <w:r>
        <w:rPr/>
        <w:t> 务调度引擎；异构服务平台门户、数据服务引擎、任务调度引擎、数 数据交换平台的异据封装引擎），异构数据交换平台（异构数据访问 </w:t>
      </w:r>
      <w:r>
        <w:rPr/>
        <w:t>                  </w:t>
      </w:r>
      <w:r>
        <w:rPr>
          <w:spacing w:val="3"/>
        </w:rPr>
        <w:t>构数据访问模块；</w:t>
      </w:r>
      <w:r>
        <w:rPr>
          <w:spacing w:val="-69"/>
        </w:rPr>
        <w:t> </w:t>
      </w:r>
      <w:r>
        <w:rPr/>
        <w:t>模块、异构数据转换模块），运维管理子系统（日</w:t>
      </w:r>
      <w:r>
        <w:rPr/>
        <w:t> 运维管理子系统的志及报表模块、服务管理模块、任务管理模块、系 </w:t>
      </w:r>
      <w:r>
        <w:rPr/>
        <w:t>                  </w:t>
      </w:r>
      <w:r>
        <w:rPr>
          <w:spacing w:val="3"/>
        </w:rPr>
        <w:t>日志及报表模块、</w:t>
      </w:r>
      <w:r>
        <w:rPr>
          <w:spacing w:val="-69"/>
        </w:rPr>
        <w:t> </w:t>
      </w:r>
      <w:r>
        <w:rPr/>
        <w:t>统管理模块），数据安全中心（认证模块、授权模</w:t>
      </w:r>
      <w:r>
        <w:rPr/>
        <w:t> 系统管理模块；外块），外部接口子系统（</w:t>
      </w:r>
      <w:r>
        <w:rPr>
          <w:rFonts w:ascii="Times New Roman" w:hAnsi="Times New Roman" w:cs="Times New Roman" w:eastAsia="Times New Roman" w:hint="default"/>
        </w:rPr>
        <w:t>ETL</w:t>
      </w:r>
      <w:r>
        <w:rPr/>
        <w:t>平台接口、元数据平</w:t>
      </w:r>
    </w:p>
    <w:p>
      <w:pPr>
        <w:pStyle w:val="BodyText"/>
        <w:spacing w:line="309" w:lineRule="auto"/>
        <w:ind w:left="1158" w:right="0"/>
        <w:jc w:val="left"/>
      </w:pPr>
      <w:r>
        <w:rPr/>
        <w:t>部</w:t>
      </w:r>
      <w:r>
        <w:rPr>
          <w:spacing w:val="-55"/>
        </w:rPr>
        <w:t> </w:t>
      </w:r>
      <w:r>
        <w:rPr/>
        <w:t>接</w:t>
      </w:r>
      <w:r>
        <w:rPr>
          <w:spacing w:val="-55"/>
        </w:rPr>
        <w:t> </w:t>
      </w:r>
      <w:r>
        <w:rPr/>
        <w:t>口</w:t>
      </w:r>
      <w:r>
        <w:rPr>
          <w:spacing w:val="-55"/>
        </w:rPr>
        <w:t> </w:t>
      </w:r>
      <w:r>
        <w:rPr/>
        <w:t>子</w:t>
      </w:r>
      <w:r>
        <w:rPr>
          <w:spacing w:val="-55"/>
        </w:rPr>
        <w:t> </w:t>
      </w:r>
      <w:r>
        <w:rPr/>
        <w:t>系</w:t>
      </w:r>
      <w:r>
        <w:rPr>
          <w:spacing w:val="-53"/>
        </w:rPr>
        <w:t> </w:t>
      </w:r>
      <w:r>
        <w:rPr/>
        <w:t>统</w:t>
      </w:r>
      <w:r>
        <w:rPr>
          <w:spacing w:val="-55"/>
        </w:rPr>
        <w:t> </w:t>
      </w:r>
      <w:r>
        <w:rPr/>
        <w:t>的台接口、服务开发接口）。当前，大型企业普遍面</w:t>
      </w:r>
      <w:r>
        <w:rPr>
          <w:spacing w:val="-81"/>
        </w:rPr>
        <w:t> </w:t>
      </w:r>
      <w:r>
        <w:rPr>
          <w:spacing w:val="-81"/>
        </w:rPr>
      </w:r>
      <w:r>
        <w:rPr>
          <w:rFonts w:ascii="Times New Roman" w:hAnsi="Times New Roman" w:cs="Times New Roman" w:eastAsia="Times New Roman" w:hint="default"/>
        </w:rPr>
        <w:t>ETL</w:t>
      </w:r>
      <w:r>
        <w:rPr/>
        <w:t>平台接口、元临</w:t>
      </w:r>
      <w:r>
        <w:rPr>
          <w:rFonts w:ascii="Times New Roman" w:hAnsi="Times New Roman" w:cs="Times New Roman" w:eastAsia="Times New Roman" w:hint="default"/>
        </w:rPr>
        <w:t>IT</w:t>
      </w:r>
      <w:r>
        <w:rPr/>
        <w:t>系统林立，数据交换复杂，应用与数据紧耦合，</w:t>
      </w:r>
      <w:r>
        <w:rPr>
          <w:spacing w:val="-40"/>
        </w:rPr>
        <w:t> </w:t>
      </w:r>
      <w:r>
        <w:rPr>
          <w:spacing w:val="-40"/>
        </w:rPr>
      </w:r>
      <w:r>
        <w:rPr/>
        <w:t>数据平台接口等工新应用建设周期长，数据使用难以稽核规范等问题。</w:t>
      </w:r>
    </w:p>
    <w:p>
      <w:pPr>
        <w:pStyle w:val="BodyText"/>
        <w:tabs>
          <w:tab w:pos="2649" w:val="left" w:leader="none"/>
        </w:tabs>
        <w:spacing w:line="314" w:lineRule="auto" w:before="24"/>
        <w:ind w:left="2649" w:right="3188" w:hanging="1491"/>
        <w:jc w:val="left"/>
      </w:pPr>
      <w:r>
        <w:rPr/>
        <w:t>作。</w:t>
        <w:tab/>
        <w:t>数据服务平台研发成功后，能够通过数据服务对数 据仓库的数据内容进行有效封装，将底层数据与上 层应用进行解耦，能够对各种</w:t>
      </w:r>
      <w:r>
        <w:rPr>
          <w:rFonts w:ascii="Times New Roman" w:hAnsi="Times New Roman" w:cs="Times New Roman" w:eastAsia="Times New Roman" w:hint="default"/>
        </w:rPr>
        <w:t>IT</w:t>
      </w:r>
      <w:r>
        <w:rPr/>
        <w:t>系统之间的数据交 换进行统一管理，能够对临时数据需求及应用层对 数据层的访问进行统一支撑和管理，使企业在建设 新应用时能够充分复用已有的数据服务实现，缩短 </w:t>
      </w:r>
      <w:r>
        <w:rPr>
          <w:spacing w:val="-2"/>
        </w:rPr>
        <w:t>建设周期，降低建设成本，并能大幅降低数据管理、</w:t>
      </w:r>
      <w:r>
        <w:rPr/>
        <w:t> 运维成本，提升数据仓库对外服务的效果和质量。 该项目计划研发周期为</w:t>
      </w:r>
      <w:r>
        <w:rPr>
          <w:rFonts w:ascii="Times New Roman" w:hAnsi="Times New Roman" w:cs="Times New Roman" w:eastAsia="Times New Roman" w:hint="default"/>
        </w:rPr>
        <w:t>2</w:t>
      </w:r>
      <w:r>
        <w:rPr/>
        <w:t>年。公司对该项目已进行充 分研究，在资金、技术、人员等方面均能够提供充 </w:t>
      </w:r>
      <w:r>
        <w:rPr>
          <w:spacing w:val="-2"/>
        </w:rPr>
        <w:t>分保障，且该项目研发成功后能够快速应用于电信、</w:t>
      </w:r>
      <w:r>
        <w:rPr/>
        <w:t> 金融等数据密集行业，解决客户</w:t>
      </w:r>
      <w:r>
        <w:rPr>
          <w:rFonts w:ascii="Times New Roman" w:hAnsi="Times New Roman" w:cs="Times New Roman" w:eastAsia="Times New Roman" w:hint="default"/>
        </w:rPr>
        <w:t>IT</w:t>
      </w:r>
      <w:r>
        <w:rPr/>
        <w:t>架构中的关键问 题，具有非常良好的市场前景。</w:t>
      </w:r>
    </w:p>
    <w:p>
      <w:pPr>
        <w:pStyle w:val="BodyText"/>
        <w:spacing w:line="240" w:lineRule="auto" w:before="55"/>
        <w:ind w:left="154" w:right="0"/>
        <w:jc w:val="left"/>
      </w:pPr>
      <w:r>
        <w:rPr>
          <w:spacing w:val="4"/>
        </w:rPr>
        <w:t>手机经分应完成掌上分析展现目前基于智能手机的新型终端展示经营分析系统数</w:t>
      </w:r>
      <w:r>
        <w:rPr>
          <w:spacing w:val="-6"/>
        </w:rPr>
        <w:t> </w:t>
      </w:r>
      <w:r>
        <w:rPr/>
        <w:t>提升公司经营分析能力在移动终端上的</w:t>
      </w:r>
    </w:p>
    <w:p>
      <w:pPr>
        <w:spacing w:after="0" w:line="240" w:lineRule="auto"/>
        <w:jc w:val="left"/>
        <w:sectPr>
          <w:pgSz w:w="11910" w:h="16840"/>
          <w:pgMar w:header="747" w:footer="979" w:top="1060" w:bottom="1160" w:left="980" w:right="980"/>
        </w:sectPr>
      </w:pPr>
    </w:p>
    <w:p>
      <w:pPr>
        <w:pStyle w:val="BodyText"/>
        <w:spacing w:line="240" w:lineRule="auto" w:before="76"/>
        <w:ind w:left="154" w:right="-20"/>
        <w:jc w:val="left"/>
      </w:pPr>
      <w:r>
        <w:rPr/>
        <w:t>用开发</w:t>
      </w:r>
    </w:p>
    <w:p>
      <w:pPr>
        <w:pStyle w:val="BodyText"/>
        <w:spacing w:line="316" w:lineRule="auto" w:before="76"/>
        <w:ind w:left="154" w:right="190"/>
        <w:jc w:val="left"/>
      </w:pPr>
      <w:r>
        <w:rPr/>
        <w:br w:type="column"/>
      </w:r>
      <w:r>
        <w:rPr/>
        <w:t>技术服务开发和掌据已成为业界主流趋势。手机版经分系统是在手机</w:t>
      </w:r>
      <w:r>
        <w:rPr>
          <w:spacing w:val="27"/>
        </w:rPr>
        <w:t> </w:t>
      </w:r>
      <w:r>
        <w:rPr/>
        <w:t>服务能力，方便使用者通过移动终端快</w:t>
      </w:r>
      <w:r>
        <w:rPr>
          <w:spacing w:val="-85"/>
        </w:rPr>
        <w:t> </w:t>
      </w:r>
      <w:r>
        <w:rPr>
          <w:spacing w:val="-85"/>
        </w:rPr>
      </w:r>
      <w:r>
        <w:rPr/>
        <w:t>上分析数据千里眼终端上实现数据展现、数据处理的终端管理软件。</w:t>
      </w:r>
      <w:r>
        <w:rPr>
          <w:spacing w:val="32"/>
        </w:rPr>
        <w:t> </w:t>
      </w:r>
      <w:r>
        <w:rPr/>
        <w:t>速访问企业的经营现状</w:t>
      </w:r>
    </w:p>
    <w:p>
      <w:pPr>
        <w:spacing w:after="0" w:line="316" w:lineRule="auto"/>
        <w:jc w:val="left"/>
        <w:sectPr>
          <w:type w:val="continuous"/>
          <w:pgSz w:w="11910" w:h="16840"/>
          <w:pgMar w:top="1060" w:bottom="1160" w:left="980" w:right="980"/>
          <w:cols w:num="2" w:equalWidth="0">
            <w:col w:w="695" w:space="310"/>
            <w:col w:w="8945"/>
          </w:cols>
        </w:sectPr>
      </w:pPr>
    </w:p>
    <w:p>
      <w:pPr>
        <w:pStyle w:val="BodyText"/>
        <w:spacing w:line="240" w:lineRule="auto" w:before="19"/>
        <w:ind w:left="1158" w:right="-20"/>
        <w:jc w:val="left"/>
      </w:pPr>
      <w:r>
        <w:rPr/>
        <w:t>项目开发</w:t>
      </w:r>
    </w:p>
    <w:p>
      <w:pPr>
        <w:pStyle w:val="BodyText"/>
        <w:spacing w:line="316" w:lineRule="auto" w:before="19"/>
        <w:ind w:left="730" w:right="3335"/>
        <w:jc w:val="both"/>
      </w:pPr>
      <w:r>
        <w:rPr/>
        <w:br w:type="column"/>
      </w:r>
      <w:r>
        <w:rPr/>
        <w:t>通过应用本套软件，公司内的各层管理人员可以通 过手机终端实时查询市场指标数据，及时了解市场 动态、及时处理市场异动情况。手机分析不仅具备 移动互联网应用和传统应用的所有优点，而且对使 用者更重要的是获取数据的快速、快捷和便利性， 更有利于数据的共享、交流和讨论，从而大大提高 了用户的工作效率和使用满意度。</w:t>
      </w:r>
    </w:p>
    <w:p>
      <w:pPr>
        <w:spacing w:after="0" w:line="316" w:lineRule="auto"/>
        <w:jc w:val="both"/>
        <w:sectPr>
          <w:type w:val="continuous"/>
          <w:pgSz w:w="11910" w:h="16840"/>
          <w:pgMar w:top="1060" w:bottom="1160" w:left="980" w:right="980"/>
          <w:cols w:num="2" w:equalWidth="0">
            <w:col w:w="1879" w:space="40"/>
            <w:col w:w="8031"/>
          </w:cols>
        </w:sectPr>
      </w:pPr>
    </w:p>
    <w:p>
      <w:pPr>
        <w:pStyle w:val="BodyText"/>
        <w:spacing w:line="240" w:lineRule="auto" w:before="53"/>
        <w:ind w:left="154" w:right="0"/>
        <w:jc w:val="left"/>
      </w:pPr>
      <w:r>
        <w:rPr/>
        <w:pict>
          <v:group style="position:absolute;margin-left:55.860001pt;margin-top:71.639984pt;width:483.2pt;height:694.95pt;mso-position-horizontal-relative:page;mso-position-vertical-relative:page;z-index:-955576" coordorigin="1117,1433" coordsize="9664,13899">
            <v:group style="position:absolute;left:1132;top:1447;width:991;height:2" coordorigin="1132,1447" coordsize="991,2">
              <v:shape style="position:absolute;left:1132;top:1447;width:991;height:2" coordorigin="1132,1447" coordsize="991,0" path="m1132,1447l2122,1447e" filled="false" stroked="true" strokeweight=".72pt" strokecolor="#000000">
                <v:path arrowok="t"/>
              </v:shape>
            </v:group>
            <v:group style="position:absolute;left:2136;top:1447;width:1476;height:2" coordorigin="2136,1447" coordsize="1476,2">
              <v:shape style="position:absolute;left:2136;top:1447;width:1476;height:2" coordorigin="2136,1447" coordsize="1476,0" path="m2136,1447l3612,1447e" filled="false" stroked="true" strokeweight=".72pt" strokecolor="#000000">
                <v:path arrowok="t"/>
              </v:shape>
            </v:group>
            <v:group style="position:absolute;left:3627;top:1447;width:4023;height:2" coordorigin="3627,1447" coordsize="4023,2">
              <v:shape style="position:absolute;left:3627;top:1447;width:4023;height:2" coordorigin="3627,1447" coordsize="4023,0" path="m3627,1447l7650,1447e" filled="false" stroked="true" strokeweight=".72pt" strokecolor="#000000">
                <v:path arrowok="t"/>
              </v:shape>
            </v:group>
            <v:group style="position:absolute;left:7664;top:1447;width:3103;height:2" coordorigin="7664,1447" coordsize="3103,2">
              <v:shape style="position:absolute;left:7664;top:1447;width:3103;height:2" coordorigin="7664,1447" coordsize="3103,0" path="m7664,1447l10766,1447e" filled="false" stroked="true" strokeweight=".72pt" strokecolor="#000000">
                <v:path arrowok="t"/>
              </v:shape>
            </v:group>
            <v:group style="position:absolute;left:1132;top:2106;width:991;height:2" coordorigin="1132,2106" coordsize="991,2">
              <v:shape style="position:absolute;left:1132;top:2106;width:991;height:2" coordorigin="1132,2106" coordsize="991,0" path="m1132,2106l2122,2106e" filled="false" stroked="true" strokeweight=".72pt" strokecolor="#000000">
                <v:path arrowok="t"/>
              </v:shape>
            </v:group>
            <v:group style="position:absolute;left:2136;top:2106;width:1476;height:2" coordorigin="2136,2106" coordsize="1476,2">
              <v:shape style="position:absolute;left:2136;top:2106;width:1476;height:2" coordorigin="2136,2106" coordsize="1476,0" path="m2136,2106l3612,2106e" filled="false" stroked="true" strokeweight=".72pt" strokecolor="#000000">
                <v:path arrowok="t"/>
              </v:shape>
            </v:group>
            <v:group style="position:absolute;left:3627;top:2106;width:4023;height:2" coordorigin="3627,2106" coordsize="4023,2">
              <v:shape style="position:absolute;left:3627;top:2106;width:4023;height:2" coordorigin="3627,2106" coordsize="4023,0" path="m3627,2106l7650,2106e" filled="false" stroked="true" strokeweight=".72pt" strokecolor="#000000">
                <v:path arrowok="t"/>
              </v:shape>
            </v:group>
            <v:group style="position:absolute;left:7664;top:2106;width:3103;height:2" coordorigin="7664,2106" coordsize="3103,2">
              <v:shape style="position:absolute;left:7664;top:2106;width:3103;height:2" coordorigin="7664,2106" coordsize="3103,0" path="m7664,2106l10766,2106e" filled="false" stroked="true" strokeweight=".72pt" strokecolor="#000000">
                <v:path arrowok="t"/>
              </v:shape>
            </v:group>
            <v:group style="position:absolute;left:1132;top:9942;width:991;height:2" coordorigin="1132,9942" coordsize="991,2">
              <v:shape style="position:absolute;left:1132;top:9942;width:991;height:2" coordorigin="1132,9942" coordsize="991,0" path="m1132,9942l2122,9942e" filled="false" stroked="true" strokeweight=".72pt" strokecolor="#000000">
                <v:path arrowok="t"/>
              </v:shape>
            </v:group>
            <v:group style="position:absolute;left:2136;top:9942;width:1476;height:2" coordorigin="2136,9942" coordsize="1476,2">
              <v:shape style="position:absolute;left:2136;top:9942;width:1476;height:2" coordorigin="2136,9942" coordsize="1476,0" path="m2136,9942l3612,9942e" filled="false" stroked="true" strokeweight=".72pt" strokecolor="#000000">
                <v:path arrowok="t"/>
              </v:shape>
            </v:group>
            <v:group style="position:absolute;left:3627;top:9942;width:4023;height:2" coordorigin="3627,9942" coordsize="4023,2">
              <v:shape style="position:absolute;left:3627;top:9942;width:4023;height:2" coordorigin="3627,9942" coordsize="4023,0" path="m3627,9942l7650,9942e" filled="false" stroked="true" strokeweight=".72pt" strokecolor="#000000">
                <v:path arrowok="t"/>
              </v:shape>
            </v:group>
            <v:group style="position:absolute;left:7664;top:9942;width:3103;height:2" coordorigin="7664,9942" coordsize="3103,2">
              <v:shape style="position:absolute;left:7664;top:9942;width:3103;height:2" coordorigin="7664,9942" coordsize="3103,0" path="m7664,9942l10766,9942e" filled="false" stroked="true" strokeweight=".72pt" strokecolor="#000000">
                <v:path arrowok="t"/>
              </v:shape>
            </v:group>
            <v:group style="position:absolute;left:1132;top:13096;width:991;height:2" coordorigin="1132,13096" coordsize="991,2">
              <v:shape style="position:absolute;left:1132;top:13096;width:991;height:2" coordorigin="1132,13096" coordsize="991,0" path="m1132,13096l2122,13096e" filled="false" stroked="true" strokeweight=".72pt" strokecolor="#000000">
                <v:path arrowok="t"/>
              </v:shape>
            </v:group>
            <v:group style="position:absolute;left:2136;top:13096;width:1476;height:2" coordorigin="2136,13096" coordsize="1476,2">
              <v:shape style="position:absolute;left:2136;top:13096;width:1476;height:2" coordorigin="2136,13096" coordsize="1476,0" path="m2136,13096l3612,13096e" filled="false" stroked="true" strokeweight=".72pt" strokecolor="#000000">
                <v:path arrowok="t"/>
              </v:shape>
            </v:group>
            <v:group style="position:absolute;left:3627;top:13096;width:4023;height:2" coordorigin="3627,13096" coordsize="4023,2">
              <v:shape style="position:absolute;left:3627;top:13096;width:4023;height:2" coordorigin="3627,13096" coordsize="4023,0" path="m3627,13096l7650,13096e" filled="false" stroked="true" strokeweight=".72pt" strokecolor="#000000">
                <v:path arrowok="t"/>
              </v:shape>
            </v:group>
            <v:group style="position:absolute;left:7664;top:13096;width:3103;height:2" coordorigin="7664,13096" coordsize="3103,2">
              <v:shape style="position:absolute;left:7664;top:13096;width:3103;height:2" coordorigin="7664,13096" coordsize="3103,0" path="m7664,13096l10766,13096e" filled="false" stroked="true" strokeweight=".72pt" strokecolor="#000000">
                <v:path arrowok="t"/>
              </v:shape>
            </v:group>
            <v:group style="position:absolute;left:1124;top:1440;width:2;height:13884" coordorigin="1124,1440" coordsize="2,13884">
              <v:shape style="position:absolute;left:1124;top:1440;width:2;height:13884" coordorigin="1124,1440" coordsize="0,13884" path="m1124,1440l1124,15324e" filled="false" stroked="true" strokeweight=".72pt" strokecolor="#000000">
                <v:path arrowok="t"/>
              </v:shape>
            </v:group>
            <v:group style="position:absolute;left:1132;top:15317;width:991;height:2" coordorigin="1132,15317" coordsize="991,2">
              <v:shape style="position:absolute;left:1132;top:15317;width:991;height:2" coordorigin="1132,15317" coordsize="991,0" path="m1132,15317l2122,15317e" filled="false" stroked="true" strokeweight=".72pt" strokecolor="#000000">
                <v:path arrowok="t"/>
              </v:shape>
            </v:group>
            <v:group style="position:absolute;left:2129;top:1440;width:2;height:13884" coordorigin="2129,1440" coordsize="2,13884">
              <v:shape style="position:absolute;left:2129;top:1440;width:2;height:13884" coordorigin="2129,1440" coordsize="0,13884" path="m2129,1440l2129,15324e" filled="false" stroked="true" strokeweight=".72pt" strokecolor="#000000">
                <v:path arrowok="t"/>
              </v:shape>
            </v:group>
            <v:group style="position:absolute;left:2136;top:15317;width:1476;height:2" coordorigin="2136,15317" coordsize="1476,2">
              <v:shape style="position:absolute;left:2136;top:15317;width:1476;height:2" coordorigin="2136,15317" coordsize="1476,0" path="m2136,15317l3612,15317e" filled="false" stroked="true" strokeweight=".72pt" strokecolor="#000000">
                <v:path arrowok="t"/>
              </v:shape>
            </v:group>
            <v:group style="position:absolute;left:3620;top:1440;width:2;height:13884" coordorigin="3620,1440" coordsize="2,13884">
              <v:shape style="position:absolute;left:3620;top:1440;width:2;height:13884" coordorigin="3620,1440" coordsize="0,13884" path="m3620,1440l3620,15324e" filled="false" stroked="true" strokeweight=".72pt" strokecolor="#000000">
                <v:path arrowok="t"/>
              </v:shape>
            </v:group>
            <v:group style="position:absolute;left:3627;top:15317;width:4023;height:2" coordorigin="3627,15317" coordsize="4023,2">
              <v:shape style="position:absolute;left:3627;top:15317;width:4023;height:2" coordorigin="3627,15317" coordsize="4023,0" path="m3627,15317l7650,15317e" filled="false" stroked="true" strokeweight=".72pt" strokecolor="#000000">
                <v:path arrowok="t"/>
              </v:shape>
            </v:group>
            <v:group style="position:absolute;left:7657;top:1440;width:2;height:13884" coordorigin="7657,1440" coordsize="2,13884">
              <v:shape style="position:absolute;left:7657;top:1440;width:2;height:13884" coordorigin="7657,1440" coordsize="0,13884" path="m7657,1440l7657,15324e" filled="false" stroked="true" strokeweight=".72pt" strokecolor="#000000">
                <v:path arrowok="t"/>
              </v:shape>
            </v:group>
            <v:group style="position:absolute;left:7664;top:15317;width:3103;height:2" coordorigin="7664,15317" coordsize="3103,2">
              <v:shape style="position:absolute;left:7664;top:15317;width:3103;height:2" coordorigin="7664,15317" coordsize="3103,0" path="m7664,15317l10766,15317e" filled="false" stroked="true" strokeweight=".72pt" strokecolor="#000000">
                <v:path arrowok="t"/>
              </v:shape>
            </v:group>
            <v:group style="position:absolute;left:10774;top:1440;width:2;height:13884" coordorigin="10774,1440" coordsize="2,13884">
              <v:shape style="position:absolute;left:10774;top:1440;width:2;height:13884" coordorigin="10774,1440" coordsize="0,13884" path="m10774,1440l10774,15324e" filled="false" stroked="true" strokeweight=".72pt" strokecolor="#000000">
                <v:path arrowok="t"/>
              </v:shape>
            </v:group>
            <w10:wrap type="none"/>
          </v:group>
        </w:pict>
      </w:r>
      <w:r>
        <w:rPr>
          <w:spacing w:val="7"/>
        </w:rPr>
        <w:t>银行报表平主体功能开发完成 </w:t>
      </w:r>
      <w:r>
        <w:rPr/>
        <w:t>目前国内银行业对构建常规、自定义报表的需求量</w:t>
      </w:r>
      <w:r>
        <w:rPr>
          <w:spacing w:val="-49"/>
        </w:rPr>
        <w:t> </w:t>
      </w:r>
      <w:r>
        <w:rPr/>
        <w:t>提升公司在金融行业的报表服务能力</w:t>
      </w:r>
    </w:p>
    <w:p>
      <w:pPr>
        <w:pStyle w:val="BodyText"/>
        <w:tabs>
          <w:tab w:pos="2649" w:val="left" w:leader="none"/>
        </w:tabs>
        <w:spacing w:line="316" w:lineRule="auto" w:before="76"/>
        <w:ind w:left="2649" w:right="3335" w:hanging="2496"/>
        <w:jc w:val="both"/>
      </w:pPr>
      <w:r>
        <w:rPr/>
        <w:t>台</w:t>
        <w:tab/>
        <w:t>很大，但同时报表需求的不断变更也导致报表重复 开发严重，数据的重复加工也会导致数据不一致性 的增加，并且随着数据量的增加，系统性能也遇到 了瓶颈，而与此同时国内外也没有一家厂商能针对 这些问题提供全套的解决方案，各厂商产品参差不 齐，缺少全面性和高效性。因此，针对当前现状，</w:t>
      </w:r>
    </w:p>
    <w:p>
      <w:pPr>
        <w:spacing w:after="0" w:line="316" w:lineRule="auto"/>
        <w:jc w:val="both"/>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005"/>
        <w:gridCol w:w="1490"/>
        <w:gridCol w:w="4037"/>
        <w:gridCol w:w="3117"/>
      </w:tblGrid>
      <w:tr>
        <w:trPr>
          <w:trHeight w:val="2531" w:hRule="exact"/>
        </w:trPr>
        <w:tc>
          <w:tcPr>
            <w:tcW w:w="1005"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8"/>
              <w:jc w:val="both"/>
              <w:rPr>
                <w:rFonts w:ascii="宋体" w:hAnsi="宋体" w:cs="宋体" w:eastAsia="宋体" w:hint="default"/>
                <w:sz w:val="18"/>
                <w:szCs w:val="18"/>
              </w:rPr>
            </w:pPr>
            <w:r>
              <w:rPr>
                <w:rFonts w:ascii="宋体" w:hAnsi="宋体" w:cs="宋体" w:eastAsia="宋体" w:hint="default"/>
                <w:sz w:val="18"/>
                <w:szCs w:val="18"/>
              </w:rPr>
              <w:t>公司自主开发的银行报表平台专门用来解决这一系 列问题，给用户提供统一的、高效的、易用的、全 面的报表平台产品，能够快速自定义开发报表、响 应需求变更、方便地管理报表、高效地生成报表， 并且提供多种展现形式，使客户真正从繁重的开发 维护中解脱出来，将精力集中在业务上。从某种意 义上讲，银行报表平台具有相当大的必要性和广阔 的商业前景。</w:t>
            </w:r>
          </w:p>
        </w:tc>
        <w:tc>
          <w:tcPr>
            <w:tcW w:w="3117" w:type="dxa"/>
            <w:tcBorders>
              <w:top w:val="single" w:sz="6" w:space="0" w:color="000000"/>
              <w:left w:val="single" w:sz="6" w:space="0" w:color="000000"/>
              <w:bottom w:val="single" w:sz="6" w:space="0" w:color="000000"/>
              <w:right w:val="single" w:sz="6" w:space="0" w:color="000000"/>
            </w:tcBorders>
          </w:tcPr>
          <w:p>
            <w:pPr/>
          </w:p>
        </w:tc>
      </w:tr>
      <w:tr>
        <w:trPr>
          <w:trHeight w:val="1596"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1"/>
              <w:jc w:val="left"/>
              <w:rPr>
                <w:rFonts w:ascii="宋体" w:hAnsi="宋体" w:cs="宋体" w:eastAsia="宋体" w:hint="default"/>
                <w:sz w:val="18"/>
                <w:szCs w:val="18"/>
              </w:rPr>
            </w:pPr>
            <w:r>
              <w:rPr>
                <w:rFonts w:ascii="宋体" w:hAnsi="宋体" w:cs="宋体" w:eastAsia="宋体" w:hint="default"/>
                <w:spacing w:val="16"/>
                <w:sz w:val="18"/>
                <w:szCs w:val="18"/>
              </w:rPr>
              <w:t>资产负债管</w:t>
            </w:r>
            <w:r>
              <w:rPr>
                <w:rFonts w:ascii="宋体" w:hAnsi="宋体" w:cs="宋体" w:eastAsia="宋体" w:hint="default"/>
                <w:spacing w:val="-86"/>
                <w:sz w:val="18"/>
                <w:szCs w:val="18"/>
              </w:rPr>
              <w:t> </w:t>
            </w:r>
            <w:r>
              <w:rPr>
                <w:rFonts w:ascii="宋体" w:hAnsi="宋体" w:cs="宋体" w:eastAsia="宋体" w:hint="default"/>
                <w:sz w:val="18"/>
                <w:szCs w:val="18"/>
              </w:rPr>
              <w:t>理系统</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已完成大部分资产</w:t>
            </w:r>
            <w:r>
              <w:rPr>
                <w:rFonts w:ascii="宋体" w:hAnsi="宋体" w:cs="宋体" w:eastAsia="宋体" w:hint="default"/>
                <w:sz w:val="18"/>
                <w:szCs w:val="18"/>
              </w:rPr>
              <w:t> 负债核心模块。</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8"/>
              <w:jc w:val="both"/>
              <w:rPr>
                <w:rFonts w:ascii="宋体" w:hAnsi="宋体" w:cs="宋体" w:eastAsia="宋体" w:hint="default"/>
                <w:sz w:val="18"/>
                <w:szCs w:val="18"/>
              </w:rPr>
            </w:pPr>
            <w:r>
              <w:rPr>
                <w:rFonts w:ascii="宋体" w:hAnsi="宋体" w:cs="宋体" w:eastAsia="宋体" w:hint="default"/>
                <w:sz w:val="18"/>
                <w:szCs w:val="18"/>
              </w:rPr>
              <w:t>面对国内外新经济和金融形势的挑战，商业银行原 有的、为满足监管要求粗放式的资产负债管理已不 能满足外部监管和自身发展的要求，改革现行资产 负债管理模式以适应内外环境的变化需要全面量化 的资产负债管理系统。</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提升公司在金融行业的报表服务能力</w:t>
            </w:r>
          </w:p>
        </w:tc>
      </w:tr>
    </w:tbl>
    <w:p>
      <w:pPr>
        <w:spacing w:line="240" w:lineRule="auto" w:before="5"/>
        <w:rPr>
          <w:rFonts w:ascii="宋体" w:hAnsi="宋体" w:cs="宋体" w:eastAsia="宋体" w:hint="default"/>
          <w:sz w:val="24"/>
          <w:szCs w:val="24"/>
        </w:rPr>
      </w:pPr>
    </w:p>
    <w:p>
      <w:pPr>
        <w:pStyle w:val="BodyText"/>
        <w:spacing w:line="240" w:lineRule="auto" w:before="44"/>
        <w:ind w:left="154"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92,564,654.20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89,980,922.17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79,048,157.05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43,731,772.71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49,153,190.36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67,772,855.58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t>研发投入资本化率大幅变动的原因及其合理性说明</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115" w:space="4805"/>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587,856,884.01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388,487,156.36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502,070,212.78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430,561,276.56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85,786,671.23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-42,074,120.20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128,000.50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129,659,606.09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78,276,310.95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-129,531,605.59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-78,276,310.95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116,822,405.20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65,823,850.00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105,028,857.60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13,424,913.28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682.34%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11,793,547.60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52,398,936.72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-31,951,386.76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-67,951,494.43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-52.98%</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1" w:lineRule="auto"/>
        <w:ind w:left="154" w:right="150" w:firstLine="482"/>
        <w:jc w:val="left"/>
      </w:pPr>
      <w:r>
        <w:rPr>
          <w:rFonts w:ascii="Times New Roman" w:hAnsi="Times New Roman" w:cs="Times New Roman" w:eastAsia="Times New Roman" w:hint="default"/>
          <w:spacing w:val="-1"/>
        </w:rPr>
        <w:t>1</w:t>
      </w:r>
      <w:r>
        <w:rPr>
          <w:spacing w:val="-1"/>
        </w:rPr>
        <w:t>、报告期经营活动产生的现金流量净额同比增长</w:t>
      </w:r>
      <w:r>
        <w:rPr>
          <w:rFonts w:ascii="Times New Roman" w:hAnsi="Times New Roman" w:cs="Times New Roman" w:eastAsia="Times New Roman" w:hint="default"/>
          <w:spacing w:val="-1"/>
        </w:rPr>
        <w:t>303.89%</w:t>
      </w:r>
      <w:r>
        <w:rPr>
          <w:spacing w:val="-1"/>
        </w:rPr>
        <w:t>，主要原因为报告期业务规模增长较快，回款增加，经营活</w:t>
      </w:r>
      <w:r>
        <w:rPr/>
        <w:t> 动产生的现金流入高于经营活动产生的现金流出所致；</w:t>
      </w:r>
    </w:p>
    <w:p>
      <w:pPr>
        <w:pStyle w:val="BodyText"/>
        <w:spacing w:line="451" w:lineRule="auto" w:before="74"/>
        <w:ind w:left="154" w:right="185" w:firstLine="482"/>
        <w:jc w:val="left"/>
      </w:pPr>
      <w:r>
        <w:rPr>
          <w:rFonts w:ascii="Times New Roman" w:hAnsi="Times New Roman" w:cs="Times New Roman" w:eastAsia="Times New Roman" w:hint="default"/>
        </w:rPr>
        <w:t>2</w:t>
      </w:r>
      <w:r>
        <w:rPr/>
        <w:t>、报告期投资活动产生的现金流量净额同比降低</w:t>
      </w:r>
      <w:r>
        <w:rPr>
          <w:rFonts w:ascii="Times New Roman" w:hAnsi="Times New Roman" w:cs="Times New Roman" w:eastAsia="Times New Roman" w:hint="default"/>
        </w:rPr>
        <w:t>65.48%</w:t>
      </w:r>
      <w:r>
        <w:rPr/>
        <w:t>，主要原因为年度内研发中心及办公楼工程项目主体施工， 公司支付大量工程款，以及公司收购上海屹通和汉桥科创支付股权收购款，使投资活动产生的现金流出增长较大；</w:t>
      </w:r>
    </w:p>
    <w:p>
      <w:pPr>
        <w:pStyle w:val="BodyText"/>
        <w:spacing w:line="451" w:lineRule="auto" w:before="74"/>
        <w:ind w:right="186" w:firstLine="482"/>
        <w:jc w:val="left"/>
      </w:pPr>
      <w:r>
        <w:rPr>
          <w:rFonts w:ascii="Times New Roman" w:hAnsi="Times New Roman" w:cs="Times New Roman" w:eastAsia="Times New Roman" w:hint="default"/>
        </w:rPr>
        <w:t>3</w:t>
      </w:r>
      <w:r>
        <w:rPr/>
        <w:t>、报告期筹资活动产生的现金流量净额同比减少</w:t>
      </w:r>
      <w:r>
        <w:rPr>
          <w:rFonts w:ascii="Times New Roman" w:hAnsi="Times New Roman" w:cs="Times New Roman" w:eastAsia="Times New Roman" w:hint="default"/>
        </w:rPr>
        <w:t>77.49%</w:t>
      </w:r>
      <w:r>
        <w:rPr/>
        <w:t>，主要原因为</w:t>
      </w:r>
      <w:r>
        <w:rPr>
          <w:rFonts w:ascii="Times New Roman" w:hAnsi="Times New Roman" w:cs="Times New Roman" w:eastAsia="Times New Roman" w:hint="default"/>
        </w:rPr>
        <w:t>2013</w:t>
      </w:r>
      <w:r>
        <w:rPr/>
        <w:t>年度公司实行股权激励计划收到限制性股 票款金额较大，报告期借款的净增加额比</w:t>
      </w:r>
      <w:r>
        <w:rPr>
          <w:rFonts w:ascii="Times New Roman" w:hAnsi="Times New Roman" w:cs="Times New Roman" w:eastAsia="Times New Roman" w:hint="default"/>
        </w:rPr>
        <w:t>2013</w:t>
      </w:r>
      <w:r>
        <w:rPr/>
        <w:t>年度下降，使筹资活动产生的现金流入同比减少。</w:t>
      </w:r>
    </w:p>
    <w:p>
      <w:pPr>
        <w:spacing w:line="240" w:lineRule="auto" w:before="4"/>
        <w:rPr>
          <w:rFonts w:ascii="宋体" w:hAnsi="宋体" w:cs="宋体" w:eastAsia="宋体" w:hint="default"/>
          <w:sz w:val="24"/>
          <w:szCs w:val="24"/>
        </w:rPr>
      </w:pPr>
    </w:p>
    <w:p>
      <w:pPr>
        <w:pStyle w:val="BodyText"/>
        <w:spacing w:line="240" w:lineRule="auto"/>
        <w:ind w:right="0"/>
        <w:jc w:val="left"/>
      </w:pPr>
      <w:r>
        <w:rPr/>
        <w:t>报告期内公司经营活动的现金流量与本年度净利润存在重大差异的原因说明</w:t>
      </w:r>
    </w:p>
    <w:p>
      <w:pPr>
        <w:pStyle w:val="BodyText"/>
        <w:spacing w:line="338" w:lineRule="auto" w:before="117"/>
        <w:ind w:right="73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127,006,775.27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20.64%</w:t>
            </w:r>
          </w:p>
        </w:tc>
      </w:tr>
    </w:tbl>
    <w:p>
      <w:pPr>
        <w:pStyle w:val="BodyText"/>
        <w:spacing w:line="240" w:lineRule="auto" w:before="51"/>
        <w:ind w:left="154"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173,282,407.46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54.52%</w:t>
            </w:r>
          </w:p>
        </w:tc>
      </w:tr>
    </w:tbl>
    <w:p>
      <w:pPr>
        <w:pStyle w:val="BodyText"/>
        <w:spacing w:line="240" w:lineRule="auto" w:before="51"/>
        <w:ind w:left="154"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left="154" w:right="4012"/>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38" w:lineRule="auto" w:before="43"/>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前期披露的发展战略和经营计划在报告期内的进展情况</w:t>
      </w:r>
    </w:p>
    <w:p>
      <w:pPr>
        <w:pStyle w:val="BodyText"/>
        <w:spacing w:line="477" w:lineRule="auto" w:before="119"/>
        <w:ind w:left="154" w:right="149" w:firstLine="360"/>
        <w:jc w:val="both"/>
      </w:pPr>
      <w:r>
        <w:rPr>
          <w:spacing w:val="-2"/>
        </w:rPr>
        <w:t>报告期内，公司有序推进公司发展战略，严格执行年度经营计划，积极布局大数据业务市场，形成了集通信、金融、智</w:t>
      </w:r>
      <w:r>
        <w:rPr/>
        <w:t> </w:t>
      </w:r>
      <w:r>
        <w:rPr>
          <w:spacing w:val="-2"/>
        </w:rPr>
        <w:t>慧城市与工业互联网多元发展的市场格局；紧密结合技术发展趋势和市场动态，推出了对标国内外主流厂商的软件产品，提</w:t>
      </w:r>
      <w:r>
        <w:rPr>
          <w:spacing w:val="-66"/>
        </w:rPr>
        <w:t> </w:t>
      </w:r>
      <w:r>
        <w:rPr>
          <w:spacing w:val="-66"/>
        </w:rPr>
      </w:r>
      <w:r>
        <w:rPr>
          <w:spacing w:val="-2"/>
        </w:rPr>
        <w:t>升公司核心竞争力；实施跨行业战略并购，外延扩张打造强势产业链，扩大公司业务市场空间；推行管理精细化，有效提高</w:t>
      </w:r>
      <w:r>
        <w:rPr>
          <w:spacing w:val="-66"/>
        </w:rPr>
        <w:t> </w:t>
      </w:r>
      <w:r>
        <w:rPr>
          <w:spacing w:val="-66"/>
        </w:rPr>
      </w:r>
      <w:r>
        <w:rPr>
          <w:spacing w:val="-2"/>
        </w:rPr>
        <w:t>管理水平，降低了内部运营成本。本报告期，公司收入和利润规模保持高速增长，市场格局、技术实力、核心竞争力等各方</w:t>
      </w:r>
      <w:r>
        <w:rPr>
          <w:spacing w:val="-68"/>
        </w:rPr>
        <w:t> </w:t>
      </w:r>
      <w:r>
        <w:rPr>
          <w:spacing w:val="-68"/>
        </w:rPr>
      </w:r>
      <w:r>
        <w:rPr/>
        <w:t>面均取得良好成效，各项经营指标均完成了年度计划。</w:t>
      </w:r>
    </w:p>
    <w:p>
      <w:pPr>
        <w:spacing w:after="0" w:line="477" w:lineRule="auto"/>
        <w:jc w:val="both"/>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427,841,169.08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237,834,077.56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35,395,623.85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23,780,271.28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57,028,474.61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30,424,499.66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95,001,115.83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5,412,299.98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47,185,737.79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28,561,222.53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144,482,915.80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15,247,345.17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423,597,729.78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253,642,580.78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42,753,485.46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23,534,472.82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42,407,422.04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18,805,814.55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321,060,565.44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138,591,031.63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33,254,009.11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22,568,838.11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34,227,572.20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19,637,429.09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59,208,115.31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27,538,800.87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82,355,213.81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46,774,761.41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499" w:space="542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427,841,169.08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190,007,091.52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35,395,623.85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11,615,352.57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57,028,474.61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26,603,974.95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95,001,115.83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89,588,815.85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47,185,737.79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18,624,515.26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144,482,915.80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129,235,570.63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423,597,729.78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169,955,149.00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42,753,485.46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19,219,012.64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42,407,422.04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23,601,607.49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321,060,565.44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182,469,533.81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33,254,009.11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10,685,171.00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34,227,572.20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14,590,143.11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59,208,115.31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31,669,314.44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82,355,213.81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35,580,452.40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r>
    </w:tbl>
    <w:p>
      <w:pPr>
        <w:pStyle w:val="BodyText"/>
        <w:spacing w:line="240" w:lineRule="auto" w:before="51"/>
        <w:ind w:left="154"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241,346,305.1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281,727,043.77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-11.54%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477,969,217.9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305,330,206.08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-0.59%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30,675,802.34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17,080,613.97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7,945,711.62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9,934,895.41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24,198,722.78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18,878,684.78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65,832,983.13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5,146,780.45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rFonts w:ascii="Times New Roman" w:hAnsi="Times New Roman" w:cs="Times New Roman" w:eastAsia="Times New Roman" w:hint="default"/>
        </w:rPr>
        <w:t>2</w:t>
      </w:r>
      <w:r>
        <w:rPr/>
        <w:t>）负债项目重大变动情况</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75"/>
        <w:gridCol w:w="1052"/>
        <w:gridCol w:w="1207"/>
        <w:gridCol w:w="1040"/>
        <w:gridCol w:w="810"/>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24"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0"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24"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65,000,000.00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3.58%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50,000,000.00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4.40%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-0.82%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报告期内，公司新增软件著作权</w:t>
      </w:r>
      <w:r>
        <w:rPr>
          <w:rFonts w:ascii="Times New Roman" w:hAnsi="Times New Roman" w:cs="Times New Roman" w:eastAsia="Times New Roman" w:hint="default"/>
          <w:spacing w:val="-2"/>
        </w:rPr>
        <w:t>33</w:t>
      </w:r>
      <w:r>
        <w:rPr>
          <w:spacing w:val="-2"/>
        </w:rPr>
        <w:t>项，公司募集资金项目企业数据仓库构建系统项目和全业务营销及维系挽留系统项目</w:t>
      </w:r>
    </w:p>
    <w:p>
      <w:pPr>
        <w:pStyle w:val="BodyText"/>
        <w:spacing w:line="477" w:lineRule="auto" w:before="75"/>
        <w:ind w:left="154" w:right="151"/>
        <w:jc w:val="both"/>
      </w:pPr>
      <w:r>
        <w:rPr>
          <w:spacing w:val="-2"/>
        </w:rPr>
        <w:t>顺利完工，进一步提升了公司软件产品竞争力和技术服务能力。企业数据仓库构建系统研发成功填补了国内外快速高标准建</w:t>
      </w:r>
      <w:r>
        <w:rPr>
          <w:spacing w:val="-64"/>
        </w:rPr>
        <w:t> </w:t>
      </w:r>
      <w:r>
        <w:rPr>
          <w:spacing w:val="-64"/>
        </w:rPr>
      </w:r>
      <w:r>
        <w:rPr>
          <w:spacing w:val="-2"/>
        </w:rPr>
        <w:t>设企业级数据仓库的空白，提供各行业领域的数据仓库基础核心架构，缩短企业构建数据仓库的建设周期，保障企业数据仓</w:t>
      </w:r>
      <w:r>
        <w:rPr>
          <w:spacing w:val="-66"/>
        </w:rPr>
        <w:t> </w:t>
      </w:r>
      <w:r>
        <w:rPr>
          <w:spacing w:val="-66"/>
        </w:rPr>
      </w:r>
      <w:r>
        <w:rPr>
          <w:spacing w:val="-2"/>
        </w:rPr>
        <w:t>库的建设质量，节约公司项目实施的成本；全业务营销及维系挽留系统提升公司了在企业客户营销和维系等方面的建设与服</w:t>
      </w:r>
      <w:r>
        <w:rPr>
          <w:spacing w:val="-64"/>
        </w:rPr>
        <w:t> </w:t>
      </w:r>
      <w:r>
        <w:rPr>
          <w:spacing w:val="-64"/>
        </w:rPr>
      </w:r>
      <w:r>
        <w:rPr/>
        <w:t>务能力。</w:t>
      </w:r>
    </w:p>
    <w:p>
      <w:pPr>
        <w:pStyle w:val="BodyText"/>
        <w:spacing w:line="477" w:lineRule="auto" w:before="54"/>
        <w:ind w:left="154" w:right="0" w:firstLine="360"/>
        <w:jc w:val="left"/>
      </w:pPr>
      <w:r>
        <w:rPr>
          <w:spacing w:val="-2"/>
        </w:rPr>
        <w:t>本报告期，公司核心技术人员未发生重大变动，核心技术人员规模有所扩大，主要系引进了在大数据技术方面的高端技</w:t>
      </w:r>
      <w:r>
        <w:rPr/>
        <w:t> 术人才，进一步提升了公司技术研发实力和创新能力。</w:t>
      </w:r>
    </w:p>
    <w:p>
      <w:pPr>
        <w:spacing w:line="240" w:lineRule="auto" w:before="3"/>
        <w:rPr>
          <w:rFonts w:ascii="宋体" w:hAnsi="宋体" w:cs="宋体" w:eastAsia="宋体" w:hint="default"/>
          <w:sz w:val="19"/>
          <w:szCs w:val="19"/>
        </w:rPr>
      </w:pPr>
    </w:p>
    <w:p>
      <w:pPr>
        <w:pStyle w:val="Heading3"/>
        <w:spacing w:line="240" w:lineRule="auto"/>
        <w:ind w:left="154" w:right="0"/>
        <w:jc w:val="both"/>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1</w:t>
      </w:r>
      <w:r>
        <w:rPr/>
        <w:t>）对外投资情况</w:t>
      </w:r>
    </w:p>
    <w:p>
      <w:pPr>
        <w:pStyle w:val="BodyText"/>
        <w:spacing w:line="240" w:lineRule="auto" w:before="103"/>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509,500,000.00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224,550,000.00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126.90%</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6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上海屹通信息科技发展有 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计算机软件服务与开 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发行股份及 募集资金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陈益玲、章 祺、何本强、 上海屹隆信 息科技有限 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46pt;height:31.2pt;mso-position-horizontal-relative:char;mso-position-vertical-relative:line" coordorigin="0,0" coordsize="920,624">
                  <v:group style="position:absolute;left:0;top:0;width:920;height:624" coordorigin="0,0" coordsize="920,624">
                    <v:shape style="position:absolute;left:0;top:0;width:920;height:624" coordorigin="0,0" coordsize="920,624" path="m0,624l919,624,919,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北京汉桥科创科技有限公 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计算机软件服务与开 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徐向阳、徐成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明</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-973,019.04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北京普泽创智数据技术有 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计算机软件服务与开 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贺晓峰</w:t>
            </w:r>
          </w:p>
        </w:tc>
        <w:tc>
          <w:tcPr>
            <w:tcW w:w="930"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left="154" w:right="-8"/>
        <w:jc w:val="left"/>
      </w:pPr>
      <w:r>
        <w:rPr>
          <w:rFonts w:ascii="Times New Roman" w:hAnsi="Times New Roman" w:cs="Times New Roman" w:eastAsia="Times New Roman" w:hint="default"/>
        </w:rPr>
        <w:t>2</w:t>
      </w:r>
      <w:r>
        <w:rPr/>
        <w:t>）募集资金使用情况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104"/>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56,334.34</w:t>
            </w:r>
          </w:p>
        </w:tc>
      </w:tr>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9,898.14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52,970.06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北京东方国信科技股份有限公司（以下简称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[2010]1902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文核准，由保 </w:t>
            </w:r>
            <w:r>
              <w:rPr>
                <w:rFonts w:ascii="宋体" w:hAnsi="宋体" w:cs="宋体" w:eastAsia="宋体" w:hint="default"/>
                <w:spacing w:val="-1"/>
                <w:sz w:val="18"/>
                <w:szCs w:val="18"/>
              </w:rPr>
              <w:t>荐人（主承销商）广发证券股份有限公司采用网下询价配售与网上向社会公众投资者定价发行相结合的方式发行人民币普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1,017.60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万股，每股发行价为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日，公司已收到募集资金总额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56,334.34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扣除各项发行费用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3,625.93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万元后，募集资金各项净额为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52,708.41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日，公司累计使用募集资</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金专户资金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52,970.06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9,898.14  </w:t>
            </w:r>
            <w:r>
              <w:rPr>
                <w:rFonts w:ascii="宋体" w:hAnsi="宋体" w:cs="宋体" w:eastAsia="宋体" w:hint="default"/>
                <w:sz w:val="18"/>
                <w:szCs w:val="18"/>
              </w:rPr>
              <w:t>万元。</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left="154"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2"/>
        <w:gridCol w:w="644"/>
        <w:gridCol w:w="90"/>
        <w:gridCol w:w="720"/>
        <w:gridCol w:w="722"/>
        <w:gridCol w:w="720"/>
        <w:gridCol w:w="706"/>
        <w:gridCol w:w="739"/>
        <w:gridCol w:w="720"/>
        <w:gridCol w:w="723"/>
        <w:gridCol w:w="722"/>
        <w:gridCol w:w="721"/>
        <w:gridCol w:w="722"/>
      </w:tblGrid>
      <w:tr>
        <w:trPr>
          <w:trHeight w:val="1650"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7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6"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商业智能应用构建 工具项目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4,903.11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4,903.11</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3,616.6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73.76%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2,189.51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探索式数据分析及 应用平台项目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4,004.56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4,004.56</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2,950.93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73.69%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519.35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1,872.51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企业数据仓库构建 系统项目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3,413.65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3,413.65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121.34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2,413.73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70.71%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29.39</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全业务营销及维系 挽留系统项目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3,092.2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180.67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2,205.17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71.31%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数据集成和管理工 具项目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3,714.4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3,714.4</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2,883.63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77.63%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561.85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19,127.92</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302.01</w:t>
            </w:r>
          </w:p>
        </w:tc>
        <w:tc>
          <w:tcPr>
            <w:tcW w:w="706" w:type="dxa"/>
            <w:vMerge w:val="restart"/>
            <w:tcBorders>
              <w:top w:val="single" w:sz="4" w:space="0" w:color="000000"/>
              <w:left w:val="single" w:sz="4" w:space="0" w:color="000000"/>
              <w:right w:val="single" w:sz="9" w:space="0" w:color="D2D2D2"/>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14,070.0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6</w:t>
            </w: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1,823.76</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4,653.26</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6" w:type="dxa"/>
            <w:vMerge/>
            <w:tcBorders>
              <w:left w:val="single" w:sz="4" w:space="0" w:color="000000"/>
              <w:right w:val="single" w:sz="9" w:space="0" w:color="D2D2D2"/>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9" w:space="0" w:color="D2D2D2"/>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增资东方国信（天 津）科技有限公司</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1,000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-592.35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pt;height:683.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22"/>
                    <w:gridCol w:w="720"/>
                    <w:gridCol w:w="722"/>
                    <w:gridCol w:w="720"/>
                    <w:gridCol w:w="672"/>
                    <w:gridCol w:w="773"/>
                    <w:gridCol w:w="720"/>
                    <w:gridCol w:w="723"/>
                    <w:gridCol w:w="722"/>
                    <w:gridCol w:w="721"/>
                    <w:gridCol w:w="72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收购北京东华信通 信息技术有限公司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3,356.95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投资建设研发中心 和办公用房项目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1,846.13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设立吉林省东方国 信科技有限公司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-402.66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设立北京国信新世 纪科技有限公司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-587.82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收购北京科瑞明软 件有限公司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1,479.07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收购北京北科亿力 科技有限公司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2,022.34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3,609.66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16,700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16,700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6,700</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16,700</w:t>
                        </w:r>
                      </w:p>
                    </w:tc>
                    <w:tc>
                      <w:tcPr>
                        <w:tcW w:w="773"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34" w:type="dxa"/>
                        <w:vMerge/>
                        <w:tcBorders>
                          <w:left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9,596.13</w:t>
                        </w:r>
                      </w:p>
                    </w:tc>
                    <w:tc>
                      <w:tcPr>
                        <w:tcW w:w="6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38,900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2,895.22</w:t>
                        </w:r>
                      </w:p>
                    </w:tc>
                    <w:tc>
                      <w:tcPr>
                        <w:tcW w:w="7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6,862.85</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58,027.9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9,898.14</w:t>
                        </w: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52,970.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06</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4,718.98</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w w:val="95"/>
                            <w:sz w:val="18"/>
                          </w:rPr>
                          <w:t>11,516.1</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4" w:type="dxa"/>
                        <w:tcBorders>
                          <w:top w:val="single" w:sz="4" w:space="0" w:color="000000"/>
                          <w:left w:val="single" w:sz="4" w:space="0" w:color="000000"/>
                          <w:bottom w:val="nil" w:sz="6" w:space="0" w:color="auto"/>
                          <w:right w:val="single" w:sz="13" w:space="0" w:color="FFFFFF"/>
                        </w:tcBorders>
                        <w:shd w:val="clear" w:color="auto" w:fill="D2D2D2"/>
                      </w:tcPr>
                      <w:p>
                        <w:pPr/>
                      </w:p>
                    </w:tc>
                    <w:tc>
                      <w:tcPr>
                        <w:tcW w:w="7938" w:type="dxa"/>
                        <w:gridSpan w:val="11"/>
                        <w:vMerge w:val="restart"/>
                        <w:tcBorders>
                          <w:top w:val="single" w:sz="4" w:space="0" w:color="000000"/>
                          <w:left w:val="single" w:sz="13" w:space="0" w:color="FFFFFF"/>
                          <w:right w:val="single" w:sz="4" w:space="0" w:color="000000"/>
                        </w:tcBorders>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1"/>
                            <w:sz w:val="18"/>
                            <w:szCs w:val="18"/>
                          </w:rPr>
                          <w:t>天津子公司、吉林子公司和北京子公司本年度经营业绩出现亏损，主要原因为：天津子公司、吉林子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公司和北京子公司主要从事电信运营业务，本年度业务发展受到电信营运商政策调整、人力成本提高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市场环境变化等不利因素影响，部分细分业务盈利能力下降，整体经营业绩低于预期，目前公司已着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手调整业务方向，并计划注销吉林子公司。</w:t>
                        </w:r>
                      </w:p>
                    </w:tc>
                  </w:tr>
                  <w:tr>
                    <w:trPr>
                      <w:trHeight w:val="1016" w:hRule="exact"/>
                    </w:trPr>
                    <w:tc>
                      <w:tcPr>
                        <w:tcW w:w="1634"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38" w:type="dxa"/>
                        <w:gridSpan w:val="11"/>
                        <w:vMerge/>
                        <w:tcBorders>
                          <w:left w:val="single" w:sz="13" w:space="0" w:color="FFFFFF"/>
                          <w:right w:val="single" w:sz="4" w:space="0" w:color="000000"/>
                        </w:tcBorders>
                      </w:tcPr>
                      <w:p>
                        <w:pPr/>
                      </w:p>
                    </w:tc>
                  </w:tr>
                  <w:tr>
                    <w:trPr>
                      <w:trHeight w:val="161" w:hRule="exact"/>
                    </w:trPr>
                    <w:tc>
                      <w:tcPr>
                        <w:tcW w:w="1634" w:type="dxa"/>
                        <w:tcBorders>
                          <w:top w:val="nil" w:sz="6" w:space="0" w:color="auto"/>
                          <w:left w:val="single" w:sz="4" w:space="0" w:color="000000"/>
                          <w:bottom w:val="single" w:sz="4" w:space="0" w:color="000000"/>
                          <w:right w:val="single" w:sz="13" w:space="0" w:color="FFFFFF"/>
                        </w:tcBorders>
                        <w:shd w:val="clear" w:color="auto" w:fill="D2D2D2"/>
                      </w:tcPr>
                      <w:p>
                        <w:pPr/>
                      </w:p>
                    </w:tc>
                    <w:tc>
                      <w:tcPr>
                        <w:tcW w:w="7938" w:type="dxa"/>
                        <w:gridSpan w:val="11"/>
                        <w:vMerge/>
                        <w:tcBorders>
                          <w:left w:val="single" w:sz="13" w:space="0" w:color="FFFFFF"/>
                          <w:bottom w:val="single" w:sz="4" w:space="0" w:color="000000"/>
                          <w:right w:val="single" w:sz="4" w:space="0" w:color="000000"/>
                        </w:tcBorders>
                      </w:tcPr>
                      <w:p>
                        <w:pPr/>
                      </w:p>
                    </w:tc>
                  </w:tr>
                  <w:tr>
                    <w:trPr>
                      <w:trHeight w:val="1253"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309" w:lineRule="auto" w:before="51"/>
                          <w:ind w:left="15" w:right="21"/>
                          <w:jc w:val="both"/>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日召开的二届七次董事会审议通过，公司拟使用超募资金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万元在吉林设 </w:t>
                        </w:r>
                        <w:r>
                          <w:rPr>
                            <w:rFonts w:ascii="宋体" w:hAnsi="宋体" w:cs="宋体" w:eastAsia="宋体" w:hint="default"/>
                            <w:spacing w:val="-1"/>
                            <w:sz w:val="18"/>
                            <w:szCs w:val="18"/>
                          </w:rPr>
                          <w:t>立全资子公司，以复制和发展天津子公司成功的商业模式，推进公司发展战略，为股东创造更高的经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济价值。</w:t>
                        </w:r>
                        <w:r>
                          <w:rPr>
                            <w:rFonts w:ascii="Times New Roman" w:hAnsi="Times New Roman" w:cs="Times New Roman" w:eastAsia="Times New Roman" w:hint="default"/>
                            <w:spacing w:val="-4"/>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万元投资设立吉林省东方国信科技有限公司，注册</w:t>
                        </w:r>
                      </w:p>
                      <w:p>
                        <w:pPr>
                          <w:pStyle w:val="TableParagraph"/>
                          <w:spacing w:line="309" w:lineRule="auto" w:before="5"/>
                          <w:ind w:left="15"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资本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万元人民币，取得了吉林省工商行政管理局核发的企业法人营业执照。由于受到电信运营商 </w:t>
                        </w:r>
                        <w:r>
                          <w:rPr>
                            <w:rFonts w:ascii="宋体" w:hAnsi="宋体" w:cs="宋体" w:eastAsia="宋体" w:hint="default"/>
                            <w:spacing w:val="-1"/>
                            <w:sz w:val="18"/>
                            <w:szCs w:val="18"/>
                          </w:rPr>
                          <w:t>政策调整、市场环境的变化等不利影响，吉林子公司业务毛利率较低，虽采取精简人员和部门等措施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控制经营成本，但经营成本下降不明显，导致经营业绩持续亏损。根据未审计数据，截至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5"/>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日，吉林子公司已累计亏损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404.36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万元，吉林子公司总资产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1,932,061.47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元，总负债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975,687.61</w:t>
                        </w:r>
                      </w:p>
                      <w:p>
                        <w:pPr>
                          <w:pStyle w:val="TableParagraph"/>
                          <w:spacing w:line="309" w:lineRule="auto" w:before="63"/>
                          <w:ind w:left="15" w:right="21"/>
                          <w:jc w:val="both"/>
                          <w:rPr>
                            <w:rFonts w:ascii="宋体" w:hAnsi="宋体" w:cs="宋体" w:eastAsia="宋体" w:hint="default"/>
                            <w:sz w:val="18"/>
                            <w:szCs w:val="18"/>
                          </w:rPr>
                        </w:pPr>
                        <w:r>
                          <w:rPr>
                            <w:rFonts w:ascii="宋体" w:hAnsi="宋体" w:cs="宋体" w:eastAsia="宋体" w:hint="default"/>
                            <w:sz w:val="18"/>
                            <w:szCs w:val="18"/>
                          </w:rPr>
                          <w:t>元，净资产</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956,373.86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元。综上，鉴于吉林子公司面临的经营环境发生不利变化，其所从事的业务出 </w:t>
                        </w:r>
                        <w:r>
                          <w:rPr>
                            <w:rFonts w:ascii="宋体" w:hAnsi="宋体" w:cs="宋体" w:eastAsia="宋体" w:hint="default"/>
                            <w:spacing w:val="-1"/>
                            <w:sz w:val="18"/>
                            <w:szCs w:val="18"/>
                          </w:rPr>
                          <w:t>现持续亏损，目前已不具备持续经营能力，为集中资源，降低经营风险和成本，公司决定清算注销吉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林子公司。</w:t>
                        </w:r>
                      </w:p>
                    </w:tc>
                  </w:tr>
                  <w:tr>
                    <w:trPr>
                      <w:trHeight w:val="704"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8" w:type="dxa"/>
                        <w:gridSpan w:val="11"/>
                        <w:vMerge/>
                        <w:tcBorders>
                          <w:left w:val="single" w:sz="10" w:space="0" w:color="D2D2D2"/>
                          <w:right w:val="single" w:sz="4" w:space="0" w:color="000000"/>
                        </w:tcBorders>
                      </w:tcPr>
                      <w:p>
                        <w:pPr/>
                      </w:p>
                    </w:tc>
                  </w:tr>
                  <w:tr>
                    <w:trPr>
                      <w:trHeight w:val="1253"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本公司募集资金净额为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52,708.41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万元，其中超额募集资金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33,580.49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109"/>
        <w:ind w:left="0" w:right="158"/>
        <w:jc w:val="right"/>
      </w:pPr>
      <w:r>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pt;height:678.8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131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both"/>
                          <w:rPr>
                            <w:rFonts w:ascii="宋体" w:hAnsi="宋体" w:cs="宋体" w:eastAsia="宋体" w:hint="default"/>
                            <w:sz w:val="18"/>
                            <w:szCs w:val="18"/>
                          </w:rPr>
                        </w:pPr>
                        <w:r>
                          <w:rPr>
                            <w:rFonts w:ascii="宋体" w:hAnsi="宋体" w:cs="宋体" w:eastAsia="宋体" w:hint="default"/>
                            <w:sz w:val="18"/>
                            <w:szCs w:val="18"/>
                          </w:rPr>
                          <w:t>公司已使用超募资金、募投项目结余资金及募集资金利息总额为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38,900.00 </w:t>
                        </w:r>
                        <w:r>
                          <w:rPr>
                            <w:rFonts w:ascii="宋体" w:hAnsi="宋体" w:cs="宋体" w:eastAsia="宋体" w:hint="default"/>
                            <w:sz w:val="18"/>
                            <w:szCs w:val="18"/>
                          </w:rPr>
                          <w:t>万元。</w:t>
                        </w:r>
                      </w:p>
                      <w:p>
                        <w:pPr>
                          <w:pStyle w:val="TableParagraph"/>
                          <w:spacing w:line="240" w:lineRule="auto" w:before="102"/>
                          <w:ind w:left="11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公司二</w:t>
                        </w:r>
                        <w:r>
                          <w:rPr>
                            <w:rFonts w:ascii="宋体" w:hAnsi="宋体" w:cs="宋体" w:eastAsia="宋体" w:hint="default"/>
                            <w:spacing w:val="1"/>
                            <w:sz w:val="18"/>
                            <w:szCs w:val="18"/>
                          </w:rPr>
                          <w:t>届</w:t>
                        </w:r>
                        <w:r>
                          <w:rPr>
                            <w:rFonts w:ascii="宋体" w:hAnsi="宋体" w:cs="宋体" w:eastAsia="宋体" w:hint="default"/>
                            <w:sz w:val="18"/>
                            <w:szCs w:val="18"/>
                          </w:rPr>
                          <w:t>二次董事会审议通过</w:t>
                        </w:r>
                        <w:r>
                          <w:rPr>
                            <w:rFonts w:ascii="宋体" w:hAnsi="宋体" w:cs="宋体" w:eastAsia="宋体" w:hint="default"/>
                            <w:spacing w:val="-85"/>
                            <w:sz w:val="18"/>
                            <w:szCs w:val="18"/>
                          </w:rPr>
                          <w:t>了</w:t>
                        </w:r>
                        <w:r>
                          <w:rPr>
                            <w:rFonts w:ascii="宋体" w:hAnsi="宋体" w:cs="宋体" w:eastAsia="宋体" w:hint="default"/>
                            <w:sz w:val="18"/>
                            <w:szCs w:val="18"/>
                          </w:rPr>
                          <w:t>《关于使用超募资金向全资子公司增资的议案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公司计划使用超募资金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万元增资全资子公司东方国信（天津）科技有限公司，该增资计划已 经实施完毕，子公司已完成工商登记变更。</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公司二届四次董事会审议通</w:t>
                        </w:r>
                        <w:r>
                          <w:rPr>
                            <w:rFonts w:ascii="宋体" w:hAnsi="宋体" w:cs="宋体" w:eastAsia="宋体" w:hint="default"/>
                            <w:spacing w:val="-85"/>
                            <w:sz w:val="18"/>
                            <w:szCs w:val="18"/>
                          </w:rPr>
                          <w:t>过</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为补充公司经营所需流动资金，公司拟使用超募资金人民币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万元永久补充流动资金，截至目</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前，该超募资金使用计划已经实施完毕。  </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日，公司分别召开</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的二届四次董事会和</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年第三次临时股东大会审议通过了《关于使用超募资金收购东华信通</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3"/>
                            <w:sz w:val="18"/>
                            <w:szCs w:val="18"/>
                          </w:rPr>
                          <w:t>股权的议案》，为推进公司产业扩张战略，完善市场布局，提升公司综合实力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同时为提高公司募集资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金使用效率，公司拟使用超募资金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万元收购东华信通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股权。截至目前，该超募资金使 用计划已使用超募资金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万元支付股权转让款，股权收购相关事宜已经办理完成。</w:t>
                        </w:r>
                      </w:p>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日，公司分别召开的二届三次董事会和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 </w:t>
                        </w:r>
                        <w:r>
                          <w:rPr>
                            <w:rFonts w:ascii="宋体" w:hAnsi="宋体" w:cs="宋体" w:eastAsia="宋体" w:hint="default"/>
                            <w:spacing w:val="-3"/>
                            <w:sz w:val="18"/>
                            <w:szCs w:val="18"/>
                          </w:rPr>
                          <w:t>大会审议通过了《关于使用超募资金和自有资金投资建设研发中心和办公用房的议案》，公司计划使</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用首次公开发行股票募集资金中的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其他与公司主营业务相关的营运资金</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万元和自有营运 资金，用于投资建设公司自用研发中心和办公用房，项目内容分为购置产业用地和房产新建， 总投 资预算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日，公司分别召开二届七次董事会和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pacing w:val="-1"/>
                            <w:sz w:val="18"/>
                            <w:szCs w:val="18"/>
                          </w:rPr>
                          <w:t>年第一次临时股东大会审议通过了《关于调整使用超募资金和自有资金投资建设研发中心和办公用房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项目计划的议案》，同意对已经公司董事会、股东大会审议通过的使用超募资金和自有资金投资建设</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研发中心和办公用房项目进行调整，调整后项目总投资预算为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21,800 </w:t>
                        </w:r>
                        <w:r>
                          <w:rPr>
                            <w:rFonts w:ascii="宋体" w:hAnsi="宋体" w:cs="宋体" w:eastAsia="宋体" w:hint="default"/>
                            <w:sz w:val="18"/>
                            <w:szCs w:val="18"/>
                          </w:rPr>
                          <w:t>万元，其中计划使用超募资金</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万元。截至报告期末，该超募资金使用计划已使用超募资金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4" w:lineRule="auto" w:before="10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日，公司召开二届七次董事会审议通过了《关于使用超募资金投资设立全资子公司东 </w:t>
                        </w:r>
                        <w:r>
                          <w:rPr>
                            <w:rFonts w:ascii="宋体" w:hAnsi="宋体" w:cs="宋体" w:eastAsia="宋体" w:hint="default"/>
                            <w:spacing w:val="-3"/>
                            <w:sz w:val="18"/>
                            <w:szCs w:val="18"/>
                          </w:rPr>
                          <w:t>方国信（吉林）科技有限公司的议案》，为抢抓移动业务发展带来的市场机遇，延伸公司产业链，将</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Times New Roman" w:hAnsi="Times New Roman" w:cs="Times New Roman" w:eastAsia="Times New Roman" w:hint="default"/>
                            <w:spacing w:val="-1"/>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应用扩展至市场终端，进而涉足更为广泛的商业智能领域，打造公司新的利润增长点，公司拟使用</w:t>
                        </w:r>
                        <w:r>
                          <w:rPr>
                            <w:rFonts w:ascii="宋体" w:hAnsi="宋体" w:cs="宋体" w:eastAsia="宋体" w:hint="default"/>
                            <w:sz w:val="18"/>
                            <w:szCs w:val="18"/>
                          </w:rPr>
                          <w:t> 超募资金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万元在吉林省设立全资子公司，以复制和发展天津子公司成功的商业模式，推进公司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发展战略，为股东创造更高的经济价值，该超募资金使用计划已实施完毕。</w:t>
                        </w:r>
                      </w:p>
                      <w:p>
                        <w:pPr>
                          <w:pStyle w:val="TableParagraph"/>
                          <w:spacing w:line="240" w:lineRule="auto" w:before="6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日，公司召开的第二届董事会第十二次会议，审议通过了《关于使用部分超募资金在北</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pacing w:val="-4"/>
                            <w:sz w:val="18"/>
                            <w:szCs w:val="18"/>
                          </w:rPr>
                          <w:t>京投资设立全资子公司的议案》，公司拟使用超募资金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 </w:t>
                        </w:r>
                        <w:r>
                          <w:rPr>
                            <w:rFonts w:ascii="宋体" w:hAnsi="宋体" w:cs="宋体" w:eastAsia="宋体" w:hint="default"/>
                            <w:sz w:val="18"/>
                            <w:szCs w:val="18"/>
                          </w:rPr>
                          <w:t>万元在北京设立全资子公司，以利用</w:t>
                        </w:r>
                        <w:r>
                          <w:rPr>
                            <w:rFonts w:ascii="宋体" w:hAnsi="宋体" w:cs="宋体" w:eastAsia="宋体" w:hint="default"/>
                            <w:spacing w:val="-88"/>
                            <w:sz w:val="18"/>
                            <w:szCs w:val="18"/>
                          </w:rPr>
                          <w:t> </w:t>
                        </w:r>
                        <w:r>
                          <w:rPr>
                            <w:rFonts w:ascii="宋体" w:hAnsi="宋体" w:cs="宋体" w:eastAsia="宋体" w:hint="default"/>
                            <w:sz w:val="18"/>
                            <w:szCs w:val="18"/>
                          </w:rPr>
                          <w:t>公司现有基础和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技术优势，延伸产业链，将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应用扩展至市场终端，进而涉足更为广泛的商业智 能领域，打造公司新的利润增长点。目前，该超募资金使用计划已经实施完毕。</w:t>
                        </w:r>
                      </w:p>
                      <w:p>
                        <w:pPr>
                          <w:pStyle w:val="TableParagraph"/>
                          <w:spacing w:line="240" w:lineRule="auto" w:before="7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日，公司分别召开二届十九次董事会和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w:t>
                        </w:r>
                      </w:p>
                      <w:p>
                        <w:pPr>
                          <w:pStyle w:val="TableParagraph"/>
                          <w:spacing w:line="302" w:lineRule="auto" w:before="63"/>
                          <w:ind w:left="22" w:right="72"/>
                          <w:jc w:val="both"/>
                          <w:rPr>
                            <w:rFonts w:ascii="宋体" w:hAnsi="宋体" w:cs="宋体" w:eastAsia="宋体" w:hint="default"/>
                            <w:sz w:val="18"/>
                            <w:szCs w:val="18"/>
                          </w:rPr>
                        </w:pPr>
                        <w:r>
                          <w:rPr>
                            <w:rFonts w:ascii="宋体" w:hAnsi="宋体" w:cs="宋体" w:eastAsia="宋体" w:hint="default"/>
                            <w:spacing w:val="-3"/>
                            <w:sz w:val="18"/>
                            <w:szCs w:val="18"/>
                          </w:rPr>
                          <w:t>通过了《关于使用部分超募资金永久补充流动资金的议案》，公司计划使用超募资金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万元永</w:t>
                        </w:r>
                        <w:r>
                          <w:rPr>
                            <w:rFonts w:ascii="宋体" w:hAnsi="宋体" w:cs="宋体" w:eastAsia="宋体" w:hint="default"/>
                            <w:spacing w:val="-88"/>
                            <w:sz w:val="18"/>
                            <w:szCs w:val="18"/>
                          </w:rPr>
                          <w:t> </w:t>
                        </w:r>
                        <w:r>
                          <w:rPr>
                            <w:rFonts w:ascii="宋体" w:hAnsi="宋体" w:cs="宋体" w:eastAsia="宋体" w:hint="default"/>
                            <w:sz w:val="18"/>
                            <w:szCs w:val="18"/>
                          </w:rPr>
                          <w:t>久补充流动资金。截至目前，该募集资金使用计划已实施完毕。</w:t>
                        </w:r>
                      </w:p>
                      <w:p>
                        <w:pPr>
                          <w:pStyle w:val="TableParagraph"/>
                          <w:spacing w:line="300" w:lineRule="auto" w:before="6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日，公司召开第二届董事会第二十四次会议，审议通过了《关于使用部分超募资金、 募集资金项目结余资金支付购买北京北科亿力科技有限公司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股权和北京科瑞明软件有限公司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股权之现金对价的议案》，拟使用募集资金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万元（包括超募资金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159.96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万元和募投项目</w:t>
                        </w:r>
                      </w:p>
                      <w:p>
                        <w:pPr>
                          <w:pStyle w:val="TableParagraph"/>
                          <w:spacing w:line="302" w:lineRule="auto" w:before="13"/>
                          <w:ind w:left="22" w:right="22"/>
                          <w:jc w:val="both"/>
                          <w:rPr>
                            <w:rFonts w:ascii="宋体" w:hAnsi="宋体" w:cs="宋体" w:eastAsia="宋体" w:hint="default"/>
                            <w:sz w:val="18"/>
                            <w:szCs w:val="18"/>
                          </w:rPr>
                        </w:pPr>
                        <w:r>
                          <w:rPr>
                            <w:rFonts w:ascii="宋体" w:hAnsi="宋体" w:cs="宋体" w:eastAsia="宋体" w:hint="default"/>
                            <w:sz w:val="18"/>
                            <w:szCs w:val="18"/>
                          </w:rPr>
                          <w:t>结余资金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2,340.04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万元）支付本次交易的现金对价。截至本报告披露日，该募集资金使用计划涉及的 款项已支付完毕。</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日，公司分别召开第二届董事会第二十六次会议和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大会审议通过</w:t>
                        </w:r>
                        <w:r>
                          <w:rPr>
                            <w:rFonts w:ascii="宋体" w:hAnsi="宋体" w:cs="宋体" w:eastAsia="宋体" w:hint="default"/>
                            <w:spacing w:val="-88"/>
                            <w:sz w:val="18"/>
                            <w:szCs w:val="18"/>
                          </w:rPr>
                          <w:t>了</w:t>
                        </w:r>
                        <w:r>
                          <w:rPr>
                            <w:rFonts w:ascii="宋体" w:hAnsi="宋体" w:cs="宋体" w:eastAsia="宋体" w:hint="default"/>
                            <w:sz w:val="18"/>
                            <w:szCs w:val="18"/>
                          </w:rPr>
                          <w:t>《关于使用募集资金永久补充流动资金的议案</w:t>
                        </w:r>
                        <w:r>
                          <w:rPr>
                            <w:rFonts w:ascii="宋体" w:hAnsi="宋体" w:cs="宋体" w:eastAsia="宋体" w:hint="default"/>
                            <w:spacing w:val="-90"/>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计划使用部分募集资金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元</w:t>
                        </w:r>
                        <w:r>
                          <w:rPr>
                            <w:rFonts w:ascii="宋体" w:hAnsi="宋体" w:cs="宋体" w:eastAsia="宋体" w:hint="default"/>
                            <w:sz w:val="18"/>
                            <w:szCs w:val="18"/>
                          </w:rPr>
                          <w:t>（其</w:t>
                        </w:r>
                      </w:p>
                      <w:p>
                        <w:pPr>
                          <w:pStyle w:val="TableParagraph"/>
                          <w:spacing w:line="30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中包括募投项目结余资金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830.77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万元和募集资金利息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2,148.70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万元）永久补</w:t>
                        </w:r>
                        <w:r>
                          <w:rPr>
                            <w:rFonts w:ascii="宋体" w:hAnsi="宋体" w:cs="宋体" w:eastAsia="宋体" w:hint="default"/>
                            <w:sz w:val="18"/>
                            <w:szCs w:val="18"/>
                          </w:rPr>
                          <w:t> 充流动资金。截至本报告期末，该募集资金使用计划已实施完毕。</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58"/>
        <w:jc w:val="right"/>
      </w:pPr>
      <w:r>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pt;height:684.5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公司第一届董事会第二十次会议于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日审议通过了公司使用募集资金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12,363,270.05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元置 </w:t>
                        </w:r>
                        <w:r>
                          <w:rPr>
                            <w:rFonts w:ascii="宋体" w:hAnsi="宋体" w:cs="宋体" w:eastAsia="宋体" w:hint="default"/>
                            <w:spacing w:val="-1"/>
                            <w:sz w:val="18"/>
                            <w:szCs w:val="18"/>
                          </w:rPr>
                          <w:t>换已预先投入募集资金投资项目的自筹资金，募集资金到账前，公司以自筹资金预先投入募集资金投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资项目实际投资额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12,363,270.05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元，已经从募集资金专户转出。北京兴华会计师事务所有限责任公司</w:t>
                        </w:r>
                      </w:p>
                      <w:p>
                        <w:pPr>
                          <w:pStyle w:val="TableParagraph"/>
                          <w:spacing w:line="302"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对此出具了（</w:t>
                        </w:r>
                        <w:r>
                          <w:rPr>
                            <w:rFonts w:ascii="Times New Roman" w:hAnsi="Times New Roman" w:cs="Times New Roman" w:eastAsia="Times New Roman" w:hint="default"/>
                            <w:sz w:val="18"/>
                            <w:szCs w:val="18"/>
                          </w:rPr>
                          <w:t>2011</w:t>
                        </w:r>
                        <w:r>
                          <w:rPr>
                            <w:rFonts w:ascii="宋体" w:hAnsi="宋体" w:cs="宋体" w:eastAsia="宋体" w:hint="default"/>
                            <w:sz w:val="18"/>
                            <w:szCs w:val="18"/>
                          </w:rPr>
                          <w:t>）京会兴（专审）字第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号《关于北京东方国信科技股份有限公司以自筹资金 </w:t>
                        </w:r>
                        <w:r>
                          <w:rPr>
                            <w:rFonts w:ascii="宋体" w:hAnsi="宋体" w:cs="宋体" w:eastAsia="宋体" w:hint="default"/>
                            <w:spacing w:val="-6"/>
                            <w:sz w:val="18"/>
                            <w:szCs w:val="18"/>
                          </w:rPr>
                          <w:t>预先投入募投项目的专项审核报告》。</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07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商业智能应用构建工具项目与探索式数据分析及应用平台项目已完工，两项目分别结余资金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1286.51</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万元。项目资金结余的主要原因为：在商业智能应用构建工具项目和探索式数据分析 </w:t>
                        </w:r>
                        <w:r>
                          <w:rPr>
                            <w:rFonts w:ascii="宋体" w:hAnsi="宋体" w:cs="宋体" w:eastAsia="宋体" w:hint="default"/>
                            <w:spacing w:val="-1"/>
                            <w:sz w:val="18"/>
                            <w:szCs w:val="18"/>
                          </w:rPr>
                          <w:t>及应用平台项目的设计、开发过程中，公司充分利用了技术积累并采用了创新的设计、实现方式，从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而降低了研发投入，节约了成本。</w:t>
                        </w:r>
                      </w:p>
                      <w:p>
                        <w:pPr>
                          <w:pStyle w:val="TableParagraph"/>
                          <w:spacing w:line="31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数据集成和管理工具项目于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月底完工，项目结余资金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830.77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万元，主要原因为：因技术环</w:t>
                        </w:r>
                        <w:r>
                          <w:rPr>
                            <w:rFonts w:ascii="宋体" w:hAnsi="宋体" w:cs="宋体" w:eastAsia="宋体" w:hint="default"/>
                            <w:sz w:val="18"/>
                            <w:szCs w:val="18"/>
                          </w:rPr>
                          <w:t> </w:t>
                        </w:r>
                        <w:r>
                          <w:rPr>
                            <w:rFonts w:ascii="宋体" w:hAnsi="宋体" w:cs="宋体" w:eastAsia="宋体" w:hint="default"/>
                            <w:spacing w:val="-1"/>
                            <w:sz w:val="18"/>
                            <w:szCs w:val="18"/>
                          </w:rPr>
                          <w:t>境变化，在项目实施过程中以开源软件代替高端服务器端软件做验证、测试，以更符合目标产品在投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入生产应用时的环境，以及降低提供给客户的解决方案的总体成本，从而降低了项目的固定资产投资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结余了募集资金。</w:t>
                        </w:r>
                      </w:p>
                      <w:p>
                        <w:pPr>
                          <w:pStyle w:val="TableParagraph"/>
                          <w:spacing w:line="312" w:lineRule="auto" w:before="61"/>
                          <w:ind w:left="22" w:right="21"/>
                          <w:jc w:val="both"/>
                          <w:rPr>
                            <w:rFonts w:ascii="宋体" w:hAnsi="宋体" w:cs="宋体" w:eastAsia="宋体" w:hint="default"/>
                            <w:sz w:val="18"/>
                            <w:szCs w:val="18"/>
                          </w:rPr>
                        </w:pPr>
                        <w:r>
                          <w:rPr>
                            <w:rFonts w:ascii="宋体" w:hAnsi="宋体" w:cs="宋体" w:eastAsia="宋体" w:hint="default"/>
                            <w:sz w:val="18"/>
                            <w:szCs w:val="18"/>
                          </w:rPr>
                          <w:t>企业数据仓库构建系统项目于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月底结项，项目结余募集资金为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万元，主要原因为： 由于技术环境的变化，导致实施时固定资产投资减少。随着大数据、云计算浪潮的兴起，企业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 </w:t>
                        </w:r>
                        <w:r>
                          <w:rPr>
                            <w:rFonts w:ascii="宋体" w:hAnsi="宋体" w:cs="宋体" w:eastAsia="宋体" w:hint="default"/>
                            <w:spacing w:val="-1"/>
                            <w:sz w:val="18"/>
                            <w:szCs w:val="18"/>
                          </w:rPr>
                          <w:t>构更加注重水平扩展能力，倾向于采用较廉价的硬件通过大规模并行处理来应对数据、应用增长的挑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战，以更低的成本获得与高端服务器相当的处理能力，顺应这种技术趋势，在实施过程中没有采购最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初投资计划中的高端服务器，因而形成了固定资产投资结余。在实施开发过程中充分吸收了行业内最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新的技术发展，并进行了有效的开发管理，因而形成了实施费用结余。</w:t>
                        </w:r>
                      </w:p>
                      <w:p>
                        <w:pPr>
                          <w:pStyle w:val="TableParagraph"/>
                          <w:spacing w:line="309" w:lineRule="auto" w:before="62"/>
                          <w:ind w:left="22" w:right="20"/>
                          <w:jc w:val="left"/>
                          <w:rPr>
                            <w:rFonts w:ascii="宋体" w:hAnsi="宋体" w:cs="宋体" w:eastAsia="宋体" w:hint="default"/>
                            <w:sz w:val="18"/>
                            <w:szCs w:val="18"/>
                          </w:rPr>
                        </w:pPr>
                        <w:r>
                          <w:rPr>
                            <w:rFonts w:ascii="宋体" w:hAnsi="宋体" w:cs="宋体" w:eastAsia="宋体" w:hint="default"/>
                            <w:sz w:val="18"/>
                            <w:szCs w:val="18"/>
                          </w:rPr>
                          <w:t>全业务营销及维系挽留系统项目于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月底结项，项目结余募集资金为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887.04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万元，主要原因</w:t>
                        </w:r>
                        <w:r>
                          <w:rPr>
                            <w:rFonts w:ascii="宋体" w:hAnsi="宋体" w:cs="宋体" w:eastAsia="宋体" w:hint="default"/>
                            <w:sz w:val="18"/>
                            <w:szCs w:val="18"/>
                          </w:rPr>
                          <w:t> </w:t>
                        </w:r>
                        <w:r>
                          <w:rPr>
                            <w:rFonts w:ascii="宋体" w:hAnsi="宋体" w:cs="宋体" w:eastAsia="宋体" w:hint="default"/>
                            <w:spacing w:val="-1"/>
                            <w:sz w:val="18"/>
                            <w:szCs w:val="18"/>
                          </w:rPr>
                          <w:t>为：由于技术环境的变化，导致实施时固定资产投资减少。基于和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企业数据仓库构建系统项目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相同</w:t>
                        </w:r>
                        <w:r>
                          <w:rPr>
                            <w:rFonts w:ascii="宋体" w:hAnsi="宋体" w:cs="宋体" w:eastAsia="宋体" w:hint="default"/>
                            <w:spacing w:val="-64"/>
                            <w:sz w:val="18"/>
                            <w:szCs w:val="18"/>
                          </w:rPr>
                          <w:t> </w:t>
                        </w:r>
                        <w:r>
                          <w:rPr>
                            <w:rFonts w:ascii="宋体" w:hAnsi="宋体" w:cs="宋体" w:eastAsia="宋体" w:hint="default"/>
                            <w:spacing w:val="-3"/>
                            <w:sz w:val="18"/>
                            <w:szCs w:val="18"/>
                          </w:rPr>
                          <w:t>的原因，形成了固定资产投资中硬件投资的结余；另外，由于企业客户对开源软件的认可度迅速上升</w:t>
                        </w:r>
                        <w:r>
                          <w:rPr>
                            <w:rFonts w:ascii="宋体" w:hAnsi="宋体" w:cs="宋体" w:eastAsia="宋体" w:hint="default"/>
                            <w:sz w:val="18"/>
                            <w:szCs w:val="18"/>
                          </w:rPr>
                          <w:t> 原计划采购的一些用于验证、测试的高端服务器端软件已经不是企业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建设未来投资的重点，因此 </w:t>
                        </w:r>
                        <w:r>
                          <w:rPr>
                            <w:rFonts w:ascii="宋体" w:hAnsi="宋体" w:cs="宋体" w:eastAsia="宋体" w:hint="default"/>
                            <w:spacing w:val="-1"/>
                            <w:sz w:val="18"/>
                            <w:szCs w:val="18"/>
                          </w:rPr>
                          <w:t>在实施过程中没有采购这些高端服务器端软件，而是以功能等同的开源软件代替做验证、测试，以更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符合目标产品在投入生产应用时的环境，形成了固定资产投资中软件投资的结余。在实施过程中充分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吸收了行业内最新的技术发展，并有效复用公司的各种基础技术组件，进行有效的开发管理，因而形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成了实施费用结余。</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日召开的第二届董事会第三十三次会议审议通过，公司首次公开发行股份募 集资金结余资金将全部用于超募资金项目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投资建设研发中心及办公用房项目。</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0" w:right="158"/>
        <w:jc w:val="right"/>
      </w:pPr>
      <w:r>
        <w:rPr/>
        <w:t>，</w:t>
      </w:r>
    </w:p>
    <w:p>
      <w:pPr>
        <w:pStyle w:val="BodyText"/>
        <w:spacing w:line="240" w:lineRule="auto" w:before="76"/>
        <w:ind w:left="0" w:right="158"/>
        <w:jc w:val="right"/>
      </w:pPr>
      <w:r>
        <w:rPr/>
        <w:t>，</w:t>
      </w:r>
    </w:p>
    <w:p>
      <w:pPr>
        <w:spacing w:after="0" w:line="240" w:lineRule="auto"/>
        <w:jc w:val="right"/>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05pt;height:34.7pt;mso-position-horizontal-relative:char;mso-position-vertical-relative:line" coordorigin="0,0" coordsize="9581,694">
            <v:group style="position:absolute;left:21;top:14;width:2;height:665" coordorigin="21,14" coordsize="2,665">
              <v:shape style="position:absolute;left:21;top:14;width:2;height:665" coordorigin="21,14" coordsize="0,665" path="m21,14l21,679e" filled="false" stroked="true" strokeweight="1.140pt" strokecolor="#d2d2d2">
                <v:path arrowok="t"/>
              </v:shape>
            </v:group>
            <v:group style="position:absolute;left:1622;top:14;width:2;height:665" coordorigin="1622,14" coordsize="2,665">
              <v:shape style="position:absolute;left:1622;top:14;width:2;height:665" coordorigin="1622,14" coordsize="0,665" path="m1622,14l1622,679e" filled="false" stroked="true" strokeweight="1.2pt" strokecolor="#d2d2d2">
                <v:path arrowok="t"/>
              </v:shape>
            </v:group>
            <v:group style="position:absolute;left:32;top:14;width:1578;height:312" coordorigin="32,14" coordsize="1578,312">
              <v:shape style="position:absolute;left:32;top:14;width:1578;height:312" coordorigin="32,14" coordsize="1578,312" path="m32,326l1610,326,1610,14,32,14,32,326xe" filled="true" fillcolor="#d2d2d2" stroked="false">
                <v:path arrowok="t"/>
                <v:fill type="solid"/>
              </v:shape>
            </v:group>
            <v:group style="position:absolute;left:32;top:326;width:1578;height:353" coordorigin="32,326" coordsize="1578,353">
              <v:shape style="position:absolute;left:32;top:326;width:1578;height:353" coordorigin="32,326" coordsize="1578,353" path="m32,679l1610,679,1610,326,32,326,32,679xe" filled="true" fillcolor="#d2d2d2" stroked="false">
                <v:path arrowok="t"/>
                <v:fill type="solid"/>
              </v:shape>
            </v:group>
            <v:group style="position:absolute;left:10;top:10;width:1624;height:2" coordorigin="10,10" coordsize="1624,2">
              <v:shape style="position:absolute;left:10;top:10;width:1624;height:2" coordorigin="10,10" coordsize="1624,0" path="m10,10l1634,10e" filled="false" stroked="true" strokeweight=".48pt" strokecolor="#000000">
                <v:path arrowok="t"/>
              </v:shape>
            </v:group>
            <v:group style="position:absolute;left:1643;top:10;width:7928;height:2" coordorigin="1643,10" coordsize="7928,2">
              <v:shape style="position:absolute;left:1643;top:10;width:7928;height:2" coordorigin="1643,10" coordsize="7928,0" path="m1643,10l9571,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1624;height:2" coordorigin="10,684" coordsize="1624,2">
              <v:shape style="position:absolute;left:10;top:684;width:1624;height:2" coordorigin="10,684" coordsize="1624,0" path="m10,684l1634,684e" filled="false" stroked="true" strokeweight=".48pt" strokecolor="#000000">
                <v:path arrowok="t"/>
              </v:shape>
            </v:group>
            <v:group style="position:absolute;left:1638;top:5;width:2;height:684" coordorigin="1638,5" coordsize="2,684">
              <v:shape style="position:absolute;left:1638;top:5;width:2;height:684" coordorigin="1638,5" coordsize="0,684" path="m1638,5l1638,689e" filled="false" stroked="true" strokeweight=".48pt" strokecolor="#000000">
                <v:path arrowok="t"/>
              </v:shape>
            </v:group>
            <v:group style="position:absolute;left:1643;top:684;width:7928;height:2" coordorigin="1643,684" coordsize="7928,2">
              <v:shape style="position:absolute;left:1643;top:684;width:7928;height:2" coordorigin="1643,684" coordsize="7928,0" path="m1643,684l9571,684e" filled="false" stroked="true" strokeweight=".48pt" strokecolor="#000000">
                <v:path arrowok="t"/>
              </v:shape>
            </v:group>
            <v:group style="position:absolute;left:9576;top:5;width:2;height:684" coordorigin="9576,5" coordsize="2,684">
              <v:shape style="position:absolute;left:9576;top:5;width:2;height:684" coordorigin="9576,5" coordsize="0,684" path="m9576,5l9576,689e" filled="false" stroked="true" strokeweight=".48pt" strokecolor="#000000">
                <v:path arrowok="t"/>
              </v:shape>
              <v:shape style="position:absolute;left:5;top:10;width:1634;height:675" type="#_x0000_t202" filled="false" stroked="false">
                <v:textbox inset="0,0,0,0">
                  <w:txbxContent>
                    <w:p>
                      <w:pPr>
                        <w:spacing w:line="319" w:lineRule="auto" w:before="15"/>
                        <w:ind w:left="27" w:right="165" w:firstLine="0"/>
                        <w:jc w:val="left"/>
                        <w:rPr>
                          <w:rFonts w:ascii="宋体" w:hAnsi="宋体" w:cs="宋体" w:eastAsia="宋体" w:hint="default"/>
                          <w:sz w:val="18"/>
                          <w:szCs w:val="18"/>
                        </w:rPr>
                      </w:pPr>
                      <w:r>
                        <w:rPr>
                          <w:rFonts w:ascii="宋体" w:hAnsi="宋体" w:cs="宋体" w:eastAsia="宋体" w:hint="default"/>
                          <w:sz w:val="18"/>
                          <w:szCs w:val="18"/>
                        </w:rPr>
                        <w:t>露中存在的问题或 其他情况</w:t>
                      </w:r>
                    </w:p>
                  </w:txbxContent>
                </v:textbox>
                <w10:wrap type="none"/>
              </v:shape>
            </v:group>
          </v:group>
        </w:pict>
      </w:r>
      <w:r>
        <w:rPr>
          <w:rFonts w:ascii="宋体" w:hAnsi="宋体" w:cs="宋体" w:eastAsia="宋体" w:hint="default"/>
          <w:position w:val="-13"/>
          <w:sz w:val="20"/>
          <w:szCs w:val="20"/>
        </w:rPr>
      </w:r>
    </w:p>
    <w:p>
      <w:pPr>
        <w:pStyle w:val="BodyText"/>
        <w:spacing w:line="240" w:lineRule="auto" w:before="47"/>
        <w:ind w:left="154" w:right="6653"/>
        <w:jc w:val="left"/>
      </w:pPr>
      <w:r>
        <w:rPr>
          <w:rFonts w:ascii="Times New Roman" w:hAnsi="Times New Roman" w:cs="Times New Roman" w:eastAsia="Times New Roman" w:hint="default"/>
        </w:rPr>
        <w:t>3.</w:t>
      </w:r>
      <w:r>
        <w:rPr/>
        <w:t>募集资金变更项目情况</w:t>
      </w:r>
    </w:p>
    <w:p>
      <w:pPr>
        <w:pStyle w:val="BodyText"/>
        <w:spacing w:line="348" w:lineRule="auto" w:before="103"/>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348" w:lineRule="auto" w:before="14"/>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14"/>
        <w:ind w:left="154"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6653"/>
        <w:jc w:val="left"/>
      </w:pPr>
      <w:r>
        <w:rPr>
          <w:rFonts w:ascii="Times New Roman" w:hAnsi="Times New Roman" w:cs="Times New Roman" w:eastAsia="Times New Roman" w:hint="default"/>
        </w:rPr>
        <w:t>5</w:t>
      </w:r>
      <w:r>
        <w:rPr/>
        <w:t>）持有金融企业股权情况</w:t>
      </w:r>
    </w:p>
    <w:p>
      <w:pPr>
        <w:pStyle w:val="BodyText"/>
        <w:spacing w:line="348" w:lineRule="auto" w:before="102"/>
        <w:ind w:right="73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2"/>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6653"/>
        <w:jc w:val="left"/>
      </w:pPr>
      <w:r>
        <w:rPr>
          <w:rFonts w:ascii="Times New Roman" w:hAnsi="Times New Roman" w:cs="Times New Roman" w:eastAsia="Times New Roman" w:hint="default"/>
        </w:rPr>
        <w:t>7</w:t>
      </w:r>
      <w:r>
        <w:rPr/>
        <w:t>）以公允价值计量的金融资产</w:t>
      </w:r>
    </w:p>
    <w:p>
      <w:pPr>
        <w:pStyle w:val="BodyText"/>
        <w:spacing w:line="240" w:lineRule="auto" w:before="102"/>
        <w:ind w:left="154"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6653"/>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68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680"/>
          <w:cols w:num="2" w:equalWidth="0">
            <w:col w:w="2315" w:space="6605"/>
            <w:col w:w="13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898"/>
        <w:gridCol w:w="851"/>
        <w:gridCol w:w="1212"/>
        <w:gridCol w:w="943"/>
        <w:gridCol w:w="1121"/>
        <w:gridCol w:w="1019"/>
        <w:gridCol w:w="1096"/>
        <w:gridCol w:w="809"/>
        <w:gridCol w:w="1076"/>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9" w:right="60" w:hanging="450"/>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pacing w:val="-3"/>
                <w:sz w:val="18"/>
                <w:szCs w:val="18"/>
              </w:rPr>
              <w:t>（天津）科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 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计算机软件、 通讯产品及其 零部件</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12,911,765.31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6,076,480.58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86,391,909.24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-3,680,35</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4.48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-3,086,236.97</w:t>
            </w:r>
          </w:p>
        </w:tc>
      </w:tr>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1"/>
              <w:jc w:val="both"/>
              <w:rPr>
                <w:rFonts w:ascii="宋体" w:hAnsi="宋体" w:cs="宋体" w:eastAsia="宋体" w:hint="default"/>
                <w:sz w:val="18"/>
                <w:szCs w:val="18"/>
              </w:rPr>
            </w:pPr>
            <w:r>
              <w:rPr>
                <w:rFonts w:ascii="宋体" w:hAnsi="宋体" w:cs="宋体" w:eastAsia="宋体" w:hint="default"/>
                <w:sz w:val="18"/>
                <w:szCs w:val="18"/>
              </w:rPr>
              <w:t>北京东华 信通信息 技术有限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技术推广服 务；经济贸易 咨询；销售机 械设备、五金 交电、电子产 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62,079,413.26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50,269,223.8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30,280,187.25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8,782,109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7,406,823.64</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吉林省东 方国信科 技有限公 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计算机软件、 手机批发及零 售；通信卡、 通信设备销售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1,947,884.00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973,310.25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160,684.31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-1,289,08</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6.73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-1,971,646.84</w:t>
            </w:r>
          </w:p>
        </w:tc>
      </w:tr>
      <w:tr>
        <w:trPr>
          <w:trHeight w:val="40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成都东方</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3"/>
              <w:jc w:val="center"/>
              <w:rPr>
                <w:rFonts w:ascii="宋体" w:hAnsi="宋体" w:cs="宋体" w:eastAsia="宋体" w:hint="default"/>
                <w:sz w:val="18"/>
                <w:szCs w:val="18"/>
              </w:rPr>
            </w:pPr>
            <w:r>
              <w:rPr>
                <w:rFonts w:ascii="宋体" w:hAnsi="宋体" w:cs="宋体" w:eastAsia="宋体" w:hint="default"/>
                <w:sz w:val="18"/>
                <w:szCs w:val="18"/>
              </w:rPr>
              <w:t>软件和信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计算机软硬</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569,257.51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-976,807.23</w:t>
            </w:r>
            <w:r>
              <w:rPr>
                <w:rFonts w:ascii="Times New Roman"/>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225,249.66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w w:val="95"/>
                <w:sz w:val="18"/>
              </w:rPr>
              <w:t>-2,406,46</w:t>
            </w:r>
            <w:r>
              <w:rPr>
                <w:rFonts w:ascii="Times New Roman"/>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-2,565,542.24</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680"/>
        </w:sectPr>
      </w:pPr>
    </w:p>
    <w:p>
      <w:pPr>
        <w:spacing w:line="240" w:lineRule="auto" w:before="6"/>
        <w:rPr>
          <w:rFonts w:ascii="宋体" w:hAnsi="宋体" w:cs="宋体" w:eastAsia="宋体" w:hint="default"/>
          <w:sz w:val="28"/>
          <w:szCs w:val="28"/>
        </w:rPr>
      </w:pPr>
      <w:r>
        <w:rPr/>
        <w:pict>
          <v:shape style="position:absolute;margin-left:228.080002pt;margin-top:90.11998pt;width:70.9pt;height:46.8pt;mso-position-horizontal-relative:page;mso-position-vertical-relative:page;z-index:-955360" type="#_x0000_t202" filled="false" stroked="false">
            <v:textbox inset="0,0,0,0">
              <w:txbxContent>
                <w:p>
                  <w:pPr>
                    <w:pStyle w:val="BodyText"/>
                    <w:spacing w:line="205" w:lineRule="exact"/>
                    <w:ind w:left="0" w:right="0"/>
                    <w:jc w:val="left"/>
                  </w:pPr>
                  <w:r>
                    <w:rPr/>
                    <w:t>销售、</w:t>
                  </w:r>
                </w:p>
              </w:txbxContent>
            </v:textbox>
            <w10:wrap type="none"/>
          </v:shape>
        </w:pict>
      </w:r>
      <w:r>
        <w:rPr/>
        <w:pict>
          <v:shape style="position:absolute;margin-left:210.080002pt;margin-top:203.839981pt;width:88.9pt;height:31.2pt;mso-position-horizontal-relative:page;mso-position-vertical-relative:page;z-index:-955336" type="#_x0000_t202" filled="false" stroked="false">
            <v:textbox inset="0,0,0,0">
              <w:txbxContent>
                <w:p>
                  <w:pPr>
                    <w:spacing w:line="240" w:lineRule="auto" w:before="8"/>
                    <w:rPr>
                      <w:rFonts w:ascii="宋体" w:hAnsi="宋体" w:cs="宋体" w:eastAsia="宋体" w:hint="default"/>
                      <w:sz w:val="21"/>
                      <w:szCs w:val="21"/>
                    </w:rPr>
                  </w:pPr>
                </w:p>
                <w:p>
                  <w:pPr>
                    <w:pStyle w:val="BodyText"/>
                    <w:spacing w:line="240" w:lineRule="auto"/>
                    <w:ind w:left="0" w:right="0"/>
                    <w:jc w:val="left"/>
                  </w:pPr>
                  <w:r>
                    <w:rPr/>
                    <w:t>通讯设备。</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46"/>
        <w:gridCol w:w="898"/>
        <w:gridCol w:w="851"/>
        <w:gridCol w:w="1212"/>
        <w:gridCol w:w="943"/>
        <w:gridCol w:w="1121"/>
        <w:gridCol w:w="1019"/>
        <w:gridCol w:w="1096"/>
        <w:gridCol w:w="809"/>
        <w:gridCol w:w="1076"/>
      </w:tblGrid>
      <w:tr>
        <w:trPr>
          <w:trHeight w:val="129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国信科技 有限公司</w:t>
            </w:r>
          </w:p>
        </w:tc>
        <w:tc>
          <w:tcPr>
            <w:tcW w:w="8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9"/>
              <w:jc w:val="left"/>
              <w:rPr>
                <w:rFonts w:ascii="宋体" w:hAnsi="宋体" w:cs="宋体" w:eastAsia="宋体" w:hint="default"/>
                <w:sz w:val="18"/>
                <w:szCs w:val="18"/>
              </w:rPr>
            </w:pPr>
            <w:r>
              <w:rPr>
                <w:rFonts w:ascii="宋体" w:hAnsi="宋体" w:cs="宋体" w:eastAsia="宋体" w:hint="default"/>
                <w:sz w:val="18"/>
                <w:szCs w:val="18"/>
              </w:rPr>
              <w:t>件，计算机系 统集成； 租赁计算机软 硬件</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民币</w:t>
            </w:r>
          </w:p>
          <w:p>
            <w:pPr>
              <w:pStyle w:val="TableParagraph"/>
              <w:spacing w:line="240" w:lineRule="auto" w:before="13"/>
              <w:ind w:right="0"/>
              <w:jc w:val="left"/>
              <w:rPr>
                <w:rFonts w:ascii="宋体" w:hAnsi="宋体" w:cs="宋体" w:eastAsia="宋体" w:hint="default"/>
                <w:sz w:val="26"/>
                <w:szCs w:val="26"/>
              </w:rPr>
            </w:pPr>
          </w:p>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46.7pt;height:46.8pt;mso-position-horizontal-relative:char;mso-position-vertical-relative:line" coordorigin="0,0" coordsize="934,936">
                  <v:group style="position:absolute;left:0;top:0;width:934;height:936" coordorigin="0,0" coordsize="934,936">
                    <v:shape style="position:absolute;left:0;top:0;width:934;height:936" coordorigin="0,0" coordsize="934,936" path="m0,936l934,936,934,0,0,0,0,936xe" filled="true" fillcolor="#ffffff" stroked="false">
                      <v:path arrowok="t"/>
                      <v:fill type="solid"/>
                    </v:shape>
                  </v:group>
                </v:group>
              </w:pict>
            </w:r>
            <w:r>
              <w:rPr>
                <w:rFonts w:ascii="宋体" w:hAnsi="宋体" w:cs="宋体" w:eastAsia="宋体" w:hint="default"/>
                <w:position w:val="-1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0" w:right="0"/>
              <w:jc w:val="left"/>
              <w:rPr>
                <w:rFonts w:ascii="Times New Roman" w:hAnsi="Times New Roman" w:cs="Times New Roman" w:eastAsia="Times New Roman" w:hint="default"/>
                <w:sz w:val="18"/>
                <w:szCs w:val="18"/>
              </w:rPr>
            </w:pPr>
            <w:r>
              <w:rPr>
                <w:rFonts w:ascii="Times New Roman"/>
                <w:sz w:val="18"/>
              </w:rPr>
              <w:t>4.67</w:t>
            </w: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1"/>
              <w:jc w:val="both"/>
              <w:rPr>
                <w:rFonts w:ascii="宋体" w:hAnsi="宋体" w:cs="宋体" w:eastAsia="宋体" w:hint="default"/>
                <w:sz w:val="18"/>
                <w:szCs w:val="18"/>
              </w:rPr>
            </w:pPr>
            <w:r>
              <w:rPr>
                <w:rFonts w:ascii="宋体" w:hAnsi="宋体" w:cs="宋体" w:eastAsia="宋体" w:hint="default"/>
                <w:sz w:val="18"/>
                <w:szCs w:val="18"/>
              </w:rPr>
              <w:t>北京国信 新世纪科 技有限公 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计算机系统服 务；销售电子 产品、家用电 器、计算机、 软件及辅助设 备、</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0" w:lineRule="auto"/>
              <w:ind w:left="22"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46.7pt;height:31.2pt;mso-position-horizontal-relative:char;mso-position-vertical-relative:line" coordorigin="0,0" coordsize="934,624">
                  <v:group style="position:absolute;left:0;top:0;width:934;height:624" coordorigin="0,0" coordsize="934,624">
                    <v:shape style="position:absolute;left:0;top:0;width:934;height:624" coordorigin="0,0" coordsize="934,624" path="m0,624l934,624,934,0,0,0,0,624xe" filled="true" fillcolor="#ffffff" stroked="false">
                      <v:path arrowok="t"/>
                      <v:fill type="solid"/>
                    </v:shape>
                  </v:group>
                </v:group>
              </w:pict>
            </w:r>
            <w:r>
              <w:rPr>
                <w:rFonts w:ascii="宋体" w:hAnsi="宋体" w:cs="宋体" w:eastAsia="宋体" w:hint="default"/>
                <w:position w:val="-11"/>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4,917,320.59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4,121,854.53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4,200,839.89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-1,964,30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7.46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-2,353,007.03</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大连东方 国信科技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计算机软件技 术开发、技术 咨询、技术服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5,227,901.12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3,740,825.42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4,981,079.53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-800,120.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-609,465.00</w:t>
            </w:r>
            <w:r>
              <w:rPr>
                <w:rFonts w:ascii="Times New Roman"/>
                <w:sz w:val="18"/>
              </w:rPr>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北京北科 亿力科技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计算机软件技 术开发、技术 咨询、技术服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66,599,783.96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50,035,931.0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57,028,474.60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20,596,79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0.02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20,223,440.7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北京科瑞 明软件有 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计算机软件技 术开发、技术 咨询、技术服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26,613,614.78</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23,409,926.3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25,885,843.30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9,483,404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8,732,794.41</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上海屹通 信息科技 发展有限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计算机软件技 术开发、技术 咨询、技术服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81,222,013.45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55,304,689.4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86,724,301.42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35,661,09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1.39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36,902,565.0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54" w:right="7372"/>
        <w:jc w:val="left"/>
      </w:pPr>
      <w:r>
        <w:rPr/>
        <w:t>主要子公司、参股公司情况说明 报告期内取得和处置子公司的情况</w:t>
      </w:r>
    </w:p>
    <w:p>
      <w:pPr>
        <w:pStyle w:val="BodyText"/>
        <w:spacing w:line="240" w:lineRule="auto" w:before="26"/>
        <w:ind w:left="154"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上海屹通信息科技发展有限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行业拓展，增加公司盈利能力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发行股份及现金方式购买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本期未合并其利润表</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北京汉桥科创科技有限公司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行业拓展，增加公司盈利能力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现金方式购买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-973,019.04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left="154" w:right="6653"/>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680"/>
        </w:sectPr>
      </w:pPr>
    </w:p>
    <w:p>
      <w:pPr>
        <w:spacing w:line="240" w:lineRule="auto" w:before="8"/>
        <w:rPr>
          <w:rFonts w:ascii="宋体" w:hAnsi="宋体" w:cs="宋体" w:eastAsia="宋体" w:hint="default"/>
          <w:sz w:val="23"/>
          <w:szCs w:val="23"/>
        </w:rPr>
      </w:pPr>
    </w:p>
    <w:p>
      <w:pPr>
        <w:pStyle w:val="Heading2"/>
        <w:spacing w:line="240" w:lineRule="auto" w:before="26"/>
        <w:ind w:right="92"/>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3" w:right="183" w:hanging="360"/>
        <w:jc w:val="left"/>
      </w:pPr>
      <w:r>
        <w:rPr>
          <w:rFonts w:ascii="宋体" w:hAnsi="宋体" w:cs="宋体" w:eastAsia="宋体" w:hint="default"/>
          <w:b/>
          <w:bCs/>
        </w:rPr>
        <w:t>(</w:t>
      </w:r>
      <w:r>
        <w:rPr>
          <w:rFonts w:ascii="宋体" w:hAnsi="宋体" w:cs="宋体" w:eastAsia="宋体" w:hint="default"/>
          <w:b/>
          <w:bCs/>
        </w:rPr>
        <w:t>一）行业发展趋势</w:t>
      </w:r>
      <w:r>
        <w:rPr>
          <w:rFonts w:ascii="宋体" w:hAnsi="宋体" w:cs="宋体" w:eastAsia="宋体" w:hint="default"/>
          <w:b/>
          <w:bCs/>
          <w:w w:val="99"/>
        </w:rPr>
        <w:t> </w:t>
      </w:r>
      <w:r>
        <w:rPr/>
        <w:t>当前，全球的数据总量正呈指数增长，过去</w:t>
      </w:r>
      <w:r>
        <w:rPr>
          <w:rFonts w:ascii="Times New Roman" w:hAnsi="Times New Roman" w:cs="Times New Roman" w:eastAsia="Times New Roman" w:hint="default"/>
        </w:rPr>
        <w:t>3</w:t>
      </w:r>
      <w:r>
        <w:rPr/>
        <w:t>年间产生的数据量超过以往总和。移动互联网、物联网等的迅速发展，使</w:t>
      </w:r>
    </w:p>
    <w:p>
      <w:pPr>
        <w:pStyle w:val="BodyText"/>
        <w:spacing w:line="477" w:lineRule="auto" w:before="21"/>
        <w:ind w:right="93"/>
        <w:jc w:val="left"/>
      </w:pPr>
      <w:r>
        <w:rPr>
          <w:spacing w:val="-2"/>
        </w:rPr>
        <w:t>新数据源不断出现，而数据获取成本、存储成本和处理成本的下降，也推动了数据量的膨胀。从我国来看，随着互联网的发</w:t>
      </w:r>
      <w:r>
        <w:rPr>
          <w:spacing w:val="-66"/>
        </w:rPr>
        <w:t> </w:t>
      </w:r>
      <w:r>
        <w:rPr>
          <w:spacing w:val="-66"/>
        </w:rPr>
      </w:r>
      <w:r>
        <w:rPr>
          <w:spacing w:val="-2"/>
        </w:rPr>
        <w:t>展和信息化程度的提高，数据成为整个社会经营发展的必然产物之一。数据作为一项更加重要的资产将直接关系到企业的发</w:t>
      </w:r>
      <w:r>
        <w:rPr>
          <w:spacing w:val="-64"/>
        </w:rPr>
        <w:t> </w:t>
      </w:r>
      <w:r>
        <w:rPr>
          <w:spacing w:val="-64"/>
        </w:rPr>
      </w:r>
      <w:r>
        <w:rPr>
          <w:spacing w:val="-2"/>
        </w:rPr>
        <w:t>展潜力，数据资产正在成为现代企业及社会的核心资产。然而存放在数据库中的数据不经过筛选、加工、处理、分析、应用</w:t>
      </w:r>
      <w:r>
        <w:rPr>
          <w:spacing w:val="-67"/>
        </w:rPr>
        <w:t> </w:t>
      </w:r>
      <w:r>
        <w:rPr>
          <w:spacing w:val="-67"/>
        </w:rPr>
      </w:r>
      <w:r>
        <w:rPr>
          <w:spacing w:val="-2"/>
        </w:rPr>
        <w:t>等环节，是不能转换为有价值的信息的，如何通过大量的数据来提取价值，绝大多数行业还未真正从中受益。虽然大数据目</w:t>
      </w:r>
      <w:r>
        <w:rPr>
          <w:spacing w:val="-66"/>
        </w:rPr>
        <w:t> </w:t>
      </w:r>
      <w:r>
        <w:rPr>
          <w:spacing w:val="-66"/>
        </w:rPr>
      </w:r>
      <w:r>
        <w:rPr/>
        <w:t>前在国内还处于初级阶段，但是商业价值已经显现出来，未来行业前景广阔。此外，当前信息安全已提升至国家战略层面， </w:t>
      </w:r>
      <w:r>
        <w:rPr>
          <w:spacing w:val="-2"/>
        </w:rPr>
        <w:t>将直接刺激信息安全投资的增加。国家将高度重视在基础软件层面的国产化，对国产品牌的扶持力度或大幅增强，国内软件</w:t>
      </w:r>
      <w:r>
        <w:rPr>
          <w:spacing w:val="-66"/>
        </w:rPr>
        <w:t> </w:t>
      </w:r>
      <w:r>
        <w:rPr>
          <w:spacing w:val="-66"/>
        </w:rPr>
      </w:r>
      <w:r>
        <w:rPr>
          <w:spacing w:val="-2"/>
        </w:rPr>
        <w:t>厂商面临着有利的市场环境和政策环境。在这样的大环境下，东方国信作为一家专业的大数据软件、运营、解决方案及服务</w:t>
      </w:r>
      <w:r>
        <w:rPr>
          <w:spacing w:val="-66"/>
        </w:rPr>
        <w:t> </w:t>
      </w:r>
      <w:r>
        <w:rPr>
          <w:spacing w:val="-66"/>
        </w:rPr>
      </w:r>
      <w:r>
        <w:rPr/>
        <w:t>提供商，面临着难得的历史发展机遇。</w:t>
      </w:r>
    </w:p>
    <w:p>
      <w:pPr>
        <w:pStyle w:val="Heading5"/>
        <w:spacing w:line="240" w:lineRule="auto" w:before="54"/>
        <w:ind w:right="92"/>
        <w:jc w:val="left"/>
        <w:rPr>
          <w:b w:val="0"/>
          <w:bCs w:val="0"/>
        </w:rPr>
      </w:pPr>
      <w:r>
        <w:rPr/>
        <w:t>（二）</w:t>
      </w:r>
      <w:r>
        <w:rPr>
          <w:rFonts w:ascii="Times New Roman" w:hAnsi="Times New Roman" w:cs="Times New Roman" w:eastAsia="Times New Roman" w:hint="default"/>
        </w:rPr>
        <w:t>2015</w:t>
      </w:r>
      <w:r>
        <w:rPr/>
        <w:t>年公司重点经营工作</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13" w:right="92"/>
        <w:jc w:val="left"/>
      </w:pPr>
      <w:r>
        <w:rPr>
          <w:rFonts w:ascii="Times New Roman" w:hAnsi="Times New Roman" w:cs="Times New Roman" w:eastAsia="Times New Roman" w:hint="default"/>
        </w:rPr>
        <w:t>1</w:t>
      </w:r>
      <w:r>
        <w:rPr/>
        <w:t>、进一步优化业务结构，夯实技术核心竞争力，助力企业持续高速增长。</w:t>
      </w:r>
    </w:p>
    <w:p>
      <w:pPr>
        <w:spacing w:line="240" w:lineRule="auto" w:before="9"/>
        <w:rPr>
          <w:rFonts w:ascii="宋体" w:hAnsi="宋体" w:cs="宋体" w:eastAsia="宋体" w:hint="default"/>
          <w:sz w:val="16"/>
          <w:szCs w:val="16"/>
        </w:rPr>
      </w:pPr>
    </w:p>
    <w:p>
      <w:pPr>
        <w:pStyle w:val="BodyText"/>
        <w:spacing w:line="468" w:lineRule="auto"/>
        <w:ind w:right="93" w:firstLine="360"/>
        <w:jc w:val="left"/>
      </w:pPr>
      <w:r>
        <w:rPr>
          <w:rFonts w:ascii="Times New Roman" w:hAnsi="Times New Roman" w:cs="Times New Roman" w:eastAsia="Times New Roman" w:hint="default"/>
          <w:spacing w:val="-2"/>
        </w:rPr>
        <w:t>2015</w:t>
      </w:r>
      <w:r>
        <w:rPr>
          <w:spacing w:val="-2"/>
        </w:rPr>
        <w:t>年公司将从以下三个方面促进企业结构转型：一是进一步优化市场结构，从通信市场独大优化为通信、金融、政府</w:t>
      </w:r>
      <w:r>
        <w:rPr/>
        <w:t> 与工业大数据并举，优化业务收入结构；二是进一步显性化核心技术与能力，从项目支撑能力逐步向研发能力产品化转型， </w:t>
      </w:r>
      <w:r>
        <w:rPr>
          <w:spacing w:val="-4"/>
        </w:rPr>
        <w:t>打造核心研发产品；三是推动公司大数据运营领域的创新实践，从大数据技术支撑向大数据运营转型，探索价值变现新模式，</w:t>
      </w:r>
      <w:r>
        <w:rPr>
          <w:spacing w:val="-44"/>
        </w:rPr>
        <w:t> </w:t>
      </w:r>
      <w:r>
        <w:rPr>
          <w:spacing w:val="-44"/>
        </w:rPr>
      </w:r>
      <w:r>
        <w:rPr/>
        <w:t>创造数据变现能力。</w:t>
      </w:r>
    </w:p>
    <w:p>
      <w:pPr>
        <w:pStyle w:val="BodyText"/>
        <w:spacing w:line="240" w:lineRule="auto" w:before="61"/>
        <w:ind w:left="513" w:right="92"/>
        <w:jc w:val="left"/>
      </w:pPr>
      <w:r>
        <w:rPr>
          <w:rFonts w:ascii="Times New Roman" w:hAnsi="Times New Roman" w:cs="Times New Roman" w:eastAsia="Times New Roman" w:hint="default"/>
        </w:rPr>
        <w:t>2</w:t>
      </w:r>
      <w:r>
        <w:rPr/>
        <w:t>、推进外延发展战略，完善行业布局，形成集群发展优势。</w:t>
      </w:r>
    </w:p>
    <w:p>
      <w:pPr>
        <w:spacing w:line="240" w:lineRule="auto" w:before="9"/>
        <w:rPr>
          <w:rFonts w:ascii="宋体" w:hAnsi="宋体" w:cs="宋体" w:eastAsia="宋体" w:hint="default"/>
          <w:sz w:val="16"/>
          <w:szCs w:val="16"/>
        </w:rPr>
      </w:pPr>
    </w:p>
    <w:p>
      <w:pPr>
        <w:pStyle w:val="BodyText"/>
        <w:spacing w:line="463" w:lineRule="auto"/>
        <w:ind w:right="92" w:firstLine="360"/>
        <w:jc w:val="left"/>
      </w:pPr>
      <w:r>
        <w:rPr>
          <w:rFonts w:ascii="Times New Roman" w:hAnsi="Times New Roman" w:cs="Times New Roman" w:eastAsia="Times New Roman" w:hint="default"/>
          <w:spacing w:val="-4"/>
        </w:rPr>
        <w:t>2015</w:t>
      </w:r>
      <w:r>
        <w:rPr>
          <w:spacing w:val="-4"/>
        </w:rPr>
        <w:t>年，公司将持续推进外延式发展战略，紧密围绕公司业务和市场布局，积极开展产业链上下游资源整合，通过参股、</w:t>
      </w:r>
      <w:r>
        <w:rPr/>
        <w:t> </w:t>
      </w:r>
      <w:r>
        <w:rPr>
          <w:spacing w:val="-2"/>
        </w:rPr>
        <w:t>并购等资本运作方式迅速获取新的产品、技术与市场，形成新的利润增长点，提升公司持续发展能力和整体竞争实力。继续</w:t>
      </w:r>
      <w:r>
        <w:rPr>
          <w:spacing w:val="-66"/>
        </w:rPr>
        <w:t> </w:t>
      </w:r>
      <w:r>
        <w:rPr>
          <w:spacing w:val="-66"/>
        </w:rPr>
      </w:r>
      <w:r>
        <w:rPr/>
        <w:t>围绕大数据进行能力布局，构建东方国信的大数据核心能力与优势</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强化横向跨行业</w:t>
      </w:r>
      <w:r>
        <w:rPr>
          <w:rFonts w:ascii="Times New Roman" w:hAnsi="Times New Roman" w:cs="Times New Roman" w:eastAsia="Times New Roman" w:hint="default"/>
        </w:rPr>
        <w:t>,</w:t>
      </w:r>
      <w:r>
        <w:rPr/>
        <w:t>纵向全产业链的大数据布局能力。横向 </w:t>
      </w:r>
      <w:r>
        <w:rPr>
          <w:spacing w:val="-2"/>
        </w:rPr>
        <w:t>跨行业上，将大数据业务拓展到金融、政府、公安、工业、医疗、社保、智慧城市等各个领域；纵向全产业链上，围绕大数</w:t>
      </w:r>
      <w:r>
        <w:rPr>
          <w:spacing w:val="-69"/>
        </w:rPr>
        <w:t> </w:t>
      </w:r>
      <w:r>
        <w:rPr>
          <w:spacing w:val="-69"/>
        </w:rPr>
      </w:r>
      <w:r>
        <w:rPr/>
        <w:t>据采集、加工、存储、分析、挖掘、管控、应用、服务和运营一体化的产品、解决方案能力进一步夯实核心竞争能力。</w:t>
      </w:r>
    </w:p>
    <w:p>
      <w:pPr>
        <w:pStyle w:val="BodyText"/>
        <w:spacing w:line="463" w:lineRule="auto" w:before="65"/>
        <w:ind w:left="513" w:right="92"/>
        <w:jc w:val="left"/>
      </w:pPr>
      <w:r>
        <w:rPr>
          <w:rFonts w:ascii="Times New Roman" w:hAnsi="Times New Roman" w:cs="Times New Roman" w:eastAsia="Times New Roman" w:hint="default"/>
        </w:rPr>
        <w:t>3</w:t>
      </w:r>
      <w:r>
        <w:rPr/>
        <w:t>、发力多元市场，完善行业布局，构建以大数据为核心的业务格局。 围绕大数据领域的核心技术与能力，布局大通信、大金融、大数据运营、智慧城市与工业互联网业务领域。 </w:t>
      </w:r>
      <w:r>
        <w:rPr>
          <w:spacing w:val="-2"/>
        </w:rPr>
        <w:t>大通信：精耕细作与开疆扩土并举，进一步夯实在三大运营商大数据技术平台的建设优势；从</w:t>
      </w:r>
      <w:r>
        <w:rPr>
          <w:rFonts w:ascii="Times New Roman" w:hAnsi="Times New Roman" w:cs="Times New Roman" w:eastAsia="Times New Roman" w:hint="default"/>
          <w:spacing w:val="-2"/>
        </w:rPr>
        <w:t>IT</w:t>
      </w:r>
      <w:r>
        <w:rPr>
          <w:spacing w:val="-2"/>
        </w:rPr>
        <w:t>服务向市场、客服、运</w:t>
      </w:r>
    </w:p>
    <w:p>
      <w:pPr>
        <w:pStyle w:val="BodyText"/>
        <w:spacing w:line="451" w:lineRule="auto" w:before="34"/>
        <w:ind w:left="513" w:right="92" w:hanging="360"/>
        <w:jc w:val="left"/>
      </w:pPr>
      <w:r>
        <w:rPr/>
        <w:t>维、产创等全业务线延伸；实现</w:t>
      </w:r>
      <w:r>
        <w:rPr>
          <w:rFonts w:ascii="Times New Roman" w:hAnsi="Times New Roman" w:cs="Times New Roman" w:eastAsia="Times New Roman" w:hint="default"/>
        </w:rPr>
        <w:t>B</w:t>
      </w:r>
      <w:r>
        <w:rPr/>
        <w:t>域、</w:t>
      </w:r>
      <w:r>
        <w:rPr>
          <w:rFonts w:ascii="Times New Roman" w:hAnsi="Times New Roman" w:cs="Times New Roman" w:eastAsia="Times New Roman" w:hint="default"/>
        </w:rPr>
        <w:t>O</w:t>
      </w:r>
      <w:r>
        <w:rPr/>
        <w:t>域、</w:t>
      </w:r>
      <w:r>
        <w:rPr>
          <w:rFonts w:ascii="Times New Roman" w:hAnsi="Times New Roman" w:cs="Times New Roman" w:eastAsia="Times New Roman" w:hint="default"/>
        </w:rPr>
        <w:t>M</w:t>
      </w:r>
      <w:r>
        <w:rPr/>
        <w:t>域的整体数据服务能力。 大金融：进一步扩大公司在金融领域的市场覆盖范围，构建更广阔的金融业务布局。发挥屹通信息在移动金融和银行</w:t>
      </w:r>
    </w:p>
    <w:p>
      <w:pPr>
        <w:pStyle w:val="BodyText"/>
        <w:spacing w:line="240" w:lineRule="auto" w:before="74"/>
        <w:ind w:right="92"/>
        <w:jc w:val="left"/>
      </w:pPr>
      <w:r>
        <w:rPr>
          <w:rFonts w:ascii="Times New Roman" w:hAnsi="Times New Roman" w:cs="Times New Roman" w:eastAsia="Times New Roman" w:hint="default"/>
        </w:rPr>
        <w:t>BI</w:t>
      </w:r>
      <w:r>
        <w:rPr/>
        <w:t>等领域的优势，逐步拓展互联网金融、银行大数据、数字化银行等全新业务领域。</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92" w:firstLine="360"/>
        <w:jc w:val="left"/>
      </w:pPr>
      <w:r>
        <w:rPr>
          <w:spacing w:val="-4"/>
        </w:rPr>
        <w:t>大数据运营；整合公司内部及外部资源，在目前流量运营的基础上进一步扩展大数据运营范围，推动数据变现模式落地，</w:t>
      </w:r>
      <w:r>
        <w:rPr/>
        <w:t> </w:t>
      </w:r>
      <w:r>
        <w:rPr>
          <w:spacing w:val="-2"/>
        </w:rPr>
        <w:t>进一步提高大数据运营竞争力；充分发挥公司在运营商数据分析领域具备的技术基础优势，全力推动运营商大数据运营模式</w:t>
      </w:r>
      <w:r>
        <w:rPr>
          <w:spacing w:val="-64"/>
        </w:rPr>
        <w:t> </w:t>
      </w:r>
      <w:r>
        <w:rPr>
          <w:spacing w:val="-64"/>
        </w:rPr>
      </w:r>
      <w:r>
        <w:rPr/>
        <w:t>的探索。</w:t>
      </w:r>
    </w:p>
    <w:p>
      <w:pPr>
        <w:pStyle w:val="BodyText"/>
        <w:spacing w:line="458" w:lineRule="auto" w:before="54"/>
        <w:ind w:right="92" w:firstLine="360"/>
        <w:jc w:val="left"/>
      </w:pPr>
      <w:r>
        <w:rPr/>
        <w:t>智慧城市与工业互联网业务：以智慧城市的数据平台建设、运营和工业大数据为主要方向</w:t>
      </w:r>
      <w:r>
        <w:rPr>
          <w:rFonts w:ascii="Times New Roman" w:hAnsi="Times New Roman" w:cs="Times New Roman" w:eastAsia="Times New Roman" w:hint="default"/>
        </w:rPr>
        <w:t>,</w:t>
      </w:r>
      <w:r>
        <w:rPr/>
        <w:t>实现政府大数据和工业大数 据的战略布局。积极参与国内</w:t>
      </w:r>
      <w:r>
        <w:rPr>
          <w:rFonts w:ascii="Times New Roman" w:hAnsi="Times New Roman" w:cs="Times New Roman" w:eastAsia="Times New Roman" w:hint="default"/>
        </w:rPr>
        <w:t>“</w:t>
      </w:r>
      <w:r>
        <w:rPr/>
        <w:t>工业</w:t>
      </w:r>
      <w:r>
        <w:rPr>
          <w:rFonts w:ascii="Times New Roman" w:hAnsi="Times New Roman" w:cs="Times New Roman" w:eastAsia="Times New Roman" w:hint="default"/>
        </w:rPr>
        <w:t>4.0”</w:t>
      </w:r>
      <w:r>
        <w:rPr/>
        <w:t>的落地进程和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战略，北科亿力已经是冶金炼铁智能化的领先者，未来将深 </w:t>
      </w:r>
      <w:r>
        <w:rPr>
          <w:spacing w:val="-4"/>
        </w:rPr>
        <w:t>度参与国内制造业的智能化进程。公司已实现了在智慧环保、智慧能源、智慧安监领域的突破，未来将进一步提升技术能力、</w:t>
      </w:r>
      <w:r>
        <w:rPr>
          <w:spacing w:val="-46"/>
        </w:rPr>
        <w:t> </w:t>
      </w:r>
      <w:r>
        <w:rPr>
          <w:spacing w:val="-46"/>
        </w:rPr>
      </w:r>
      <w:r>
        <w:rPr/>
        <w:t>扩大市场，实现规模化发展。</w:t>
      </w:r>
    </w:p>
    <w:p>
      <w:pPr>
        <w:pStyle w:val="BodyText"/>
        <w:spacing w:line="240" w:lineRule="auto" w:before="68"/>
        <w:ind w:left="513" w:right="92"/>
        <w:jc w:val="left"/>
      </w:pPr>
      <w:r>
        <w:rPr>
          <w:rFonts w:ascii="Times New Roman" w:hAnsi="Times New Roman" w:cs="Times New Roman" w:eastAsia="Times New Roman" w:hint="default"/>
        </w:rPr>
        <w:t>4</w:t>
      </w:r>
      <w:r>
        <w:rPr/>
        <w:t>、夯实技术优势，提升研发创新能力，促进市场联动协同。</w:t>
      </w:r>
    </w:p>
    <w:p>
      <w:pPr>
        <w:spacing w:line="240" w:lineRule="auto" w:before="9"/>
        <w:rPr>
          <w:rFonts w:ascii="宋体" w:hAnsi="宋体" w:cs="宋体" w:eastAsia="宋体" w:hint="default"/>
          <w:sz w:val="16"/>
          <w:szCs w:val="16"/>
        </w:rPr>
      </w:pPr>
    </w:p>
    <w:p>
      <w:pPr>
        <w:pStyle w:val="BodyText"/>
        <w:spacing w:line="463" w:lineRule="auto"/>
        <w:ind w:left="154" w:right="191" w:firstLine="360"/>
        <w:jc w:val="both"/>
      </w:pPr>
      <w:r>
        <w:rPr>
          <w:rFonts w:ascii="Times New Roman" w:hAnsi="Times New Roman" w:cs="Times New Roman" w:eastAsia="Times New Roman" w:hint="default"/>
          <w:spacing w:val="-2"/>
        </w:rPr>
        <w:t>2015</w:t>
      </w:r>
      <w:r>
        <w:rPr>
          <w:spacing w:val="-2"/>
        </w:rPr>
        <w:t>年，公司将继续完善研发机制，在升级现有产品和技术体系基础上，密切关注行业技术发展前沿，加大创新性研发</w:t>
      </w:r>
      <w:r>
        <w:rPr/>
        <w:t> </w:t>
      </w:r>
      <w:r>
        <w:rPr>
          <w:spacing w:val="-2"/>
        </w:rPr>
        <w:t>与项目的投入力度；在实际研发工作中，根据市场需求制定研发方向，开发出符合市场需求、且具有一定前瞻性产品，并提</w:t>
      </w:r>
      <w:r>
        <w:rPr>
          <w:spacing w:val="-66"/>
        </w:rPr>
        <w:t> </w:t>
      </w:r>
      <w:r>
        <w:rPr>
          <w:spacing w:val="-66"/>
        </w:rPr>
      </w:r>
      <w:r>
        <w:rPr/>
        <w:t>高研发项目成果转化效率；引进高端技术人才，打造一流的研发团队，提高公司在大数据全产业链的竞争力。</w:t>
      </w:r>
    </w:p>
    <w:p>
      <w:pPr>
        <w:pStyle w:val="BodyText"/>
        <w:spacing w:line="458" w:lineRule="auto" w:before="65"/>
        <w:ind w:left="154" w:right="92" w:firstLine="360"/>
        <w:jc w:val="left"/>
      </w:pPr>
      <w:r>
        <w:rPr>
          <w:rFonts w:ascii="Times New Roman" w:hAnsi="Times New Roman" w:cs="Times New Roman" w:eastAsia="Times New Roman" w:hint="default"/>
        </w:rPr>
        <w:t>5</w:t>
      </w:r>
      <w:r>
        <w:rPr/>
        <w:t>、提高管理效率，提升运营能力，深化管理精细化水平。 </w:t>
      </w:r>
      <w:r>
        <w:rPr>
          <w:spacing w:val="-2"/>
        </w:rPr>
        <w:t>完善管理体系，强化公司职业化运营能力；推动管理融合，加强母、子公司在市场、技术、文化等方面的融合，充分发挥协</w:t>
      </w:r>
      <w:r>
        <w:rPr>
          <w:spacing w:val="-71"/>
        </w:rPr>
        <w:t> </w:t>
      </w:r>
      <w:r>
        <w:rPr>
          <w:spacing w:val="-71"/>
        </w:rPr>
      </w:r>
      <w:r>
        <w:rPr>
          <w:spacing w:val="-2"/>
        </w:rPr>
        <w:t>同效应；继续加强预算管理，并结合</w:t>
      </w:r>
      <w:r>
        <w:rPr>
          <w:rFonts w:ascii="Times New Roman" w:hAnsi="Times New Roman" w:cs="Times New Roman" w:eastAsia="Times New Roman" w:hint="default"/>
          <w:spacing w:val="-2"/>
        </w:rPr>
        <w:t>IT</w:t>
      </w:r>
      <w:r>
        <w:rPr>
          <w:spacing w:val="-2"/>
        </w:rPr>
        <w:t>系统与绩效考核等手段，加强对成本、费用的控制，使成本和费用增长保持在合理水</w:t>
      </w:r>
      <w:r>
        <w:rPr>
          <w:spacing w:val="-55"/>
        </w:rPr>
        <w:t> </w:t>
      </w:r>
      <w:r>
        <w:rPr>
          <w:spacing w:val="-55"/>
        </w:rPr>
      </w:r>
      <w:r>
        <w:rPr/>
        <w:t>平，进一步提升公司盈利能力和规模效应。</w:t>
      </w:r>
    </w:p>
    <w:p>
      <w:pPr>
        <w:pStyle w:val="BodyText"/>
        <w:spacing w:line="451" w:lineRule="auto" w:before="69"/>
        <w:ind w:left="513" w:right="92"/>
        <w:jc w:val="left"/>
      </w:pPr>
      <w:r>
        <w:rPr>
          <w:rFonts w:ascii="Times New Roman" w:hAnsi="Times New Roman" w:cs="Times New Roman" w:eastAsia="Times New Roman" w:hint="default"/>
        </w:rPr>
        <w:t>6</w:t>
      </w:r>
      <w:r>
        <w:rPr/>
        <w:t>、加强企业文化建设，促进管理融合，优化人才培养与激励机制。 </w:t>
      </w:r>
      <w:r>
        <w:rPr>
          <w:spacing w:val="-2"/>
        </w:rPr>
        <w:t>随着公司规模扩大，子公司逐渐增多，文化融合重要性日益凸显。</w:t>
      </w:r>
      <w:r>
        <w:rPr>
          <w:rFonts w:ascii="Times New Roman" w:hAnsi="Times New Roman" w:cs="Times New Roman" w:eastAsia="Times New Roman" w:hint="default"/>
          <w:spacing w:val="-2"/>
        </w:rPr>
        <w:t>2015</w:t>
      </w:r>
      <w:r>
        <w:rPr>
          <w:spacing w:val="-2"/>
        </w:rPr>
        <w:t>年，公司将继续推进企业文化的有效传播、灌输</w:t>
      </w:r>
    </w:p>
    <w:p>
      <w:pPr>
        <w:pStyle w:val="BodyText"/>
        <w:spacing w:line="477" w:lineRule="auto" w:before="43"/>
        <w:ind w:left="154" w:right="92"/>
        <w:jc w:val="left"/>
      </w:pPr>
      <w:r>
        <w:rPr>
          <w:spacing w:val="-2"/>
        </w:rPr>
        <w:t>和认同，促进文化融和，加强团队建设，提升团队凝聚力和执行力；完善绩效考核体系和激励机制，吸引并留住公司核心骨</w:t>
      </w:r>
      <w:r>
        <w:rPr>
          <w:spacing w:val="-66"/>
        </w:rPr>
        <w:t> </w:t>
      </w:r>
      <w:r>
        <w:rPr>
          <w:spacing w:val="-66"/>
        </w:rPr>
      </w:r>
      <w:r>
        <w:rPr/>
        <w:t>干员工与中高级管理人才，加强人才梯队建设，激活全体员工的工作热情。</w:t>
      </w:r>
    </w:p>
    <w:p>
      <w:pPr>
        <w:spacing w:line="240" w:lineRule="auto" w:before="7"/>
        <w:rPr>
          <w:rFonts w:ascii="宋体" w:hAnsi="宋体" w:cs="宋体" w:eastAsia="宋体" w:hint="default"/>
          <w:sz w:val="17"/>
          <w:szCs w:val="17"/>
        </w:rPr>
      </w:pPr>
    </w:p>
    <w:p>
      <w:pPr>
        <w:pStyle w:val="Heading2"/>
        <w:spacing w:line="240" w:lineRule="auto"/>
        <w:ind w:left="154" w:right="92"/>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9"/>
          <w:szCs w:val="19"/>
        </w:rPr>
      </w:pPr>
    </w:p>
    <w:p>
      <w:pPr>
        <w:pStyle w:val="BodyText"/>
        <w:spacing w:line="463" w:lineRule="auto"/>
        <w:ind w:right="201" w:firstLine="420"/>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日起执行财政部于</w:t>
      </w:r>
      <w:r>
        <w:rPr>
          <w:rFonts w:ascii="Times New Roman" w:hAnsi="Times New Roman" w:cs="Times New Roman" w:eastAsia="Times New Roman" w:hint="default"/>
        </w:rPr>
        <w:t>2014</w:t>
      </w:r>
      <w:r>
        <w:rPr/>
        <w:t>年修订及新颁布的《企业会计准则第</w:t>
      </w:r>
      <w:r>
        <w:rPr>
          <w:spacing w:val="-19"/>
        </w:rPr>
        <w:t> </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长期股权投资》（修订）等 七项准则，按照相关准则中的衔接规定</w:t>
      </w:r>
      <w:r>
        <w:rPr>
          <w:rFonts w:ascii="宋体" w:hAnsi="宋体" w:cs="宋体" w:eastAsia="宋体" w:hint="default"/>
        </w:rPr>
        <w:t>,</w:t>
      </w:r>
      <w:r>
        <w:rPr/>
        <w:t>除应付职工薪酬重分类外无需要进行追溯调整的事项，因此不影响公司披露的以往 年度财务状况和经营成果。</w:t>
      </w:r>
    </w:p>
    <w:p>
      <w:pPr>
        <w:spacing w:after="0" w:line="463" w:lineRule="auto"/>
        <w:jc w:val="both"/>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pStyle w:val="BodyText"/>
        <w:spacing w:line="415" w:lineRule="auto" w:before="116"/>
        <w:ind w:left="511" w:right="0" w:hanging="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为完善和健全公司科学、持续、稳定的利润分配政策和机制，积极回报股东，公司已按照中国证监会有关要求，制定了</w:t>
      </w:r>
    </w:p>
    <w:p>
      <w:pPr>
        <w:pStyle w:val="BodyText"/>
        <w:spacing w:line="468" w:lineRule="auto" w:before="101"/>
        <w:ind w:right="152"/>
        <w:jc w:val="both"/>
      </w:pPr>
      <w:r>
        <w:rPr>
          <w:spacing w:val="-2"/>
        </w:rPr>
        <w:t>明确详细的利润分配政策，本公司</w:t>
      </w:r>
      <w:r>
        <w:rPr>
          <w:rFonts w:ascii="Times New Roman" w:hAnsi="Times New Roman" w:cs="Times New Roman" w:eastAsia="Times New Roman" w:hint="default"/>
          <w:spacing w:val="-2"/>
        </w:rPr>
        <w:t>2012</w:t>
      </w:r>
      <w:r>
        <w:rPr>
          <w:spacing w:val="-2"/>
        </w:rPr>
        <w:t>年修订的《公司章程》就现金分红的条件、分红的标准和比例、相关的决策程序和机</w:t>
      </w:r>
      <w:r>
        <w:rPr>
          <w:spacing w:val="-62"/>
        </w:rPr>
        <w:t> </w:t>
      </w:r>
      <w:r>
        <w:rPr>
          <w:spacing w:val="-62"/>
        </w:rPr>
      </w:r>
      <w:r>
        <w:rPr>
          <w:spacing w:val="-2"/>
        </w:rPr>
        <w:t>制等作了详细完整的规定，在决策程序和决策机制上充分维护中小投资者的合法权益。报告期内，公司严格执行了利润分配</w:t>
      </w:r>
      <w:r>
        <w:rPr>
          <w:spacing w:val="-66"/>
        </w:rPr>
        <w:t> </w:t>
      </w:r>
      <w:r>
        <w:rPr>
          <w:spacing w:val="-66"/>
        </w:rPr>
      </w:r>
      <w:r>
        <w:rPr>
          <w:spacing w:val="-2"/>
        </w:rPr>
        <w:t>政策，独立董事和监事会充分履行职责，对利润分配预案发表专项意见，利润分配方案的决策程序符合《公司章程》等相关</w:t>
      </w:r>
      <w:r>
        <w:rPr>
          <w:spacing w:val="-66"/>
        </w:rPr>
        <w:t> </w:t>
      </w:r>
      <w:r>
        <w:rPr>
          <w:spacing w:val="-66"/>
        </w:rPr>
      </w:r>
      <w:r>
        <w:rPr/>
        <w:t>法律法规的规定。</w:t>
      </w:r>
    </w:p>
    <w:p>
      <w:pPr>
        <w:spacing w:line="240" w:lineRule="auto" w:before="10"/>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公司报告期利润分配预案及资本公积金转增股本预案与公司章程和分红管理办法等的相关规定一致</w:t>
      </w:r>
    </w:p>
    <w:p>
      <w:pPr>
        <w:pStyle w:val="BodyText"/>
        <w:spacing w:line="348" w:lineRule="auto" w:before="117"/>
        <w:ind w:right="3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279,017,838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27,901,783.80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135,628,693.07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日，公司第二届董事会第三十三次会议审议通过了《</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年度利润分配及资本公积金转增股本预案</w:t>
            </w:r>
            <w:r>
              <w:rPr>
                <w:rFonts w:ascii="宋体" w:hAnsi="宋体" w:cs="宋体" w:eastAsia="宋体" w:hint="default"/>
                <w:spacing w:val="-90"/>
                <w:sz w:val="18"/>
                <w:szCs w:val="18"/>
              </w:rPr>
              <w:t>》</w:t>
            </w:r>
            <w:r>
              <w:rPr>
                <w:rFonts w:ascii="宋体" w:hAnsi="宋体" w:cs="宋体" w:eastAsia="宋体" w:hint="default"/>
                <w:sz w:val="18"/>
                <w:szCs w:val="18"/>
              </w:rPr>
              <w:t>，公</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拟</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1"/>
                <w:sz w:val="18"/>
                <w:szCs w:val="18"/>
              </w:rPr>
              <w:t>总</w:t>
            </w:r>
            <w:r>
              <w:rPr>
                <w:rFonts w:ascii="宋体" w:hAnsi="宋体" w:cs="宋体" w:eastAsia="宋体" w:hint="default"/>
                <w:sz w:val="18"/>
                <w:szCs w:val="18"/>
              </w:rPr>
              <w:t>股本为基数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元人民</w:t>
            </w:r>
            <w:r>
              <w:rPr>
                <w:rFonts w:ascii="宋体" w:hAnsi="宋体" w:cs="宋体" w:eastAsia="宋体" w:hint="default"/>
                <w:spacing w:val="-24"/>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时</w:t>
            </w:r>
            <w:r>
              <w:rPr>
                <w:rFonts w:ascii="宋体" w:hAnsi="宋体" w:cs="宋体" w:eastAsia="宋体" w:hint="default"/>
                <w:spacing w:val="1"/>
                <w:sz w:val="18"/>
                <w:szCs w:val="18"/>
              </w:rPr>
              <w:t>进</w:t>
            </w:r>
            <w:r>
              <w:rPr>
                <w:rFonts w:ascii="宋体" w:hAnsi="宋体" w:cs="宋体" w:eastAsia="宋体" w:hint="default"/>
                <w:sz w:val="18"/>
                <w:szCs w:val="18"/>
              </w:rPr>
              <w:t>行</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资本公积金转增股本，向全体股东每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该预案尚需提交公司股东大会审议。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9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9"/>
        <w:rPr>
          <w:rFonts w:ascii="宋体" w:hAnsi="宋体" w:cs="宋体" w:eastAsia="宋体" w:hint="default"/>
          <w:sz w:val="13"/>
          <w:szCs w:val="13"/>
        </w:rPr>
      </w:pPr>
    </w:p>
    <w:p>
      <w:pPr>
        <w:pStyle w:val="BodyText"/>
        <w:spacing w:line="451" w:lineRule="auto"/>
        <w:ind w:right="92" w:firstLine="357"/>
        <w:jc w:val="left"/>
      </w:pPr>
      <w:r>
        <w:rPr>
          <w:rFonts w:ascii="Times New Roman" w:hAnsi="Times New Roman" w:cs="Times New Roman" w:eastAsia="Times New Roman" w:hint="default"/>
          <w:spacing w:val="-5"/>
        </w:rPr>
        <w:t>2012</w:t>
      </w:r>
      <w:r>
        <w:rPr>
          <w:spacing w:val="-5"/>
        </w:rPr>
        <w:t>年半年度：</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13</w:t>
      </w:r>
      <w:r>
        <w:rPr>
          <w:spacing w:val="-5"/>
        </w:rPr>
        <w:t>日，公司</w:t>
      </w:r>
      <w:r>
        <w:rPr>
          <w:rFonts w:ascii="Times New Roman" w:hAnsi="Times New Roman" w:cs="Times New Roman" w:eastAsia="Times New Roman" w:hint="default"/>
          <w:spacing w:val="-5"/>
        </w:rPr>
        <w:t>2012</w:t>
      </w:r>
      <w:r>
        <w:rPr>
          <w:spacing w:val="-5"/>
        </w:rPr>
        <w:t>年第三次临时股东大会审议通过了《</w:t>
      </w:r>
      <w:r>
        <w:rPr>
          <w:rFonts w:ascii="Times New Roman" w:hAnsi="Times New Roman" w:cs="Times New Roman" w:eastAsia="Times New Roman" w:hint="default"/>
          <w:spacing w:val="-5"/>
        </w:rPr>
        <w:t>2012</w:t>
      </w:r>
      <w:r>
        <w:rPr>
          <w:spacing w:val="-5"/>
        </w:rPr>
        <w:t>年半年度资本公积金转增股本预案》，</w:t>
      </w:r>
      <w:r>
        <w:rPr/>
        <w:t> 以截止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8,100</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4,050</w:t>
      </w:r>
      <w:r>
        <w:rPr/>
        <w:t>万股，转增后公司总股本增</w:t>
      </w:r>
      <w:r>
        <w:rPr>
          <w:spacing w:val="-85"/>
        </w:rPr>
        <w:t> </w:t>
      </w:r>
      <w:r>
        <w:rPr>
          <w:spacing w:val="-85"/>
        </w:rPr>
      </w:r>
      <w:r>
        <w:rPr/>
        <w:t>加至</w:t>
      </w:r>
      <w:r>
        <w:rPr>
          <w:rFonts w:ascii="Times New Roman" w:hAnsi="Times New Roman" w:cs="Times New Roman" w:eastAsia="Times New Roman" w:hint="default"/>
        </w:rPr>
        <w:t>12,150</w:t>
      </w:r>
      <w:r>
        <w:rPr/>
        <w:t>万股。按照</w:t>
      </w:r>
      <w:r>
        <w:rPr>
          <w:rFonts w:ascii="Times New Roman" w:hAnsi="Times New Roman" w:cs="Times New Roman" w:eastAsia="Times New Roman" w:hint="default"/>
        </w:rPr>
        <w:t>2012</w:t>
      </w:r>
      <w:r>
        <w:rPr/>
        <w:t>年第三次临时股东大会决议，公司于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日实施完毕资本公积金转增股本方案。</w:t>
      </w:r>
    </w:p>
    <w:p>
      <w:pPr>
        <w:pStyle w:val="BodyText"/>
        <w:spacing w:line="451" w:lineRule="auto" w:before="43"/>
        <w:ind w:right="190" w:firstLine="430"/>
        <w:jc w:val="both"/>
      </w:pPr>
      <w:r>
        <w:rPr>
          <w:rFonts w:ascii="Times New Roman" w:hAnsi="Times New Roman" w:cs="Times New Roman" w:eastAsia="Times New Roman" w:hint="default"/>
          <w:spacing w:val="-1"/>
        </w:rPr>
        <w:t>2012</w:t>
      </w:r>
      <w:r>
        <w:rPr>
          <w:spacing w:val="-1"/>
        </w:rPr>
        <w:t>年度：</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13</w:t>
      </w:r>
      <w:r>
        <w:rPr>
          <w:spacing w:val="-1"/>
        </w:rPr>
        <w:t>日，公司</w:t>
      </w:r>
      <w:r>
        <w:rPr>
          <w:rFonts w:ascii="Times New Roman" w:hAnsi="Times New Roman" w:cs="Times New Roman" w:eastAsia="Times New Roman" w:hint="default"/>
          <w:spacing w:val="-1"/>
        </w:rPr>
        <w:t>2012</w:t>
      </w:r>
      <w:r>
        <w:rPr>
          <w:spacing w:val="-1"/>
        </w:rPr>
        <w:t>年度股东大会审议通过了</w:t>
      </w:r>
      <w:r>
        <w:rPr>
          <w:rFonts w:ascii="Times New Roman" w:hAnsi="Times New Roman" w:cs="Times New Roman" w:eastAsia="Times New Roman" w:hint="default"/>
          <w:spacing w:val="-1"/>
        </w:rPr>
        <w:t>2012</w:t>
      </w:r>
      <w:r>
        <w:rPr>
          <w:spacing w:val="-1"/>
        </w:rPr>
        <w:t>年度利润分配方案，即以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w:t>
      </w:r>
      <w:r>
        <w:rPr/>
        <w:t> 本</w:t>
      </w:r>
      <w:r>
        <w:rPr>
          <w:rFonts w:ascii="Times New Roman" w:hAnsi="Times New Roman" w:cs="Times New Roman" w:eastAsia="Times New Roman" w:hint="default"/>
        </w:rPr>
        <w:t>12,150</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元人民币（含税），合计派发现金股利</w:t>
      </w:r>
      <w:r>
        <w:rPr>
          <w:rFonts w:ascii="Times New Roman" w:hAnsi="Times New Roman" w:cs="Times New Roman" w:eastAsia="Times New Roman" w:hint="default"/>
        </w:rPr>
        <w:t>6,075,000.00</w:t>
      </w:r>
      <w:r>
        <w:rPr/>
        <w:t>元人民币（含</w:t>
      </w:r>
      <w:r>
        <w:rPr>
          <w:spacing w:val="-49"/>
        </w:rPr>
        <w:t> </w:t>
      </w:r>
      <w:r>
        <w:rPr>
          <w:spacing w:val="-49"/>
        </w:rPr>
      </w:r>
      <w:r>
        <w:rPr>
          <w:spacing w:val="-2"/>
        </w:rPr>
        <w:t>税）。公司因实施股权激励计划，于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日完成了股权激励计划涉及首次授予的</w:t>
      </w:r>
      <w:r>
        <w:rPr>
          <w:rFonts w:ascii="Times New Roman" w:hAnsi="Times New Roman" w:cs="Times New Roman" w:eastAsia="Times New Roman" w:hint="default"/>
          <w:spacing w:val="-2"/>
        </w:rPr>
        <w:t>245.25</w:t>
      </w:r>
      <w:r>
        <w:rPr>
          <w:spacing w:val="-2"/>
        </w:rPr>
        <w:t>万份股票期权和</w:t>
      </w:r>
      <w:r>
        <w:rPr>
          <w:rFonts w:ascii="Times New Roman" w:hAnsi="Times New Roman" w:cs="Times New Roman" w:eastAsia="Times New Roman" w:hint="default"/>
          <w:spacing w:val="-2"/>
        </w:rPr>
        <w:t>246.75</w:t>
      </w:r>
      <w:r>
        <w:rPr>
          <w:spacing w:val="-2"/>
        </w:rPr>
        <w:t>万股限</w:t>
      </w:r>
      <w:r>
        <w:rPr>
          <w:spacing w:val="-48"/>
        </w:rPr>
        <w:t> </w:t>
      </w:r>
      <w:r>
        <w:rPr>
          <w:spacing w:val="-48"/>
        </w:rPr>
      </w:r>
      <w:r>
        <w:rPr>
          <w:spacing w:val="-2"/>
        </w:rPr>
        <w:t>制性股票授予登记，公司股本由</w:t>
      </w:r>
      <w:r>
        <w:rPr>
          <w:rFonts w:ascii="Times New Roman" w:hAnsi="Times New Roman" w:cs="Times New Roman" w:eastAsia="Times New Roman" w:hint="default"/>
          <w:spacing w:val="-2"/>
        </w:rPr>
        <w:t>12,150</w:t>
      </w:r>
      <w:r>
        <w:rPr>
          <w:spacing w:val="-2"/>
        </w:rPr>
        <w:t>万股增加至</w:t>
      </w:r>
      <w:r>
        <w:rPr>
          <w:rFonts w:ascii="Times New Roman" w:hAnsi="Times New Roman" w:cs="Times New Roman" w:eastAsia="Times New Roman" w:hint="default"/>
          <w:spacing w:val="-2"/>
        </w:rPr>
        <w:t>12,396.75</w:t>
      </w:r>
      <w:r>
        <w:rPr>
          <w:spacing w:val="-2"/>
        </w:rPr>
        <w:t>万股，公司在保持本次现金分红总金额人民币</w:t>
      </w:r>
      <w:r>
        <w:rPr>
          <w:rFonts w:ascii="Times New Roman" w:hAnsi="Times New Roman" w:cs="Times New Roman" w:eastAsia="Times New Roman" w:hint="default"/>
          <w:spacing w:val="-2"/>
        </w:rPr>
        <w:t>6,075,000.00</w:t>
      </w:r>
      <w:r>
        <w:rPr>
          <w:spacing w:val="-2"/>
        </w:rPr>
        <w:t>元（含</w:t>
      </w:r>
      <w:r>
        <w:rPr>
          <w:spacing w:val="-43"/>
        </w:rPr>
        <w:t> </w:t>
      </w:r>
      <w:r>
        <w:rPr>
          <w:spacing w:val="-43"/>
        </w:rPr>
      </w:r>
      <w:r>
        <w:rPr>
          <w:spacing w:val="-2"/>
        </w:rPr>
        <w:t>税）不变的前提下，按照最新的公司总股本，摊薄每股派息金额，调整后的本公司</w:t>
      </w:r>
      <w:r>
        <w:rPr>
          <w:rFonts w:ascii="Times New Roman" w:hAnsi="Times New Roman" w:cs="Times New Roman" w:eastAsia="Times New Roman" w:hint="default"/>
          <w:spacing w:val="-2"/>
        </w:rPr>
        <w:t>2012</w:t>
      </w:r>
      <w:r>
        <w:rPr>
          <w:spacing w:val="-2"/>
        </w:rPr>
        <w:t>年年度权益分派方案为：以公司现有</w:t>
      </w:r>
      <w:r>
        <w:rPr>
          <w:spacing w:val="-62"/>
        </w:rPr>
        <w:t> </w:t>
      </w:r>
      <w:r>
        <w:rPr>
          <w:spacing w:val="-62"/>
        </w:rPr>
      </w:r>
      <w:r>
        <w:rPr/>
        <w:t>总股本</w:t>
      </w:r>
      <w:r>
        <w:rPr>
          <w:rFonts w:ascii="Times New Roman" w:hAnsi="Times New Roman" w:cs="Times New Roman" w:eastAsia="Times New Roman" w:hint="default"/>
        </w:rPr>
        <w:t>123,967,500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0.490047</w:t>
      </w:r>
      <w:r>
        <w:rPr/>
        <w:t>元人民币现金（含税）。</w:t>
      </w:r>
    </w:p>
    <w:p>
      <w:pPr>
        <w:pStyle w:val="BodyText"/>
        <w:spacing w:line="451" w:lineRule="auto" w:before="43"/>
        <w:ind w:right="92" w:firstLine="503"/>
        <w:jc w:val="left"/>
      </w:pPr>
      <w:r>
        <w:rPr>
          <w:rFonts w:ascii="Times New Roman" w:hAnsi="Times New Roman" w:cs="Times New Roman" w:eastAsia="Times New Roman" w:hint="default"/>
          <w:spacing w:val="-4"/>
        </w:rPr>
        <w:t>2013</w:t>
      </w:r>
      <w:r>
        <w:rPr>
          <w:spacing w:val="-4"/>
        </w:rPr>
        <w:t>年度：</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16</w:t>
      </w:r>
      <w:r>
        <w:rPr>
          <w:spacing w:val="-4"/>
        </w:rPr>
        <w:t>日，公司召开</w:t>
      </w:r>
      <w:r>
        <w:rPr>
          <w:rFonts w:ascii="Times New Roman" w:hAnsi="Times New Roman" w:cs="Times New Roman" w:eastAsia="Times New Roman" w:hint="default"/>
          <w:spacing w:val="-4"/>
        </w:rPr>
        <w:t>2013</w:t>
      </w:r>
      <w:r>
        <w:rPr>
          <w:spacing w:val="-4"/>
        </w:rPr>
        <w:t>年度股东大会审议通过了《</w:t>
      </w:r>
      <w:r>
        <w:rPr>
          <w:rFonts w:ascii="Times New Roman" w:hAnsi="Times New Roman" w:cs="Times New Roman" w:eastAsia="Times New Roman" w:hint="default"/>
          <w:spacing w:val="-4"/>
        </w:rPr>
        <w:t>2013</w:t>
      </w:r>
      <w:r>
        <w:rPr>
          <w:spacing w:val="-4"/>
        </w:rPr>
        <w:t>年度利润分配及资本公积金转增股本方案》，</w:t>
      </w:r>
      <w:r>
        <w:rPr/>
        <w:t> 公司</w:t>
      </w:r>
      <w:r>
        <w:rPr>
          <w:rFonts w:ascii="Times New Roman" w:hAnsi="Times New Roman" w:cs="Times New Roman" w:eastAsia="Times New Roman" w:hint="default"/>
        </w:rPr>
        <w:t>2013</w:t>
      </w:r>
      <w:r>
        <w:rPr/>
        <w:t>年度不进行现金利润分配，以资本公积金向全体股东每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日，公司实施</w:t>
      </w:r>
      <w:r>
        <w:rPr>
          <w:rFonts w:ascii="Times New Roman" w:hAnsi="Times New Roman" w:cs="Times New Roman" w:eastAsia="Times New Roman" w:hint="default"/>
        </w:rPr>
        <w:t>2013</w:t>
      </w:r>
      <w:r>
        <w:rPr/>
        <w:t>年度资本公</w:t>
      </w:r>
      <w:r>
        <w:rPr>
          <w:spacing w:val="-83"/>
        </w:rPr>
        <w:t> </w:t>
      </w:r>
      <w:r>
        <w:rPr/>
        <w:t>积金转增股本方案，转增后总股本增至</w:t>
      </w:r>
      <w:r>
        <w:rPr>
          <w:rFonts w:ascii="Times New Roman" w:hAnsi="Times New Roman" w:cs="Times New Roman" w:eastAsia="Times New Roman" w:hint="default"/>
        </w:rPr>
        <w:t>259,620,984</w:t>
      </w:r>
      <w:r>
        <w:rPr/>
        <w:t>股</w:t>
      </w:r>
    </w:p>
    <w:p>
      <w:pPr>
        <w:pStyle w:val="BodyText"/>
        <w:spacing w:line="451" w:lineRule="auto" w:before="43"/>
        <w:ind w:right="190" w:firstLine="357"/>
        <w:jc w:val="both"/>
      </w:pP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日，公司第二届董事会第三十三次会议审议通过了《</w:t>
      </w:r>
      <w:r>
        <w:rPr>
          <w:rFonts w:ascii="Times New Roman" w:hAnsi="Times New Roman" w:cs="Times New Roman" w:eastAsia="Times New Roman" w:hint="default"/>
        </w:rPr>
        <w:t>2014</w:t>
      </w:r>
      <w:r>
        <w:rPr/>
        <w:t>年度利润分配及资本公积金转增股本 </w:t>
      </w:r>
      <w:r>
        <w:rPr>
          <w:spacing w:val="-1"/>
        </w:rPr>
        <w:t>预案》，公司</w:t>
      </w:r>
      <w:r>
        <w:rPr>
          <w:rFonts w:ascii="Times New Roman" w:hAnsi="Times New Roman" w:cs="Times New Roman" w:eastAsia="Times New Roman" w:hint="default"/>
          <w:spacing w:val="-1"/>
        </w:rPr>
        <w:t>2014</w:t>
      </w:r>
      <w:r>
        <w:rPr>
          <w:spacing w:val="-1"/>
        </w:rPr>
        <w:t>年度拟以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日公司总股本为基数，向全体股东每</w:t>
      </w:r>
      <w:r>
        <w:rPr>
          <w:rFonts w:ascii="Times New Roman" w:hAnsi="Times New Roman" w:cs="Times New Roman" w:eastAsia="Times New Roman" w:hint="default"/>
          <w:spacing w:val="-1"/>
        </w:rPr>
        <w:t>10</w:t>
      </w:r>
      <w:r>
        <w:rPr>
          <w:spacing w:val="-1"/>
        </w:rPr>
        <w:t>股派现金股利</w:t>
      </w:r>
      <w:r>
        <w:rPr>
          <w:rFonts w:ascii="Times New Roman" w:hAnsi="Times New Roman" w:cs="Times New Roman" w:eastAsia="Times New Roman" w:hint="default"/>
          <w:spacing w:val="-1"/>
        </w:rPr>
        <w:t>1.00</w:t>
      </w:r>
      <w:r>
        <w:rPr>
          <w:spacing w:val="-1"/>
        </w:rPr>
        <w:t>元人民币（含税），同时</w:t>
      </w:r>
      <w:r>
        <w:rPr>
          <w:spacing w:val="-65"/>
        </w:rPr>
        <w:t> </w:t>
      </w:r>
      <w:r>
        <w:rPr>
          <w:spacing w:val="-65"/>
        </w:rPr>
      </w:r>
      <w:r>
        <w:rPr/>
        <w:t>进行资本公积金转增股本，向全体股东每</w:t>
      </w:r>
      <w:r>
        <w:rPr>
          <w:rFonts w:ascii="Times New Roman" w:hAnsi="Times New Roman" w:cs="Times New Roman" w:eastAsia="Times New Roman" w:hint="default"/>
        </w:rPr>
        <w:t>10</w:t>
      </w:r>
      <w:r>
        <w:rPr/>
        <w:t>转增</w:t>
      </w:r>
      <w:r>
        <w:rPr>
          <w:rFonts w:ascii="Times New Roman" w:hAnsi="Times New Roman" w:cs="Times New Roman" w:eastAsia="Times New Roman" w:hint="default"/>
        </w:rPr>
        <w:t>10</w:t>
      </w:r>
      <w:r>
        <w:rPr/>
        <w:t>股。</w:t>
      </w:r>
      <w:r>
        <w:rPr>
          <w:spacing w:val="-18"/>
        </w:rPr>
        <w:t> </w:t>
      </w:r>
      <w:r>
        <w:rPr/>
        <w:t>该预案尚需提交公司股东大会审议。</w:t>
      </w:r>
    </w:p>
    <w:p>
      <w:pPr>
        <w:spacing w:line="240" w:lineRule="auto" w:before="12"/>
        <w:rPr>
          <w:rFonts w:ascii="宋体" w:hAnsi="宋体" w:cs="宋体" w:eastAsia="宋体" w:hint="default"/>
          <w:sz w:val="20"/>
          <w:szCs w:val="20"/>
        </w:rPr>
      </w:pPr>
    </w:p>
    <w:p>
      <w:pPr>
        <w:pStyle w:val="BodyText"/>
        <w:spacing w:line="240" w:lineRule="auto" w:before="44"/>
        <w:ind w:right="92"/>
        <w:jc w:val="left"/>
      </w:pPr>
      <w:r>
        <w:rPr/>
        <w:t>公司近三年现金分红情况表</w:t>
      </w:r>
    </w:p>
    <w:p>
      <w:pPr>
        <w:pStyle w:val="BodyText"/>
        <w:spacing w:line="240" w:lineRule="auto" w:before="117"/>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8"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27,901,783.80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135,628,693.07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90,236,363.71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70,753,506.20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w:t>
            </w:r>
          </w:p>
        </w:tc>
      </w:tr>
    </w:tbl>
    <w:p>
      <w:pPr>
        <w:pStyle w:val="BodyText"/>
        <w:spacing w:line="240" w:lineRule="auto" w:before="51"/>
        <w:ind w:left="154" w:right="92"/>
        <w:jc w:val="left"/>
      </w:pPr>
      <w:r>
        <w:rPr/>
        <w:t>公司报告期内盈利且母公司未分配利润为正但未提出现金红利分配预案</w:t>
      </w:r>
    </w:p>
    <w:p>
      <w:pPr>
        <w:pStyle w:val="BodyText"/>
        <w:spacing w:line="240" w:lineRule="auto" w:before="116"/>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1" w:firstLine="357"/>
        <w:jc w:val="both"/>
      </w:pPr>
      <w:r>
        <w:rPr>
          <w:spacing w:val="-2"/>
        </w:rPr>
        <w:t>报告期内，按照中国证监会和深圳证券交易所要求，公司制定并严格执行内幕信息知情人管理制度，在公司发布重大事</w:t>
      </w:r>
      <w:r>
        <w:rPr/>
        <w:t> </w:t>
      </w:r>
      <w:r>
        <w:rPr>
          <w:spacing w:val="-2"/>
        </w:rPr>
        <w:t>项公告、业绩预告和定期报告等情况下均对未披露信息知情者做登记备案。经核查，本报告期内，公司未发生利用内幕信息</w:t>
      </w:r>
      <w:r>
        <w:rPr>
          <w:spacing w:val="-66"/>
        </w:rPr>
        <w:t> </w:t>
      </w:r>
      <w:r>
        <w:rPr>
          <w:spacing w:val="-66"/>
        </w:rPr>
      </w:r>
      <w:r>
        <w:rPr/>
        <w:t>进行违规股票交易的行为。</w:t>
      </w:r>
    </w:p>
    <w:p>
      <w:pPr>
        <w:spacing w:after="0" w:line="477" w:lineRule="auto"/>
        <w:jc w:val="both"/>
        <w:sectPr>
          <w:pgSz w:w="11910" w:h="16840"/>
          <w:pgMar w:header="747" w:footer="979" w:top="1060" w:bottom="1160" w:left="980" w:right="940"/>
        </w:sectPr>
      </w:pPr>
    </w:p>
    <w:p>
      <w:pPr>
        <w:spacing w:line="240" w:lineRule="auto" w:before="9"/>
        <w:rPr>
          <w:rFonts w:ascii="宋体" w:hAnsi="宋体" w:cs="宋体" w:eastAsia="宋体" w:hint="default"/>
          <w:sz w:val="23"/>
          <w:szCs w:val="23"/>
        </w:rPr>
      </w:pPr>
      <w:r>
        <w:rPr/>
        <w:pict>
          <v:shape style="position:absolute;margin-left:397.959991pt;margin-top:576.279968pt;width:137pt;height:39pt;mso-position-horizontal-relative:page;mso-position-vertical-relative:page;z-index:-955312" type="#_x0000_t202" filled="false" stroked="false">
            <v:textbox inset="0,0,0,0">
              <w:txbxContent>
                <w:p>
                  <w:pPr>
                    <w:pStyle w:val="BodyText"/>
                    <w:spacing w:line="240" w:lineRule="auto" w:before="127"/>
                    <w:ind w:left="0" w:right="0"/>
                    <w:jc w:val="left"/>
                  </w:pPr>
                  <w:r>
                    <w:rPr/>
                    <w:t>间投资、</w:t>
                  </w:r>
                </w:p>
              </w:txbxContent>
            </v:textbox>
            <w10:wrap type="none"/>
          </v:shape>
        </w:pict>
      </w:r>
      <w:r>
        <w:rPr/>
        <w:pict>
          <v:group style="position:absolute;margin-left:432.23999pt;margin-top:370.279968pt;width:101.6pt;height:15.6pt;mso-position-horizontal-relative:page;mso-position-vertical-relative:page;z-index:-955264" coordorigin="8645,7406" coordsize="2032,312">
            <v:shape style="position:absolute;left:8645;top:7406;width:2032;height:312" coordorigin="8645,7406" coordsize="2032,312" path="m8645,7718l10676,7718,10676,7406,8645,7406,8645,7718xe" filled="true" fillcolor="#ffffff" stroked="false">
              <v:path arrowok="t"/>
              <v:fill type="solid"/>
            </v:shape>
            <w10:wrap type="none"/>
          </v:group>
        </w:pict>
      </w:r>
      <w:r>
        <w:rPr/>
        <w:pict>
          <v:group style="position:absolute;margin-left:431.100006pt;margin-top:576.279968pt;width:103.9pt;height:39pt;mso-position-horizontal-relative:page;mso-position-vertical-relative:page;z-index:-955240" coordorigin="8622,11526" coordsize="2078,780">
            <v:shape style="position:absolute;left:8622;top:11526;width:2078;height:780" coordorigin="8622,11526" coordsize="2078,780" path="m8622,12306l10699,12306,10699,11526,8622,11526,8622,12306xe" filled="true" fillcolor="#ffffff" stroked="false">
              <v:path arrowok="t"/>
              <v:fill type="solid"/>
            </v:shape>
            <w10:wrap type="none"/>
          </v:group>
        </w:pict>
      </w:r>
      <w:r>
        <w:rPr/>
        <w:pict>
          <v:group style="position:absolute;margin-left:432.23999pt;margin-top:525.519958pt;width:101.6pt;height:33.2pt;mso-position-horizontal-relative:page;mso-position-vertical-relative:page;z-index:-955216" coordorigin="8645,10510" coordsize="2032,664">
            <v:group style="position:absolute;left:8645;top:10510;width:2032;height:352" coordorigin="8645,10510" coordsize="2032,352">
              <v:shape style="position:absolute;left:8645;top:10510;width:2032;height:352" coordorigin="8645,10510" coordsize="2032,352" path="m8645,10862l10676,10862,10676,10510,8645,10510,8645,10862xe" filled="true" fillcolor="#ffffff" stroked="false">
                <v:path arrowok="t"/>
                <v:fill type="solid"/>
              </v:shape>
            </v:group>
            <v:group style="position:absolute;left:8645;top:10862;width:2032;height:312" coordorigin="8645,10862" coordsize="2032,312">
              <v:shape style="position:absolute;left:8645;top:10862;width:2032;height:312" coordorigin="8645,10862" coordsize="2032,312" path="m8645,11174l10676,11174,10676,10862,8645,10862,8645,11174xe" filled="true" fillcolor="#ffffff" stroked="false">
                <v:path arrowok="t"/>
                <v:fill type="solid"/>
              </v:shape>
            </v:group>
            <w10:wrap type="none"/>
          </v:group>
        </w:pict>
      </w:r>
    </w:p>
    <w:p>
      <w:pPr>
        <w:pStyle w:val="Heading2"/>
        <w:spacing w:line="240" w:lineRule="auto" w:before="26"/>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group style="position:absolute;margin-left:432.23999pt;margin-top:102.031693pt;width:101.6pt;height:17.6pt;mso-position-horizontal-relative:page;mso-position-vertical-relative:paragraph;z-index:-955288" coordorigin="8645,2041" coordsize="2032,352">
            <v:shape style="position:absolute;left:8645;top:2041;width:2032;height:352" coordorigin="8645,2041" coordsize="2032,352" path="m8645,2392l10676,2392,10676,2041,8645,2041,8645,2392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22" w:right="23"/>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楼公司会议 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44"/>
              <w:jc w:val="both"/>
              <w:rPr>
                <w:rFonts w:ascii="宋体" w:hAnsi="宋体" w:cs="宋体" w:eastAsia="宋体" w:hint="default"/>
                <w:sz w:val="18"/>
                <w:szCs w:val="18"/>
              </w:rPr>
            </w:pPr>
            <w:r>
              <w:rPr>
                <w:rFonts w:ascii="宋体" w:hAnsi="宋体" w:cs="宋体" w:eastAsia="宋体" w:hint="default"/>
                <w:sz w:val="18"/>
                <w:szCs w:val="18"/>
              </w:rPr>
              <w:t>国海证券、光大永 明资管、东方证券 资产管理、东方基 </w:t>
            </w:r>
            <w:r>
              <w:rPr>
                <w:rFonts w:ascii="宋体" w:hAnsi="宋体" w:cs="宋体" w:eastAsia="宋体" w:hint="default"/>
                <w:spacing w:val="-14"/>
                <w:sz w:val="18"/>
                <w:szCs w:val="18"/>
              </w:rPr>
              <w:t>金、国金通用基金、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中金公司等</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 w:right="72"/>
              <w:jc w:val="both"/>
              <w:rPr>
                <w:rFonts w:ascii="宋体" w:hAnsi="宋体" w:cs="宋体" w:eastAsia="宋体" w:hint="default"/>
                <w:sz w:val="18"/>
                <w:szCs w:val="18"/>
              </w:rPr>
            </w:pPr>
            <w:r>
              <w:rPr>
                <w:rFonts w:ascii="宋体" w:hAnsi="宋体" w:cs="宋体" w:eastAsia="宋体" w:hint="default"/>
                <w:sz w:val="18"/>
                <w:szCs w:val="18"/>
              </w:rPr>
              <w:t>公司业务发展情况、市场 开拓情况，未来发展计划 等</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楼公司会议 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中国基金、汇</w:t>
            </w:r>
            <w:r>
              <w:rPr>
                <w:rFonts w:ascii="宋体" w:hAnsi="宋体" w:cs="宋体" w:eastAsia="宋体" w:hint="default"/>
                <w:sz w:val="18"/>
                <w:szCs w:val="18"/>
              </w:rPr>
              <w:t> 丰晋信、浙商证券 资产管理、南方基 金、国海证券、长 江证券、天弘基金 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公司主要产品、业务发展 情况、市场开拓情况，未 来发展计划等</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22" w:right="23"/>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楼公司会议 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44"/>
              <w:jc w:val="both"/>
              <w:rPr>
                <w:rFonts w:ascii="宋体" w:hAnsi="宋体" w:cs="宋体" w:eastAsia="宋体" w:hint="default"/>
                <w:sz w:val="18"/>
                <w:szCs w:val="18"/>
              </w:rPr>
            </w:pPr>
            <w:r>
              <w:rPr>
                <w:rFonts w:ascii="宋体" w:hAnsi="宋体" w:cs="宋体" w:eastAsia="宋体" w:hint="default"/>
                <w:sz w:val="18"/>
                <w:szCs w:val="18"/>
              </w:rPr>
              <w:t>如壹投资、财通基 金、融通基金、招 </w:t>
            </w:r>
            <w:r>
              <w:rPr>
                <w:rFonts w:ascii="宋体" w:hAnsi="宋体" w:cs="宋体" w:eastAsia="宋体" w:hint="default"/>
                <w:spacing w:val="-14"/>
                <w:sz w:val="18"/>
                <w:szCs w:val="18"/>
              </w:rPr>
              <w:t>商基金、天弘基金、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华夏基金、万家基</w:t>
            </w:r>
            <w:r>
              <w:rPr>
                <w:rFonts w:ascii="宋体" w:hAnsi="宋体" w:cs="宋体" w:eastAsia="宋体" w:hint="default"/>
                <w:sz w:val="18"/>
                <w:szCs w:val="18"/>
              </w:rPr>
              <w:t> 金、海通证券等</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 w:right="72"/>
              <w:jc w:val="both"/>
              <w:rPr>
                <w:rFonts w:ascii="宋体" w:hAnsi="宋体" w:cs="宋体" w:eastAsia="宋体" w:hint="default"/>
                <w:sz w:val="18"/>
                <w:szCs w:val="18"/>
              </w:rPr>
            </w:pPr>
            <w:r>
              <w:rPr>
                <w:rFonts w:ascii="宋体" w:hAnsi="宋体" w:cs="宋体" w:eastAsia="宋体" w:hint="default"/>
                <w:sz w:val="18"/>
                <w:szCs w:val="18"/>
              </w:rPr>
              <w:t>公司主要产品、业务发展 情况、市场开拓情况，未 来发展计划等</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2" w:right="23"/>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楼公司会议 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20"/>
              <w:jc w:val="both"/>
              <w:rPr>
                <w:rFonts w:ascii="宋体" w:hAnsi="宋体" w:cs="宋体" w:eastAsia="宋体" w:hint="default"/>
                <w:sz w:val="18"/>
                <w:szCs w:val="18"/>
              </w:rPr>
            </w:pPr>
            <w:r>
              <w:rPr>
                <w:rFonts w:ascii="宋体" w:hAnsi="宋体" w:cs="宋体" w:eastAsia="宋体" w:hint="default"/>
                <w:sz w:val="18"/>
                <w:szCs w:val="18"/>
              </w:rPr>
              <w:t>中信建投、中金公 司、国都证券、平 </w:t>
            </w:r>
            <w:r>
              <w:rPr>
                <w:rFonts w:ascii="宋体" w:hAnsi="宋体" w:cs="宋体" w:eastAsia="宋体" w:hint="default"/>
                <w:spacing w:val="-10"/>
                <w:sz w:val="18"/>
                <w:szCs w:val="18"/>
              </w:rPr>
              <w:t>安证券、</w:t>
            </w:r>
            <w:r>
              <w:rPr>
                <w:rFonts w:ascii="Times New Roman" w:hAnsi="Times New Roman" w:cs="Times New Roman" w:eastAsia="Times New Roman" w:hint="default"/>
                <w:spacing w:val="-10"/>
                <w:sz w:val="18"/>
                <w:szCs w:val="18"/>
              </w:rPr>
              <w:t>SMC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中国 基金等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公司主要产品、业务发展 情况、市场开拓情况，未 来发展计划等</w:t>
            </w:r>
          </w:p>
        </w:tc>
      </w:tr>
      <w:tr>
        <w:trPr>
          <w:trHeight w:val="25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2" w:right="23"/>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楼公司会议 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华商基金、银河证 券、长城证券、中 投证券、天平资产 </w:t>
            </w:r>
            <w:r>
              <w:rPr>
                <w:rFonts w:ascii="宋体" w:hAnsi="宋体" w:cs="宋体" w:eastAsia="宋体" w:hint="default"/>
                <w:spacing w:val="-12"/>
                <w:sz w:val="18"/>
                <w:szCs w:val="18"/>
              </w:rPr>
              <w:t>管理、汇添富基金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安信证券、东方证 券、国海证券、长 </w:t>
            </w:r>
            <w:r>
              <w:rPr>
                <w:rFonts w:ascii="宋体" w:hAnsi="宋体" w:cs="宋体" w:eastAsia="宋体" w:hint="default"/>
                <w:spacing w:val="-18"/>
                <w:sz w:val="18"/>
                <w:szCs w:val="18"/>
              </w:rPr>
              <w:t>信基金、时</w:t>
            </w:r>
            <w:r>
              <w:rPr>
                <w:rFonts w:ascii="宋体" w:hAnsi="宋体" w:cs="宋体" w:eastAsia="宋体" w:hint="default"/>
                <w:sz w:val="18"/>
                <w:szCs w:val="18"/>
              </w:rPr>
              <w:t> 渤海证券等</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26"/>
              <w:ind w:left="11" w:right="0"/>
              <w:jc w:val="left"/>
              <w:rPr>
                <w:rFonts w:ascii="宋体" w:hAnsi="宋体" w:cs="宋体" w:eastAsia="宋体" w:hint="default"/>
                <w:sz w:val="18"/>
                <w:szCs w:val="18"/>
              </w:rPr>
            </w:pPr>
            <w:r>
              <w:rPr>
                <w:rFonts w:ascii="宋体" w:hAnsi="宋体" w:cs="宋体" w:eastAsia="宋体" w:hint="default"/>
                <w:sz w:val="18"/>
                <w:szCs w:val="18"/>
              </w:rPr>
              <w:t>公司主要产品、业务发展</w:t>
            </w:r>
          </w:p>
          <w:p>
            <w:pPr>
              <w:pStyle w:val="TableParagraph"/>
              <w:spacing w:line="15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情况、市场开拓情况，未</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来发展计划等</w:t>
            </w:r>
          </w:p>
        </w:tc>
      </w:tr>
      <w:tr>
        <w:trPr>
          <w:trHeight w:val="196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北京市朝阳区望京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楼公司会议 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中信建投、国海证 券、方正证券、太 平洋证券、国海证 券、国都证券、信 </w:t>
            </w:r>
            <w:r>
              <w:rPr>
                <w:rFonts w:ascii="宋体" w:hAnsi="宋体" w:cs="宋体" w:eastAsia="宋体" w:hint="default"/>
                <w:spacing w:val="-20"/>
                <w:sz w:val="18"/>
                <w:szCs w:val="18"/>
              </w:rPr>
              <w:t>达证券、莫尼塔（上</w:t>
            </w:r>
            <w:r>
              <w:rPr>
                <w:rFonts w:ascii="宋体" w:hAnsi="宋体" w:cs="宋体" w:eastAsia="宋体" w:hint="default"/>
                <w:sz w:val="18"/>
                <w:szCs w:val="18"/>
              </w:rPr>
              <w:t> 海）等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公司主要产品、业务发展 情况、市场开拓情况，未 来发展计划等</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group style="position:absolute;margin-left:275.320007pt;margin-top:681.039978pt;width:40.7pt;height:17.6pt;mso-position-horizontal-relative:page;mso-position-vertical-relative:page;z-index:-955192" coordorigin="5506,13621" coordsize="814,352">
            <v:shape style="position:absolute;left:5506;top:13621;width:814;height:352" coordorigin="5506,13621" coordsize="814,352" path="m5506,13972l6320,13972,6320,13621,5506,13621,5506,13972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0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邢洪海、 程树森、 贾振丽、 霍守锋、 李永杰、 赵宏博、 田佳星、 王可、梁 洪、武文 袈、刘岩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4" w:lineRule="auto"/>
              <w:ind w:left="22" w:right="55"/>
              <w:jc w:val="left"/>
              <w:rPr>
                <w:rFonts w:ascii="宋体" w:hAnsi="宋体" w:cs="宋体" w:eastAsia="宋体" w:hint="default"/>
                <w:sz w:val="18"/>
                <w:szCs w:val="18"/>
              </w:rPr>
            </w:pPr>
            <w:r>
              <w:rPr>
                <w:rFonts w:ascii="宋体" w:hAnsi="宋体" w:cs="宋体" w:eastAsia="宋体" w:hint="default"/>
                <w:sz w:val="18"/>
                <w:szCs w:val="18"/>
              </w:rPr>
              <w:t>北京北科 亿力科技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和北京科 瑞明软件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21,000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所涉及的 资产产权 已全部过 </w:t>
            </w:r>
            <w:r>
              <w:rPr>
                <w:rFonts w:ascii="宋体" w:hAnsi="宋体" w:cs="宋体" w:eastAsia="宋体" w:hint="default"/>
                <w:spacing w:val="-18"/>
                <w:sz w:val="18"/>
                <w:szCs w:val="18"/>
              </w:rPr>
              <w:t>户，并完成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交易相关 的股份发 行和上市</w:t>
            </w:r>
          </w:p>
        </w:tc>
        <w:tc>
          <w:tcPr>
            <w:tcW w:w="87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本次资产 收购完成 后将进一 步提高公 司盈利能 </w:t>
            </w:r>
            <w:r>
              <w:rPr>
                <w:rFonts w:ascii="宋体" w:hAnsi="宋体" w:cs="宋体" w:eastAsia="宋体" w:hint="default"/>
                <w:spacing w:val="-18"/>
                <w:sz w:val="18"/>
                <w:szCs w:val="18"/>
              </w:rPr>
              <w:t>力，母子公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司之间形 成良好的 </w:t>
            </w:r>
            <w:r>
              <w:rPr>
                <w:rFonts w:ascii="宋体" w:hAnsi="宋体" w:cs="宋体" w:eastAsia="宋体" w:hint="default"/>
                <w:spacing w:val="-6"/>
                <w:sz w:val="18"/>
                <w:szCs w:val="18"/>
              </w:rPr>
              <w:t>协同效益，</w:t>
            </w:r>
            <w:r>
              <w:rPr>
                <w:rFonts w:ascii="宋体" w:hAnsi="宋体" w:cs="宋体" w:eastAsia="宋体" w:hint="default"/>
                <w:spacing w:val="-30"/>
                <w:sz w:val="18"/>
                <w:szCs w:val="18"/>
              </w:rPr>
              <w:t> </w:t>
            </w:r>
            <w:r>
              <w:rPr>
                <w:rFonts w:ascii="宋体" w:hAnsi="宋体" w:cs="宋体" w:eastAsia="宋体" w:hint="default"/>
                <w:sz w:val="18"/>
                <w:szCs w:val="18"/>
              </w:rPr>
              <w:t>有利于公</w:t>
            </w:r>
            <w:r>
              <w:rPr>
                <w:rFonts w:ascii="宋体" w:hAnsi="宋体" w:cs="宋体" w:eastAsia="宋体" w:hint="default"/>
                <w:sz w:val="18"/>
                <w:szCs w:val="18"/>
              </w:rPr>
              <w:t> 司业务连 续性和持 续经营能</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1" w:right="23" w:firstLine="90"/>
              <w:jc w:val="left"/>
              <w:rPr>
                <w:rFonts w:ascii="宋体" w:hAnsi="宋体" w:cs="宋体" w:eastAsia="宋体" w:hint="default"/>
                <w:sz w:val="18"/>
                <w:szCs w:val="18"/>
              </w:rPr>
            </w:pPr>
            <w:r>
              <w:rPr>
                <w:rFonts w:ascii="宋体" w:hAnsi="宋体" w:cs="宋体" w:eastAsia="宋体" w:hint="default"/>
                <w:sz w:val="18"/>
                <w:szCs w:val="18"/>
              </w:rPr>
              <w:t>本报告期 贡献的净 利润为</w:t>
            </w:r>
          </w:p>
          <w:p>
            <w:pPr>
              <w:pStyle w:val="TableParagraph"/>
              <w:spacing w:line="240" w:lineRule="auto" w:before="58"/>
              <w:ind w:left="11" w:right="0"/>
              <w:jc w:val="left"/>
              <w:rPr>
                <w:rFonts w:ascii="Times New Roman" w:hAnsi="Times New Roman" w:cs="Times New Roman" w:eastAsia="Times New Roman" w:hint="default"/>
                <w:sz w:val="18"/>
                <w:szCs w:val="18"/>
              </w:rPr>
            </w:pPr>
            <w:r>
              <w:rPr>
                <w:rFonts w:ascii="Times New Roman"/>
                <w:sz w:val="18"/>
              </w:rPr>
              <w:t>28,956,235</w:t>
            </w:r>
          </w:p>
          <w:p>
            <w:pPr>
              <w:pStyle w:val="TableParagraph"/>
              <w:spacing w:line="240" w:lineRule="auto" w:before="6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21.35%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《关于现 金及发行 股份购买 资产之标 的资产过 户完成的 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2014-003</w:t>
            </w:r>
            <w:r>
              <w:rPr>
                <w:rFonts w:ascii="宋体" w:hAnsi="宋体" w:cs="宋体" w:eastAsia="宋体" w:hint="default"/>
                <w:sz w:val="18"/>
                <w:szCs w:val="18"/>
              </w:rPr>
              <w:t>》</w:t>
            </w:r>
          </w:p>
          <w:p>
            <w:pPr>
              <w:pStyle w:val="TableParagraph"/>
              <w:spacing w:line="352" w:lineRule="auto" w:before="63"/>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com.cn/fin alpage/201</w:t>
            </w:r>
          </w:p>
        </w:tc>
      </w:tr>
    </w:tbl>
    <w:p>
      <w:pPr>
        <w:spacing w:after="0" w:line="352"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298"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8"/>
                <w:sz w:val="18"/>
                <w:szCs w:val="18"/>
              </w:rPr>
              <w:t>力，不影响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公司管理 层的稳定 性。</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4-01-13/63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480281.P</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DF</w:t>
            </w:r>
            <w:r>
              <w:rPr>
                <w:rFonts w:ascii="宋体" w:hAnsi="宋体" w:cs="宋体" w:eastAsia="宋体" w:hint="default"/>
                <w:sz w:val="18"/>
                <w:szCs w:val="18"/>
              </w:rPr>
              <w:t>）</w:t>
            </w:r>
          </w:p>
        </w:tc>
      </w:tr>
      <w:tr>
        <w:trPr>
          <w:trHeight w:val="570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陈益玲、 章祺、何 本强、上 海屹隆信 息科技有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上海屹通 信息科技 发展有限 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41" w:right="0"/>
              <w:jc w:val="left"/>
              <w:rPr>
                <w:rFonts w:ascii="Times New Roman" w:hAnsi="Times New Roman" w:cs="Times New Roman" w:eastAsia="Times New Roman" w:hint="default"/>
                <w:sz w:val="18"/>
                <w:szCs w:val="18"/>
              </w:rPr>
            </w:pPr>
            <w:r>
              <w:rPr>
                <w:rFonts w:ascii="Times New Roman"/>
                <w:sz w:val="18"/>
              </w:rPr>
              <w:t>45,080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所涉及的 资产产权 已全部过 </w:t>
            </w:r>
            <w:r>
              <w:rPr>
                <w:rFonts w:ascii="宋体" w:hAnsi="宋体" w:cs="宋体" w:eastAsia="宋体" w:hint="default"/>
                <w:spacing w:val="-18"/>
                <w:sz w:val="18"/>
                <w:szCs w:val="18"/>
              </w:rPr>
              <w:t>户，并完成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了购买资 产相关股 份的发行 及上市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本次收购 屹通信息 是公司拓 展金融行 业的重要 </w:t>
            </w:r>
            <w:r>
              <w:rPr>
                <w:rFonts w:ascii="宋体" w:hAnsi="宋体" w:cs="宋体" w:eastAsia="宋体" w:hint="default"/>
                <w:spacing w:val="-18"/>
                <w:sz w:val="18"/>
                <w:szCs w:val="18"/>
              </w:rPr>
              <w:t>举措，有利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于增强公 司在金融 行业应用 和解决方 案方面的 </w:t>
            </w:r>
            <w:r>
              <w:rPr>
                <w:rFonts w:ascii="宋体" w:hAnsi="宋体" w:cs="宋体" w:eastAsia="宋体" w:hint="default"/>
                <w:spacing w:val="-18"/>
                <w:sz w:val="18"/>
                <w:szCs w:val="18"/>
              </w:rPr>
              <w:t>能力，将有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助于提高 公司资产 质量和盈 利能力。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114"/>
              <w:jc w:val="both"/>
              <w:rPr>
                <w:rFonts w:ascii="宋体" w:hAnsi="宋体" w:cs="宋体" w:eastAsia="宋体" w:hint="default"/>
                <w:sz w:val="18"/>
                <w:szCs w:val="18"/>
              </w:rPr>
            </w:pPr>
            <w:r>
              <w:rPr>
                <w:rFonts w:ascii="宋体" w:hAnsi="宋体" w:cs="宋体" w:eastAsia="宋体" w:hint="default"/>
                <w:sz w:val="18"/>
                <w:szCs w:val="18"/>
              </w:rPr>
              <w:t>本报告期 未合并其 利润表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7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《关于发 行股份及 支付现金 购买资产 并募集配 套资金之 标的资产 过户完成 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告编号 </w:t>
            </w:r>
            <w:r>
              <w:rPr>
                <w:rFonts w:ascii="Times New Roman" w:hAnsi="Times New Roman" w:cs="Times New Roman" w:eastAsia="Times New Roman" w:hint="default"/>
                <w:sz w:val="18"/>
                <w:szCs w:val="18"/>
              </w:rPr>
              <w:t>2014-080</w:t>
            </w:r>
            <w:r>
              <w:rPr>
                <w:rFonts w:ascii="宋体" w:hAnsi="宋体" w:cs="宋体" w:eastAsia="宋体" w:hint="default"/>
                <w:sz w:val="18"/>
                <w:szCs w:val="18"/>
              </w:rPr>
              <w:t>》</w:t>
            </w:r>
          </w:p>
          <w:p>
            <w:pPr>
              <w:pStyle w:val="TableParagraph"/>
              <w:spacing w:line="240" w:lineRule="auto" w:before="39"/>
              <w:ind w:left="22" w:right="0"/>
              <w:jc w:val="left"/>
              <w:rPr>
                <w:rFonts w:ascii="Times New Roman" w:hAnsi="Times New Roman" w:cs="Times New Roman" w:eastAsia="Times New Roman" w:hint="default"/>
                <w:sz w:val="18"/>
                <w:szCs w:val="18"/>
              </w:rPr>
            </w:pPr>
            <w:hyperlink r:id="rId14">
              <w:r>
                <w:rPr>
                  <w:rFonts w:ascii="Times New Roman"/>
                  <w:sz w:val="18"/>
                </w:rPr>
                <w:t>http://www</w:t>
              </w:r>
            </w:hyperlink>
          </w:p>
          <w:p>
            <w:pPr>
              <w:pStyle w:val="TableParagraph"/>
              <w:spacing w:line="362" w:lineRule="auto" w:before="105"/>
              <w:ind w:left="22" w:right="24"/>
              <w:jc w:val="left"/>
              <w:rPr>
                <w:rFonts w:ascii="Times New Roman" w:hAnsi="Times New Roman" w:cs="Times New Roman" w:eastAsia="Times New Roman" w:hint="default"/>
                <w:sz w:val="18"/>
                <w:szCs w:val="18"/>
              </w:rPr>
            </w:pPr>
            <w:r>
              <w:rPr>
                <w:rFonts w:ascii="Times New Roman"/>
                <w:sz w:val="18"/>
              </w:rPr>
              <w:t>.cninfo.co m.cn/final page/2014- 12-12/120</w:t>
            </w:r>
          </w:p>
          <w:p>
            <w:pPr>
              <w:pStyle w:val="TableParagraph"/>
              <w:spacing w:line="362" w:lineRule="auto" w:before="3"/>
              <w:ind w:left="22" w:right="60"/>
              <w:jc w:val="left"/>
              <w:rPr>
                <w:rFonts w:ascii="Times New Roman" w:hAnsi="Times New Roman" w:cs="Times New Roman" w:eastAsia="Times New Roman" w:hint="default"/>
                <w:sz w:val="18"/>
                <w:szCs w:val="18"/>
              </w:rPr>
            </w:pPr>
            <w:r>
              <w:rPr>
                <w:rFonts w:ascii="Times New Roman"/>
                <w:sz w:val="18"/>
              </w:rPr>
              <w:t>0461482.P</w:t>
            </w:r>
            <w:r>
              <w:rPr>
                <w:rFonts w:ascii="Times New Roman"/>
                <w:w w:val="99"/>
                <w:sz w:val="18"/>
              </w:rPr>
              <w:t> </w:t>
            </w:r>
            <w:r>
              <w:rPr>
                <w:rFonts w:ascii="Times New Roman"/>
                <w:sz w:val="18"/>
              </w:rPr>
              <w:t>DF</w:t>
            </w:r>
          </w:p>
        </w:tc>
      </w:tr>
    </w:tbl>
    <w:p>
      <w:pPr>
        <w:pStyle w:val="BodyText"/>
        <w:spacing w:line="240" w:lineRule="auto" w:before="51"/>
        <w:ind w:left="154" w:right="0"/>
        <w:jc w:val="left"/>
      </w:pPr>
      <w:r>
        <w:rPr/>
        <w:t>收购资产情况说明</w:t>
      </w:r>
    </w:p>
    <w:p>
      <w:pPr>
        <w:spacing w:line="240" w:lineRule="auto" w:before="13"/>
        <w:rPr>
          <w:rFonts w:ascii="宋体" w:hAnsi="宋体" w:cs="宋体" w:eastAsia="宋体" w:hint="default"/>
          <w:sz w:val="20"/>
          <w:szCs w:val="20"/>
        </w:rPr>
      </w:pPr>
    </w:p>
    <w:p>
      <w:pPr>
        <w:pStyle w:val="BodyText"/>
        <w:spacing w:line="451" w:lineRule="auto"/>
        <w:ind w:left="154" w:right="14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日，公司召开第二届董事会第二十八次会议，审议通过了本次发行股份及支付现金购买资产并募集配套 资金预案等相关议案；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日，公司召开第二届董事会第二十九次会议，审议通过了本次发行股份及支付现金购买</w:t>
      </w:r>
      <w:r>
        <w:rPr>
          <w:spacing w:val="-82"/>
        </w:rPr>
        <w:t> </w:t>
      </w:r>
      <w:r>
        <w:rPr>
          <w:spacing w:val="-82"/>
        </w:rPr>
      </w:r>
      <w:r>
        <w:rPr>
          <w:spacing w:val="-2"/>
        </w:rPr>
        <w:t>资产并募集配套资金等相关议案；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日，公司召开</w:t>
      </w:r>
      <w:r>
        <w:rPr>
          <w:rFonts w:ascii="Times New Roman" w:hAnsi="Times New Roman" w:cs="Times New Roman" w:eastAsia="Times New Roman" w:hint="default"/>
          <w:spacing w:val="-2"/>
        </w:rPr>
        <w:t>2014</w:t>
      </w:r>
      <w:r>
        <w:rPr>
          <w:spacing w:val="-2"/>
        </w:rPr>
        <w:t>年第一次临时股东大会，审议通过了本次发行股份及支付现</w:t>
      </w:r>
      <w:r>
        <w:rPr>
          <w:spacing w:val="-56"/>
        </w:rPr>
        <w:t> </w:t>
      </w:r>
      <w:r>
        <w:rPr>
          <w:spacing w:val="-56"/>
        </w:rPr>
      </w:r>
      <w:r>
        <w:rPr/>
        <w:t>金购买资产并募集配套资金等相关议案；</w:t>
      </w:r>
    </w:p>
    <w:p>
      <w:pPr>
        <w:spacing w:line="240" w:lineRule="auto" w:before="12"/>
        <w:rPr>
          <w:rFonts w:ascii="宋体" w:hAnsi="宋体" w:cs="宋体" w:eastAsia="宋体" w:hint="default"/>
          <w:sz w:val="14"/>
          <w:szCs w:val="14"/>
        </w:rPr>
      </w:pPr>
    </w:p>
    <w:p>
      <w:pPr>
        <w:pStyle w:val="BodyText"/>
        <w:spacing w:line="448" w:lineRule="auto"/>
        <w:ind w:left="154" w:right="152"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日，中国证监会出具《关于核准北京东方国信科技股份有限公司向陈益玲等发行股份购买资产并募集配</w:t>
      </w:r>
      <w:r>
        <w:rPr/>
        <w:t> 套资金的批复》（证监许可</w:t>
      </w:r>
      <w:r>
        <w:rPr>
          <w:rFonts w:ascii="Times New Roman" w:hAnsi="Times New Roman" w:cs="Times New Roman" w:eastAsia="Times New Roman" w:hint="default"/>
        </w:rPr>
        <w:t>[2014]1305</w:t>
      </w:r>
      <w:r>
        <w:rPr/>
        <w:t>号文件），核准本次交易。</w:t>
      </w:r>
    </w:p>
    <w:p>
      <w:pPr>
        <w:spacing w:line="240" w:lineRule="auto" w:before="10"/>
        <w:rPr>
          <w:rFonts w:ascii="宋体" w:hAnsi="宋体" w:cs="宋体" w:eastAsia="宋体" w:hint="default"/>
          <w:sz w:val="12"/>
          <w:szCs w:val="12"/>
        </w:rPr>
      </w:pPr>
    </w:p>
    <w:p>
      <w:pPr>
        <w:pStyle w:val="BodyText"/>
        <w:spacing w:line="451" w:lineRule="auto"/>
        <w:ind w:right="149"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日，上海市工商行政管理局核准了上海屹通信息科技发展有限公司的股东变更，上海屹通的股东由陈 益玲、章祺、何本强和上海屹隆信息科技有限公司变成东方国信，公司直接持有上海屹通</w:t>
      </w:r>
      <w:r>
        <w:rPr>
          <w:rFonts w:ascii="Times New Roman" w:hAnsi="Times New Roman" w:cs="Times New Roman" w:eastAsia="Times New Roman" w:hint="default"/>
        </w:rPr>
        <w:t>100%</w:t>
      </w:r>
      <w:r>
        <w:rPr/>
        <w:t>股权，上海屹通成为公司的</w:t>
      </w:r>
      <w:r>
        <w:rPr>
          <w:spacing w:val="-54"/>
        </w:rPr>
        <w:t> </w:t>
      </w:r>
      <w:r>
        <w:rPr>
          <w:spacing w:val="-54"/>
        </w:rPr>
      </w:r>
      <w:r>
        <w:rPr/>
        <w:t>全资子公司。</w:t>
      </w:r>
    </w:p>
    <w:p>
      <w:pPr>
        <w:spacing w:line="240" w:lineRule="auto" w:before="12"/>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日，东方国信收到中国证券登记结算有限责任公司深圳分公司出具的《股份登记申请受理确认书》及</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t>《证券持有人名册》，公司向陈益玲等交易对方合计发行</w:t>
      </w:r>
      <w:r>
        <w:rPr>
          <w:rFonts w:ascii="Times New Roman" w:hAnsi="Times New Roman" w:cs="Times New Roman" w:eastAsia="Times New Roman" w:hint="default"/>
        </w:rPr>
        <w:t>18,157,893</w:t>
      </w:r>
      <w:r>
        <w:rPr/>
        <w:t>股普通</w:t>
      </w:r>
      <w:r>
        <w:rPr>
          <w:rFonts w:ascii="Times New Roman" w:hAnsi="Times New Roman" w:cs="Times New Roman" w:eastAsia="Times New Roman" w:hint="default"/>
        </w:rPr>
        <w:t>A</w:t>
      </w:r>
      <w:r>
        <w:rPr/>
        <w:t>股股票，相关股份已于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日上市。</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3"/>
        <w:rPr>
          <w:rFonts w:ascii="宋体" w:hAnsi="宋体" w:cs="宋体" w:eastAsia="宋体" w:hint="default"/>
          <w:sz w:val="21"/>
          <w:szCs w:val="21"/>
        </w:rPr>
      </w:pPr>
    </w:p>
    <w:p>
      <w:pPr>
        <w:pStyle w:val="Heading3"/>
        <w:spacing w:line="240" w:lineRule="auto"/>
        <w:ind w:right="92"/>
        <w:jc w:val="left"/>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right="92"/>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9"/>
        </w:rPr>
        <w:t> </w:t>
      </w:r>
      <w:r>
        <w:rPr>
          <w:spacing w:val="-69"/>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9"/>
          <w:szCs w:val="19"/>
        </w:rPr>
      </w:pPr>
    </w:p>
    <w:p>
      <w:pPr>
        <w:pStyle w:val="BodyText"/>
        <w:spacing w:line="456" w:lineRule="auto"/>
        <w:ind w:right="19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日，中国证监会出具《关于核准北京东方国信科技股份有限公司向陈益玲等发行股份购买资产并募集配套 </w:t>
      </w:r>
      <w:r>
        <w:rPr>
          <w:spacing w:val="-1"/>
        </w:rPr>
        <w:t>资金的批复》（证监许可</w:t>
      </w:r>
      <w:r>
        <w:rPr>
          <w:rFonts w:ascii="Times New Roman" w:hAnsi="Times New Roman" w:cs="Times New Roman" w:eastAsia="Times New Roman" w:hint="default"/>
          <w:spacing w:val="-1"/>
        </w:rPr>
        <w:t>[2014]1305</w:t>
      </w:r>
      <w:r>
        <w:rPr>
          <w:spacing w:val="-1"/>
        </w:rPr>
        <w:t>号文件），核准本次交易。</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日，上海市工商行政管理局核准了上海屹通信</w:t>
      </w:r>
      <w:r>
        <w:rPr>
          <w:spacing w:val="-52"/>
        </w:rPr>
        <w:t> </w:t>
      </w:r>
      <w:r>
        <w:rPr>
          <w:spacing w:val="-52"/>
        </w:rPr>
      </w:r>
      <w:r>
        <w:rPr>
          <w:spacing w:val="-2"/>
        </w:rPr>
        <w:t>息科技发展有限公司的股东变更，上海屹通的股东由陈益玲、章祺、何本强和上海屹隆信息科技有限公司变成东方国信，公</w:t>
      </w:r>
      <w:r>
        <w:rPr>
          <w:spacing w:val="-66"/>
        </w:rPr>
        <w:t> </w:t>
      </w:r>
      <w:r>
        <w:rPr>
          <w:spacing w:val="-66"/>
        </w:rPr>
      </w:r>
      <w:r>
        <w:rPr/>
        <w:t>司直接持有上海屹通</w:t>
      </w:r>
      <w:r>
        <w:rPr>
          <w:rFonts w:ascii="Times New Roman" w:hAnsi="Times New Roman" w:cs="Times New Roman" w:eastAsia="Times New Roman" w:hint="default"/>
        </w:rPr>
        <w:t>100%</w:t>
      </w:r>
      <w:r>
        <w:rPr/>
        <w:t>股权，上海屹通成为公司的全资子公司。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日，东方国信收到中国证券登记结算有限</w:t>
      </w:r>
      <w:r>
        <w:rPr>
          <w:spacing w:val="-59"/>
        </w:rPr>
        <w:t> </w:t>
      </w:r>
      <w:r>
        <w:rPr>
          <w:spacing w:val="-59"/>
        </w:rPr>
      </w:r>
      <w:r>
        <w:rPr>
          <w:spacing w:val="-6"/>
        </w:rPr>
        <w:t>责任公司深圳分公司出具的《股份登记申请受理确认书》及《证券持有人名册》，公司向陈益玲等交易对方合计发行</w:t>
      </w:r>
      <w:r>
        <w:rPr>
          <w:rFonts w:ascii="Times New Roman" w:hAnsi="Times New Roman" w:cs="Times New Roman" w:eastAsia="Times New Roman" w:hint="default"/>
          <w:spacing w:val="-6"/>
        </w:rPr>
        <w:t>18,157,893</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股普通</w:t>
      </w:r>
      <w:r>
        <w:rPr>
          <w:rFonts w:ascii="Times New Roman" w:hAnsi="Times New Roman" w:cs="Times New Roman" w:eastAsia="Times New Roman" w:hint="default"/>
        </w:rPr>
        <w:t>A</w:t>
      </w:r>
      <w:r>
        <w:rPr/>
        <w:t>股股票，相关股份已于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日上市。</w:t>
      </w:r>
    </w:p>
    <w:p>
      <w:pPr>
        <w:pStyle w:val="BodyText"/>
        <w:spacing w:line="475" w:lineRule="auto" w:before="160"/>
        <w:ind w:right="193" w:firstLine="360"/>
        <w:jc w:val="both"/>
      </w:pPr>
      <w:r>
        <w:rPr>
          <w:spacing w:val="-2"/>
        </w:rPr>
        <w:t>按照企业会计准则相关规定，本报告期公司财务报表未合并屹通信息利润表，合并了其资产负债表，因此本次资产收购</w:t>
      </w:r>
      <w:r>
        <w:rPr/>
        <w:t> 事项增加了本报告期总资产、总负债。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2"/>
        <w:ind w:right="92"/>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Heading5"/>
        <w:spacing w:line="240" w:lineRule="auto"/>
        <w:ind w:left="515" w:right="92"/>
        <w:jc w:val="left"/>
        <w:rPr>
          <w:b w:val="0"/>
          <w:bCs w:val="0"/>
        </w:rPr>
      </w:pPr>
      <w:r>
        <w:rPr/>
        <w:t>（一）公司股权激励的基本情况</w:t>
      </w:r>
      <w:r>
        <w:rPr>
          <w:b w:val="0"/>
          <w:bCs w:val="0"/>
        </w:rPr>
      </w:r>
    </w:p>
    <w:p>
      <w:pPr>
        <w:spacing w:line="240" w:lineRule="auto" w:before="10"/>
        <w:rPr>
          <w:rFonts w:ascii="宋体" w:hAnsi="宋体" w:cs="宋体" w:eastAsia="宋体" w:hint="default"/>
          <w:b/>
          <w:bCs/>
          <w:sz w:val="17"/>
          <w:szCs w:val="17"/>
        </w:rPr>
      </w:pPr>
    </w:p>
    <w:p>
      <w:pPr>
        <w:pStyle w:val="BodyText"/>
        <w:spacing w:line="463" w:lineRule="auto"/>
        <w:ind w:left="154" w:right="190" w:firstLine="361"/>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日分别召开了第二届董事会第十四次会议和第二届监事会第十一次会议，审议通过了《北京东 </w:t>
      </w:r>
      <w:r>
        <w:rPr>
          <w:spacing w:val="-2"/>
        </w:rPr>
        <w:t>方国信科技股份有限公司股票期权与限制性股票激励计划（草案）》及其摘要，公司独立董事对此发表了独立意见。其后公</w:t>
      </w:r>
      <w:r>
        <w:rPr>
          <w:spacing w:val="-66"/>
        </w:rPr>
        <w:t> </w:t>
      </w:r>
      <w:r>
        <w:rPr>
          <w:spacing w:val="-66"/>
        </w:rPr>
      </w:r>
      <w:r>
        <w:rPr/>
        <w:t>司向中国证监会上报了申请备案材料。</w:t>
      </w:r>
    </w:p>
    <w:p>
      <w:pPr>
        <w:pStyle w:val="BodyText"/>
        <w:spacing w:line="451" w:lineRule="auto" w:before="65"/>
        <w:ind w:left="154" w:right="110" w:firstLine="361"/>
        <w:jc w:val="both"/>
      </w:pPr>
      <w:r>
        <w:rPr>
          <w:rFonts w:ascii="Times New Roman" w:hAnsi="Times New Roman" w:cs="Times New Roman" w:eastAsia="Times New Roman" w:hint="default"/>
        </w:rPr>
        <w:t>2</w:t>
      </w:r>
      <w:r>
        <w:rPr/>
        <w:t>、根据中国证监会的反馈意见，公司对《北京东方国信科技股份有限公司股票期权与限制性股票激励计划（草案）》 </w:t>
      </w:r>
      <w:r>
        <w:rPr>
          <w:spacing w:val="-2"/>
        </w:rPr>
        <w:t>进行了修订，并于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日召开第二届董事会第十六次会议和第二届监事会第十二次会议，审议通过了《北京东方国信</w:t>
      </w:r>
      <w:r>
        <w:rPr>
          <w:spacing w:val="-60"/>
        </w:rPr>
        <w:t> </w:t>
      </w:r>
      <w:r>
        <w:rPr>
          <w:spacing w:val="-60"/>
        </w:rPr>
      </w:r>
      <w:r>
        <w:rPr/>
        <w:t>科技股份有限公司股票期权与限制性股票激励计划（草案修订稿）》及其摘要，公司独立董事对激励计划发表了独立意见。</w:t>
      </w:r>
    </w:p>
    <w:p>
      <w:pPr>
        <w:pStyle w:val="BodyText"/>
        <w:spacing w:line="240" w:lineRule="auto" w:before="74"/>
        <w:ind w:left="515" w:right="0"/>
        <w:jc w:val="left"/>
      </w:pPr>
      <w:r>
        <w:rPr>
          <w:rFonts w:ascii="Times New Roman" w:hAnsi="Times New Roman" w:cs="Times New Roman" w:eastAsia="Times New Roman" w:hint="default"/>
        </w:rPr>
        <w:t>3</w:t>
      </w:r>
      <w:r>
        <w:rPr/>
        <w:t>、激励计划经中国证监会备案无异议后，公司于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日召开</w:t>
      </w:r>
      <w:r>
        <w:rPr>
          <w:rFonts w:ascii="Times New Roman" w:hAnsi="Times New Roman" w:cs="Times New Roman" w:eastAsia="Times New Roman" w:hint="default"/>
        </w:rPr>
        <w:t>2013</w:t>
      </w:r>
      <w:r>
        <w:rPr/>
        <w:t>年第一次临时股东大会审议通过了股权激励计</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51"/>
        <w:jc w:val="both"/>
      </w:pPr>
      <w:r>
        <w:rPr>
          <w:spacing w:val="-2"/>
        </w:rPr>
        <w:t>划以及《关于提请股东大会授权董事会办理公司股票期权与限制性股票激励计划相关事项的议案》等事项。董事会被授权确</w:t>
      </w:r>
      <w:r>
        <w:rPr>
          <w:spacing w:val="-66"/>
        </w:rPr>
        <w:t> </w:t>
      </w:r>
      <w:r>
        <w:rPr>
          <w:spacing w:val="-66"/>
        </w:rPr>
      </w:r>
      <w:r>
        <w:rPr>
          <w:spacing w:val="-2"/>
        </w:rPr>
        <w:t>定股票期权和限制性股票授予日、在激励对象符合条件时向激励对象授予股票期权与限制性股票并办理授予股票期权与限制</w:t>
      </w:r>
      <w:r>
        <w:rPr>
          <w:spacing w:val="-64"/>
        </w:rPr>
        <w:t> </w:t>
      </w:r>
      <w:r>
        <w:rPr>
          <w:spacing w:val="-64"/>
        </w:rPr>
      </w:r>
      <w:r>
        <w:rPr/>
        <w:t>性股票所必须的全部事宜。</w:t>
      </w:r>
    </w:p>
    <w:p>
      <w:pPr>
        <w:pStyle w:val="BodyText"/>
        <w:spacing w:line="463" w:lineRule="auto" w:before="54"/>
        <w:ind w:left="154" w:right="151" w:firstLine="361"/>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日分别召开第二届董事会第十七次会议和第二届监事会第十三次会议，审议通过了《关于公司股</w:t>
      </w:r>
      <w:r>
        <w:rPr/>
        <w:t> </w:t>
      </w:r>
      <w:r>
        <w:rPr>
          <w:spacing w:val="-2"/>
        </w:rPr>
        <w:t>票期权与限制性股票激励计划首次授予有关事项的议案》。公司独立董事对此发表了独立意见，认为激励对象主体资格确认</w:t>
      </w:r>
      <w:r>
        <w:rPr>
          <w:spacing w:val="-66"/>
        </w:rPr>
        <w:t> </w:t>
      </w:r>
      <w:r>
        <w:rPr>
          <w:spacing w:val="-66"/>
        </w:rPr>
      </w:r>
      <w:r>
        <w:rPr/>
        <w:t>办法合法有效，确定的授权日符合相关规定。</w:t>
      </w:r>
    </w:p>
    <w:p>
      <w:pPr>
        <w:pStyle w:val="BodyText"/>
        <w:spacing w:line="451" w:lineRule="auto" w:before="65"/>
        <w:ind w:right="151" w:firstLine="361"/>
        <w:jc w:val="both"/>
      </w:pPr>
      <w:r>
        <w:rPr>
          <w:rFonts w:ascii="Times New Roman" w:hAnsi="Times New Roman" w:cs="Times New Roman" w:eastAsia="Times New Roman" w:hint="default"/>
          <w:spacing w:val="-2"/>
        </w:rPr>
        <w:t>5</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日在巨潮资讯网上披露了《关于股票期权与限制性股票首次授予登记完成公告》，本次股权激励</w:t>
      </w:r>
      <w:r>
        <w:rPr/>
        <w:t> </w:t>
      </w:r>
      <w:r>
        <w:rPr>
          <w:spacing w:val="-1"/>
        </w:rPr>
        <w:t>计划所涉股票期权和限制性股票的首次授予日为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18</w:t>
      </w:r>
      <w:r>
        <w:rPr>
          <w:spacing w:val="-1"/>
        </w:rPr>
        <w:t>日，向符合条件的</w:t>
      </w:r>
      <w:r>
        <w:rPr>
          <w:rFonts w:ascii="Times New Roman" w:hAnsi="Times New Roman" w:cs="Times New Roman" w:eastAsia="Times New Roman" w:hint="default"/>
          <w:spacing w:val="-1"/>
        </w:rPr>
        <w:t>150</w:t>
      </w:r>
      <w:r>
        <w:rPr>
          <w:spacing w:val="-1"/>
        </w:rPr>
        <w:t>名激励对象首次授予</w:t>
      </w:r>
      <w:r>
        <w:rPr>
          <w:rFonts w:ascii="Times New Roman" w:hAnsi="Times New Roman" w:cs="Times New Roman" w:eastAsia="Times New Roman" w:hint="default"/>
          <w:spacing w:val="-1"/>
        </w:rPr>
        <w:t>245.25</w:t>
      </w:r>
      <w:r>
        <w:rPr>
          <w:spacing w:val="-1"/>
        </w:rPr>
        <w:t>万份股票期权</w:t>
      </w:r>
      <w:r>
        <w:rPr>
          <w:spacing w:val="-68"/>
        </w:rPr>
        <w:t> </w:t>
      </w:r>
      <w:r>
        <w:rPr>
          <w:spacing w:val="-68"/>
        </w:rPr>
      </w:r>
      <w:r>
        <w:rPr/>
        <w:t>与</w:t>
      </w:r>
      <w:r>
        <w:rPr>
          <w:rFonts w:ascii="Times New Roman" w:hAnsi="Times New Roman" w:cs="Times New Roman" w:eastAsia="Times New Roman" w:hint="default"/>
        </w:rPr>
        <w:t>246.75</w:t>
      </w:r>
      <w:r>
        <w:rPr/>
        <w:t>万股限制性股票。</w:t>
      </w:r>
    </w:p>
    <w:p>
      <w:pPr>
        <w:pStyle w:val="BodyText"/>
        <w:spacing w:line="451" w:lineRule="auto" w:before="43"/>
        <w:ind w:left="154" w:right="154" w:firstLine="361"/>
        <w:jc w:val="both"/>
      </w:pPr>
      <w:r>
        <w:rPr>
          <w:rFonts w:ascii="Times New Roman" w:hAnsi="Times New Roman" w:cs="Times New Roman" w:eastAsia="Times New Roman" w:hint="default"/>
          <w:spacing w:val="-2"/>
        </w:rPr>
        <w:t>6</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日召开第二届董事会第二十四次会议，审议通过了《关于调整股票期权行权价格的议案》、《关</w:t>
      </w:r>
      <w:r>
        <w:rPr/>
        <w:t> 于已授予的部分股票期权作废及部分限制性股票回购并注销的议案》。公司独立董事并对此发表了独立意见。</w:t>
      </w:r>
    </w:p>
    <w:p>
      <w:pPr>
        <w:pStyle w:val="BodyText"/>
        <w:spacing w:line="451" w:lineRule="auto" w:before="74"/>
        <w:ind w:left="154" w:right="151" w:firstLine="361"/>
        <w:jc w:val="both"/>
      </w:pPr>
      <w:r>
        <w:rPr>
          <w:rFonts w:ascii="Times New Roman" w:hAnsi="Times New Roman" w:cs="Times New Roman" w:eastAsia="Times New Roman" w:hint="default"/>
        </w:rPr>
        <w:t>7</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日分别召开第二届董事会第二十五次会议和第二届监事会第十九次会议，审议通过了《关于已授 予的部分股票期权作废及部分限制性股票回购并注销的议案》。公司独立董事并对此发表了独立意见。</w:t>
      </w:r>
    </w:p>
    <w:p>
      <w:pPr>
        <w:pStyle w:val="BodyText"/>
        <w:spacing w:line="451" w:lineRule="auto" w:before="74"/>
        <w:ind w:right="150" w:firstLine="361"/>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日，公司完成了已离职股权激励对象张永军等</w:t>
      </w:r>
      <w:r>
        <w:rPr>
          <w:rFonts w:ascii="Times New Roman" w:hAnsi="Times New Roman" w:cs="Times New Roman" w:eastAsia="Times New Roman" w:hint="default"/>
        </w:rPr>
        <w:t>5</w:t>
      </w:r>
      <w:r>
        <w:rPr/>
        <w:t>人所持未行权的</w:t>
      </w:r>
      <w:r>
        <w:rPr>
          <w:rFonts w:ascii="Times New Roman" w:hAnsi="Times New Roman" w:cs="Times New Roman" w:eastAsia="Times New Roman" w:hint="default"/>
        </w:rPr>
        <w:t>6.75</w:t>
      </w:r>
      <w:r>
        <w:rPr/>
        <w:t>万份股权期权和未解锁的限制性股 票</w:t>
      </w:r>
      <w:r>
        <w:rPr>
          <w:rFonts w:ascii="Times New Roman" w:hAnsi="Times New Roman" w:cs="Times New Roman" w:eastAsia="Times New Roman" w:hint="default"/>
        </w:rPr>
        <w:t>6.75</w:t>
      </w:r>
      <w:r>
        <w:rPr/>
        <w:t>万股的注销手续，公司股权激励涉及的激励对象人数调整为</w:t>
      </w:r>
      <w:r>
        <w:rPr>
          <w:rFonts w:ascii="Times New Roman" w:hAnsi="Times New Roman" w:cs="Times New Roman" w:eastAsia="Times New Roman" w:hint="default"/>
        </w:rPr>
        <w:t>145</w:t>
      </w:r>
      <w:r>
        <w:rPr/>
        <w:t>名，已授予的股票期权数量为</w:t>
      </w:r>
      <w:r>
        <w:rPr>
          <w:rFonts w:ascii="Times New Roman" w:hAnsi="Times New Roman" w:cs="Times New Roman" w:eastAsia="Times New Roman" w:hint="default"/>
        </w:rPr>
        <w:t>238.5</w:t>
      </w:r>
      <w:r>
        <w:rPr/>
        <w:t>万份，已授予限制</w:t>
      </w:r>
      <w:r>
        <w:rPr>
          <w:spacing w:val="-85"/>
        </w:rPr>
        <w:t> </w:t>
      </w:r>
      <w:r>
        <w:rPr/>
        <w:t>性股票数量为</w:t>
      </w:r>
      <w:r>
        <w:rPr>
          <w:rFonts w:ascii="Times New Roman" w:hAnsi="Times New Roman" w:cs="Times New Roman" w:eastAsia="Times New Roman" w:hint="default"/>
        </w:rPr>
        <w:t>240</w:t>
      </w:r>
      <w:r>
        <w:rPr/>
        <w:t>万股。</w:t>
      </w:r>
    </w:p>
    <w:p>
      <w:pPr>
        <w:pStyle w:val="BodyText"/>
        <w:spacing w:line="468" w:lineRule="auto" w:before="43"/>
        <w:ind w:left="154" w:right="150" w:firstLine="361"/>
        <w:jc w:val="both"/>
      </w:pPr>
      <w:r>
        <w:rPr>
          <w:rFonts w:ascii="Times New Roman" w:hAnsi="Times New Roman" w:cs="Times New Roman" w:eastAsia="Times New Roman" w:hint="default"/>
          <w:spacing w:val="-2"/>
        </w:rPr>
        <w:t>9</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日分别召开第二届董事会第二十七次会议和第二届监事会第二十一次会议，审议通过了《关于调</w:t>
      </w:r>
      <w:r>
        <w:rPr/>
        <w:t> </w:t>
      </w:r>
      <w:r>
        <w:rPr>
          <w:spacing w:val="-2"/>
        </w:rPr>
        <w:t>整股票期权数量及行权价格的议案》、《关于已授予的部分股票期权作废及部分限制性股票回购并注销的议案》、《关于股</w:t>
      </w:r>
      <w:r>
        <w:rPr>
          <w:spacing w:val="-66"/>
        </w:rPr>
        <w:t> </w:t>
      </w:r>
      <w:r>
        <w:rPr>
          <w:spacing w:val="-66"/>
        </w:rPr>
      </w:r>
      <w:r>
        <w:rPr>
          <w:spacing w:val="-2"/>
        </w:rPr>
        <w:t>票期权与限制性股票激励计划第一个行权期符合行权条件与第一个解锁期符合解锁条件的议案》。公司独立董事并对此发表</w:t>
      </w:r>
      <w:r>
        <w:rPr>
          <w:spacing w:val="-64"/>
        </w:rPr>
        <w:t> </w:t>
      </w:r>
      <w:r>
        <w:rPr>
          <w:spacing w:val="-64"/>
        </w:rPr>
      </w:r>
      <w:r>
        <w:rPr/>
        <w:t>了独立意见。</w:t>
      </w:r>
    </w:p>
    <w:p>
      <w:pPr>
        <w:spacing w:line="477" w:lineRule="auto" w:before="61"/>
        <w:ind w:left="515" w:right="0"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（二）截至本报告日股权激励计划实施进展</w:t>
      </w:r>
      <w:r>
        <w:rPr>
          <w:rFonts w:ascii="宋体" w:hAnsi="宋体" w:cs="宋体" w:eastAsia="宋体" w:hint="default"/>
          <w:b/>
          <w:bCs/>
          <w:w w:val="99"/>
          <w:sz w:val="18"/>
          <w:szCs w:val="18"/>
        </w:rPr>
        <w:t> </w:t>
      </w:r>
      <w:r>
        <w:rPr>
          <w:rFonts w:ascii="宋体" w:hAnsi="宋体" w:cs="宋体" w:eastAsia="宋体" w:hint="default"/>
          <w:sz w:val="18"/>
          <w:szCs w:val="18"/>
        </w:rPr>
        <w:t>公司董事会于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日召开的第二届董事会第二十七次会议，</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年度符合股票期权行权条件的激励对象共</w:t>
      </w:r>
      <w:r>
        <w:rPr>
          <w:rFonts w:ascii="Times New Roman" w:hAnsi="Times New Roman" w:cs="Times New Roman" w:eastAsia="Times New Roman" w:hint="default"/>
          <w:sz w:val="18"/>
          <w:szCs w:val="18"/>
        </w:rPr>
        <w:t>137</w:t>
      </w:r>
    </w:p>
    <w:p>
      <w:pPr>
        <w:pStyle w:val="BodyText"/>
        <w:spacing w:line="451" w:lineRule="auto" w:before="21"/>
        <w:ind w:right="152"/>
        <w:jc w:val="both"/>
      </w:pPr>
      <w:r>
        <w:rPr>
          <w:spacing w:val="-2"/>
        </w:rPr>
        <w:t>名，可申请解锁的限制性股票数量为</w:t>
      </w:r>
      <w:r>
        <w:rPr>
          <w:rFonts w:ascii="Times New Roman" w:hAnsi="Times New Roman" w:cs="Times New Roman" w:eastAsia="Times New Roman" w:hint="default"/>
          <w:spacing w:val="-2"/>
        </w:rPr>
        <w:t>1,306,115</w:t>
      </w:r>
      <w:r>
        <w:rPr>
          <w:spacing w:val="-2"/>
        </w:rPr>
        <w:t>股，可行权的股票期权总数为</w:t>
      </w:r>
      <w:r>
        <w:rPr>
          <w:rFonts w:ascii="Times New Roman" w:hAnsi="Times New Roman" w:cs="Times New Roman" w:eastAsia="Times New Roman" w:hint="default"/>
          <w:spacing w:val="-2"/>
        </w:rPr>
        <w:t>1,297,503</w:t>
      </w:r>
      <w:r>
        <w:rPr>
          <w:spacing w:val="-2"/>
        </w:rPr>
        <w:t>份。本次解锁的</w:t>
      </w:r>
      <w:r>
        <w:rPr>
          <w:rFonts w:ascii="Times New Roman" w:hAnsi="Times New Roman" w:cs="Times New Roman" w:eastAsia="Times New Roman" w:hint="default"/>
          <w:spacing w:val="-2"/>
        </w:rPr>
        <w:t>1,306,115</w:t>
      </w:r>
      <w:r>
        <w:rPr>
          <w:spacing w:val="-2"/>
        </w:rPr>
        <w:t>股限制性股票</w:t>
      </w:r>
      <w:r>
        <w:rPr>
          <w:spacing w:val="-40"/>
        </w:rPr>
        <w:t> </w:t>
      </w:r>
      <w:r>
        <w:rPr>
          <w:spacing w:val="-40"/>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日解锁并上市流通。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公司股权激励对象实际行权</w:t>
      </w:r>
      <w:r>
        <w:rPr>
          <w:rFonts w:ascii="Times New Roman" w:hAnsi="Times New Roman" w:cs="Times New Roman" w:eastAsia="Times New Roman" w:hint="default"/>
        </w:rPr>
        <w:t>1,238,961</w:t>
      </w:r>
      <w:r>
        <w:rPr/>
        <w:t>份期权。</w:t>
      </w:r>
    </w:p>
    <w:p>
      <w:pPr>
        <w:spacing w:line="477" w:lineRule="auto" w:before="43"/>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（三）实施股权激励计划对公司本报告期及以后年度财务状况和经营成果的影响</w:t>
      </w:r>
      <w:r>
        <w:rPr>
          <w:rFonts w:ascii="宋体" w:hAnsi="宋体" w:cs="宋体" w:eastAsia="宋体" w:hint="default"/>
          <w:b/>
          <w:bCs/>
          <w:w w:val="99"/>
          <w:sz w:val="18"/>
          <w:szCs w:val="18"/>
        </w:rPr>
        <w:t> </w:t>
      </w:r>
      <w:r>
        <w:rPr>
          <w:rFonts w:ascii="宋体" w:hAnsi="宋体" w:cs="宋体" w:eastAsia="宋体" w:hint="default"/>
          <w:spacing w:val="-2"/>
          <w:sz w:val="18"/>
          <w:szCs w:val="18"/>
        </w:rPr>
        <w:t>根据《企业会计准则第</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股份支付》和《企业会计准则第</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金融工具确认和计量》中关于公允价值确定的</w:t>
      </w:r>
    </w:p>
    <w:p>
      <w:pPr>
        <w:pStyle w:val="BodyText"/>
        <w:spacing w:line="463" w:lineRule="auto" w:before="21"/>
        <w:ind w:right="149"/>
        <w:jc w:val="both"/>
      </w:pPr>
      <w:r>
        <w:rPr>
          <w:spacing w:val="-2"/>
        </w:rPr>
        <w:t>相关规定，企业需要选择适当的估值模型对股票期权与限制性股票的公允价值进行计算。公司本次激励计划股票期权与限制</w:t>
      </w:r>
      <w:r>
        <w:rPr>
          <w:spacing w:val="-64"/>
        </w:rPr>
        <w:t> </w:t>
      </w:r>
      <w:r>
        <w:rPr>
          <w:spacing w:val="-64"/>
        </w:rPr>
      </w:r>
      <w:r>
        <w:rPr/>
        <w:t>性股票的授予对公司相关年度的财务状况和经营成果将产生一定的影响。董事会已确定激励计划的首次授予日为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spacing w:val="-81"/>
        </w:rPr>
        <w:t> </w:t>
      </w:r>
      <w:r>
        <w:rPr>
          <w:rFonts w:ascii="Times New Roman" w:hAnsi="Times New Roman" w:cs="Times New Roman" w:eastAsia="Times New Roman" w:hint="default"/>
        </w:rPr>
        <w:t>18</w:t>
      </w:r>
      <w:r>
        <w:rPr/>
        <w:t>日，根据授予日股票期权与限制性股票的公允价值总额分别确认股票期权与限制性股票激励成本。</w:t>
      </w:r>
    </w:p>
    <w:p>
      <w:pPr>
        <w:pStyle w:val="BodyText"/>
        <w:spacing w:line="240" w:lineRule="auto" w:before="33"/>
        <w:ind w:left="513" w:right="0"/>
        <w:jc w:val="left"/>
      </w:pPr>
      <w:r>
        <w:rPr/>
        <w:t>本报告期，根据本公司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月开始执行的股票激励计划，本公司在等待期内的每个资产负债表日，以对可行权股票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数量的最佳估算为基础，按照单位限制性股票的激励成本，将当年取得的服务计入相关费用和资本公积，公司本期计提的股</w:t>
      </w:r>
      <w:r>
        <w:rPr>
          <w:spacing w:val="-66"/>
        </w:rPr>
        <w:t> </w:t>
      </w:r>
      <w:r>
        <w:rPr>
          <w:spacing w:val="-66"/>
        </w:rPr>
      </w:r>
      <w:r>
        <w:rPr/>
        <w:t>权激励成本为人民币</w:t>
      </w:r>
      <w:r>
        <w:rPr>
          <w:rFonts w:ascii="Times New Roman" w:hAnsi="Times New Roman" w:cs="Times New Roman" w:eastAsia="Times New Roman" w:hint="default"/>
        </w:rPr>
        <w:t>368.07</w:t>
      </w:r>
      <w:r>
        <w:rPr>
          <w:rFonts w:ascii="Times New Roman" w:hAnsi="Times New Roman" w:cs="Times New Roman" w:eastAsia="Times New Roman" w:hint="default"/>
          <w:spacing w:val="27"/>
        </w:rPr>
        <w:t> </w:t>
      </w:r>
      <w:r>
        <w:rPr/>
        <w:t>万元。</w:t>
      </w:r>
    </w:p>
    <w:p>
      <w:pPr>
        <w:spacing w:line="240" w:lineRule="auto" w:before="9"/>
        <w:rPr>
          <w:rFonts w:ascii="宋体" w:hAnsi="宋体" w:cs="宋体" w:eastAsia="宋体" w:hint="default"/>
          <w:sz w:val="22"/>
          <w:szCs w:val="22"/>
        </w:rPr>
      </w:pPr>
    </w:p>
    <w:p>
      <w:pPr>
        <w:pStyle w:val="BodyText"/>
        <w:spacing w:line="240" w:lineRule="auto"/>
        <w:ind w:right="0"/>
        <w:jc w:val="left"/>
      </w:pPr>
      <w:r>
        <w:rPr/>
        <w:t>股权激励事项临时公告披露索引如下：</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818"/>
        <w:gridCol w:w="1640"/>
        <w:gridCol w:w="3191"/>
      </w:tblGrid>
      <w:tr>
        <w:trPr>
          <w:trHeight w:val="426" w:hRule="exact"/>
        </w:trPr>
        <w:tc>
          <w:tcPr>
            <w:tcW w:w="48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6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867"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http://www.cninfo.com.cn/finalpage/2012-</w:t>
              </w:r>
            </w:hyperlink>
            <w:r>
              <w:rPr>
                <w:rFonts w:ascii="Times New Roman"/>
                <w:sz w:val="18"/>
              </w:rPr>
              <w:t> 12-14/61907580.PDF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独立董事关于公司股票期权与限制性股票激励计划（草案）的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独立意见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http://www.cninfo.com.cn/finalpage/2012-</w:t>
              </w:r>
            </w:hyperlink>
            <w:r>
              <w:rPr>
                <w:rFonts w:ascii="Times New Roman"/>
                <w:sz w:val="18"/>
              </w:rPr>
              <w:t> 12-14/61907582.PDF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http://www.cninfo.com.cn/finalpage/2012-</w:t>
              </w:r>
            </w:hyperlink>
            <w:r>
              <w:rPr>
                <w:rFonts w:ascii="Times New Roman"/>
                <w:sz w:val="18"/>
              </w:rPr>
              <w:t> 12-14/61907581.PDF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http://www.cninfo.com.cn/finalpage/2012-</w:t>
              </w:r>
            </w:hyperlink>
            <w:r>
              <w:rPr>
                <w:rFonts w:ascii="Times New Roman"/>
                <w:sz w:val="18"/>
              </w:rPr>
              <w:t> 12-14/61907578.PDF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股权激励对象名单</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http://www.cninfo.com.cn/finalpage/2012-</w:t>
              </w:r>
            </w:hyperlink>
            <w:r>
              <w:rPr>
                <w:rFonts w:ascii="Times New Roman"/>
                <w:sz w:val="18"/>
              </w:rPr>
              <w:t> 12-14/61907584.PDF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股票期权与限制性股票激励计划实施考核管理办法</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http://www.cninfo.com.cn/finalpage/2012-</w:t>
              </w:r>
            </w:hyperlink>
            <w:r>
              <w:rPr>
                <w:rFonts w:ascii="Times New Roman"/>
                <w:sz w:val="18"/>
              </w:rPr>
              <w:t> 12-14/61907583.PDF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股票期权与限制性股票激励计划（草案）摘要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http://www.cninfo.com.cn/finalpage/2012-</w:t>
              </w:r>
            </w:hyperlink>
            <w:r>
              <w:rPr>
                <w:rFonts w:ascii="Times New Roman"/>
                <w:sz w:val="18"/>
              </w:rPr>
              <w:t> 12-14/61907579.PDF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上海荣正投资咨询有限公司关于股票期权与限制性股票激励 计划（草案）之独立财务顾问报告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http://www.cninfo.com.cn/finalpage/2012-</w:t>
              </w:r>
            </w:hyperlink>
            <w:r>
              <w:rPr>
                <w:rFonts w:ascii="Times New Roman"/>
                <w:sz w:val="18"/>
              </w:rPr>
              <w:t> 12-14/61907585.PDF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关于股票期权与限制性股票激励计划（草案）获得中国证监会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备案无异议的公告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02-05/62108905.PDF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年第一次临时股东大会的通知</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02-07/62120319.PDF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02-07/62120320.PDF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股票期权与限制性股票激励计划（草案修订稿）</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独立董事关于公司股票期权与限制性股票激励计划（草案修订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稿）的独立意见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02-07/62120317.PDF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励计划（草案修订稿）的法律意见书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02-07/62120318.PDF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股票期权与限制性股票激励计划激励对象名单</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02-07/62120314.PDF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02-07/62120315.PDF</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98.119995pt;margin-top:110.219986pt;width:81pt;height:19.6pt;mso-position-horizontal-relative:page;mso-position-vertical-relative:page;z-index:-955168" coordorigin="5962,2204" coordsize="1620,392">
            <v:shape style="position:absolute;left:5962;top:2204;width:1620;height:392" coordorigin="5962,2204" coordsize="1620,392" path="m5962,2596l7582,2596,7582,2204,5962,2204,5962,259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818"/>
        <w:gridCol w:w="1640"/>
        <w:gridCol w:w="3191"/>
      </w:tblGrid>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02-07/62120316.PDF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8"/>
              <w:jc w:val="left"/>
              <w:rPr>
                <w:rFonts w:ascii="宋体" w:hAnsi="宋体" w:cs="宋体" w:eastAsia="宋体" w:hint="default"/>
                <w:sz w:val="18"/>
                <w:szCs w:val="18"/>
              </w:rPr>
            </w:pPr>
            <w:r>
              <w:rPr>
                <w:rFonts w:ascii="宋体" w:hAnsi="宋体" w:cs="宋体" w:eastAsia="宋体" w:hint="default"/>
                <w:spacing w:val="-2"/>
                <w:sz w:val="18"/>
                <w:szCs w:val="18"/>
              </w:rPr>
              <w:t>股票期权与限制性股票激励计划实施考核管理办法（修订稿）</w:t>
            </w:r>
            <w:r>
              <w:rPr>
                <w:rFonts w:ascii="宋体" w:hAnsi="宋体" w:cs="宋体" w:eastAsia="宋体" w:hint="default"/>
                <w:sz w:val="18"/>
                <w:szCs w:val="18"/>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02-07/62120311.PDF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8"/>
              <w:jc w:val="left"/>
              <w:rPr>
                <w:rFonts w:ascii="宋体" w:hAnsi="宋体" w:cs="宋体" w:eastAsia="宋体" w:hint="default"/>
                <w:sz w:val="18"/>
                <w:szCs w:val="18"/>
              </w:rPr>
            </w:pPr>
            <w:r>
              <w:rPr>
                <w:rFonts w:ascii="宋体" w:hAnsi="宋体" w:cs="宋体" w:eastAsia="宋体" w:hint="default"/>
                <w:sz w:val="18"/>
                <w:szCs w:val="18"/>
              </w:rPr>
              <w:t>上海荣正投资咨询有限公司关于公司股票期权与限制性股票 激励计划（草案修订稿）之独立财务顾问报告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02-07/62120310.PDF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股票期权与限制性股票激励计划（草案修订稿）摘要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02-07/62120313.PDF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年第一次临时股东大会的法律意见书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02-26/62151488.PDF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02-26/62151487.PDF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关于股票期权与限制性股票激励计划首次授予有关事项的公 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03-20/62231473.PDF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励计划所涉股票期权及限制性股票首次授予的法律意见书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03-20/62231475.PDF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8"/>
              <w:jc w:val="left"/>
              <w:rPr>
                <w:rFonts w:ascii="宋体" w:hAnsi="宋体" w:cs="宋体" w:eastAsia="宋体" w:hint="default"/>
                <w:sz w:val="18"/>
                <w:szCs w:val="18"/>
              </w:rPr>
            </w:pPr>
            <w:r>
              <w:rPr>
                <w:rFonts w:ascii="宋体" w:hAnsi="宋体" w:cs="宋体" w:eastAsia="宋体" w:hint="default"/>
                <w:sz w:val="18"/>
                <w:szCs w:val="18"/>
              </w:rPr>
              <w:t>独立董事关于股票期权与限制性股票激励计划首次授予相关 事项的独立意见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03-20/62231474.PDF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03-20/62231471.PDF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03-20/62231472.PDF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关于股票期权与限制性股票首次授予登记完成公告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05-11/62480142.PDF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12-05/63341712.PDF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第二届监事会第十八次会议决议公告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12-05/63341713.PDF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关于调整股票期权行权价格的公告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12-05/63342685.PDF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关于作废已离职激励对象已获授未行权的股票期权及回购注 销其所持未解锁的限制性股票的公告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12-05/63341714.PDF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励计划调整事项的法律意见书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http://www.cninfo.com.cn/finalpage/2013-</w:t>
              </w:r>
            </w:hyperlink>
            <w:r>
              <w:rPr>
                <w:rFonts w:ascii="Times New Roman"/>
                <w:sz w:val="18"/>
              </w:rPr>
              <w:t> 12-05/63341716.PDF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第二届董事会第二十五次会议决议公告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04-10/63817646.PDF</w:t>
            </w:r>
          </w:p>
        </w:tc>
      </w:tr>
      <w:tr>
        <w:trPr>
          <w:trHeight w:val="427"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第二届监事会第十九次会议决议公告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818"/>
        <w:gridCol w:w="1640"/>
        <w:gridCol w:w="3191"/>
      </w:tblGrid>
      <w:tr>
        <w:trPr>
          <w:trHeight w:val="386" w:hRule="exact"/>
        </w:trPr>
        <w:tc>
          <w:tcPr>
            <w:tcW w:w="4818"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04-10/63817647.PDF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关于作废已离职激励对象已获授未行权的股票期权及回购注 销其所持未解锁的限制性股票的公告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04-10/63817652.PDF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励计划调整事项的法律意见书（二）</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04-10/63817651.PDF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第二届董事会第二十七次会议决议公告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06-25/1200007191.PDF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第二届监事会第二十一次会议决议公告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06-25/1200007192.PDF</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w:t>
            </w:r>
            <w:r>
              <w:rPr>
                <w:rFonts w:ascii="宋体" w:hAnsi="宋体" w:cs="宋体" w:eastAsia="宋体" w:hint="default"/>
                <w:spacing w:val="-3"/>
                <w:sz w:val="18"/>
                <w:szCs w:val="18"/>
              </w:rPr>
              <w:t>励计划调整及股票期权行权、限制性股票解锁事项的法律意见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06-25/1200007198.PDF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8"/>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关于股票期权与限制性股票激励计划第一个行权期符合行权 条件与第一个解锁期符合解锁条件的公告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06-25/1200007195.PDF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关于已授予的部分股票期权作废及部分限制性股票回购并注 销的公告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06-25/1200007196.PDF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关于调整股票期权数量及行权价格的公告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06-25/1200007197.PDF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关于股票期权与限制性股票激励计划第一期解锁限制性股票 上市流通的提示性公告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07-25/1200076747.PDF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关于股权激励计划授予期权第一个行权期采用自主行权模式 的提示性公告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7">
              <w:r>
                <w:rPr>
                  <w:rFonts w:ascii="Times New Roman"/>
                  <w:sz w:val="18"/>
                </w:rPr>
                <w:t>http://www.cninfo.com.cn/finalpage/2014-</w:t>
              </w:r>
            </w:hyperlink>
            <w:r>
              <w:rPr>
                <w:rFonts w:ascii="Times New Roman"/>
                <w:sz w:val="18"/>
              </w:rPr>
              <w:t> 08-05/1200098259.PDF</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left="154" w:right="0"/>
        <w:jc w:val="left"/>
        <w:rPr>
          <w:b w:val="0"/>
          <w:bCs w:val="0"/>
        </w:rPr>
      </w:pPr>
      <w:bookmarkStart w:name="六、重大关联交易" w:id="46"/>
      <w:bookmarkEnd w:id="46"/>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after="0" w:line="3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2"/>
        <w:gridCol w:w="955"/>
        <w:gridCol w:w="944"/>
        <w:gridCol w:w="1229"/>
        <w:gridCol w:w="1195"/>
        <w:gridCol w:w="1110"/>
        <w:gridCol w:w="1032"/>
        <w:gridCol w:w="812"/>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2"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北京千禾颐养家苑 养老服务有限责任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北京千禾颐养家苑 养老服务有限责任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7"/>
        <w:gridCol w:w="933"/>
        <w:gridCol w:w="961"/>
        <w:gridCol w:w="1229"/>
        <w:gridCol w:w="1195"/>
        <w:gridCol w:w="1107"/>
        <w:gridCol w:w="1038"/>
        <w:gridCol w:w="810"/>
        <w:gridCol w:w="661"/>
      </w:tblGrid>
      <w:tr>
        <w:trPr>
          <w:trHeight w:val="1026"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163"/>
              <w:jc w:val="both"/>
              <w:rPr>
                <w:rFonts w:ascii="宋体" w:hAnsi="宋体" w:cs="宋体" w:eastAsia="宋体" w:hint="default"/>
                <w:sz w:val="18"/>
                <w:szCs w:val="18"/>
              </w:rPr>
            </w:pPr>
            <w:r>
              <w:rPr>
                <w:rFonts w:ascii="宋体" w:hAnsi="宋体" w:cs="宋体" w:eastAsia="宋体" w:hint="default"/>
                <w:sz w:val="18"/>
                <w:szCs w:val="18"/>
              </w:rPr>
              <w:t>北京千禾颐养家苑 养老服务有限责任 公司</w:t>
            </w:r>
          </w:p>
        </w:tc>
        <w:tc>
          <w:tcPr>
            <w:tcW w:w="93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9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719" w:hRule="exact"/>
        </w:trPr>
        <w:tc>
          <w:tcPr>
            <w:tcW w:w="2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9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27" w:type="dxa"/>
            <w:vMerge w:val="restart"/>
            <w:tcBorders>
              <w:top w:val="single" w:sz="4" w:space="0" w:color="000000"/>
              <w:left w:val="single" w:sz="4" w:space="0" w:color="000000"/>
              <w:right w:val="single" w:sz="4" w:space="0" w:color="000000"/>
            </w:tcBorders>
            <w:shd w:val="clear" w:color="auto" w:fill="D2D2D2"/>
          </w:tcPr>
          <w:p>
            <w:pPr/>
          </w:p>
        </w:tc>
        <w:tc>
          <w:tcPr>
            <w:tcW w:w="9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61" w:type="dxa"/>
            <w:vMerge w:val="restart"/>
            <w:tcBorders>
              <w:top w:val="single" w:sz="4" w:space="0" w:color="000000"/>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07" w:type="dxa"/>
            <w:vMerge w:val="restart"/>
            <w:tcBorders>
              <w:top w:val="single" w:sz="4" w:space="0" w:color="000000"/>
              <w:left w:val="single" w:sz="4" w:space="0" w:color="000000"/>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56" w:hRule="exact"/>
        </w:trPr>
        <w:tc>
          <w:tcPr>
            <w:tcW w:w="1627"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1" w:type="dxa"/>
            <w:vMerge/>
            <w:tcBorders>
              <w:left w:val="single" w:sz="4" w:space="0" w:color="000000"/>
              <w:bottom w:val="nil" w:sz="6" w:space="0" w:color="auto"/>
              <w:right w:val="single" w:sz="4" w:space="0" w:color="000000"/>
            </w:tcBorders>
            <w:shd w:val="clear" w:color="auto" w:fill="D2D2D2"/>
          </w:tcPr>
          <w:p>
            <w:pP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vMerge/>
            <w:tcBorders>
              <w:left w:val="single" w:sz="4" w:space="0" w:color="000000"/>
              <w:bottom w:val="nil" w:sz="6" w:space="0" w:color="auto"/>
              <w:right w:val="single" w:sz="4" w:space="0" w:color="000000"/>
            </w:tcBorders>
            <w:shd w:val="clear" w:color="auto" w:fill="D2D2D2"/>
          </w:tcPr>
          <w:p>
            <w:pPr/>
          </w:p>
        </w:tc>
        <w:tc>
          <w:tcPr>
            <w:tcW w:w="1107" w:type="dxa"/>
            <w:vMerge/>
            <w:tcBorders>
              <w:left w:val="single" w:sz="4" w:space="0" w:color="000000"/>
              <w:bottom w:val="nil" w:sz="6" w:space="0" w:color="auto"/>
              <w:right w:val="single" w:sz="4" w:space="0" w:color="000000"/>
            </w:tcBorders>
            <w:shd w:val="clear" w:color="auto" w:fill="D2D2D2"/>
          </w:tcPr>
          <w:p>
            <w:pPr/>
          </w:p>
        </w:tc>
        <w:tc>
          <w:tcPr>
            <w:tcW w:w="1038" w:type="dxa"/>
            <w:vMerge/>
            <w:tcBorders>
              <w:left w:val="single" w:sz="4" w:space="0" w:color="000000"/>
              <w:bottom w:val="nil" w:sz="6" w:space="0" w:color="auto"/>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5"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vMerge/>
            <w:tcBorders>
              <w:left w:val="single" w:sz="4" w:space="0" w:color="000000"/>
              <w:right w:val="single" w:sz="4" w:space="0" w:color="000000"/>
            </w:tcBorders>
            <w:shd w:val="clear" w:color="auto" w:fill="D2D2D2"/>
          </w:tcPr>
          <w:p>
            <w:pPr/>
          </w:p>
        </w:tc>
      </w:tr>
      <w:tr>
        <w:trPr>
          <w:trHeight w:val="392" w:hRule="exact"/>
        </w:trPr>
        <w:tc>
          <w:tcPr>
            <w:tcW w:w="16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3" w:type="dxa"/>
            <w:vMerge/>
            <w:tcBorders>
              <w:left w:val="single" w:sz="4" w:space="0" w:color="000000"/>
              <w:right w:val="single" w:sz="4" w:space="0" w:color="000000"/>
            </w:tcBorders>
            <w:shd w:val="clear" w:color="auto" w:fill="D2D2D2"/>
          </w:tcPr>
          <w:p>
            <w:pPr/>
          </w:p>
        </w:tc>
        <w:tc>
          <w:tcPr>
            <w:tcW w:w="9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6" w:lineRule="exact" w:before="51"/>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85"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0" w:type="dxa"/>
            <w:vMerge/>
            <w:tcBorders>
              <w:left w:val="single" w:sz="4" w:space="0" w:color="000000"/>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56" w:hRule="exact"/>
        </w:trPr>
        <w:tc>
          <w:tcPr>
            <w:tcW w:w="1627" w:type="dxa"/>
            <w:vMerge w:val="restart"/>
            <w:tcBorders>
              <w:top w:val="nil" w:sz="6" w:space="0" w:color="auto"/>
              <w:left w:val="single" w:sz="4" w:space="0" w:color="000000"/>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1" w:type="dxa"/>
            <w:vMerge w:val="restart"/>
            <w:tcBorders>
              <w:top w:val="nil" w:sz="6" w:space="0" w:color="auto"/>
              <w:left w:val="single" w:sz="4" w:space="0" w:color="000000"/>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07" w:type="dxa"/>
            <w:vMerge w:val="restart"/>
            <w:tcBorders>
              <w:top w:val="nil" w:sz="6" w:space="0" w:color="auto"/>
              <w:left w:val="single" w:sz="4" w:space="0" w:color="000000"/>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61" w:hRule="exact"/>
        </w:trPr>
        <w:tc>
          <w:tcPr>
            <w:tcW w:w="1627" w:type="dxa"/>
            <w:vMerge/>
            <w:tcBorders>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961"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07" w:type="dxa"/>
            <w:vMerge/>
            <w:tcBorders>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9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9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9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10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714" w:hRule="exact"/>
        </w:trPr>
        <w:tc>
          <w:tcPr>
            <w:tcW w:w="2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9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7"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629" w:hRule="exact"/>
        </w:trPr>
        <w:tc>
          <w:tcPr>
            <w:tcW w:w="475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811" w:type="dxa"/>
            <w:gridSpan w:val="5"/>
            <w:vMerge w:val="restart"/>
            <w:tcBorders>
              <w:top w:val="single" w:sz="4" w:space="0" w:color="000000"/>
              <w:left w:val="single" w:sz="9" w:space="0" w:color="D2D2D2"/>
              <w:right w:val="single" w:sz="4" w:space="0" w:color="000000"/>
            </w:tcBorders>
          </w:tcPr>
          <w:p>
            <w:pPr>
              <w:pStyle w:val="TableParagraph"/>
              <w:spacing w:line="314"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公司为北京千禾颐养家苑养老服务有限责任公司申请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元银行借款提供连带责任担保，同时北京千禾颐养家苑养老 服务有限责任公司为本公司提供反担保，如千禾颐养家苑养 老服务有限责任公司不能如期偿还借款，公司需承担连带清 偿责任。</w:t>
            </w:r>
          </w:p>
        </w:tc>
      </w:tr>
      <w:tr>
        <w:trPr>
          <w:trHeight w:val="392" w:hRule="exact"/>
        </w:trPr>
        <w:tc>
          <w:tcPr>
            <w:tcW w:w="475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11" w:type="dxa"/>
            <w:gridSpan w:val="5"/>
            <w:vMerge/>
            <w:tcBorders>
              <w:left w:val="single" w:sz="9" w:space="0" w:color="D2D2D2"/>
              <w:right w:val="single" w:sz="4" w:space="0" w:color="000000"/>
            </w:tcBorders>
          </w:tcPr>
          <w:p>
            <w:pPr/>
          </w:p>
        </w:tc>
      </w:tr>
      <w:tr>
        <w:trPr>
          <w:trHeight w:val="629" w:hRule="exact"/>
        </w:trPr>
        <w:tc>
          <w:tcPr>
            <w:tcW w:w="475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811" w:type="dxa"/>
            <w:gridSpan w:val="5"/>
            <w:vMerge/>
            <w:tcBorders>
              <w:left w:val="single" w:sz="9" w:space="0" w:color="D2D2D2"/>
              <w:bottom w:val="single" w:sz="4" w:space="0" w:color="000000"/>
              <w:right w:val="single" w:sz="4" w:space="0" w:color="000000"/>
            </w:tcBorders>
          </w:tcPr>
          <w:p>
            <w:pPr/>
          </w:p>
        </w:tc>
      </w:tr>
    </w:tbl>
    <w:p>
      <w:pPr>
        <w:pStyle w:val="BodyText"/>
        <w:spacing w:line="240" w:lineRule="auto" w:before="51"/>
        <w:ind w:left="15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1）违规对外担保情况" w:id="58"/>
      <w:bookmarkEnd w:id="58"/>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219"/>
        <w:jc w:val="left"/>
        <w:rPr>
          <w:b w:val="0"/>
          <w:bCs w:val="0"/>
        </w:rPr>
      </w:pPr>
      <w:bookmarkStart w:name="3、委托理财、衍生品投资和委托贷款情况" w:id="59"/>
      <w:bookmarkEnd w:id="59"/>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19"/>
        <w:jc w:val="left"/>
        <w:rPr>
          <w:b w:val="0"/>
          <w:bCs w:val="0"/>
        </w:rPr>
      </w:pPr>
      <w:bookmarkStart w:name="（1）委托理财情况" w:id="60"/>
      <w:bookmarkEnd w:id="6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219"/>
        <w:jc w:val="left"/>
        <w:rPr>
          <w:b w:val="0"/>
          <w:bCs w:val="0"/>
        </w:rPr>
      </w:pPr>
      <w:bookmarkStart w:name="（2）衍生品投资情况" w:id="61"/>
      <w:bookmarkEnd w:id="6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219"/>
        <w:jc w:val="left"/>
        <w:rPr>
          <w:b w:val="0"/>
          <w:bCs w:val="0"/>
        </w:rPr>
      </w:pPr>
      <w:bookmarkStart w:name="（3）委托贷款情况" w:id="62"/>
      <w:bookmarkEnd w:id="6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219"/>
        <w:jc w:val="left"/>
        <w:rPr>
          <w:b w:val="0"/>
          <w:bCs w:val="0"/>
        </w:rPr>
      </w:pPr>
      <w:bookmarkStart w:name="4、其他重大合同" w:id="63"/>
      <w:bookmarkEnd w:id="6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219"/>
        <w:jc w:val="left"/>
        <w:rPr>
          <w:b w:val="0"/>
          <w:bCs w:val="0"/>
        </w:rPr>
      </w:pPr>
      <w:bookmarkStart w:name="八、承诺事项履行情况" w:id="64"/>
      <w:bookmarkEnd w:id="64"/>
      <w:r>
        <w:rPr>
          <w:b w:val="0"/>
          <w:bCs w:val="0"/>
        </w:rPr>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19"/>
        <w:jc w:val="left"/>
        <w:rPr>
          <w:b w:val="0"/>
          <w:bCs w:val="0"/>
        </w:rPr>
      </w:pPr>
      <w:bookmarkStart w:name="1、公司或持股5%以上股东在报告期内发生或以前期间发生但持续到报告期内的承诺事项" w:id="65"/>
      <w:bookmarkEnd w:id="65"/>
      <w:r>
        <w:rPr>
          <w:b w:val="0"/>
          <w:bCs w:val="0"/>
        </w:rPr>
      </w:r>
      <w:r>
        <w:rPr>
          <w:rFonts w:ascii="Times New Roman" w:hAnsi="Times New Roman" w:cs="Times New Roman" w:eastAsia="Times New Roman" w:hint="default"/>
        </w:rPr>
        <w:t>1</w:t>
      </w:r>
      <w:r>
        <w:rPr/>
        <w:t>、公司或持股</w:t>
      </w:r>
      <w:r>
        <w:rPr>
          <w:spacing w:val="-63"/>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2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3260"/>
        <w:gridCol w:w="993"/>
        <w:gridCol w:w="1134"/>
        <w:gridCol w:w="109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74"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260"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公司承诺不为激励对象依股票期权与限 制性股票激励计划提供贷款以及其他任 </w:t>
            </w:r>
            <w:r>
              <w:rPr>
                <w:rFonts w:ascii="宋体" w:hAnsi="宋体" w:cs="宋体" w:eastAsia="宋体" w:hint="default"/>
                <w:spacing w:val="-2"/>
                <w:sz w:val="18"/>
                <w:szCs w:val="18"/>
              </w:rPr>
              <w:t>何形式的财务资助，包括为其贷款提供担</w:t>
            </w:r>
            <w:r>
              <w:rPr>
                <w:rFonts w:ascii="宋体" w:hAnsi="宋体" w:cs="宋体" w:eastAsia="宋体" w:hint="default"/>
                <w:sz w:val="18"/>
                <w:szCs w:val="18"/>
              </w:rPr>
              <w:t> 保。</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9"/>
              <w:jc w:val="left"/>
              <w:rPr>
                <w:rFonts w:ascii="宋体" w:hAnsi="宋体" w:cs="宋体" w:eastAsia="宋体" w:hint="default"/>
                <w:sz w:val="18"/>
                <w:szCs w:val="18"/>
              </w:rPr>
            </w:pPr>
            <w:r>
              <w:rPr>
                <w:rFonts w:ascii="宋体" w:hAnsi="宋体" w:cs="宋体" w:eastAsia="宋体" w:hint="default"/>
                <w:sz w:val="18"/>
                <w:szCs w:val="18"/>
              </w:rPr>
              <w:t>股权激励计 划实施期间</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60" w:type="dxa"/>
            <w:vMerge/>
            <w:tcBorders>
              <w:left w:val="single" w:sz="9" w:space="0" w:color="D2D2D2"/>
              <w:right w:val="single" w:sz="4" w:space="0" w:color="000000"/>
            </w:tcBorders>
          </w:tcPr>
          <w:p>
            <w:pPr/>
          </w:p>
        </w:tc>
        <w:tc>
          <w:tcPr>
            <w:tcW w:w="3260"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473"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9" w:space="0" w:color="D2D2D2"/>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560" w:type="dxa"/>
            <w:tcBorders>
              <w:top w:val="single" w:sz="4" w:space="0" w:color="000000"/>
              <w:left w:val="single" w:sz="13" w:space="0" w:color="D2D2D2"/>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1234"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16" w:right="85"/>
              <w:jc w:val="both"/>
              <w:rPr>
                <w:rFonts w:ascii="宋体" w:hAnsi="宋体" w:cs="宋体" w:eastAsia="宋体" w:hint="default"/>
                <w:sz w:val="18"/>
                <w:szCs w:val="18"/>
              </w:rPr>
            </w:pPr>
            <w:r>
              <w:rPr>
                <w:rFonts w:ascii="宋体" w:hAnsi="宋体" w:cs="宋体" w:eastAsia="宋体" w:hint="default"/>
                <w:sz w:val="18"/>
                <w:szCs w:val="18"/>
              </w:rPr>
              <w:t>邢洪海、程树森、 贾振丽、霍守锋、 李永杰、赵宏博、 田佳星、王可</w:t>
            </w:r>
          </w:p>
        </w:tc>
        <w:tc>
          <w:tcPr>
            <w:tcW w:w="326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承诺人于本次交易中获得的合计</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4,764,925 </w:t>
            </w:r>
            <w:r>
              <w:rPr>
                <w:rFonts w:ascii="宋体" w:hAnsi="宋体" w:cs="宋体" w:eastAsia="宋体" w:hint="default"/>
                <w:sz w:val="18"/>
                <w:szCs w:val="18"/>
              </w:rPr>
              <w:t>股</w:t>
            </w:r>
            <w:r>
              <w:rPr>
                <w:rFonts w:ascii="宋体" w:hAnsi="宋体" w:cs="宋体" w:eastAsia="宋体" w:hint="default"/>
                <w:spacing w:val="-2"/>
                <w:sz w:val="18"/>
                <w:szCs w:val="18"/>
              </w:rPr>
              <w:t>股</w:t>
            </w:r>
            <w:r>
              <w:rPr>
                <w:rFonts w:ascii="宋体" w:hAnsi="宋体" w:cs="宋体" w:eastAsia="宋体" w:hint="default"/>
                <w:spacing w:val="-81"/>
                <w:sz w:val="18"/>
                <w:szCs w:val="18"/>
              </w:rPr>
              <w:t>份</w:t>
            </w:r>
            <w:r>
              <w:rPr>
                <w:rFonts w:ascii="宋体" w:hAnsi="宋体" w:cs="宋体" w:eastAsia="宋体" w:hint="default"/>
                <w:sz w:val="18"/>
                <w:szCs w:val="18"/>
              </w:rPr>
              <w:t>（根据其持</w:t>
            </w:r>
            <w:r>
              <w:rPr>
                <w:rFonts w:ascii="宋体" w:hAnsi="宋体" w:cs="宋体" w:eastAsia="宋体" w:hint="default"/>
                <w:spacing w:val="-2"/>
                <w:sz w:val="18"/>
                <w:szCs w:val="18"/>
              </w:rPr>
              <w:t>续</w:t>
            </w:r>
            <w:r>
              <w:rPr>
                <w:rFonts w:ascii="宋体" w:hAnsi="宋体" w:cs="宋体" w:eastAsia="宋体" w:hint="default"/>
                <w:sz w:val="18"/>
                <w:szCs w:val="18"/>
              </w:rPr>
              <w:t>拥有北科亿</w:t>
            </w:r>
          </w:p>
          <w:p>
            <w:pPr>
              <w:pStyle w:val="TableParagraph"/>
              <w:spacing w:line="314"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力公司权益的时间超过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个月的部分进 </w:t>
            </w:r>
            <w:r>
              <w:rPr>
                <w:rFonts w:ascii="宋体" w:hAnsi="宋体" w:cs="宋体" w:eastAsia="宋体" w:hint="default"/>
                <w:spacing w:val="-2"/>
                <w:sz w:val="18"/>
                <w:szCs w:val="18"/>
              </w:rPr>
              <w:t>行确定）自本次发行结束之日起十二个月</w:t>
            </w:r>
            <w:r>
              <w:rPr>
                <w:rFonts w:ascii="宋体" w:hAnsi="宋体" w:cs="宋体" w:eastAsia="宋体" w:hint="default"/>
                <w:sz w:val="18"/>
                <w:szCs w:val="18"/>
              </w:rPr>
              <w:t> </w:t>
            </w:r>
            <w:r>
              <w:rPr>
                <w:rFonts w:ascii="宋体" w:hAnsi="宋体" w:cs="宋体" w:eastAsia="宋体" w:hint="default"/>
                <w:spacing w:val="-3"/>
                <w:sz w:val="18"/>
                <w:szCs w:val="18"/>
              </w:rPr>
              <w:t>内不转让；邢洪海、程树森、贾振丽、霍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守锋、李永杰、赵宏博、田佳星、王可于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本次交易中获得的合计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4,764,931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w:t>
            </w:r>
          </w:p>
          <w:p>
            <w:pPr>
              <w:pStyle w:val="TableParagraph"/>
              <w:spacing w:line="316" w:lineRule="auto" w:before="1"/>
              <w:ind w:left="22" w:right="30"/>
              <w:jc w:val="both"/>
              <w:rPr>
                <w:rFonts w:ascii="宋体" w:hAnsi="宋体" w:cs="宋体" w:eastAsia="宋体" w:hint="default"/>
                <w:sz w:val="18"/>
                <w:szCs w:val="18"/>
              </w:rPr>
            </w:pPr>
            <w:r>
              <w:rPr>
                <w:rFonts w:ascii="宋体" w:hAnsi="宋体" w:cs="宋体" w:eastAsia="宋体" w:hint="default"/>
                <w:sz w:val="18"/>
                <w:szCs w:val="18"/>
              </w:rPr>
              <w:t>（根据其持续拥有北科亿力公司权益的 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个月的部分进行确定）自本</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60" w:type="dxa"/>
            <w:vMerge/>
            <w:tcBorders>
              <w:left w:val="single" w:sz="9" w:space="0" w:color="D2D2D2"/>
              <w:right w:val="single" w:sz="4" w:space="0" w:color="000000"/>
            </w:tcBorders>
          </w:tcPr>
          <w:p>
            <w:pPr/>
          </w:p>
        </w:tc>
        <w:tc>
          <w:tcPr>
            <w:tcW w:w="3260"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123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9" w:space="0" w:color="D2D2D2"/>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shape style="position:absolute;margin-left:340.817017pt;margin-top:450.159973pt;width:91.4pt;height:101.4pt;mso-position-horizontal-relative:page;mso-position-vertical-relative:page;z-index:-955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636" w:lineRule="auto"/>
                    <w:ind w:left="0" w:right="925" w:firstLine="181"/>
                    <w:jc w:val="left"/>
                  </w:pPr>
                  <w:r>
                    <w:rPr/>
                    <w:t>程树森、 资产协议》</w:t>
                  </w:r>
                </w:p>
              </w:txbxContent>
            </v:textbox>
            <w10:wrap type="none"/>
          </v:shape>
        </w:pict>
      </w:r>
      <w:r>
        <w:rPr/>
        <w:pict>
          <v:group style="position:absolute;margin-left:383.019989pt;margin-top:450.159973pt;width:49.2pt;height:101.4pt;mso-position-horizontal-relative:page;mso-position-vertical-relative:page;z-index:-955120" coordorigin="7660,9003" coordsize="984,2028">
            <v:shape style="position:absolute;left:7660;top:9003;width:984;height:2028" coordorigin="7660,9003" coordsize="984,2028" path="m7660,11031l8644,11031,8644,9003,7660,9003,7660,110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317"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次发行结束之日起三十六个月内不转让。</w:t>
            </w:r>
          </w:p>
        </w:tc>
        <w:tc>
          <w:tcPr>
            <w:tcW w:w="993"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并且，其所持股份按照重组报告书中股份</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解锁安排分两期解锁。</w:t>
            </w:r>
          </w:p>
        </w:tc>
        <w:tc>
          <w:tcPr>
            <w:tcW w:w="99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r>
      <w:tr>
        <w:trPr>
          <w:trHeight w:val="362"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梁洪于本次交易中获得的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2,001,270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份（根据其持续拥有科瑞明公司权益的时</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个月的部分进行确定）自本次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发行结束之日起十二个月内不转让；梁洪</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于本次交易中获得的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w:t>
            </w:r>
            <w:r>
              <w:rPr>
                <w:rFonts w:ascii="宋体" w:hAnsi="宋体" w:cs="宋体" w:eastAsia="宋体" w:hint="default"/>
                <w:spacing w:val="-81"/>
                <w:sz w:val="18"/>
                <w:szCs w:val="18"/>
              </w:rPr>
              <w:t>份</w:t>
            </w:r>
            <w:r>
              <w:rPr>
                <w:rFonts w:ascii="宋体" w:hAnsi="宋体" w:cs="宋体" w:eastAsia="宋体" w:hint="default"/>
                <w:sz w:val="18"/>
                <w:szCs w:val="18"/>
              </w:rPr>
              <w:t>（根据</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85"/>
              <w:jc w:val="left"/>
              <w:rPr>
                <w:rFonts w:ascii="宋体" w:hAnsi="宋体" w:cs="宋体" w:eastAsia="宋体" w:hint="default"/>
                <w:sz w:val="18"/>
                <w:szCs w:val="18"/>
              </w:rPr>
            </w:pPr>
            <w:r>
              <w:rPr>
                <w:rFonts w:ascii="宋体" w:hAnsi="宋体" w:cs="宋体" w:eastAsia="宋体" w:hint="default"/>
                <w:sz w:val="18"/>
                <w:szCs w:val="18"/>
              </w:rPr>
              <w:t>梁洪、武文袈、刘 岩</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其持续拥有科瑞明公司权益的时间不足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个月的部分进行确定）自本次发行结</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3"/>
              <w:jc w:val="left"/>
              <w:rPr>
                <w:rFonts w:ascii="宋体" w:hAnsi="宋体" w:cs="宋体" w:eastAsia="宋体" w:hint="default"/>
                <w:sz w:val="18"/>
                <w:szCs w:val="18"/>
              </w:rPr>
            </w:pPr>
            <w:r>
              <w:rPr>
                <w:rFonts w:ascii="宋体" w:hAnsi="宋体" w:cs="宋体" w:eastAsia="宋体" w:hint="default"/>
                <w:sz w:val="18"/>
                <w:szCs w:val="18"/>
              </w:rPr>
              <w:t>束之日起三十六个月内不转让。武文袈、</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刘岩于本次交易中获得的股份自本次发</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行结束之日起三十六个月内不转让。并</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且，其所持股份按照重组报告书中股份解</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锁安排分两期解锁。</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邢洪海、程树森、贾振丽、霍守锋、李永</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杰、赵宏博、田佳星、王可承诺：北科亿</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年经审计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的扣除非经常性损益的净利润分别不低</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2,200</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3" w:right="85"/>
              <w:jc w:val="both"/>
              <w:rPr>
                <w:rFonts w:ascii="宋体" w:hAnsi="宋体" w:cs="宋体" w:eastAsia="宋体" w:hint="default"/>
                <w:sz w:val="18"/>
                <w:szCs w:val="18"/>
              </w:rPr>
            </w:pPr>
            <w:r>
              <w:rPr>
                <w:rFonts w:ascii="宋体" w:hAnsi="宋体" w:cs="宋体" w:eastAsia="宋体" w:hint="default"/>
                <w:sz w:val="18"/>
                <w:szCs w:val="18"/>
              </w:rPr>
              <w:t>邢洪海、程树森、 贾振丽、霍守锋、 李永杰、赵宏博、 田佳星、王可</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13"/>
              <w:jc w:val="both"/>
              <w:rPr>
                <w:rFonts w:ascii="宋体" w:hAnsi="宋体" w:cs="宋体" w:eastAsia="宋体" w:hint="default"/>
                <w:sz w:val="18"/>
                <w:szCs w:val="18"/>
              </w:rPr>
            </w:pPr>
            <w:r>
              <w:rPr>
                <w:rFonts w:ascii="宋体" w:hAnsi="宋体" w:cs="宋体" w:eastAsia="宋体" w:hint="default"/>
                <w:spacing w:val="-2"/>
                <w:sz w:val="18"/>
                <w:szCs w:val="18"/>
              </w:rPr>
              <w:t>万元。以上净利润为归属于母公司股东的</w:t>
            </w:r>
            <w:r>
              <w:rPr>
                <w:rFonts w:ascii="宋体" w:hAnsi="宋体" w:cs="宋体" w:eastAsia="宋体" w:hint="default"/>
                <w:sz w:val="18"/>
                <w:szCs w:val="18"/>
              </w:rPr>
              <w:t> 扣除非经常性损益的净利润。东方国信、 </w:t>
            </w:r>
            <w:r>
              <w:rPr>
                <w:rFonts w:ascii="宋体" w:hAnsi="宋体" w:cs="宋体" w:eastAsia="宋体" w:hint="default"/>
                <w:spacing w:val="-3"/>
                <w:sz w:val="18"/>
                <w:szCs w:val="18"/>
              </w:rPr>
              <w:t>邢洪海、程树森、贾振丽、霍守锋、李永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杰、赵宏博、田佳星、王可确认本次发行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股份购买资产完成后，北科亿力公司如未</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实现上述承诺净利润，则邢洪海、</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贾振丽、霍守锋、李永杰、赵宏博、田佳</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星、王可应按照《发行股份购买</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及其补充协议和《盈利预测补偿协议》及</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13"/>
              <w:jc w:val="left"/>
              <w:rPr>
                <w:rFonts w:ascii="宋体" w:hAnsi="宋体" w:cs="宋体" w:eastAsia="宋体" w:hint="default"/>
                <w:sz w:val="18"/>
                <w:szCs w:val="18"/>
              </w:rPr>
            </w:pPr>
            <w:r>
              <w:rPr>
                <w:rFonts w:ascii="宋体" w:hAnsi="宋体" w:cs="宋体" w:eastAsia="宋体" w:hint="default"/>
                <w:sz w:val="18"/>
                <w:szCs w:val="18"/>
              </w:rPr>
              <w:t>其补充协议的约定对东方国信予以补偿。</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梁洪</w:t>
            </w:r>
            <w:r>
              <w:rPr>
                <w:rFonts w:ascii="宋体" w:hAnsi="宋体" w:cs="宋体" w:eastAsia="宋体" w:hint="default"/>
                <w:spacing w:val="-87"/>
                <w:sz w:val="18"/>
                <w:szCs w:val="18"/>
              </w:rPr>
              <w:t>、</w:t>
            </w:r>
            <w:r>
              <w:rPr>
                <w:rFonts w:ascii="宋体" w:hAnsi="宋体" w:cs="宋体" w:eastAsia="宋体" w:hint="default"/>
                <w:sz w:val="18"/>
                <w:szCs w:val="18"/>
              </w:rPr>
              <w:t>武文袈</w:t>
            </w:r>
            <w:r>
              <w:rPr>
                <w:rFonts w:ascii="宋体" w:hAnsi="宋体" w:cs="宋体" w:eastAsia="宋体" w:hint="default"/>
                <w:spacing w:val="-88"/>
                <w:sz w:val="18"/>
                <w:szCs w:val="18"/>
              </w:rPr>
              <w:t>、</w:t>
            </w:r>
            <w:r>
              <w:rPr>
                <w:rFonts w:ascii="宋体" w:hAnsi="宋体" w:cs="宋体" w:eastAsia="宋体" w:hint="default"/>
                <w:sz w:val="18"/>
                <w:szCs w:val="18"/>
              </w:rPr>
              <w:t>刘岩承诺</w:t>
            </w:r>
            <w:r>
              <w:rPr>
                <w:rFonts w:ascii="宋体" w:hAnsi="宋体" w:cs="宋体" w:eastAsia="宋体" w:hint="default"/>
                <w:spacing w:val="-87"/>
                <w:sz w:val="18"/>
                <w:szCs w:val="18"/>
              </w:rPr>
              <w:t>：</w:t>
            </w:r>
            <w:r>
              <w:rPr>
                <w:rFonts w:ascii="宋体" w:hAnsi="宋体" w:cs="宋体" w:eastAsia="宋体" w:hint="default"/>
                <w:sz w:val="18"/>
                <w:szCs w:val="18"/>
              </w:rPr>
              <w:t>科</w:t>
            </w:r>
            <w:r>
              <w:rPr>
                <w:rFonts w:ascii="宋体" w:hAnsi="宋体" w:cs="宋体" w:eastAsia="宋体" w:hint="default"/>
                <w:spacing w:val="-2"/>
                <w:sz w:val="18"/>
                <w:szCs w:val="18"/>
              </w:rPr>
              <w:t>瑞</w:t>
            </w:r>
            <w:r>
              <w:rPr>
                <w:rFonts w:ascii="宋体" w:hAnsi="宋体" w:cs="宋体" w:eastAsia="宋体" w:hint="default"/>
                <w:sz w:val="18"/>
                <w:szCs w:val="18"/>
              </w:rPr>
              <w:t>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年经审计的扣除非经</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常性损益的净利润分别不低于人民币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800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1,000</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万元。以上净利润</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为归属于母公司股东的扣除非经常性损</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85"/>
              <w:jc w:val="left"/>
              <w:rPr>
                <w:rFonts w:ascii="宋体" w:hAnsi="宋体" w:cs="宋体" w:eastAsia="宋体" w:hint="default"/>
                <w:sz w:val="18"/>
                <w:szCs w:val="18"/>
              </w:rPr>
            </w:pPr>
            <w:r>
              <w:rPr>
                <w:rFonts w:ascii="宋体" w:hAnsi="宋体" w:cs="宋体" w:eastAsia="宋体" w:hint="default"/>
                <w:sz w:val="18"/>
                <w:szCs w:val="18"/>
              </w:rPr>
              <w:t>梁洪、武文袈、刘 岩</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益的净利润。东方国信、科瑞明全体股东</w:t>
            </w:r>
            <w:r>
              <w:rPr>
                <w:rFonts w:ascii="宋体" w:hAnsi="宋体" w:cs="宋体" w:eastAsia="宋体" w:hint="default"/>
                <w:sz w:val="18"/>
                <w:szCs w:val="18"/>
              </w:rPr>
              <w:t> 确认本次现金及发行股份购买资产完成</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后，科瑞明公司如未实现上述承诺净利</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润，则梁洪、武文袈、刘岩应按照《发行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股份购买资产协议》及其补充协议和《盈</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利预测补偿协议》及其补充协议的约定对</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东方国信予以补偿。</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邢洪海、程树森、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邢洪海、程树森、贾振丽、霍守锋、李永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shape style="position:absolute;margin-left:277.894012pt;margin-top:90.11998pt;width:154.3pt;height:265.25pt;mso-position-horizontal-relative:page;mso-position-vertical-relative:page;z-index:-955096"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人及本人的关联方不拥有、</w:t>
                  </w:r>
                </w:p>
              </w:txbxContent>
            </v:textbox>
            <w10:wrap type="none"/>
          </v:shape>
        </w:pict>
      </w:r>
      <w:r>
        <w:rPr/>
        <w:pict>
          <v:shape style="position:absolute;margin-left:349.890991pt;margin-top:355.819977pt;width:82.3pt;height:187.25pt;mso-position-horizontal-relative:page;mso-position-vertical-relative:page;z-index:-955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不拥有、</w:t>
                  </w:r>
                </w:p>
              </w:txbxContent>
            </v:textbox>
            <w10:wrap type="none"/>
          </v:shape>
        </w:pict>
      </w:r>
      <w:r>
        <w:rPr/>
        <w:pict>
          <v:group style="position:absolute;margin-left:383.019989pt;margin-top:90.11998pt;width:49.2pt;height:452.95pt;mso-position-horizontal-relative:page;mso-position-vertical-relative:page;z-index:-955048" coordorigin="7660,1802" coordsize="984,9059">
            <v:group style="position:absolute;left:7660;top:1802;width:984;height:5305" coordorigin="7660,1802" coordsize="984,5305">
              <v:shape style="position:absolute;left:7660;top:1802;width:984;height:5305" coordorigin="7660,1802" coordsize="984,5305" path="m7660,7107l8644,7107,8644,1802,7660,1802,7660,7107xe" filled="true" fillcolor="#ffffff" stroked="false">
                <v:path arrowok="t"/>
                <v:fill type="solid"/>
              </v:shape>
            </v:group>
            <v:group style="position:absolute;left:7660;top:7116;width:984;height:3745" coordorigin="7660,7116" coordsize="984,3745">
              <v:shape style="position:absolute;left:7660;top:7116;width:984;height:3745" coordorigin="7660,7116" coordsize="984,3745" path="m7660,10861l8644,10861,8644,7116,7660,7116,7660,1086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322"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62"/>
              <w:jc w:val="center"/>
              <w:rPr>
                <w:rFonts w:ascii="宋体" w:hAnsi="宋体" w:cs="宋体" w:eastAsia="宋体" w:hint="default"/>
                <w:sz w:val="18"/>
                <w:szCs w:val="18"/>
              </w:rPr>
            </w:pPr>
            <w:r>
              <w:rPr>
                <w:rFonts w:ascii="宋体" w:hAnsi="宋体" w:cs="宋体" w:eastAsia="宋体" w:hint="default"/>
                <w:sz w:val="18"/>
                <w:szCs w:val="18"/>
              </w:rPr>
              <w:t>贾振丽、霍守锋、</w:t>
            </w: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杰、赵宏博、田佳星、王可、梁洪、武文</w:t>
            </w:r>
          </w:p>
        </w:tc>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r>
      <w:tr>
        <w:trPr>
          <w:trHeight w:val="30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2"/>
              <w:jc w:val="center"/>
              <w:rPr>
                <w:rFonts w:ascii="宋体" w:hAnsi="宋体" w:cs="宋体" w:eastAsia="宋体" w:hint="default"/>
                <w:sz w:val="18"/>
                <w:szCs w:val="18"/>
              </w:rPr>
            </w:pPr>
            <w:r>
              <w:rPr>
                <w:rFonts w:ascii="宋体" w:hAnsi="宋体" w:cs="宋体" w:eastAsia="宋体" w:hint="default"/>
                <w:sz w:val="18"/>
                <w:szCs w:val="18"/>
              </w:rPr>
              <w:t>李永杰、赵宏博、</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袈、刘岩已签署《避免同业竞争的承诺</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2"/>
              <w:jc w:val="center"/>
              <w:rPr>
                <w:rFonts w:ascii="宋体" w:hAnsi="宋体" w:cs="宋体" w:eastAsia="宋体" w:hint="default"/>
                <w:sz w:val="18"/>
                <w:szCs w:val="18"/>
              </w:rPr>
            </w:pPr>
            <w:r>
              <w:rPr>
                <w:rFonts w:ascii="宋体" w:hAnsi="宋体" w:cs="宋体" w:eastAsia="宋体" w:hint="default"/>
                <w:sz w:val="18"/>
                <w:szCs w:val="18"/>
              </w:rPr>
              <w:t>田佳星、王可、梁</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承诺</w:t>
            </w:r>
            <w:r>
              <w:rPr>
                <w:rFonts w:ascii="宋体" w:hAnsi="宋体" w:cs="宋体" w:eastAsia="宋体" w:hint="default"/>
                <w:spacing w:val="-55"/>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08"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2"/>
              <w:jc w:val="center"/>
              <w:rPr>
                <w:rFonts w:ascii="宋体" w:hAnsi="宋体" w:cs="宋体" w:eastAsia="宋体" w:hint="default"/>
                <w:sz w:val="18"/>
                <w:szCs w:val="18"/>
              </w:rPr>
            </w:pPr>
            <w:r>
              <w:rPr>
                <w:rFonts w:ascii="宋体" w:hAnsi="宋体" w:cs="宋体" w:eastAsia="宋体" w:hint="default"/>
                <w:sz w:val="18"/>
                <w:szCs w:val="18"/>
              </w:rPr>
              <w:t>洪、武文袈、刘岩</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管理、控制、投资、从事其他任何与东方</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国信、北科亿力公司相同或相近的业务或</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项目，亦不参与拥有、管理、控制、投资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其他任何与东方国信、北科亿力公司相同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或相近的业务或项目，亦不谋求通过与任</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何第三人合资、合作、联营或采取租赁经</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营、承包经营、委托管理等方式直接或间</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接从事与东方国信、北科亿力公司构成竞</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争的业务。本人及本人的关联方若违反上</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述承诺的，将立即停止与东方国信、北科</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亿力公司构成竞争之业务，并采取必要措</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施予以纠正补救；同时对因本人及本人的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关联方未履行本承诺函所作的承诺而给</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东方国信、北科亿力公司造成一切损失和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后果承担赔偿责任。</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科亿力部分股东及核心人员邢洪海、霍守</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峰、田佳星、李永杰、赵宏博、孙争、季</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文、王守生、石宇航、解宁强、吴建已签</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署了关于工作年限与竞业禁止事项的承</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诺函，在承诺函中约定：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）在北科亿</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力任职期间，及不论因何种原因（法律框</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架内）从北科亿力离职后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管理、控制、投资、从事其他任何与北科</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亿力及东方国信从事业务相同或相近的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任何业务或项目，亦不参与拥有、管理、</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85"/>
              <w:jc w:val="both"/>
              <w:rPr>
                <w:rFonts w:ascii="宋体" w:hAnsi="宋体" w:cs="宋体" w:eastAsia="宋体" w:hint="default"/>
                <w:sz w:val="18"/>
                <w:szCs w:val="18"/>
              </w:rPr>
            </w:pPr>
            <w:r>
              <w:rPr>
                <w:rFonts w:ascii="宋体" w:hAnsi="宋体" w:cs="宋体" w:eastAsia="宋体" w:hint="default"/>
                <w:sz w:val="18"/>
                <w:szCs w:val="18"/>
              </w:rPr>
              <w:t>邢洪海、霍守峰、 田佳星、李永杰、 赵宏博、孙争、季 文、王守生、石宇 航、解宁强、吴建</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控制、投资其他任何与北科亿力及东方国</w:t>
            </w:r>
            <w:r>
              <w:rPr>
                <w:rFonts w:ascii="宋体" w:hAnsi="宋体" w:cs="宋体" w:eastAsia="宋体" w:hint="default"/>
                <w:sz w:val="18"/>
                <w:szCs w:val="18"/>
              </w:rPr>
              <w:t> 信从事业务相同或相近的任何业务或项 </w:t>
            </w:r>
            <w:r>
              <w:rPr>
                <w:rFonts w:ascii="宋体" w:hAnsi="宋体" w:cs="宋体" w:eastAsia="宋体" w:hint="default"/>
                <w:spacing w:val="-2"/>
                <w:sz w:val="18"/>
                <w:szCs w:val="18"/>
              </w:rPr>
              <w:t>目，亦不谋求通过与任何第三人合资、合</w:t>
            </w:r>
            <w:r>
              <w:rPr>
                <w:rFonts w:ascii="宋体" w:hAnsi="宋体" w:cs="宋体" w:eastAsia="宋体" w:hint="default"/>
                <w:sz w:val="18"/>
                <w:szCs w:val="18"/>
              </w:rPr>
              <w:t> </w:t>
            </w:r>
            <w:r>
              <w:rPr>
                <w:rFonts w:ascii="宋体" w:hAnsi="宋体" w:cs="宋体" w:eastAsia="宋体" w:hint="default"/>
                <w:spacing w:val="-3"/>
                <w:sz w:val="18"/>
                <w:szCs w:val="18"/>
              </w:rPr>
              <w:t>作、联营或采取租赁经营、承包经营、委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托管理等方式直接或间接从事与北科亿 力及东方国信构成竞争的业务。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作为北科亿力员工期间及不论因何种原</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因（法律框架内）从北科亿力离职后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内，若违反上述承诺的，将立即停止与北</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科亿力及东方国信构成竞争之业务，并采</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取必要措施予以纠正补救；同时对因本人</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未履行本承诺函所作的承诺而给北科亿</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力及东方国信造成一切损失和后果承担</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）承诺自北科亿力股权</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交割日起将与公司签订不短于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年的劳动</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合同，承诺将在公司任职至少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shape style="position:absolute;margin-left:304.899994pt;margin-top:556.839966pt;width:127.3pt;height:179.45pt;mso-position-horizontal-relative:page;mso-position-vertical-relative:page;z-index:-955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0"/>
                    <w:ind w:left="0" w:right="0"/>
                    <w:jc w:val="left"/>
                  </w:pPr>
                  <w:r>
                    <w:rPr/>
                    <w:t>若违反上述承诺的，</w:t>
                  </w:r>
                </w:p>
              </w:txbxContent>
            </v:textbox>
            <w10:wrap type="none"/>
          </v:shape>
        </w:pict>
      </w:r>
      <w:r>
        <w:rPr/>
        <w:pict>
          <v:group style="position:absolute;margin-left:383.019989pt;margin-top:556.839966pt;width:49.2pt;height:179.45pt;mso-position-horizontal-relative:page;mso-position-vertical-relative:page;z-index:-955000" coordorigin="7660,11137" coordsize="984,3589">
            <v:shape style="position:absolute;left:7660;top:11137;width:984;height:3589" coordorigin="7660,11137" coordsize="984,3589" path="m7660,14725l8644,14725,8644,11137,7660,11137,7660,147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358"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梁洪、武文袈、刘岩已签署《避免同业竞</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争的承诺函</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承诺</w:t>
            </w:r>
            <w:r>
              <w:rPr>
                <w:rFonts w:ascii="宋体" w:hAnsi="宋体" w:cs="宋体" w:eastAsia="宋体" w:hint="default"/>
                <w:spacing w:val="-10"/>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本人及本人的关联</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方不拥有、管理、控制、投资、从事其他</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任何与东方国信、科瑞明公司相同或相近</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的业务或项目，亦不参与拥有、管理、控</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制、投资其他任何与东方国信、科瑞明公</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司相同或相近的业务或项目，亦不谋求通</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85"/>
              <w:jc w:val="left"/>
              <w:rPr>
                <w:rFonts w:ascii="宋体" w:hAnsi="宋体" w:cs="宋体" w:eastAsia="宋体" w:hint="default"/>
                <w:sz w:val="18"/>
                <w:szCs w:val="18"/>
              </w:rPr>
            </w:pPr>
            <w:r>
              <w:rPr>
                <w:rFonts w:ascii="宋体" w:hAnsi="宋体" w:cs="宋体" w:eastAsia="宋体" w:hint="default"/>
                <w:sz w:val="18"/>
                <w:szCs w:val="18"/>
              </w:rPr>
              <w:t>梁洪、武文袈、刘 岩</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2"/>
                <w:sz w:val="18"/>
                <w:szCs w:val="18"/>
              </w:rPr>
              <w:t>过与任何第三人合资、合作、联营或采取</w:t>
            </w:r>
            <w:r>
              <w:rPr>
                <w:rFonts w:ascii="宋体" w:hAnsi="宋体" w:cs="宋体" w:eastAsia="宋体" w:hint="default"/>
                <w:sz w:val="18"/>
                <w:szCs w:val="18"/>
              </w:rPr>
              <w:t> </w:t>
            </w:r>
            <w:r>
              <w:rPr>
                <w:rFonts w:ascii="宋体" w:hAnsi="宋体" w:cs="宋体" w:eastAsia="宋体" w:hint="default"/>
                <w:spacing w:val="-2"/>
                <w:sz w:val="18"/>
                <w:szCs w:val="18"/>
              </w:rPr>
              <w:t>租赁经营、承包经营、委托管理等方式直</w:t>
            </w:r>
            <w:r>
              <w:rPr>
                <w:rFonts w:ascii="宋体" w:hAnsi="宋体" w:cs="宋体" w:eastAsia="宋体" w:hint="default"/>
                <w:sz w:val="18"/>
                <w:szCs w:val="18"/>
              </w:rPr>
              <w:t> </w:t>
            </w:r>
            <w:r>
              <w:rPr>
                <w:rFonts w:ascii="宋体" w:hAnsi="宋体" w:cs="宋体" w:eastAsia="宋体" w:hint="default"/>
                <w:spacing w:val="-2"/>
                <w:sz w:val="18"/>
                <w:szCs w:val="18"/>
              </w:rPr>
              <w:t>接或间接从事与东方国信、科瑞明公司构</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成竞争的业务。本人及本人的关联方若违</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反上述承诺的，将立即停止与东方国信、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科瑞明公司构成竞争之业务，并采取必要</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措施予以纠正补救；同时对因本人及本人</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的关联方未履行本承诺函所作的承诺而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给东方国信、科瑞明公司造成一切损失和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后果承担赔偿责任。</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科瑞明原股东及核心人员梁洪、武文袈、</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刘岩、王艳梅、赵祖龙、李永刚已签署了</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关于工作年限与竞业禁止事项的承诺函，</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在承诺函中约定：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）在科瑞明任职期</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间，及不论因何种原因（法律框架内）从</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科瑞明离职后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年内，不拥有、管理、控</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制、投资、从事其他任何与科瑞明及东方</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国信从事业务相同或相近的任何业务或</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项目，亦不参与拥有、管理、控制、投资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其他任何与科瑞明及东方国信从事业务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相同或相近的任何业务或项目，亦不谋求</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85"/>
              <w:jc w:val="both"/>
              <w:rPr>
                <w:rFonts w:ascii="宋体" w:hAnsi="宋体" w:cs="宋体" w:eastAsia="宋体" w:hint="default"/>
                <w:sz w:val="18"/>
                <w:szCs w:val="18"/>
              </w:rPr>
            </w:pPr>
            <w:r>
              <w:rPr>
                <w:rFonts w:ascii="宋体" w:hAnsi="宋体" w:cs="宋体" w:eastAsia="宋体" w:hint="default"/>
                <w:sz w:val="18"/>
                <w:szCs w:val="18"/>
              </w:rPr>
              <w:t>梁洪、武文袈、刘 岩、王艳梅、赵祖 龙、李永刚</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pacing w:val="-2"/>
                <w:sz w:val="18"/>
                <w:szCs w:val="18"/>
              </w:rPr>
              <w:t>通过与任何第三人合资、合作、联营或采</w:t>
            </w:r>
            <w:r>
              <w:rPr>
                <w:rFonts w:ascii="宋体" w:hAnsi="宋体" w:cs="宋体" w:eastAsia="宋体" w:hint="default"/>
                <w:sz w:val="18"/>
                <w:szCs w:val="18"/>
              </w:rPr>
              <w:t> </w:t>
            </w:r>
            <w:r>
              <w:rPr>
                <w:rFonts w:ascii="宋体" w:hAnsi="宋体" w:cs="宋体" w:eastAsia="宋体" w:hint="default"/>
                <w:spacing w:val="-2"/>
                <w:sz w:val="18"/>
                <w:szCs w:val="18"/>
              </w:rPr>
              <w:t>取租赁经营、承包经营、委托管理等方式</w:t>
            </w:r>
            <w:r>
              <w:rPr>
                <w:rFonts w:ascii="宋体" w:hAnsi="宋体" w:cs="宋体" w:eastAsia="宋体" w:hint="default"/>
                <w:sz w:val="18"/>
                <w:szCs w:val="18"/>
              </w:rPr>
              <w:t> 直接或间接从事与科瑞明及东方国信构</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成竞争的业务。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）作为科瑞明员工</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期间及不论因何种原因（法律框架内）从</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科瑞明离职后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年内，</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将立即停止与科瑞明及东方国信构成竞</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争之业务，并采取必要措施予以纠正补</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救；同时对因本人未履行本承诺函所作的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承诺而给科瑞明及东方国信造成一切损</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失和后果承担赔偿责任。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）承诺自</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科瑞明股权交割日起将与公司签订不短</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年的劳动合同，承诺将在公司任职至</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邢洪海、程树森、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邢洪海、程树森、贾振丽、霍守锋、李永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shape style="position:absolute;margin-left:340.817017pt;margin-top:90.11998pt;width:91.4pt;height:358.85pt;mso-position-horizontal-relative:page;mso-position-vertical-relative:page;z-index:-954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5"/>
                      <w:szCs w:val="25"/>
                    </w:rPr>
                  </w:pPr>
                </w:p>
                <w:p>
                  <w:pPr>
                    <w:pStyle w:val="BodyText"/>
                    <w:spacing w:line="240" w:lineRule="auto"/>
                    <w:ind w:left="0" w:right="0"/>
                    <w:jc w:val="left"/>
                  </w:pPr>
                  <w:r>
                    <w:rPr/>
                    <w:t>何情况下，</w:t>
                  </w:r>
                </w:p>
              </w:txbxContent>
            </v:textbox>
            <w10:wrap type="none"/>
          </v:shape>
        </w:pict>
      </w:r>
      <w:r>
        <w:rPr/>
        <w:pict>
          <v:group style="position:absolute;margin-left:383.019989pt;margin-top:90.11998pt;width:49.2pt;height:358.85pt;mso-position-horizontal-relative:page;mso-position-vertical-relative:page;z-index:-954952" coordorigin="7660,1802" coordsize="984,7177">
            <v:shape style="position:absolute;left:7660;top:1802;width:984;height:7177" coordorigin="7660,1802" coordsize="984,7177" path="m7660,8979l8644,8979,8644,1802,7660,1802,7660,89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322"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贾振丽、霍守锋、</w:t>
            </w: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杰、赵宏博、田佳星、王可、梁洪、武文</w:t>
            </w:r>
          </w:p>
        </w:tc>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r>
      <w:tr>
        <w:trPr>
          <w:trHeight w:val="30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李永杰、赵宏博、</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袈、刘岩签署了《关于规范关联交易的承</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田佳星、王可、梁</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0"/>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1</w:t>
            </w:r>
            <w:r>
              <w:rPr>
                <w:rFonts w:ascii="宋体" w:hAnsi="宋体" w:cs="宋体" w:eastAsia="宋体" w:hint="default"/>
                <w:sz w:val="18"/>
                <w:szCs w:val="18"/>
              </w:rPr>
              <w:t>、本人将按照《中华人</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08"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洪、武文袈、刘岩</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民共和国公司法》等法律法规以及东方国</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信公司章程的有关规定行使股东权利；在</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股东大会对涉及本人的关联交易进行表</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本人的关联方将杜绝一切非法占用东方</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国信的资金、资产的行为，在任</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不要求东方国信向本人及本人投资或控</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制的其他企业提供任何形式的担保。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本人及本人的关联方将尽可能地避免和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减少与东方国信的关联交易；对无法避免</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或者有合理原因而发生的关联交易，将遵</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循市场公正、公平、公开的原则，并依法</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签订协议，履行合法程序，按照东方国信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公司章程、有关法律法规和《深圳证券交</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易所创业板股票上市规则》等有关规定履</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行信息披露义务和办理有关报批程序，保</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证不通过关联交易损害东方国信及其他</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、如因本人及本人的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关联方未履行本承诺函所作的承诺而给</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东方国信造成一切损失和后果承担赔偿</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邢洪海、程树森、贾振丽、霍守锋、李永</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杰、赵宏博、田佳星、王可就北科亿力公</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司名称变更相关问题承诺如下：</w:t>
            </w:r>
            <w:r>
              <w:rPr>
                <w:rFonts w:ascii="Times New Roman" w:hAnsi="Times New Roman" w:cs="Times New Roman" w:eastAsia="Times New Roman" w:hint="default"/>
                <w:sz w:val="18"/>
                <w:szCs w:val="18"/>
              </w:rPr>
              <w:t>"</w:t>
            </w:r>
            <w:r>
              <w:rPr>
                <w:rFonts w:ascii="宋体" w:hAnsi="宋体" w:cs="宋体" w:eastAsia="宋体" w:hint="default"/>
                <w:sz w:val="18"/>
                <w:szCs w:val="18"/>
              </w:rPr>
              <w:t>在本次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邢洪海、程树森、</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交易完成，北科亿力成为东方国信子公司</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5"/>
              <w:jc w:val="left"/>
              <w:rPr>
                <w:rFonts w:ascii="宋体" w:hAnsi="宋体" w:cs="宋体" w:eastAsia="宋体" w:hint="default"/>
                <w:sz w:val="18"/>
                <w:szCs w:val="18"/>
              </w:rPr>
            </w:pPr>
            <w:r>
              <w:rPr>
                <w:rFonts w:ascii="宋体" w:hAnsi="宋体" w:cs="宋体" w:eastAsia="宋体" w:hint="default"/>
                <w:sz w:val="18"/>
                <w:szCs w:val="18"/>
              </w:rPr>
              <w:t>贾振丽、霍守锋、 李永杰、赵宏博、</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后，如因教育部相关要求而导致北科亿力</w:t>
            </w:r>
            <w:r>
              <w:rPr>
                <w:rFonts w:ascii="宋体" w:hAnsi="宋体" w:cs="宋体" w:eastAsia="宋体" w:hint="default"/>
                <w:sz w:val="18"/>
                <w:szCs w:val="18"/>
              </w:rPr>
              <w:t> 公司被主管工商行政管理部门要求更改</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田佳星、王可</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其公司名称，且相关更改对北科亿力公司</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及东方国信的生产经营构成重大不利影</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响并造成经济损失的，北科亿力全体股东</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将对该等经济损失进行补偿。</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邢洪海、程树森、贾振丽、霍守锋、李永</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杰、赵宏博、田佳星、王可、梁洪、武文</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85"/>
              <w:jc w:val="both"/>
              <w:rPr>
                <w:rFonts w:ascii="宋体" w:hAnsi="宋体" w:cs="宋体" w:eastAsia="宋体" w:hint="default"/>
                <w:sz w:val="18"/>
                <w:szCs w:val="18"/>
              </w:rPr>
            </w:pPr>
            <w:r>
              <w:rPr>
                <w:rFonts w:ascii="宋体" w:hAnsi="宋体" w:cs="宋体" w:eastAsia="宋体" w:hint="default"/>
                <w:sz w:val="18"/>
                <w:szCs w:val="18"/>
              </w:rPr>
              <w:t>邢洪海、程树森、 贾振丽、霍守锋、 李永杰、赵宏博、 田佳星、王可、梁 洪、武文袈、刘岩</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13"/>
              <w:jc w:val="both"/>
              <w:rPr>
                <w:rFonts w:ascii="宋体" w:hAnsi="宋体" w:cs="宋体" w:eastAsia="宋体" w:hint="default"/>
                <w:sz w:val="18"/>
                <w:szCs w:val="18"/>
              </w:rPr>
            </w:pPr>
            <w:r>
              <w:rPr>
                <w:rFonts w:ascii="宋体" w:hAnsi="宋体" w:cs="宋体" w:eastAsia="宋体" w:hint="default"/>
                <w:spacing w:val="-2"/>
                <w:sz w:val="18"/>
                <w:szCs w:val="18"/>
              </w:rPr>
              <w:t>袈、刘岩签署了《关于保持上市公司独立</w:t>
            </w:r>
            <w:r>
              <w:rPr>
                <w:rFonts w:ascii="宋体" w:hAnsi="宋体" w:cs="宋体" w:eastAsia="宋体" w:hint="default"/>
                <w:sz w:val="18"/>
                <w:szCs w:val="18"/>
              </w:rPr>
              <w:t> </w:t>
            </w:r>
            <w:r>
              <w:rPr>
                <w:rFonts w:ascii="宋体" w:hAnsi="宋体" w:cs="宋体" w:eastAsia="宋体" w:hint="default"/>
                <w:spacing w:val="-6"/>
                <w:w w:val="99"/>
                <w:sz w:val="18"/>
                <w:szCs w:val="18"/>
              </w:rPr>
              <w:t>性的承诺函》，承诺：</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为保障东方国信的</w:t>
            </w:r>
            <w:r>
              <w:rPr>
                <w:rFonts w:ascii="宋体" w:hAnsi="宋体" w:cs="宋体" w:eastAsia="宋体" w:hint="default"/>
                <w:spacing w:val="-87"/>
                <w:w w:val="99"/>
                <w:sz w:val="18"/>
                <w:szCs w:val="18"/>
              </w:rPr>
              <w:t> </w:t>
            </w:r>
            <w:r>
              <w:rPr>
                <w:rFonts w:ascii="宋体" w:hAnsi="宋体" w:cs="宋体" w:eastAsia="宋体" w:hint="default"/>
                <w:spacing w:val="-2"/>
                <w:sz w:val="18"/>
                <w:szCs w:val="18"/>
              </w:rPr>
              <w:t>独立性，本人承诺，在东方国信本次现金</w:t>
            </w:r>
            <w:r>
              <w:rPr>
                <w:rFonts w:ascii="宋体" w:hAnsi="宋体" w:cs="宋体" w:eastAsia="宋体" w:hint="default"/>
                <w:sz w:val="18"/>
                <w:szCs w:val="18"/>
              </w:rPr>
              <w:t> </w:t>
            </w:r>
            <w:r>
              <w:rPr>
                <w:rFonts w:ascii="宋体" w:hAnsi="宋体" w:cs="宋体" w:eastAsia="宋体" w:hint="default"/>
                <w:spacing w:val="-2"/>
                <w:sz w:val="18"/>
                <w:szCs w:val="18"/>
              </w:rPr>
              <w:t>及发行股份购买资产的交易完成后，本人</w:t>
            </w:r>
            <w:r>
              <w:rPr>
                <w:rFonts w:ascii="宋体" w:hAnsi="宋体" w:cs="宋体" w:eastAsia="宋体" w:hint="default"/>
                <w:sz w:val="18"/>
                <w:szCs w:val="18"/>
              </w:rPr>
              <w:t> 及本人的关联方将在业务、资产、财务、 </w:t>
            </w:r>
            <w:r>
              <w:rPr>
                <w:rFonts w:ascii="宋体" w:hAnsi="宋体" w:cs="宋体" w:eastAsia="宋体" w:hint="default"/>
                <w:spacing w:val="-2"/>
                <w:sz w:val="18"/>
                <w:szCs w:val="18"/>
              </w:rPr>
              <w:t>人员、机构等方面继续保持与东方国信的</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相互独立，保证东方国信具有完整的业务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体系和直接面向市场独立经营的能力；并</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986"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保证不影响东方国信的股东大会、董事 </w:t>
            </w:r>
            <w:r>
              <w:rPr>
                <w:rFonts w:ascii="宋体" w:hAnsi="宋体" w:cs="宋体" w:eastAsia="宋体" w:hint="default"/>
                <w:spacing w:val="-3"/>
                <w:sz w:val="18"/>
                <w:szCs w:val="18"/>
              </w:rPr>
              <w:t>会、独立董事、监事会、总经理等依照法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律、法规和公司章程独立行使职权。</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管连平、霍卫平</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
              <w:jc w:val="left"/>
              <w:rPr>
                <w:rFonts w:ascii="宋体" w:hAnsi="宋体" w:cs="宋体" w:eastAsia="宋体" w:hint="default"/>
                <w:sz w:val="18"/>
                <w:szCs w:val="18"/>
              </w:rPr>
            </w:pPr>
            <w:r>
              <w:rPr>
                <w:rFonts w:ascii="宋体" w:hAnsi="宋体" w:cs="宋体" w:eastAsia="宋体" w:hint="default"/>
                <w:spacing w:val="-2"/>
                <w:sz w:val="18"/>
                <w:szCs w:val="18"/>
              </w:rPr>
              <w:t>（一）避免同业竞争承诺：公司控股股东</w:t>
            </w:r>
            <w:r>
              <w:rPr>
                <w:rFonts w:ascii="宋体" w:hAnsi="宋体" w:cs="宋体" w:eastAsia="宋体" w:hint="default"/>
                <w:sz w:val="18"/>
                <w:szCs w:val="18"/>
              </w:rPr>
              <w:t> </w:t>
            </w:r>
            <w:r>
              <w:rPr>
                <w:rFonts w:ascii="宋体" w:hAnsi="宋体" w:cs="宋体" w:eastAsia="宋体" w:hint="default"/>
                <w:spacing w:val="-5"/>
                <w:sz w:val="18"/>
                <w:szCs w:val="18"/>
              </w:rPr>
              <w:t>和实际控制人管连平和霍卫平承诺：（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宋体" w:hAnsi="宋体" w:cs="宋体" w:eastAsia="宋体" w:hint="default"/>
                <w:spacing w:val="-2"/>
                <w:sz w:val="18"/>
                <w:szCs w:val="18"/>
              </w:rPr>
              <w:t>本人、本人控股和参股的公司以及本人实</w:t>
            </w:r>
            <w:r>
              <w:rPr>
                <w:rFonts w:ascii="宋体" w:hAnsi="宋体" w:cs="宋体" w:eastAsia="宋体" w:hint="default"/>
                <w:sz w:val="18"/>
                <w:szCs w:val="18"/>
              </w:rPr>
              <w:t> 际控制的公司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附属公司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目前并没有直 接或间接地从事任何与股份公司以及股 份公司的控股子公司实际从事的业务存 </w:t>
            </w:r>
            <w:r>
              <w:rPr>
                <w:rFonts w:ascii="宋体" w:hAnsi="宋体" w:cs="宋体" w:eastAsia="宋体" w:hint="default"/>
                <w:spacing w:val="-7"/>
                <w:sz w:val="18"/>
                <w:szCs w:val="18"/>
              </w:rPr>
              <w:t>在竞争的任何业务活动。（</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）本人及附属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公司在今后的任何时间不会直接或间接 地以任何方式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包括但不限于自营、合资 或联营</w:t>
            </w:r>
            <w:r>
              <w:rPr>
                <w:rFonts w:ascii="Times New Roman" w:hAnsi="Times New Roman" w:cs="Times New Roman" w:eastAsia="Times New Roman" w:hint="default"/>
                <w:sz w:val="18"/>
                <w:szCs w:val="18"/>
              </w:rPr>
              <w:t>)</w:t>
            </w:r>
            <w:r>
              <w:rPr>
                <w:rFonts w:ascii="宋体" w:hAnsi="宋体" w:cs="宋体" w:eastAsia="宋体" w:hint="default"/>
                <w:sz w:val="18"/>
                <w:szCs w:val="18"/>
              </w:rPr>
              <w:t>参与或进行与股份公司以及股份 公司的控股子公司实际从事的业务存在 </w:t>
            </w:r>
            <w:r>
              <w:rPr>
                <w:rFonts w:ascii="宋体" w:hAnsi="宋体" w:cs="宋体" w:eastAsia="宋体" w:hint="default"/>
                <w:spacing w:val="-2"/>
                <w:sz w:val="18"/>
                <w:szCs w:val="18"/>
              </w:rPr>
              <w:t>直接或间接竞争的任何业务活动。凡本人</w:t>
            </w:r>
            <w:r>
              <w:rPr>
                <w:rFonts w:ascii="宋体" w:hAnsi="宋体" w:cs="宋体" w:eastAsia="宋体" w:hint="default"/>
                <w:sz w:val="18"/>
                <w:szCs w:val="18"/>
              </w:rPr>
              <w:t> </w:t>
            </w:r>
            <w:r>
              <w:rPr>
                <w:rFonts w:ascii="宋体" w:hAnsi="宋体" w:cs="宋体" w:eastAsia="宋体" w:hint="default"/>
                <w:spacing w:val="-2"/>
                <w:sz w:val="18"/>
                <w:szCs w:val="18"/>
              </w:rPr>
              <w:t>及附属公司有任何商业机会可从事、参与</w:t>
            </w:r>
            <w:r>
              <w:rPr>
                <w:rFonts w:ascii="宋体" w:hAnsi="宋体" w:cs="宋体" w:eastAsia="宋体" w:hint="default"/>
                <w:sz w:val="18"/>
                <w:szCs w:val="18"/>
              </w:rPr>
              <w:t> 或入股任何可能会与股份公司以及股份 公司的控股子公司生产经营构成竞争的 </w:t>
            </w:r>
            <w:r>
              <w:rPr>
                <w:rFonts w:ascii="宋体" w:hAnsi="宋体" w:cs="宋体" w:eastAsia="宋体" w:hint="default"/>
                <w:spacing w:val="-2"/>
                <w:sz w:val="18"/>
                <w:szCs w:val="18"/>
              </w:rPr>
              <w:t>业务，本人及附属公司会将上述商业机会</w:t>
            </w:r>
            <w:r>
              <w:rPr>
                <w:rFonts w:ascii="宋体" w:hAnsi="宋体" w:cs="宋体" w:eastAsia="宋体" w:hint="default"/>
                <w:sz w:val="18"/>
                <w:szCs w:val="18"/>
              </w:rPr>
              <w:t> 让予股份公司或者股份公司的控股子公 </w:t>
            </w:r>
            <w:r>
              <w:rPr>
                <w:rFonts w:ascii="宋体" w:hAnsi="宋体" w:cs="宋体" w:eastAsia="宋体" w:hint="default"/>
                <w:spacing w:val="-7"/>
                <w:sz w:val="18"/>
                <w:szCs w:val="18"/>
              </w:rPr>
              <w:t>司。（</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）本人将充分尊重股份公司的独立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法人地位，严格遵守股份公司的公司章 程，保证股份公司独立经营、自主决策。 本人将严格按照公司法以及股份公司的 </w:t>
            </w:r>
            <w:r>
              <w:rPr>
                <w:rFonts w:ascii="宋体" w:hAnsi="宋体" w:cs="宋体" w:eastAsia="宋体" w:hint="default"/>
                <w:spacing w:val="-2"/>
                <w:sz w:val="18"/>
                <w:szCs w:val="18"/>
              </w:rPr>
              <w:t>公司章程规定，促使经本人提名的股份公</w:t>
            </w:r>
            <w:r>
              <w:rPr>
                <w:rFonts w:ascii="宋体" w:hAnsi="宋体" w:cs="宋体" w:eastAsia="宋体" w:hint="default"/>
                <w:sz w:val="18"/>
                <w:szCs w:val="18"/>
              </w:rPr>
              <w:t> 司董事依法履行其应尽的诚信和勤勉责 </w:t>
            </w:r>
            <w:r>
              <w:rPr>
                <w:rFonts w:ascii="宋体" w:hAnsi="宋体" w:cs="宋体" w:eastAsia="宋体" w:hint="default"/>
                <w:spacing w:val="-7"/>
                <w:sz w:val="18"/>
                <w:szCs w:val="18"/>
              </w:rPr>
              <w:t>任。（</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）本人将善意履行作为股份公司的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股东和实际控制人的义务，不利用该股东</w:t>
            </w:r>
            <w:r>
              <w:rPr>
                <w:rFonts w:ascii="宋体" w:hAnsi="宋体" w:cs="宋体" w:eastAsia="宋体" w:hint="default"/>
                <w:sz w:val="18"/>
                <w:szCs w:val="18"/>
              </w:rPr>
              <w:t> </w:t>
            </w:r>
            <w:r>
              <w:rPr>
                <w:rFonts w:ascii="宋体" w:hAnsi="宋体" w:cs="宋体" w:eastAsia="宋体" w:hint="default"/>
                <w:spacing w:val="-2"/>
                <w:sz w:val="18"/>
                <w:szCs w:val="18"/>
              </w:rPr>
              <w:t>地位，就股份公司与本人或附属公司相关</w:t>
            </w:r>
            <w:r>
              <w:rPr>
                <w:rFonts w:ascii="宋体" w:hAnsi="宋体" w:cs="宋体" w:eastAsia="宋体" w:hint="default"/>
                <w:sz w:val="18"/>
                <w:szCs w:val="18"/>
              </w:rPr>
              <w:t> 的任何关联交易采取任何不利于股份公 </w:t>
            </w:r>
            <w:r>
              <w:rPr>
                <w:rFonts w:ascii="宋体" w:hAnsi="宋体" w:cs="宋体" w:eastAsia="宋体" w:hint="default"/>
                <w:spacing w:val="-2"/>
                <w:sz w:val="18"/>
                <w:szCs w:val="18"/>
              </w:rPr>
              <w:t>司的行动，或故意促使股份公司的股东大</w:t>
            </w:r>
            <w:r>
              <w:rPr>
                <w:rFonts w:ascii="宋体" w:hAnsi="宋体" w:cs="宋体" w:eastAsia="宋体" w:hint="default"/>
                <w:sz w:val="18"/>
                <w:szCs w:val="18"/>
              </w:rPr>
              <w:t> 会或董事会作出侵犯股份公司其他股东 </w:t>
            </w:r>
            <w:r>
              <w:rPr>
                <w:rFonts w:ascii="宋体" w:hAnsi="宋体" w:cs="宋体" w:eastAsia="宋体" w:hint="default"/>
                <w:spacing w:val="-2"/>
                <w:sz w:val="18"/>
                <w:szCs w:val="18"/>
              </w:rPr>
              <w:t>合法权益的决议。如果股份公司必须与本</w:t>
            </w:r>
            <w:r>
              <w:rPr>
                <w:rFonts w:ascii="宋体" w:hAnsi="宋体" w:cs="宋体" w:eastAsia="宋体" w:hint="default"/>
                <w:sz w:val="18"/>
                <w:szCs w:val="18"/>
              </w:rPr>
              <w:t> </w:t>
            </w:r>
            <w:r>
              <w:rPr>
                <w:rFonts w:ascii="宋体" w:hAnsi="宋体" w:cs="宋体" w:eastAsia="宋体" w:hint="default"/>
                <w:spacing w:val="-2"/>
                <w:sz w:val="18"/>
                <w:szCs w:val="18"/>
              </w:rPr>
              <w:t>人或附属公司发生任何关联交易，则本人</w:t>
            </w:r>
            <w:r>
              <w:rPr>
                <w:rFonts w:ascii="宋体" w:hAnsi="宋体" w:cs="宋体" w:eastAsia="宋体" w:hint="default"/>
                <w:sz w:val="18"/>
                <w:szCs w:val="18"/>
              </w:rPr>
              <w:t> 承诺将促使上述交易按照公平合理的和 </w:t>
            </w:r>
            <w:r>
              <w:rPr>
                <w:rFonts w:ascii="宋体" w:hAnsi="宋体" w:cs="宋体" w:eastAsia="宋体" w:hint="default"/>
                <w:spacing w:val="-2"/>
                <w:sz w:val="18"/>
                <w:szCs w:val="18"/>
              </w:rPr>
              <w:t>正常商业交易条件进行。本人及附属公司</w:t>
            </w:r>
            <w:r>
              <w:rPr>
                <w:rFonts w:ascii="宋体" w:hAnsi="宋体" w:cs="宋体" w:eastAsia="宋体" w:hint="default"/>
                <w:sz w:val="18"/>
                <w:szCs w:val="18"/>
              </w:rPr>
              <w:t> 将不会要求或接受股份公司给予比任何 一项市场公平交易中第三者更优惠的条 </w:t>
            </w:r>
            <w:r>
              <w:rPr>
                <w:rFonts w:ascii="宋体" w:hAnsi="宋体" w:cs="宋体" w:eastAsia="宋体" w:hint="default"/>
                <w:spacing w:val="-7"/>
                <w:sz w:val="18"/>
                <w:szCs w:val="18"/>
              </w:rPr>
              <w:t>件。（</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）本人及附属公司将严格和善意地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履行与股份公司签订的各种关联交易协 </w:t>
            </w:r>
            <w:r>
              <w:rPr>
                <w:rFonts w:ascii="宋体" w:hAnsi="宋体" w:cs="宋体" w:eastAsia="宋体" w:hint="default"/>
                <w:spacing w:val="-2"/>
                <w:sz w:val="18"/>
                <w:szCs w:val="18"/>
              </w:rPr>
              <w:t>议。本人承诺将不会向股份公司谋求任何</w:t>
            </w:r>
            <w:r>
              <w:rPr>
                <w:rFonts w:ascii="宋体" w:hAnsi="宋体" w:cs="宋体" w:eastAsia="宋体" w:hint="default"/>
                <w:sz w:val="18"/>
                <w:szCs w:val="18"/>
              </w:rPr>
              <w:t> 超出上述协议规定以外的利益或收益。</w:t>
            </w:r>
          </w:p>
          <w:p>
            <w:pPr>
              <w:pStyle w:val="TableParagraph"/>
              <w:spacing w:line="300" w:lineRule="auto" w:before="20"/>
              <w:ind w:left="22" w:right="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）如果本人违反上述声明、保证与承 </w:t>
            </w:r>
            <w:r>
              <w:rPr>
                <w:rFonts w:ascii="宋体" w:hAnsi="宋体" w:cs="宋体" w:eastAsia="宋体" w:hint="default"/>
                <w:spacing w:val="-8"/>
                <w:sz w:val="18"/>
                <w:szCs w:val="18"/>
              </w:rPr>
              <w:t>诺，本人同意给予股份公司赔偿。（</w:t>
            </w:r>
            <w:r>
              <w:rPr>
                <w:rFonts w:ascii="Times New Roman" w:hAnsi="Times New Roman" w:cs="Times New Roman" w:eastAsia="Times New Roman" w:hint="default"/>
                <w:spacing w:val="-8"/>
                <w:sz w:val="18"/>
                <w:szCs w:val="18"/>
              </w:rPr>
              <w:t>7</w:t>
            </w:r>
            <w:r>
              <w:rPr>
                <w:rFonts w:ascii="宋体" w:hAnsi="宋体" w:cs="宋体" w:eastAsia="宋体" w:hint="default"/>
                <w:spacing w:val="-8"/>
                <w:sz w:val="18"/>
                <w:szCs w:val="18"/>
              </w:rPr>
              <w:t>）本</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7"/>
      </w:tblGrid>
      <w:tr>
        <w:trPr>
          <w:trHeight w:val="7227"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3"/>
              <w:jc w:val="both"/>
              <w:rPr>
                <w:rFonts w:ascii="宋体" w:hAnsi="宋体" w:cs="宋体" w:eastAsia="宋体" w:hint="default"/>
                <w:sz w:val="18"/>
                <w:szCs w:val="18"/>
              </w:rPr>
            </w:pPr>
            <w:r>
              <w:rPr>
                <w:rFonts w:ascii="宋体" w:hAnsi="宋体" w:cs="宋体" w:eastAsia="宋体" w:hint="default"/>
                <w:spacing w:val="-2"/>
                <w:sz w:val="18"/>
                <w:szCs w:val="18"/>
              </w:rPr>
              <w:t>声明、承诺与保证将持续有效，直至本人</w:t>
            </w:r>
            <w:r>
              <w:rPr>
                <w:rFonts w:ascii="宋体" w:hAnsi="宋体" w:cs="宋体" w:eastAsia="宋体" w:hint="default"/>
                <w:sz w:val="18"/>
                <w:szCs w:val="18"/>
              </w:rPr>
              <w:t> 不再为持有股份公司的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 东或股份公司的实际控制人的地位为止。</w:t>
            </w:r>
          </w:p>
          <w:p>
            <w:pPr>
              <w:pStyle w:val="TableParagraph"/>
              <w:spacing w:line="314" w:lineRule="auto" w:before="24"/>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）本声明、承诺与保证可被视为对股 份公司及其他股东共同和分别作出的声 </w:t>
            </w:r>
            <w:r>
              <w:rPr>
                <w:rFonts w:ascii="宋体" w:hAnsi="宋体" w:cs="宋体" w:eastAsia="宋体" w:hint="default"/>
                <w:spacing w:val="-7"/>
                <w:sz w:val="18"/>
                <w:szCs w:val="18"/>
              </w:rPr>
              <w:t>明、承诺和保证。（</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）截至本承诺函出具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之日，除投资东方国信并通过仁邦翰威和</w:t>
            </w:r>
            <w:r>
              <w:rPr>
                <w:rFonts w:ascii="宋体" w:hAnsi="宋体" w:cs="宋体" w:eastAsia="宋体" w:hint="default"/>
                <w:sz w:val="18"/>
                <w:szCs w:val="18"/>
              </w:rPr>
              <w:t> </w:t>
            </w:r>
            <w:r>
              <w:rPr>
                <w:rFonts w:ascii="宋体" w:hAnsi="宋体" w:cs="宋体" w:eastAsia="宋体" w:hint="default"/>
                <w:spacing w:val="-2"/>
                <w:sz w:val="18"/>
                <w:szCs w:val="18"/>
              </w:rPr>
              <w:t>仁邦时代持有东方国信股份之外，本人不</w:t>
            </w:r>
            <w:r>
              <w:rPr>
                <w:rFonts w:ascii="宋体" w:hAnsi="宋体" w:cs="宋体" w:eastAsia="宋体" w:hint="default"/>
                <w:sz w:val="18"/>
                <w:szCs w:val="18"/>
              </w:rPr>
              <w:t> </w:t>
            </w:r>
            <w:r>
              <w:rPr>
                <w:rFonts w:ascii="宋体" w:hAnsi="宋体" w:cs="宋体" w:eastAsia="宋体" w:hint="default"/>
                <w:spacing w:val="-2"/>
                <w:sz w:val="18"/>
                <w:szCs w:val="18"/>
              </w:rPr>
              <w:t>存在其他直接或间接对外投资行为。但是</w:t>
            </w:r>
            <w:r>
              <w:rPr>
                <w:rFonts w:ascii="宋体" w:hAnsi="宋体" w:cs="宋体" w:eastAsia="宋体" w:hint="default"/>
                <w:sz w:val="18"/>
                <w:szCs w:val="18"/>
              </w:rPr>
              <w:t> </w:t>
            </w:r>
            <w:r>
              <w:rPr>
                <w:rFonts w:ascii="宋体" w:hAnsi="宋体" w:cs="宋体" w:eastAsia="宋体" w:hint="default"/>
                <w:spacing w:val="-2"/>
                <w:sz w:val="18"/>
                <w:szCs w:val="18"/>
              </w:rPr>
              <w:t>本人在此确认，上述承诺将适用于本人在</w:t>
            </w:r>
            <w:r>
              <w:rPr>
                <w:rFonts w:ascii="宋体" w:hAnsi="宋体" w:cs="宋体" w:eastAsia="宋体" w:hint="default"/>
                <w:sz w:val="18"/>
                <w:szCs w:val="18"/>
              </w:rPr>
              <w:t> 未来控制</w:t>
            </w:r>
            <w:r>
              <w:rPr>
                <w:rFonts w:ascii="Times New Roman" w:hAnsi="Times New Roman" w:cs="Times New Roman" w:eastAsia="Times New Roman" w:hint="default"/>
                <w:sz w:val="18"/>
                <w:szCs w:val="18"/>
              </w:rPr>
              <w:t>(</w:t>
            </w:r>
            <w:r>
              <w:rPr>
                <w:rFonts w:ascii="宋体" w:hAnsi="宋体" w:cs="宋体" w:eastAsia="宋体" w:hint="default"/>
                <w:sz w:val="18"/>
                <w:szCs w:val="18"/>
              </w:rPr>
              <w:t>包括直接控制和间接控制</w:t>
            </w:r>
            <w:r>
              <w:rPr>
                <w:rFonts w:ascii="Times New Roman" w:hAnsi="Times New Roman" w:cs="Times New Roman" w:eastAsia="Times New Roman" w:hint="default"/>
                <w:sz w:val="18"/>
                <w:szCs w:val="18"/>
              </w:rPr>
              <w:t>)</w:t>
            </w:r>
            <w:r>
              <w:rPr>
                <w:rFonts w:ascii="宋体" w:hAnsi="宋体" w:cs="宋体" w:eastAsia="宋体" w:hint="default"/>
                <w:sz w:val="18"/>
                <w:szCs w:val="18"/>
              </w:rPr>
              <w:t>的除 股份公司及其控股子企业以外的其他子 </w:t>
            </w:r>
            <w:r>
              <w:rPr>
                <w:rFonts w:ascii="宋体" w:hAnsi="宋体" w:cs="宋体" w:eastAsia="宋体" w:hint="default"/>
                <w:spacing w:val="-5"/>
                <w:sz w:val="18"/>
                <w:szCs w:val="18"/>
              </w:rPr>
              <w:t>企业。（二）股份锁定承诺公司共同实际</w:t>
            </w:r>
            <w:r>
              <w:rPr>
                <w:rFonts w:ascii="宋体" w:hAnsi="宋体" w:cs="宋体" w:eastAsia="宋体" w:hint="default"/>
                <w:sz w:val="18"/>
                <w:szCs w:val="18"/>
              </w:rPr>
              <w:t> </w:t>
            </w:r>
            <w:r>
              <w:rPr>
                <w:rFonts w:ascii="宋体" w:hAnsi="宋体" w:cs="宋体" w:eastAsia="宋体" w:hint="default"/>
                <w:spacing w:val="-2"/>
                <w:sz w:val="18"/>
                <w:szCs w:val="18"/>
              </w:rPr>
              <w:t>控制人管连平和霍卫平承诺：自公司股票</w:t>
            </w:r>
            <w:r>
              <w:rPr>
                <w:rFonts w:ascii="宋体" w:hAnsi="宋体" w:cs="宋体" w:eastAsia="宋体" w:hint="default"/>
                <w:sz w:val="18"/>
                <w:szCs w:val="18"/>
              </w:rPr>
              <w:t> </w:t>
            </w:r>
            <w:r>
              <w:rPr>
                <w:rFonts w:ascii="宋体" w:hAnsi="宋体" w:cs="宋体" w:eastAsia="宋体" w:hint="default"/>
                <w:spacing w:val="-2"/>
                <w:sz w:val="18"/>
                <w:szCs w:val="18"/>
              </w:rPr>
              <w:t>上市之日起三十六个月内，不转让或者委</w:t>
            </w:r>
            <w:r>
              <w:rPr>
                <w:rFonts w:ascii="宋体" w:hAnsi="宋体" w:cs="宋体" w:eastAsia="宋体" w:hint="default"/>
                <w:sz w:val="18"/>
                <w:szCs w:val="18"/>
              </w:rPr>
              <w:t> 托他人管理其直接或者间接持有的公司 </w:t>
            </w:r>
            <w:r>
              <w:rPr>
                <w:rFonts w:ascii="宋体" w:hAnsi="宋体" w:cs="宋体" w:eastAsia="宋体" w:hint="default"/>
                <w:spacing w:val="-2"/>
                <w:sz w:val="18"/>
                <w:szCs w:val="18"/>
              </w:rPr>
              <w:t>公开发行股票前已发行的股份，也不由公</w:t>
            </w:r>
            <w:r>
              <w:rPr>
                <w:rFonts w:ascii="宋体" w:hAnsi="宋体" w:cs="宋体" w:eastAsia="宋体" w:hint="default"/>
                <w:sz w:val="18"/>
                <w:szCs w:val="18"/>
              </w:rPr>
              <w:t> 司回购其直接或者间接持有的公司公开 发行股票已持有的股份。除前述锁定期 </w:t>
            </w:r>
            <w:r>
              <w:rPr>
                <w:rFonts w:ascii="宋体" w:hAnsi="宋体" w:cs="宋体" w:eastAsia="宋体" w:hint="default"/>
                <w:spacing w:val="-2"/>
                <w:sz w:val="18"/>
                <w:szCs w:val="18"/>
              </w:rPr>
              <w:t>外，本人在公司任职期间每年转让的股份</w:t>
            </w:r>
            <w:r>
              <w:rPr>
                <w:rFonts w:ascii="宋体" w:hAnsi="宋体" w:cs="宋体" w:eastAsia="宋体" w:hint="default"/>
                <w:sz w:val="18"/>
                <w:szCs w:val="18"/>
              </w:rPr>
              <w:t> 不超过所持有公司股份总数的百分之二 </w:t>
            </w:r>
            <w:r>
              <w:rPr>
                <w:rFonts w:ascii="宋体" w:hAnsi="宋体" w:cs="宋体" w:eastAsia="宋体" w:hint="default"/>
                <w:spacing w:val="-2"/>
                <w:sz w:val="18"/>
                <w:szCs w:val="18"/>
              </w:rPr>
              <w:t>十五；离职后半年内，不转让所持有的公</w:t>
            </w:r>
            <w:r>
              <w:rPr>
                <w:rFonts w:ascii="宋体" w:hAnsi="宋体" w:cs="宋体" w:eastAsia="宋体" w:hint="default"/>
                <w:sz w:val="18"/>
                <w:szCs w:val="18"/>
              </w:rPr>
              <w:t> 司股份。</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管连平、霍卫平</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公司控股股东和共同实际控制人管连平 </w:t>
            </w:r>
            <w:r>
              <w:rPr>
                <w:rFonts w:ascii="宋体" w:hAnsi="宋体" w:cs="宋体" w:eastAsia="宋体" w:hint="default"/>
                <w:spacing w:val="-2"/>
                <w:sz w:val="18"/>
                <w:szCs w:val="18"/>
              </w:rPr>
              <w:t>和霍卫平先生分别出具了《减少和规范关</w:t>
            </w:r>
            <w:r>
              <w:rPr>
                <w:rFonts w:ascii="宋体" w:hAnsi="宋体" w:cs="宋体" w:eastAsia="宋体" w:hint="default"/>
                <w:sz w:val="18"/>
                <w:szCs w:val="18"/>
              </w:rPr>
              <w:t> </w:t>
            </w:r>
            <w:r>
              <w:rPr>
                <w:rFonts w:ascii="宋体" w:hAnsi="宋体" w:cs="宋体" w:eastAsia="宋体" w:hint="default"/>
                <w:spacing w:val="-6"/>
                <w:w w:val="99"/>
                <w:sz w:val="18"/>
                <w:szCs w:val="18"/>
              </w:rPr>
              <w:t>联交易承诺函》，承诺：</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截至本承诺函出</w:t>
            </w:r>
            <w:r>
              <w:rPr>
                <w:rFonts w:ascii="宋体" w:hAnsi="宋体" w:cs="宋体" w:eastAsia="宋体" w:hint="default"/>
                <w:spacing w:val="-87"/>
                <w:w w:val="99"/>
                <w:sz w:val="18"/>
                <w:szCs w:val="18"/>
              </w:rPr>
              <w:t> </w:t>
            </w:r>
            <w:r>
              <w:rPr>
                <w:rFonts w:ascii="宋体" w:hAnsi="宋体" w:cs="宋体" w:eastAsia="宋体" w:hint="default"/>
                <w:spacing w:val="-2"/>
                <w:sz w:val="18"/>
                <w:szCs w:val="18"/>
              </w:rPr>
              <w:t>具日，本人与股份公司之间不存在关联交</w:t>
            </w:r>
            <w:r>
              <w:rPr>
                <w:rFonts w:ascii="宋体" w:hAnsi="宋体" w:cs="宋体" w:eastAsia="宋体" w:hint="default"/>
                <w:sz w:val="18"/>
                <w:szCs w:val="18"/>
              </w:rPr>
              <w:t> </w:t>
            </w:r>
            <w:r>
              <w:rPr>
                <w:rFonts w:ascii="宋体" w:hAnsi="宋体" w:cs="宋体" w:eastAsia="宋体" w:hint="default"/>
                <w:spacing w:val="-2"/>
                <w:sz w:val="18"/>
                <w:szCs w:val="18"/>
              </w:rPr>
              <w:t>易；本人将尽量避免与股份公司之间产生</w:t>
            </w:r>
            <w:r>
              <w:rPr>
                <w:rFonts w:ascii="宋体" w:hAnsi="宋体" w:cs="宋体" w:eastAsia="宋体" w:hint="default"/>
                <w:sz w:val="18"/>
                <w:szCs w:val="18"/>
              </w:rPr>
              <w:t> </w:t>
            </w:r>
            <w:r>
              <w:rPr>
                <w:rFonts w:ascii="宋体" w:hAnsi="宋体" w:cs="宋体" w:eastAsia="宋体" w:hint="default"/>
                <w:spacing w:val="-2"/>
                <w:sz w:val="18"/>
                <w:szCs w:val="18"/>
              </w:rPr>
              <w:t>关联交易事项，对于不可避免发生的关联</w:t>
            </w:r>
            <w:r>
              <w:rPr>
                <w:rFonts w:ascii="宋体" w:hAnsi="宋体" w:cs="宋体" w:eastAsia="宋体" w:hint="default"/>
                <w:sz w:val="18"/>
                <w:szCs w:val="18"/>
              </w:rPr>
              <w:t> </w:t>
            </w:r>
            <w:r>
              <w:rPr>
                <w:rFonts w:ascii="宋体" w:hAnsi="宋体" w:cs="宋体" w:eastAsia="宋体" w:hint="default"/>
                <w:spacing w:val="-2"/>
                <w:sz w:val="18"/>
                <w:szCs w:val="18"/>
              </w:rPr>
              <w:t>业务往来或交易，将在平等、自愿的基础</w:t>
            </w:r>
            <w:r>
              <w:rPr>
                <w:rFonts w:ascii="宋体" w:hAnsi="宋体" w:cs="宋体" w:eastAsia="宋体" w:hint="default"/>
                <w:sz w:val="18"/>
                <w:szCs w:val="18"/>
              </w:rPr>
              <w:t> </w:t>
            </w:r>
            <w:r>
              <w:rPr>
                <w:rFonts w:ascii="宋体" w:hAnsi="宋体" w:cs="宋体" w:eastAsia="宋体" w:hint="default"/>
                <w:spacing w:val="-2"/>
                <w:sz w:val="18"/>
                <w:szCs w:val="18"/>
              </w:rPr>
              <w:t>上，按照公平、公允和等价有偿的原则进</w:t>
            </w:r>
            <w:r>
              <w:rPr>
                <w:rFonts w:ascii="宋体" w:hAnsi="宋体" w:cs="宋体" w:eastAsia="宋体" w:hint="default"/>
                <w:sz w:val="18"/>
                <w:szCs w:val="18"/>
              </w:rPr>
              <w:t> </w:t>
            </w:r>
            <w:r>
              <w:rPr>
                <w:rFonts w:ascii="宋体" w:hAnsi="宋体" w:cs="宋体" w:eastAsia="宋体" w:hint="default"/>
                <w:spacing w:val="-2"/>
                <w:sz w:val="18"/>
                <w:szCs w:val="18"/>
              </w:rPr>
              <w:t>行，交易价格将按照市场公认的合理价格</w:t>
            </w:r>
            <w:r>
              <w:rPr>
                <w:rFonts w:ascii="宋体" w:hAnsi="宋体" w:cs="宋体" w:eastAsia="宋体" w:hint="default"/>
                <w:sz w:val="18"/>
                <w:szCs w:val="18"/>
              </w:rPr>
              <w:t> </w:t>
            </w:r>
            <w:r>
              <w:rPr>
                <w:rFonts w:ascii="宋体" w:hAnsi="宋体" w:cs="宋体" w:eastAsia="宋体" w:hint="default"/>
                <w:spacing w:val="-2"/>
                <w:sz w:val="18"/>
                <w:szCs w:val="18"/>
              </w:rPr>
              <w:t>确定。本人将严格遵守股份公司章程中关</w:t>
            </w:r>
            <w:r>
              <w:rPr>
                <w:rFonts w:ascii="宋体" w:hAnsi="宋体" w:cs="宋体" w:eastAsia="宋体" w:hint="default"/>
                <w:sz w:val="18"/>
                <w:szCs w:val="18"/>
              </w:rPr>
              <w:t> </w:t>
            </w:r>
            <w:r>
              <w:rPr>
                <w:rFonts w:ascii="宋体" w:hAnsi="宋体" w:cs="宋体" w:eastAsia="宋体" w:hint="default"/>
                <w:spacing w:val="-2"/>
                <w:sz w:val="18"/>
                <w:szCs w:val="18"/>
              </w:rPr>
              <w:t>于关联交易事项的回避规定，所涉及的关</w:t>
            </w:r>
            <w:r>
              <w:rPr>
                <w:rFonts w:ascii="宋体" w:hAnsi="宋体" w:cs="宋体" w:eastAsia="宋体" w:hint="default"/>
                <w:sz w:val="18"/>
                <w:szCs w:val="18"/>
              </w:rPr>
              <w:t> 联交易均将按照股份公司关联交易决策 </w:t>
            </w:r>
            <w:r>
              <w:rPr>
                <w:rFonts w:ascii="宋体" w:hAnsi="宋体" w:cs="宋体" w:eastAsia="宋体" w:hint="default"/>
                <w:spacing w:val="-2"/>
                <w:sz w:val="18"/>
                <w:szCs w:val="18"/>
              </w:rPr>
              <w:t>程序进行，并将履行合法程序，及时对关</w:t>
            </w:r>
            <w:r>
              <w:rPr>
                <w:rFonts w:ascii="宋体" w:hAnsi="宋体" w:cs="宋体" w:eastAsia="宋体" w:hint="default"/>
                <w:sz w:val="18"/>
                <w:szCs w:val="18"/>
              </w:rPr>
              <w:t> </w:t>
            </w:r>
            <w:r>
              <w:rPr>
                <w:rFonts w:ascii="宋体" w:hAnsi="宋体" w:cs="宋体" w:eastAsia="宋体" w:hint="default"/>
                <w:spacing w:val="-2"/>
                <w:sz w:val="18"/>
                <w:szCs w:val="18"/>
              </w:rPr>
              <w:t>联交易事项进行信息披露。本人保证不会</w:t>
            </w:r>
            <w:r>
              <w:rPr>
                <w:rFonts w:ascii="宋体" w:hAnsi="宋体" w:cs="宋体" w:eastAsia="宋体" w:hint="default"/>
                <w:sz w:val="18"/>
                <w:szCs w:val="18"/>
              </w:rPr>
              <w:t> </w:t>
            </w:r>
            <w:r>
              <w:rPr>
                <w:rFonts w:ascii="宋体" w:hAnsi="宋体" w:cs="宋体" w:eastAsia="宋体" w:hint="default"/>
                <w:spacing w:val="-2"/>
                <w:sz w:val="18"/>
                <w:szCs w:val="18"/>
              </w:rPr>
              <w:t>利用关联交易转移股份公司利润，不会通</w:t>
            </w:r>
            <w:r>
              <w:rPr>
                <w:rFonts w:ascii="宋体" w:hAnsi="宋体" w:cs="宋体" w:eastAsia="宋体" w:hint="default"/>
                <w:sz w:val="18"/>
                <w:szCs w:val="18"/>
              </w:rPr>
              <w:t> 过影响股份公司的经营决策来损害股份 </w:t>
            </w:r>
            <w:r>
              <w:rPr>
                <w:rFonts w:ascii="宋体" w:hAnsi="宋体" w:cs="宋体" w:eastAsia="宋体" w:hint="default"/>
                <w:spacing w:val="-2"/>
                <w:sz w:val="18"/>
                <w:szCs w:val="18"/>
              </w:rPr>
              <w:t>公司及其他股东的合法权益。保证未来不</w:t>
            </w:r>
            <w:r>
              <w:rPr>
                <w:rFonts w:ascii="宋体" w:hAnsi="宋体" w:cs="宋体" w:eastAsia="宋体" w:hint="default"/>
                <w:sz w:val="18"/>
                <w:szCs w:val="18"/>
              </w:rPr>
              <w:t> 以任何形式占用公司资金。</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86"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管连平、霍卫平</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公司的控股股东和共同实际控制人管连 </w:t>
            </w:r>
            <w:r>
              <w:rPr>
                <w:rFonts w:ascii="宋体" w:hAnsi="宋体" w:cs="宋体" w:eastAsia="宋体" w:hint="default"/>
                <w:spacing w:val="-6"/>
                <w:w w:val="99"/>
                <w:sz w:val="18"/>
                <w:szCs w:val="18"/>
              </w:rPr>
              <w:t>平、霍卫平出具《承诺函》：</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如果对于报</w:t>
            </w:r>
            <w:r>
              <w:rPr>
                <w:rFonts w:ascii="宋体" w:hAnsi="宋体" w:cs="宋体" w:eastAsia="宋体" w:hint="default"/>
                <w:spacing w:val="-86"/>
                <w:w w:val="99"/>
                <w:sz w:val="18"/>
                <w:szCs w:val="18"/>
              </w:rPr>
              <w:t> </w:t>
            </w:r>
            <w:r>
              <w:rPr>
                <w:rFonts w:ascii="宋体" w:hAnsi="宋体" w:cs="宋体" w:eastAsia="宋体" w:hint="default"/>
                <w:spacing w:val="-2"/>
                <w:sz w:val="18"/>
                <w:szCs w:val="18"/>
              </w:rPr>
              <w:t>告期内公司员工社会保险需要补缴的，本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0"/>
        <w:rPr>
          <w:rFonts w:ascii="Times New Roman" w:hAnsi="Times New Roman" w:cs="Times New Roman" w:eastAsia="Times New Roman" w:hint="default"/>
          <w:sz w:val="20"/>
          <w:szCs w:val="20"/>
        </w:rPr>
      </w:pPr>
      <w:r>
        <w:rPr/>
        <w:pict>
          <v:group style="position:absolute;margin-left:384.160004pt;margin-top:655.719971pt;width:46.85pt;height:17.650pt;mso-position-horizontal-relative:page;mso-position-vertical-relative:page;z-index:-954928" coordorigin="7683,13114" coordsize="937,353">
            <v:shape style="position:absolute;left:7683;top:13114;width:937;height:353" coordorigin="7683,13114" coordsize="937,353" path="m7683,13467l8620,13467,8620,13114,7683,13114,7683,1346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317"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人将为公司承担补缴产生的所有费用（包</w:t>
            </w:r>
          </w:p>
        </w:tc>
        <w:tc>
          <w:tcPr>
            <w:tcW w:w="993"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括但不限于补缴义务、罚款、滞纳金等）</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如果对于报告期内公司员工住房公积</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金需要补缴的，本人将为公司承担补缴产</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生的所有费用（包括但不限于补缴义务、</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罚款、滞纳金等）</w:t>
            </w:r>
            <w:r>
              <w:rPr>
                <w:rFonts w:ascii="Times New Roman" w:hAnsi="Times New Roman" w:cs="Times New Roman" w:eastAsia="Times New Roman" w:hint="default"/>
                <w:sz w:val="18"/>
                <w:szCs w:val="18"/>
              </w:rPr>
              <w:t>"</w:t>
            </w:r>
          </w:p>
        </w:tc>
        <w:tc>
          <w:tcPr>
            <w:tcW w:w="99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公司董事管连平、霍卫平、金正皓，监事</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胡淑瑜、朱军峰和高级管理人员王红庆、</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陈桂霞分别作出承诺：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自东方国信股票</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上市之日起三十六个月内，不转让或者委</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托他人管理本人所持有的仁邦翰威的股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权；在前述限售期满后，本人在仁邦翰威</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间接持有的东方国信的股份在本人任职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期间每年转让的比例不超过所持股份总</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数的百分之二十五，在离职后半年内不进</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行转让，在申报离任六个月后的十二个月</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85"/>
              <w:jc w:val="both"/>
              <w:rPr>
                <w:rFonts w:ascii="宋体" w:hAnsi="宋体" w:cs="宋体" w:eastAsia="宋体" w:hint="default"/>
                <w:sz w:val="18"/>
                <w:szCs w:val="18"/>
              </w:rPr>
            </w:pPr>
            <w:r>
              <w:rPr>
                <w:rFonts w:ascii="宋体" w:hAnsi="宋体" w:cs="宋体" w:eastAsia="宋体" w:hint="default"/>
                <w:sz w:val="18"/>
                <w:szCs w:val="18"/>
              </w:rPr>
              <w:t>管连平、霍卫平、 金正皓、胡淑瑜、 朱军峰、王红庆、 陈桂霞、彭岩、冯 志宏、赵光宇</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内通过证券交易所挂牌交易出售间接持 有的东方国信股票数量占所持东方国信 </w:t>
            </w:r>
            <w:r>
              <w:rPr>
                <w:rFonts w:ascii="宋体" w:hAnsi="宋体" w:cs="宋体" w:eastAsia="宋体" w:hint="default"/>
                <w:spacing w:val="-2"/>
                <w:sz w:val="18"/>
                <w:szCs w:val="18"/>
              </w:rPr>
              <w:t>股票总数的比例不超过百分之五十。公司</w:t>
            </w:r>
            <w:r>
              <w:rPr>
                <w:rFonts w:ascii="宋体" w:hAnsi="宋体" w:cs="宋体" w:eastAsia="宋体" w:hint="default"/>
                <w:sz w:val="18"/>
                <w:szCs w:val="18"/>
              </w:rPr>
              <w:t> </w:t>
            </w:r>
            <w:r>
              <w:rPr>
                <w:rFonts w:ascii="宋体" w:hAnsi="宋体" w:cs="宋体" w:eastAsia="宋体" w:hint="default"/>
                <w:spacing w:val="-3"/>
                <w:sz w:val="18"/>
                <w:szCs w:val="18"/>
              </w:rPr>
              <w:t>董事管连平、霍卫平，监事彭岩、冯志宏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和高级管理人员赵光宇分别作出承诺：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自东方国信股票上市之日起三十六个月</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内，不转让或者委托他人管理本人所持有</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的仁邦时代的股权；在前述限售期满后，</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本人在仁邦时代间接持有的东方国信的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股份在本人任职期间每年转让的比例不</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超过所持股份总数的百分之二十五，在离</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职后半年内不进行转让，在申报离任六个</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月后的十二个月内通过证券交易所挂牌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交易出售间接持有的东方国信股票数量</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占所持东方国信股票总数的比例不超过</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百分之五十。</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本人认购的东方国信股份自发行结束</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月</w:t>
            </w:r>
            <w:r>
              <w:rPr>
                <w:rFonts w:ascii="宋体" w:hAnsi="宋体" w:cs="宋体" w:eastAsia="宋体" w:hint="default"/>
                <w:sz w:val="18"/>
                <w:szCs w:val="18"/>
              </w:rPr>
              <w:t>内不进行转让</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在屹通信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年《专项审核报告》披露后，本</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人可转让本次交易获得的东方国信股份</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3" w:right="85"/>
              <w:jc w:val="left"/>
              <w:rPr>
                <w:rFonts w:ascii="宋体" w:hAnsi="宋体" w:cs="宋体" w:eastAsia="宋体" w:hint="default"/>
                <w:sz w:val="18"/>
                <w:szCs w:val="18"/>
              </w:rPr>
            </w:pPr>
            <w:r>
              <w:rPr>
                <w:rFonts w:ascii="宋体" w:hAnsi="宋体" w:cs="宋体" w:eastAsia="宋体" w:hint="default"/>
                <w:sz w:val="18"/>
                <w:szCs w:val="18"/>
              </w:rPr>
              <w:t>陈益玲、章祺、何 本强</w:t>
            </w:r>
          </w:p>
        </w:tc>
        <w:tc>
          <w:tcPr>
            <w:tcW w:w="3260" w:type="dxa"/>
            <w:tcBorders>
              <w:top w:val="nil" w:sz="6" w:space="0" w:color="auto"/>
              <w:left w:val="single" w:sz="4" w:space="0" w:color="000000"/>
              <w:bottom w:val="nil" w:sz="6" w:space="0" w:color="auto"/>
              <w:right w:val="single" w:sz="9" w:space="0" w:color="FFFFFF"/>
            </w:tcBorders>
          </w:tcPr>
          <w:p>
            <w:pPr>
              <w:pStyle w:val="TableParagraph"/>
              <w:spacing w:line="312"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数额的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；在屹通信息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年《专 </w:t>
            </w:r>
            <w:r>
              <w:rPr>
                <w:rFonts w:ascii="宋体" w:hAnsi="宋体" w:cs="宋体" w:eastAsia="宋体" w:hint="default"/>
                <w:spacing w:val="-9"/>
                <w:sz w:val="18"/>
                <w:szCs w:val="18"/>
              </w:rPr>
              <w:t>项审核报告》及《减值测试报告》披露后，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本人可转让本次交易获得的东方国信股</w:t>
            </w:r>
            <w:r>
              <w:rPr>
                <w:rFonts w:ascii="宋体" w:hAnsi="宋体" w:cs="宋体" w:eastAsia="宋体" w:hint="default"/>
                <w:sz w:val="18"/>
                <w:szCs w:val="18"/>
              </w:rPr>
              <w:t> 份数额的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条所述各</w:t>
            </w:r>
          </w:p>
        </w:tc>
        <w:tc>
          <w:tcPr>
            <w:tcW w:w="993" w:type="dxa"/>
            <w:tcBorders>
              <w:top w:val="nil" w:sz="6" w:space="0" w:color="auto"/>
              <w:left w:val="single" w:sz="9" w:space="0" w:color="FFFFFF"/>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期可转让的东方国信股份数额还应当扣</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除本人依据有关协议需要进行股份补偿</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的股份数额。</w:t>
            </w:r>
            <w:r>
              <w:rPr>
                <w:rFonts w:ascii="Times New Roman" w:hAnsi="Times New Roman" w:cs="Times New Roman" w:eastAsia="Times New Roman" w:hint="default"/>
                <w:sz w:val="18"/>
                <w:szCs w:val="18"/>
              </w:rPr>
              <w:t>4.</w:t>
            </w:r>
            <w:r>
              <w:rPr>
                <w:rFonts w:ascii="宋体" w:hAnsi="宋体" w:cs="宋体" w:eastAsia="宋体" w:hint="default"/>
                <w:sz w:val="18"/>
                <w:szCs w:val="18"/>
              </w:rPr>
              <w:t>上述限售期届满后，如本</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人成为东方国信的董事、监事及高级管理</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shape style="position:absolute;margin-left:349.889008pt;margin-top:137.399979pt;width:82.3pt;height:117.05pt;mso-position-horizontal-relative:page;mso-position-vertical-relative:page;z-index:-954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披露后，</w:t>
                  </w:r>
                </w:p>
              </w:txbxContent>
            </v:textbox>
            <w10:wrap type="none"/>
          </v:shape>
        </w:pict>
      </w:r>
      <w:r>
        <w:rPr/>
        <w:pict>
          <v:group style="position:absolute;margin-left:383.019989pt;margin-top:137.399979pt;width:49.2pt;height:117.05pt;mso-position-horizontal-relative:page;mso-position-vertical-relative:page;z-index:-954880" coordorigin="7660,2748" coordsize="984,2341">
            <v:shape style="position:absolute;left:7660;top:2748;width:984;height:2341" coordorigin="7660,2748" coordsize="984,2341" path="m7660,5088l8644,5088,8644,2748,7660,2748,7660,508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317"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人员，本人还将根据中国证券监督管理委</w:t>
            </w:r>
          </w:p>
        </w:tc>
        <w:tc>
          <w:tcPr>
            <w:tcW w:w="993"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员会及深圳证券交易所的相关法律规定</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执行作为董事、监事、高级管理人员需要</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进一步履行的限售承诺。</w:t>
            </w:r>
          </w:p>
        </w:tc>
        <w:tc>
          <w:tcPr>
            <w:tcW w:w="99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r>
      <w:tr>
        <w:trPr>
          <w:trHeight w:val="362"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本公司认购的东方国信股份自发行结</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月内不进行转让</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在屹通</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年《专项审核报告》披露后，</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本人可转让本次交易获得的东方国信股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在屹通信息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90"/>
                <w:sz w:val="18"/>
                <w:szCs w:val="18"/>
              </w:rPr>
              <w:t>年</w:t>
            </w:r>
            <w:r>
              <w:rPr>
                <w:rFonts w:ascii="宋体" w:hAnsi="宋体" w:cs="宋体" w:eastAsia="宋体" w:hint="default"/>
                <w:sz w:val="18"/>
                <w:szCs w:val="18"/>
              </w:rPr>
              <w:t>《专</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项审核报告》及《减值测试报告》</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本人可转让本次交易获得的东方国信股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85"/>
              <w:jc w:val="left"/>
              <w:rPr>
                <w:rFonts w:ascii="宋体" w:hAnsi="宋体" w:cs="宋体" w:eastAsia="宋体" w:hint="default"/>
                <w:sz w:val="18"/>
                <w:szCs w:val="18"/>
              </w:rPr>
            </w:pPr>
            <w:r>
              <w:rPr>
                <w:rFonts w:ascii="宋体" w:hAnsi="宋体" w:cs="宋体" w:eastAsia="宋体" w:hint="default"/>
                <w:sz w:val="18"/>
                <w:szCs w:val="18"/>
              </w:rPr>
              <w:t>上海屹隆信息科技 有限公司</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60"/>
              <w:jc w:val="left"/>
              <w:rPr>
                <w:rFonts w:ascii="宋体" w:hAnsi="宋体" w:cs="宋体" w:eastAsia="宋体" w:hint="default"/>
                <w:sz w:val="18"/>
                <w:szCs w:val="18"/>
              </w:rPr>
            </w:pPr>
            <w:r>
              <w:rPr>
                <w:rFonts w:ascii="宋体" w:hAnsi="宋体" w:cs="宋体" w:eastAsia="宋体" w:hint="default"/>
                <w:sz w:val="18"/>
                <w:szCs w:val="18"/>
              </w:rPr>
              <w:t>份数额的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条所述各 期可转让的东方国信股份数额还应当扣 除本公司依据有关协议需要进行股份补</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偿的股份数额。</w:t>
            </w:r>
            <w:r>
              <w:rPr>
                <w:rFonts w:ascii="Times New Roman" w:hAnsi="Times New Roman" w:cs="Times New Roman" w:eastAsia="Times New Roman" w:hint="default"/>
                <w:sz w:val="18"/>
                <w:szCs w:val="18"/>
              </w:rPr>
              <w:t>4.</w:t>
            </w:r>
            <w:r>
              <w:rPr>
                <w:rFonts w:ascii="宋体" w:hAnsi="宋体" w:cs="宋体" w:eastAsia="宋体" w:hint="default"/>
                <w:sz w:val="18"/>
                <w:szCs w:val="18"/>
              </w:rPr>
              <w:t>上述限售期届满后，如</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本公司的实际控制人成为东方国信的董</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事、监事及高级管理人员，本公司还将根</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据中国证券监督管理委员会及深圳证券</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交易所的相关法律规定执行作为董事、监</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事、高级管理人员需要进一步履行的限售</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陈益玲、章祺、何本强、上海屹隆信息科</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技有限公司向东方国信承诺：屹通信息</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年的承诺净利润</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85"/>
              <w:jc w:val="both"/>
              <w:rPr>
                <w:rFonts w:ascii="宋体" w:hAnsi="宋体" w:cs="宋体" w:eastAsia="宋体" w:hint="default"/>
                <w:sz w:val="18"/>
                <w:szCs w:val="18"/>
              </w:rPr>
            </w:pPr>
            <w:r>
              <w:rPr>
                <w:rFonts w:ascii="宋体" w:hAnsi="宋体" w:cs="宋体" w:eastAsia="宋体" w:hint="default"/>
                <w:sz w:val="18"/>
                <w:szCs w:val="18"/>
              </w:rPr>
              <w:t>陈益玲、章祺、何 本强、上海屹隆信 息科技有限公司</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5,915 </w:t>
            </w:r>
            <w:r>
              <w:rPr>
                <w:rFonts w:ascii="宋体" w:hAnsi="宋体" w:cs="宋体" w:eastAsia="宋体" w:hint="default"/>
                <w:sz w:val="18"/>
                <w:szCs w:val="18"/>
              </w:rPr>
              <w:t>万元。如果累计实现净利润数 </w:t>
            </w:r>
            <w:r>
              <w:rPr>
                <w:rFonts w:ascii="宋体" w:hAnsi="宋体" w:cs="宋体" w:eastAsia="宋体" w:hint="default"/>
                <w:spacing w:val="-2"/>
                <w:sz w:val="18"/>
                <w:szCs w:val="18"/>
              </w:rPr>
              <w:t>低于上述累计承诺净利润的，陈益玲、章</w:t>
            </w:r>
            <w:r>
              <w:rPr>
                <w:rFonts w:ascii="宋体" w:hAnsi="宋体" w:cs="宋体" w:eastAsia="宋体" w:hint="default"/>
                <w:sz w:val="18"/>
                <w:szCs w:val="18"/>
              </w:rPr>
              <w:t> </w:t>
            </w:r>
            <w:r>
              <w:rPr>
                <w:rFonts w:ascii="宋体" w:hAnsi="宋体" w:cs="宋体" w:eastAsia="宋体" w:hint="default"/>
                <w:spacing w:val="-2"/>
                <w:sz w:val="18"/>
                <w:szCs w:val="18"/>
              </w:rPr>
              <w:t>祺、何本强、上海屹隆信息科技有限公司</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应就未达到累计承诺净利润数的部分对</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东方国信进行补偿。具体补偿方式按照盈</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利预测补偿协议相关规定对东方国信予</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以补偿。</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陈益玲、章祺、何本强及上海屹隆信息科</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85"/>
              <w:jc w:val="both"/>
              <w:rPr>
                <w:rFonts w:ascii="宋体" w:hAnsi="宋体" w:cs="宋体" w:eastAsia="宋体" w:hint="default"/>
                <w:sz w:val="18"/>
                <w:szCs w:val="18"/>
              </w:rPr>
            </w:pPr>
            <w:r>
              <w:rPr>
                <w:rFonts w:ascii="宋体" w:hAnsi="宋体" w:cs="宋体" w:eastAsia="宋体" w:hint="default"/>
                <w:sz w:val="18"/>
                <w:szCs w:val="18"/>
              </w:rPr>
              <w:t>陈益玲、章祺、何 本强、上海屹隆信 息科技有限公司</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技有限公司承诺：在本次交易后不会占用</w:t>
            </w:r>
            <w:r>
              <w:rPr>
                <w:rFonts w:ascii="宋体" w:hAnsi="宋体" w:cs="宋体" w:eastAsia="宋体" w:hint="default"/>
                <w:sz w:val="18"/>
                <w:szCs w:val="18"/>
              </w:rPr>
              <w:t> 屹通信息的资金或要求其为本人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企业及 </w:t>
            </w:r>
            <w:r>
              <w:rPr>
                <w:rFonts w:ascii="宋体" w:hAnsi="宋体" w:cs="宋体" w:eastAsia="宋体" w:hint="default"/>
                <w:spacing w:val="-2"/>
                <w:sz w:val="18"/>
                <w:szCs w:val="18"/>
              </w:rPr>
              <w:t>下属企业提供担保，否则，应承担个别及</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56"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本次交易完成后，在本人持有东方国信</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股票期间及东方国信持有屹通信息权益</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85"/>
              <w:jc w:val="left"/>
              <w:rPr>
                <w:rFonts w:ascii="宋体" w:hAnsi="宋体" w:cs="宋体" w:eastAsia="宋体" w:hint="default"/>
                <w:sz w:val="18"/>
                <w:szCs w:val="18"/>
              </w:rPr>
            </w:pPr>
            <w:r>
              <w:rPr>
                <w:rFonts w:ascii="宋体" w:hAnsi="宋体" w:cs="宋体" w:eastAsia="宋体" w:hint="default"/>
                <w:sz w:val="18"/>
                <w:szCs w:val="18"/>
              </w:rPr>
              <w:t>陈益玲、章祺、何 本强</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0"/>
              <w:jc w:val="left"/>
              <w:rPr>
                <w:rFonts w:ascii="宋体" w:hAnsi="宋体" w:cs="宋体" w:eastAsia="宋体" w:hint="default"/>
                <w:sz w:val="18"/>
                <w:szCs w:val="18"/>
              </w:rPr>
            </w:pPr>
            <w:r>
              <w:rPr>
                <w:rFonts w:ascii="宋体" w:hAnsi="宋体" w:cs="宋体" w:eastAsia="宋体" w:hint="default"/>
                <w:spacing w:val="-2"/>
                <w:sz w:val="18"/>
                <w:szCs w:val="18"/>
              </w:rPr>
              <w:t>期间，本人及本人控制的其他企业不会直</w:t>
            </w:r>
            <w:r>
              <w:rPr>
                <w:rFonts w:ascii="宋体" w:hAnsi="宋体" w:cs="宋体" w:eastAsia="宋体" w:hint="default"/>
                <w:sz w:val="18"/>
                <w:szCs w:val="18"/>
              </w:rPr>
              <w:t> </w:t>
            </w:r>
            <w:r>
              <w:rPr>
                <w:rFonts w:ascii="宋体" w:hAnsi="宋体" w:cs="宋体" w:eastAsia="宋体" w:hint="default"/>
                <w:spacing w:val="-2"/>
                <w:sz w:val="18"/>
                <w:szCs w:val="18"/>
              </w:rPr>
              <w:t>接或间接经营任何与屹通信息、东方国信</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及其他下属公司经营的业务构成竞争或</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可能构成竞争的业务，亦不会投资任何与</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7"/>
      </w:tblGrid>
      <w:tr>
        <w:trPr>
          <w:trHeight w:val="5043"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
              <w:jc w:val="left"/>
              <w:rPr>
                <w:rFonts w:ascii="宋体" w:hAnsi="宋体" w:cs="宋体" w:eastAsia="宋体" w:hint="default"/>
                <w:sz w:val="18"/>
                <w:szCs w:val="18"/>
              </w:rPr>
            </w:pPr>
            <w:r>
              <w:rPr>
                <w:rFonts w:ascii="宋体" w:hAnsi="宋体" w:cs="宋体" w:eastAsia="宋体" w:hint="default"/>
                <w:spacing w:val="-2"/>
                <w:sz w:val="18"/>
                <w:szCs w:val="18"/>
              </w:rPr>
              <w:t>屹通信息、东方国信及其他下属公司经营</w:t>
            </w:r>
            <w:r>
              <w:rPr>
                <w:rFonts w:ascii="宋体" w:hAnsi="宋体" w:cs="宋体" w:eastAsia="宋体" w:hint="default"/>
                <w:sz w:val="18"/>
                <w:szCs w:val="18"/>
              </w:rPr>
              <w:t> 的业务构成竞争或可能构成竞争的其他 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本次交易完成后，在本人持有东 方国信股票期间及东方国信持有屹通信 </w:t>
            </w:r>
            <w:r>
              <w:rPr>
                <w:rFonts w:ascii="宋体" w:hAnsi="宋体" w:cs="宋体" w:eastAsia="宋体" w:hint="default"/>
                <w:spacing w:val="-2"/>
                <w:sz w:val="18"/>
                <w:szCs w:val="18"/>
              </w:rPr>
              <w:t>息权益期间，如本人及本人控制的企业的</w:t>
            </w:r>
            <w:r>
              <w:rPr>
                <w:rFonts w:ascii="宋体" w:hAnsi="宋体" w:cs="宋体" w:eastAsia="宋体" w:hint="default"/>
                <w:sz w:val="18"/>
                <w:szCs w:val="18"/>
              </w:rPr>
              <w:t> 现有业务或该等企业为进一步拓展业务 </w:t>
            </w:r>
            <w:r>
              <w:rPr>
                <w:rFonts w:ascii="宋体" w:hAnsi="宋体" w:cs="宋体" w:eastAsia="宋体" w:hint="default"/>
                <w:spacing w:val="-2"/>
                <w:sz w:val="18"/>
                <w:szCs w:val="18"/>
              </w:rPr>
              <w:t>范围，与东方国信及其下属公司经营的业</w:t>
            </w:r>
            <w:r>
              <w:rPr>
                <w:rFonts w:ascii="宋体" w:hAnsi="宋体" w:cs="宋体" w:eastAsia="宋体" w:hint="default"/>
                <w:sz w:val="18"/>
                <w:szCs w:val="18"/>
              </w:rPr>
              <w:t> </w:t>
            </w:r>
            <w:r>
              <w:rPr>
                <w:rFonts w:ascii="宋体" w:hAnsi="宋体" w:cs="宋体" w:eastAsia="宋体" w:hint="default"/>
                <w:spacing w:val="-2"/>
                <w:sz w:val="18"/>
                <w:szCs w:val="18"/>
              </w:rPr>
              <w:t>务产生竞争，则本人及本人控制的企业将</w:t>
            </w:r>
            <w:r>
              <w:rPr>
                <w:rFonts w:ascii="宋体" w:hAnsi="宋体" w:cs="宋体" w:eastAsia="宋体" w:hint="default"/>
                <w:sz w:val="18"/>
                <w:szCs w:val="18"/>
              </w:rPr>
              <w:t> 采取包括但不限于停止经营产生竞争的 </w:t>
            </w:r>
            <w:r>
              <w:rPr>
                <w:rFonts w:ascii="宋体" w:hAnsi="宋体" w:cs="宋体" w:eastAsia="宋体" w:hint="default"/>
                <w:spacing w:val="-2"/>
                <w:sz w:val="18"/>
                <w:szCs w:val="18"/>
              </w:rPr>
              <w:t>业务、将产生竞争的业务纳入东方国信或</w:t>
            </w:r>
            <w:r>
              <w:rPr>
                <w:rFonts w:ascii="宋体" w:hAnsi="宋体" w:cs="宋体" w:eastAsia="宋体" w:hint="default"/>
                <w:sz w:val="18"/>
                <w:szCs w:val="18"/>
              </w:rPr>
              <w:t> 者转让给无关联关系第三方等合法方式， 使本人及本人控制的企业不再从事与东 </w:t>
            </w:r>
            <w:r>
              <w:rPr>
                <w:rFonts w:ascii="宋体" w:hAnsi="宋体" w:cs="宋体" w:eastAsia="宋体" w:hint="default"/>
                <w:spacing w:val="-2"/>
                <w:sz w:val="18"/>
                <w:szCs w:val="18"/>
              </w:rPr>
              <w:t>方国信主营业务相同或类似的业务，以避</w:t>
            </w:r>
            <w:r>
              <w:rPr>
                <w:rFonts w:ascii="宋体" w:hAnsi="宋体" w:cs="宋体" w:eastAsia="宋体" w:hint="default"/>
                <w:sz w:val="18"/>
                <w:szCs w:val="18"/>
              </w:rPr>
              <w:t> 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如因本人违反上述承诺而 </w:t>
            </w:r>
            <w:r>
              <w:rPr>
                <w:rFonts w:ascii="宋体" w:hAnsi="宋体" w:cs="宋体" w:eastAsia="宋体" w:hint="default"/>
                <w:spacing w:val="-2"/>
                <w:sz w:val="18"/>
                <w:szCs w:val="18"/>
              </w:rPr>
              <w:t>给东方国信造成损失的，本人承诺承担全</w:t>
            </w:r>
            <w:r>
              <w:rPr>
                <w:rFonts w:ascii="宋体" w:hAnsi="宋体" w:cs="宋体" w:eastAsia="宋体" w:hint="default"/>
                <w:sz w:val="18"/>
                <w:szCs w:val="18"/>
              </w:rPr>
              <w:t> 部赔偿责任。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1701"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85"/>
              <w:jc w:val="left"/>
              <w:rPr>
                <w:rFonts w:ascii="宋体" w:hAnsi="宋体" w:cs="宋体" w:eastAsia="宋体" w:hint="default"/>
                <w:sz w:val="18"/>
                <w:szCs w:val="18"/>
              </w:rPr>
            </w:pPr>
            <w:r>
              <w:rPr>
                <w:rFonts w:ascii="宋体" w:hAnsi="宋体" w:cs="宋体" w:eastAsia="宋体" w:hint="default"/>
                <w:sz w:val="18"/>
                <w:szCs w:val="18"/>
              </w:rPr>
              <w:t>上海屹隆信息科技 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本次交易完成后，在本公司持有东方国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信股票期间及东方国信持有屹通信息权 </w:t>
            </w:r>
            <w:r>
              <w:rPr>
                <w:rFonts w:ascii="宋体" w:hAnsi="宋体" w:cs="宋体" w:eastAsia="宋体" w:hint="default"/>
                <w:spacing w:val="-2"/>
                <w:sz w:val="18"/>
                <w:szCs w:val="18"/>
              </w:rPr>
              <w:t>益期间，本公司及本公司控制的其他企业</w:t>
            </w:r>
            <w:r>
              <w:rPr>
                <w:rFonts w:ascii="宋体" w:hAnsi="宋体" w:cs="宋体" w:eastAsia="宋体" w:hint="default"/>
                <w:sz w:val="18"/>
                <w:szCs w:val="18"/>
              </w:rPr>
              <w:t> </w:t>
            </w:r>
            <w:r>
              <w:rPr>
                <w:rFonts w:ascii="宋体" w:hAnsi="宋体" w:cs="宋体" w:eastAsia="宋体" w:hint="default"/>
                <w:spacing w:val="-2"/>
                <w:sz w:val="18"/>
                <w:szCs w:val="18"/>
              </w:rPr>
              <w:t>不会直接或间接经营任何与屹通信息、东</w:t>
            </w:r>
            <w:r>
              <w:rPr>
                <w:rFonts w:ascii="宋体" w:hAnsi="宋体" w:cs="宋体" w:eastAsia="宋体" w:hint="default"/>
                <w:sz w:val="18"/>
                <w:szCs w:val="18"/>
              </w:rPr>
              <w:t> 方国信及其他下属公司经营的业务构成 </w:t>
            </w:r>
            <w:r>
              <w:rPr>
                <w:rFonts w:ascii="宋体" w:hAnsi="宋体" w:cs="宋体" w:eastAsia="宋体" w:hint="default"/>
                <w:spacing w:val="-2"/>
                <w:sz w:val="18"/>
                <w:szCs w:val="18"/>
              </w:rPr>
              <w:t>竞争或可能构成竞争的业务，亦不会投资</w:t>
            </w:r>
            <w:r>
              <w:rPr>
                <w:rFonts w:ascii="宋体" w:hAnsi="宋体" w:cs="宋体" w:eastAsia="宋体" w:hint="default"/>
                <w:sz w:val="18"/>
                <w:szCs w:val="18"/>
              </w:rPr>
              <w:t> </w:t>
            </w:r>
            <w:r>
              <w:rPr>
                <w:rFonts w:ascii="宋体" w:hAnsi="宋体" w:cs="宋体" w:eastAsia="宋体" w:hint="default"/>
                <w:spacing w:val="-2"/>
                <w:sz w:val="18"/>
                <w:szCs w:val="18"/>
              </w:rPr>
              <w:t>任何与屹通信息、东方国信及其他下属公</w:t>
            </w:r>
            <w:r>
              <w:rPr>
                <w:rFonts w:ascii="宋体" w:hAnsi="宋体" w:cs="宋体" w:eastAsia="宋体" w:hint="default"/>
                <w:sz w:val="18"/>
                <w:szCs w:val="18"/>
              </w:rPr>
              <w:t> 司经营的业务构成竞争或可能构成竞争 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本次交易完成后，在本公 司持有东方国信股票期间及东方国信持 </w:t>
            </w:r>
            <w:r>
              <w:rPr>
                <w:rFonts w:ascii="宋体" w:hAnsi="宋体" w:cs="宋体" w:eastAsia="宋体" w:hint="default"/>
                <w:spacing w:val="-2"/>
                <w:sz w:val="18"/>
                <w:szCs w:val="18"/>
              </w:rPr>
              <w:t>有屹通信息权益期间，如本公司及本公司</w:t>
            </w:r>
            <w:r>
              <w:rPr>
                <w:rFonts w:ascii="宋体" w:hAnsi="宋体" w:cs="宋体" w:eastAsia="宋体" w:hint="default"/>
                <w:sz w:val="18"/>
                <w:szCs w:val="18"/>
              </w:rPr>
              <w:t> 控制的企业的现有业务或该等企业为进 </w:t>
            </w:r>
            <w:r>
              <w:rPr>
                <w:rFonts w:ascii="宋体" w:hAnsi="宋体" w:cs="宋体" w:eastAsia="宋体" w:hint="default"/>
                <w:spacing w:val="-2"/>
                <w:sz w:val="18"/>
                <w:szCs w:val="18"/>
              </w:rPr>
              <w:t>一步拓展业务范围，与东方国信及其下属</w:t>
            </w:r>
            <w:r>
              <w:rPr>
                <w:rFonts w:ascii="宋体" w:hAnsi="宋体" w:cs="宋体" w:eastAsia="宋体" w:hint="default"/>
                <w:sz w:val="18"/>
                <w:szCs w:val="18"/>
              </w:rPr>
              <w:t> </w:t>
            </w:r>
            <w:r>
              <w:rPr>
                <w:rFonts w:ascii="宋体" w:hAnsi="宋体" w:cs="宋体" w:eastAsia="宋体" w:hint="default"/>
                <w:spacing w:val="-2"/>
                <w:sz w:val="18"/>
                <w:szCs w:val="18"/>
              </w:rPr>
              <w:t>公司经营的业务产生竞争，则本公司及本</w:t>
            </w:r>
            <w:r>
              <w:rPr>
                <w:rFonts w:ascii="宋体" w:hAnsi="宋体" w:cs="宋体" w:eastAsia="宋体" w:hint="default"/>
                <w:sz w:val="18"/>
                <w:szCs w:val="18"/>
              </w:rPr>
              <w:t> 公司控制的企业将采取包括但不限于停 </w:t>
            </w:r>
            <w:r>
              <w:rPr>
                <w:rFonts w:ascii="宋体" w:hAnsi="宋体" w:cs="宋体" w:eastAsia="宋体" w:hint="default"/>
                <w:spacing w:val="-2"/>
                <w:sz w:val="18"/>
                <w:szCs w:val="18"/>
              </w:rPr>
              <w:t>止经营产生竞争的业务、将产生竞争的业</w:t>
            </w:r>
            <w:r>
              <w:rPr>
                <w:rFonts w:ascii="宋体" w:hAnsi="宋体" w:cs="宋体" w:eastAsia="宋体" w:hint="default"/>
                <w:sz w:val="18"/>
                <w:szCs w:val="18"/>
              </w:rPr>
              <w:t> 务纳入东方国信或者转让给无关联关系 </w:t>
            </w:r>
            <w:r>
              <w:rPr>
                <w:rFonts w:ascii="宋体" w:hAnsi="宋体" w:cs="宋体" w:eastAsia="宋体" w:hint="default"/>
                <w:spacing w:val="-2"/>
                <w:sz w:val="18"/>
                <w:szCs w:val="18"/>
              </w:rPr>
              <w:t>第三方等合法方式，使本公司及本公司控</w:t>
            </w:r>
            <w:r>
              <w:rPr>
                <w:rFonts w:ascii="宋体" w:hAnsi="宋体" w:cs="宋体" w:eastAsia="宋体" w:hint="default"/>
                <w:sz w:val="18"/>
                <w:szCs w:val="18"/>
              </w:rPr>
              <w:t> 制的企业不再从事与东方国信主营业务 相同或类似的业务，以避免同业竞争。</w:t>
            </w:r>
            <w:r>
              <w:rPr>
                <w:rFonts w:ascii="Times New Roman" w:hAnsi="Times New Roman" w:cs="Times New Roman" w:eastAsia="Times New Roman" w:hint="default"/>
                <w:sz w:val="18"/>
                <w:szCs w:val="18"/>
              </w:rPr>
              <w:t>3. </w:t>
            </w:r>
            <w:r>
              <w:rPr>
                <w:rFonts w:ascii="宋体" w:hAnsi="宋体" w:cs="宋体" w:eastAsia="宋体" w:hint="default"/>
                <w:sz w:val="18"/>
                <w:szCs w:val="18"/>
              </w:rPr>
              <w:t>如因本公司违反上述承诺而给东方国信 </w:t>
            </w:r>
            <w:r>
              <w:rPr>
                <w:rFonts w:ascii="宋体" w:hAnsi="宋体" w:cs="宋体" w:eastAsia="宋体" w:hint="default"/>
                <w:spacing w:val="-2"/>
                <w:sz w:val="18"/>
                <w:szCs w:val="18"/>
              </w:rPr>
              <w:t>造成损失的，本公司承诺承担全部赔偿责</w:t>
            </w:r>
            <w:r>
              <w:rPr>
                <w:rFonts w:ascii="宋体" w:hAnsi="宋体" w:cs="宋体" w:eastAsia="宋体" w:hint="default"/>
                <w:sz w:val="18"/>
                <w:szCs w:val="18"/>
              </w:rPr>
              <w:t> 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11"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85"/>
              <w:jc w:val="both"/>
              <w:rPr>
                <w:rFonts w:ascii="宋体" w:hAnsi="宋体" w:cs="宋体" w:eastAsia="宋体" w:hint="default"/>
                <w:sz w:val="18"/>
                <w:szCs w:val="18"/>
              </w:rPr>
            </w:pPr>
            <w:r>
              <w:rPr>
                <w:rFonts w:ascii="宋体" w:hAnsi="宋体" w:cs="宋体" w:eastAsia="宋体" w:hint="default"/>
                <w:sz w:val="18"/>
                <w:szCs w:val="18"/>
              </w:rPr>
              <w:t>陈益玲、章祺、何 本强、上海屹隆信 息科技有限公司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在本次交易之前，任一股权转让方与东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方国信不存在关联关系。本次交易亦不构</w:t>
            </w:r>
            <w:r>
              <w:rPr>
                <w:rFonts w:ascii="宋体" w:hAnsi="宋体" w:cs="宋体" w:eastAsia="宋体" w:hint="default"/>
                <w:sz w:val="18"/>
                <w:szCs w:val="18"/>
              </w:rPr>
              <w:t> 成关联交易。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本次交易完成后，股权转 让方及其控制的企业将尽可能减少与东 </w:t>
            </w:r>
            <w:r>
              <w:rPr>
                <w:rFonts w:ascii="宋体" w:hAnsi="宋体" w:cs="宋体" w:eastAsia="宋体" w:hint="default"/>
                <w:spacing w:val="-2"/>
                <w:sz w:val="18"/>
                <w:szCs w:val="18"/>
              </w:rPr>
              <w:t>方国信及其下属子公司的关联交易，不会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0"/>
        <w:rPr>
          <w:rFonts w:ascii="Times New Roman" w:hAnsi="Times New Roman" w:cs="Times New Roman" w:eastAsia="Times New Roman" w:hint="default"/>
          <w:sz w:val="20"/>
          <w:szCs w:val="20"/>
        </w:rPr>
      </w:pPr>
      <w:r>
        <w:rPr/>
        <w:pict>
          <v:shape style="position:absolute;margin-left:340.837006pt;margin-top:72.47998pt;width:91.35pt;height:407.7pt;mso-position-horizontal-relative:page;mso-position-vertical-relative:page;z-index:-954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firstLine="361"/>
                    <w:jc w:val="left"/>
                  </w:pPr>
                  <w:r>
                    <w:rPr/>
                    <w:t>协议，</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pStyle w:val="BodyText"/>
                    <w:spacing w:line="240" w:lineRule="auto"/>
                    <w:ind w:left="0" w:right="0"/>
                    <w:jc w:val="left"/>
                  </w:pPr>
                  <w:r>
                    <w:rPr/>
                    <w:t>明和保证，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8163"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利用自身作为东方国信股东之地位谋求 与东方国信在业务合作等方面给予优于 </w:t>
            </w:r>
            <w:r>
              <w:rPr>
                <w:rFonts w:ascii="宋体" w:hAnsi="宋体" w:cs="宋体" w:eastAsia="宋体" w:hint="default"/>
                <w:spacing w:val="-2"/>
                <w:sz w:val="18"/>
                <w:szCs w:val="18"/>
              </w:rPr>
              <w:t>市场第三方的权利；不会利用自身作为东</w:t>
            </w:r>
            <w:r>
              <w:rPr>
                <w:rFonts w:ascii="宋体" w:hAnsi="宋体" w:cs="宋体" w:eastAsia="宋体" w:hint="default"/>
                <w:sz w:val="18"/>
                <w:szCs w:val="18"/>
              </w:rPr>
              <w:t> 方国信股东之地位谋求与东方国信达成 交易的优先权利。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若发生必要且不可避 </w:t>
            </w:r>
            <w:r>
              <w:rPr>
                <w:rFonts w:ascii="宋体" w:hAnsi="宋体" w:cs="宋体" w:eastAsia="宋体" w:hint="default"/>
                <w:spacing w:val="-2"/>
                <w:sz w:val="18"/>
                <w:szCs w:val="18"/>
              </w:rPr>
              <w:t>免的关联交易，股权转让方及其控制的企</w:t>
            </w:r>
            <w:r>
              <w:rPr>
                <w:rFonts w:ascii="宋体" w:hAnsi="宋体" w:cs="宋体" w:eastAsia="宋体" w:hint="default"/>
                <w:sz w:val="18"/>
                <w:szCs w:val="18"/>
              </w:rPr>
              <w:t> 业将与东方国信及其下属子公司按照公 </w:t>
            </w:r>
            <w:r>
              <w:rPr>
                <w:rFonts w:ascii="宋体" w:hAnsi="宋体" w:cs="宋体" w:eastAsia="宋体" w:hint="default"/>
                <w:spacing w:val="-8"/>
                <w:sz w:val="18"/>
                <w:szCs w:val="18"/>
              </w:rPr>
              <w:t>平、公允、等价有偿等原则依法签订</w:t>
            </w:r>
            <w:r>
              <w:rPr>
                <w:rFonts w:ascii="宋体" w:hAnsi="宋体" w:cs="宋体" w:eastAsia="宋体" w:hint="default"/>
                <w:sz w:val="18"/>
                <w:szCs w:val="18"/>
              </w:rPr>
              <w:t> </w:t>
            </w:r>
            <w:r>
              <w:rPr>
                <w:rFonts w:ascii="宋体" w:hAnsi="宋体" w:cs="宋体" w:eastAsia="宋体" w:hint="default"/>
                <w:spacing w:val="-2"/>
                <w:sz w:val="18"/>
                <w:szCs w:val="18"/>
              </w:rPr>
              <w:t>履行合法程序，并将按照有关法律法规和</w:t>
            </w:r>
          </w:p>
          <w:p>
            <w:pPr>
              <w:pStyle w:val="TableParagraph"/>
              <w:spacing w:line="316" w:lineRule="auto" w:before="19"/>
              <w:ind w:left="22" w:right="-13"/>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《北京东方国信科技股份有限公司章程》 </w:t>
            </w:r>
            <w:r>
              <w:rPr>
                <w:rFonts w:ascii="宋体" w:hAnsi="宋体" w:cs="宋体" w:eastAsia="宋体" w:hint="default"/>
                <w:spacing w:val="-2"/>
                <w:sz w:val="18"/>
                <w:szCs w:val="18"/>
              </w:rPr>
              <w:t>的规定，履行信息披露义务及相关内部决</w:t>
            </w:r>
            <w:r>
              <w:rPr>
                <w:rFonts w:ascii="宋体" w:hAnsi="宋体" w:cs="宋体" w:eastAsia="宋体" w:hint="default"/>
                <w:sz w:val="18"/>
                <w:szCs w:val="18"/>
              </w:rPr>
              <w:t> </w:t>
            </w:r>
            <w:r>
              <w:rPr>
                <w:rFonts w:ascii="宋体" w:hAnsi="宋体" w:cs="宋体" w:eastAsia="宋体" w:hint="default"/>
                <w:spacing w:val="-2"/>
                <w:sz w:val="18"/>
                <w:szCs w:val="18"/>
              </w:rPr>
              <w:t>策、报批程序，关联交易价格依照与无关</w:t>
            </w:r>
            <w:r>
              <w:rPr>
                <w:rFonts w:ascii="宋体" w:hAnsi="宋体" w:cs="宋体" w:eastAsia="宋体" w:hint="default"/>
                <w:sz w:val="18"/>
                <w:szCs w:val="18"/>
              </w:rPr>
              <w:t> 联关系的独立第三方进行相同或相似交 </w:t>
            </w:r>
            <w:r>
              <w:rPr>
                <w:rFonts w:ascii="宋体" w:hAnsi="宋体" w:cs="宋体" w:eastAsia="宋体" w:hint="default"/>
                <w:spacing w:val="-2"/>
                <w:sz w:val="18"/>
                <w:szCs w:val="18"/>
              </w:rPr>
              <w:t>易时的价格进行确定，保证关联交易价格</w:t>
            </w:r>
            <w:r>
              <w:rPr>
                <w:rFonts w:ascii="宋体" w:hAnsi="宋体" w:cs="宋体" w:eastAsia="宋体" w:hint="default"/>
                <w:sz w:val="18"/>
                <w:szCs w:val="18"/>
              </w:rPr>
              <w:t> </w:t>
            </w:r>
            <w:r>
              <w:rPr>
                <w:rFonts w:ascii="宋体" w:hAnsi="宋体" w:cs="宋体" w:eastAsia="宋体" w:hint="default"/>
                <w:spacing w:val="-2"/>
                <w:sz w:val="18"/>
                <w:szCs w:val="18"/>
              </w:rPr>
              <w:t>具有公允性，亦不利用该等交易从事任何</w:t>
            </w:r>
            <w:r>
              <w:rPr>
                <w:rFonts w:ascii="宋体" w:hAnsi="宋体" w:cs="宋体" w:eastAsia="宋体" w:hint="default"/>
                <w:sz w:val="18"/>
                <w:szCs w:val="18"/>
              </w:rPr>
              <w:t> 损害东方国信及东方国信其他股东的合 </w:t>
            </w:r>
            <w:r>
              <w:rPr>
                <w:rFonts w:ascii="宋体" w:hAnsi="宋体" w:cs="宋体" w:eastAsia="宋体" w:hint="default"/>
                <w:spacing w:val="-6"/>
                <w:sz w:val="18"/>
                <w:szCs w:val="18"/>
              </w:rPr>
              <w:t>法权益的行为。</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若违反上述声</w:t>
            </w:r>
            <w:r>
              <w:rPr>
                <w:rFonts w:ascii="宋体" w:hAnsi="宋体" w:cs="宋体" w:eastAsia="宋体" w:hint="default"/>
                <w:spacing w:val="-82"/>
                <w:sz w:val="18"/>
                <w:szCs w:val="18"/>
              </w:rPr>
              <w:t> </w:t>
            </w:r>
            <w:r>
              <w:rPr>
                <w:rFonts w:ascii="宋体" w:hAnsi="宋体" w:cs="宋体" w:eastAsia="宋体" w:hint="default"/>
                <w:spacing w:val="-2"/>
                <w:sz w:val="18"/>
                <w:szCs w:val="18"/>
              </w:rPr>
              <w:t>股权转让方将分别、且共同地对前述行为</w:t>
            </w:r>
            <w:r>
              <w:rPr>
                <w:rFonts w:ascii="宋体" w:hAnsi="宋体" w:cs="宋体" w:eastAsia="宋体" w:hint="default"/>
                <w:sz w:val="18"/>
                <w:szCs w:val="18"/>
              </w:rPr>
              <w:t> 而给东方国信造成的损失向东方国信进 </w:t>
            </w:r>
            <w:r>
              <w:rPr>
                <w:rFonts w:ascii="宋体" w:hAnsi="宋体" w:cs="宋体" w:eastAsia="宋体" w:hint="default"/>
                <w:spacing w:val="-2"/>
                <w:sz w:val="18"/>
                <w:szCs w:val="18"/>
              </w:rPr>
              <w:t>行赔偿。股权转让方保证将依照《北京东</w:t>
            </w:r>
            <w:r>
              <w:rPr>
                <w:rFonts w:ascii="宋体" w:hAnsi="宋体" w:cs="宋体" w:eastAsia="宋体" w:hint="default"/>
                <w:sz w:val="18"/>
                <w:szCs w:val="18"/>
              </w:rPr>
              <w:t> </w:t>
            </w:r>
            <w:r>
              <w:rPr>
                <w:rFonts w:ascii="宋体" w:hAnsi="宋体" w:cs="宋体" w:eastAsia="宋体" w:hint="default"/>
                <w:spacing w:val="-2"/>
                <w:sz w:val="18"/>
                <w:szCs w:val="18"/>
              </w:rPr>
              <w:t>方国信科技股份有限公司章程》的规定参</w:t>
            </w:r>
            <w:r>
              <w:rPr>
                <w:rFonts w:ascii="宋体" w:hAnsi="宋体" w:cs="宋体" w:eastAsia="宋体" w:hint="default"/>
                <w:sz w:val="18"/>
                <w:szCs w:val="18"/>
              </w:rPr>
              <w:t> </w:t>
            </w:r>
            <w:r>
              <w:rPr>
                <w:rFonts w:ascii="宋体" w:hAnsi="宋体" w:cs="宋体" w:eastAsia="宋体" w:hint="default"/>
                <w:spacing w:val="-2"/>
                <w:sz w:val="18"/>
                <w:szCs w:val="18"/>
              </w:rPr>
              <w:t>加股东大会，平等地行使相应权利，承担</w:t>
            </w:r>
            <w:r>
              <w:rPr>
                <w:rFonts w:ascii="宋体" w:hAnsi="宋体" w:cs="宋体" w:eastAsia="宋体" w:hint="default"/>
                <w:sz w:val="18"/>
                <w:szCs w:val="18"/>
              </w:rPr>
              <w:t> </w:t>
            </w:r>
            <w:r>
              <w:rPr>
                <w:rFonts w:ascii="宋体" w:hAnsi="宋体" w:cs="宋体" w:eastAsia="宋体" w:hint="default"/>
                <w:spacing w:val="-2"/>
                <w:sz w:val="18"/>
                <w:szCs w:val="18"/>
              </w:rPr>
              <w:t>相应义务，不利用股东地位谋取不正当利</w:t>
            </w:r>
            <w:r>
              <w:rPr>
                <w:rFonts w:ascii="宋体" w:hAnsi="宋体" w:cs="宋体" w:eastAsia="宋体" w:hint="default"/>
                <w:sz w:val="18"/>
                <w:szCs w:val="18"/>
              </w:rPr>
              <w:t> </w:t>
            </w:r>
            <w:r>
              <w:rPr>
                <w:rFonts w:ascii="宋体" w:hAnsi="宋体" w:cs="宋体" w:eastAsia="宋体" w:hint="default"/>
                <w:spacing w:val="-2"/>
                <w:sz w:val="18"/>
                <w:szCs w:val="18"/>
              </w:rPr>
              <w:t>益，不利用关联交易非法转移东方国信及</w:t>
            </w:r>
            <w:r>
              <w:rPr>
                <w:rFonts w:ascii="宋体" w:hAnsi="宋体" w:cs="宋体" w:eastAsia="宋体" w:hint="default"/>
                <w:sz w:val="18"/>
                <w:szCs w:val="18"/>
              </w:rPr>
              <w:t> </w:t>
            </w:r>
            <w:r>
              <w:rPr>
                <w:rFonts w:ascii="宋体" w:hAnsi="宋体" w:cs="宋体" w:eastAsia="宋体" w:hint="default"/>
                <w:spacing w:val="-2"/>
                <w:sz w:val="18"/>
                <w:szCs w:val="18"/>
              </w:rPr>
              <w:t>其下属的资金、利润，保证不损害东方国</w:t>
            </w:r>
            <w:r>
              <w:rPr>
                <w:rFonts w:ascii="宋体" w:hAnsi="宋体" w:cs="宋体" w:eastAsia="宋体" w:hint="default"/>
                <w:sz w:val="18"/>
                <w:szCs w:val="18"/>
              </w:rPr>
              <w:t> 信其他股东的合法权益。</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815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49.2pt;height:407.7pt;mso-position-horizontal-relative:char;mso-position-vertical-relative:line" coordorigin="0,0" coordsize="984,8154">
                  <v:group style="position:absolute;left:0;top:0;width:984;height:8154" coordorigin="0,0" coordsize="984,8154">
                    <v:shape style="position:absolute;left:0;top:0;width:984;height:8154" coordorigin="0,0" coordsize="984,8154" path="m0,8154l983,8154,983,0,0,0,0,8154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85"/>
              <w:jc w:val="both"/>
              <w:rPr>
                <w:rFonts w:ascii="宋体" w:hAnsi="宋体" w:cs="宋体" w:eastAsia="宋体" w:hint="default"/>
                <w:sz w:val="18"/>
                <w:szCs w:val="18"/>
              </w:rPr>
            </w:pPr>
            <w:r>
              <w:rPr>
                <w:rFonts w:ascii="宋体" w:hAnsi="宋体" w:cs="宋体" w:eastAsia="宋体" w:hint="default"/>
                <w:sz w:val="18"/>
                <w:szCs w:val="18"/>
              </w:rPr>
              <w:t>陈益玲、章祺、何 本强、上海屹隆信 息科技有限公司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屹通信息已依法参加社会保险和住房保 </w:t>
            </w:r>
            <w:r>
              <w:rPr>
                <w:rFonts w:ascii="宋体" w:hAnsi="宋体" w:cs="宋体" w:eastAsia="宋体" w:hint="default"/>
                <w:spacing w:val="-2"/>
                <w:sz w:val="18"/>
                <w:szCs w:val="18"/>
              </w:rPr>
              <w:t>障，并按相关法律规定为员工缴纳了各项</w:t>
            </w:r>
            <w:r>
              <w:rPr>
                <w:rFonts w:ascii="宋体" w:hAnsi="宋体" w:cs="宋体" w:eastAsia="宋体" w:hint="default"/>
                <w:sz w:val="18"/>
                <w:szCs w:val="18"/>
              </w:rPr>
              <w:t> </w:t>
            </w:r>
            <w:r>
              <w:rPr>
                <w:rFonts w:ascii="宋体" w:hAnsi="宋体" w:cs="宋体" w:eastAsia="宋体" w:hint="default"/>
                <w:spacing w:val="-2"/>
                <w:sz w:val="18"/>
                <w:szCs w:val="18"/>
              </w:rPr>
              <w:t>社会保险费和住房公积金。如屹通信息在</w:t>
            </w:r>
            <w:r>
              <w:rPr>
                <w:rFonts w:ascii="宋体" w:hAnsi="宋体" w:cs="宋体" w:eastAsia="宋体" w:hint="default"/>
                <w:sz w:val="18"/>
                <w:szCs w:val="18"/>
              </w:rPr>
              <w:t> 交割日前有未依法足额缴纳上述社会保 </w:t>
            </w:r>
            <w:r>
              <w:rPr>
                <w:rFonts w:ascii="宋体" w:hAnsi="宋体" w:cs="宋体" w:eastAsia="宋体" w:hint="default"/>
                <w:spacing w:val="-2"/>
                <w:sz w:val="18"/>
                <w:szCs w:val="18"/>
              </w:rPr>
              <w:t>险费和住房公积金等员工福利（已在账上</w:t>
            </w:r>
            <w:r>
              <w:rPr>
                <w:rFonts w:ascii="宋体" w:hAnsi="宋体" w:cs="宋体" w:eastAsia="宋体" w:hint="default"/>
                <w:sz w:val="18"/>
                <w:szCs w:val="18"/>
              </w:rPr>
              <w:t> </w:t>
            </w:r>
            <w:r>
              <w:rPr>
                <w:rFonts w:ascii="宋体" w:hAnsi="宋体" w:cs="宋体" w:eastAsia="宋体" w:hint="default"/>
                <w:spacing w:val="-2"/>
                <w:sz w:val="18"/>
                <w:szCs w:val="18"/>
              </w:rPr>
              <w:t>计提的除外）的情形，且有权部门或权利</w:t>
            </w:r>
            <w:r>
              <w:rPr>
                <w:rFonts w:ascii="宋体" w:hAnsi="宋体" w:cs="宋体" w:eastAsia="宋体" w:hint="default"/>
                <w:sz w:val="18"/>
                <w:szCs w:val="18"/>
              </w:rPr>
              <w:t> </w:t>
            </w:r>
            <w:r>
              <w:rPr>
                <w:rFonts w:ascii="宋体" w:hAnsi="宋体" w:cs="宋体" w:eastAsia="宋体" w:hint="default"/>
                <w:spacing w:val="-2"/>
                <w:sz w:val="18"/>
                <w:szCs w:val="18"/>
              </w:rPr>
              <w:t>人在任何时候要求屹通信息补缴，或对屹</w:t>
            </w:r>
            <w:r>
              <w:rPr>
                <w:rFonts w:ascii="宋体" w:hAnsi="宋体" w:cs="宋体" w:eastAsia="宋体" w:hint="default"/>
                <w:sz w:val="18"/>
                <w:szCs w:val="18"/>
              </w:rPr>
              <w:t> 通信息处罚，或向屹通信息追索，本人</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本公司将全额承担该部分补缴、被处罚或</w:t>
            </w:r>
            <w:r>
              <w:rPr>
                <w:rFonts w:ascii="宋体" w:hAnsi="宋体" w:cs="宋体" w:eastAsia="宋体" w:hint="default"/>
                <w:sz w:val="18"/>
                <w:szCs w:val="18"/>
              </w:rPr>
              <w:t> </w:t>
            </w:r>
            <w:r>
              <w:rPr>
                <w:rFonts w:ascii="宋体" w:hAnsi="宋体" w:cs="宋体" w:eastAsia="宋体" w:hint="default"/>
                <w:spacing w:val="-2"/>
                <w:sz w:val="18"/>
                <w:szCs w:val="18"/>
              </w:rPr>
              <w:t>被追索的支出及费用，且在承担后不向屹</w:t>
            </w:r>
            <w:r>
              <w:rPr>
                <w:rFonts w:ascii="宋体" w:hAnsi="宋体" w:cs="宋体" w:eastAsia="宋体" w:hint="default"/>
                <w:sz w:val="18"/>
                <w:szCs w:val="18"/>
              </w:rPr>
              <w:t> </w:t>
            </w:r>
            <w:r>
              <w:rPr>
                <w:rFonts w:ascii="宋体" w:hAnsi="宋体" w:cs="宋体" w:eastAsia="宋体" w:hint="default"/>
                <w:spacing w:val="-2"/>
                <w:sz w:val="18"/>
                <w:szCs w:val="18"/>
              </w:rPr>
              <w:t>通信息追偿，保证屹通信息不会因此遭受</w:t>
            </w:r>
            <w:r>
              <w:rPr>
                <w:rFonts w:ascii="宋体" w:hAnsi="宋体" w:cs="宋体" w:eastAsia="宋体" w:hint="default"/>
                <w:sz w:val="18"/>
                <w:szCs w:val="18"/>
              </w:rPr>
              <w:t> 任何损失。</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56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14"/>
                <w:sz w:val="18"/>
                <w:szCs w:val="18"/>
              </w:rPr>
              <w:t>日，公司召开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w:t>
            </w:r>
            <w:r>
              <w:rPr>
                <w:rFonts w:ascii="宋体" w:hAnsi="宋体" w:cs="宋体" w:eastAsia="宋体" w:hint="default"/>
                <w:spacing w:val="-2"/>
                <w:sz w:val="18"/>
                <w:szCs w:val="18"/>
              </w:rPr>
              <w:t>东大会，审议通过了《关于使用部分募集</w:t>
            </w:r>
            <w:r>
              <w:rPr>
                <w:rFonts w:ascii="宋体" w:hAnsi="宋体" w:cs="宋体" w:eastAsia="宋体" w:hint="default"/>
                <w:sz w:val="18"/>
                <w:szCs w:val="18"/>
              </w:rPr>
              <w:t> </w:t>
            </w:r>
            <w:r>
              <w:rPr>
                <w:rFonts w:ascii="宋体" w:hAnsi="宋体" w:cs="宋体" w:eastAsia="宋体" w:hint="default"/>
                <w:spacing w:val="-5"/>
                <w:sz w:val="18"/>
                <w:szCs w:val="18"/>
              </w:rPr>
              <w:t>资金永久补充流动资金的议案》，决定使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561"/>
        <w:gridCol w:w="3260"/>
        <w:gridCol w:w="993"/>
        <w:gridCol w:w="1134"/>
        <w:gridCol w:w="1094"/>
      </w:tblGrid>
      <w:tr>
        <w:trPr>
          <w:trHeight w:val="254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 </w:t>
            </w:r>
            <w:r>
              <w:rPr>
                <w:rFonts w:ascii="宋体" w:hAnsi="宋体" w:cs="宋体" w:eastAsia="宋体" w:hint="default"/>
                <w:spacing w:val="-2"/>
                <w:sz w:val="18"/>
                <w:szCs w:val="18"/>
              </w:rPr>
              <w:t>动资金，并按照中国证券监督管理委员会</w:t>
            </w:r>
            <w:r>
              <w:rPr>
                <w:rFonts w:ascii="宋体" w:hAnsi="宋体" w:cs="宋体" w:eastAsia="宋体" w:hint="default"/>
                <w:sz w:val="18"/>
                <w:szCs w:val="18"/>
              </w:rPr>
              <w:t> 和深圳证券交易所的有关规定，公司承 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公司最近十二个月内未进行证券投 </w:t>
            </w:r>
            <w:r>
              <w:rPr>
                <w:rFonts w:ascii="宋体" w:hAnsi="宋体" w:cs="宋体" w:eastAsia="宋体" w:hint="default"/>
                <w:spacing w:val="-3"/>
                <w:sz w:val="18"/>
                <w:szCs w:val="18"/>
              </w:rPr>
              <w:t>资、委托理财、衍生品投资、创业投资等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高风险投资；并承诺本次使用超募资金补</w:t>
            </w:r>
            <w:r>
              <w:rPr>
                <w:rFonts w:ascii="宋体" w:hAnsi="宋体" w:cs="宋体" w:eastAsia="宋体" w:hint="default"/>
                <w:sz w:val="18"/>
                <w:szCs w:val="18"/>
              </w:rPr>
              <w:t> 充流动资金后未来十二个月内不进行此 类高风险投资及为他人提供财务资助。</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0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未完成履行的具体原 因及下一步计划（如 有）</w:t>
            </w:r>
          </w:p>
        </w:tc>
        <w:tc>
          <w:tcPr>
            <w:tcW w:w="80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219"/>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2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219"/>
        <w:jc w:val="left"/>
        <w:rPr>
          <w:b w:val="0"/>
          <w:bCs w:val="0"/>
        </w:rPr>
      </w:pPr>
      <w:bookmarkStart w:name="九、聘任、解聘会计师事务所情况" w:id="67"/>
      <w:bookmarkEnd w:id="67"/>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19"/>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韩景利、姜照东</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bl>
    <w:p>
      <w:pPr>
        <w:pStyle w:val="BodyText"/>
        <w:spacing w:line="240" w:lineRule="auto" w:before="51"/>
        <w:ind w:left="154" w:right="219"/>
        <w:jc w:val="left"/>
      </w:pPr>
      <w:r>
        <w:rPr/>
        <w:t>是否改聘会计师事务所</w:t>
      </w:r>
    </w:p>
    <w:p>
      <w:pPr>
        <w:pStyle w:val="BodyText"/>
        <w:spacing w:line="240" w:lineRule="auto" w:before="117"/>
        <w:ind w:left="154" w:right="2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219"/>
        <w:jc w:val="left"/>
        <w:rPr>
          <w:b w:val="0"/>
          <w:bCs w:val="0"/>
        </w:rPr>
      </w:pPr>
      <w:bookmarkStart w:name="十、上市公司及其董事、监事、高级管理人员、公司股东、实际控制人和收购人处罚及整改" w:id="68"/>
      <w:bookmarkEnd w:id="68"/>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40" w:lineRule="auto" w:before="42"/>
        <w:ind w:left="154" w:right="5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0"/>
        <w:ind w:left="154" w:right="78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3"/>
        <w:ind w:left="154" w:right="2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一、公司股东及其一致行动人在报告期提出或实施股份增持计划的情况" w:id="69"/>
      <w:bookmarkEnd w:id="69"/>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四、其他重大事项的说明" w:id="72"/>
      <w:bookmarkEnd w:id="7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经公司召开的第二届董事会第三十二次会议审议通过，公司于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日与北京普泽创智数据技术有限公司（以下</w:t>
      </w:r>
    </w:p>
    <w:p>
      <w:pPr>
        <w:pStyle w:val="BodyText"/>
        <w:spacing w:line="451" w:lineRule="auto" w:before="75"/>
        <w:ind w:right="190"/>
        <w:jc w:val="both"/>
      </w:pPr>
      <w:r>
        <w:rPr/>
        <w:t>简称</w:t>
      </w:r>
      <w:r>
        <w:rPr>
          <w:rFonts w:ascii="Times New Roman" w:hAnsi="Times New Roman" w:cs="Times New Roman" w:eastAsia="Times New Roman" w:hint="default"/>
        </w:rPr>
        <w:t>“</w:t>
      </w:r>
      <w:r>
        <w:rPr/>
        <w:t>普泽创智</w:t>
      </w:r>
      <w:r>
        <w:rPr>
          <w:rFonts w:ascii="Times New Roman" w:hAnsi="Times New Roman" w:cs="Times New Roman" w:eastAsia="Times New Roman" w:hint="default"/>
        </w:rPr>
        <w:t>”</w:t>
      </w:r>
      <w:r>
        <w:rPr/>
        <w:t>）股东贺晓峰签订了《关于北京普泽创智数据技术有限公司之股权转让协议》，公司以自有资金</w:t>
      </w:r>
      <w:r>
        <w:rPr>
          <w:rFonts w:ascii="Times New Roman" w:hAnsi="Times New Roman" w:cs="Times New Roman" w:eastAsia="Times New Roman" w:hint="default"/>
        </w:rPr>
        <w:t>2,370</w:t>
      </w:r>
      <w:r>
        <w:rPr/>
        <w:t>万元 受让贺晓峰持有的普泽创智</w:t>
      </w:r>
      <w:r>
        <w:rPr>
          <w:rFonts w:ascii="Times New Roman" w:hAnsi="Times New Roman" w:cs="Times New Roman" w:eastAsia="Times New Roman" w:hint="default"/>
        </w:rPr>
        <w:t>100%</w:t>
      </w:r>
      <w:r>
        <w:rPr/>
        <w:t>股权，截至目前，普泽创智已完成股权转让相关的工商变更手续，普泽创智已成为公司的 全资子公司。</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十五、控股子公司重要事项" w:id="73"/>
      <w:bookmarkEnd w:id="73"/>
      <w:r>
        <w:rPr>
          <w:b w:val="0"/>
          <w:bCs w:val="0"/>
        </w:rPr>
      </w:r>
      <w:r>
        <w:rPr/>
        <w:t>十五、控股子公司重要事项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92"/>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bookmarkStart w:name="一、股份变动情况" w:id="76"/>
      <w:bookmarkEnd w:id="7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股份变动情况" w:id="77"/>
      <w:bookmarkEnd w:id="7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5"/>
        <w:gridCol w:w="968"/>
        <w:gridCol w:w="724"/>
        <w:gridCol w:w="867"/>
        <w:gridCol w:w="725"/>
        <w:gridCol w:w="956"/>
        <w:gridCol w:w="927"/>
        <w:gridCol w:w="955"/>
        <w:gridCol w:w="956"/>
        <w:gridCol w:w="701"/>
      </w:tblGrid>
      <w:tr>
        <w:trPr>
          <w:trHeight w:val="205"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3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2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05" w:type="dxa"/>
            <w:vMerge w:val="restart"/>
            <w:tcBorders>
              <w:top w:val="nil" w:sz="6" w:space="0" w:color="auto"/>
              <w:left w:val="single" w:sz="4" w:space="0" w:color="000000"/>
              <w:right w:val="single" w:sz="4" w:space="0" w:color="000000"/>
            </w:tcBorders>
            <w:shd w:val="clear" w:color="auto" w:fill="D2D2D2"/>
          </w:tcPr>
          <w:p>
            <w:pPr/>
          </w:p>
        </w:tc>
        <w:tc>
          <w:tcPr>
            <w:tcW w:w="1691" w:type="dxa"/>
            <w:gridSpan w:val="2"/>
            <w:vMerge/>
            <w:tcBorders>
              <w:left w:val="single" w:sz="4" w:space="0" w:color="000000"/>
              <w:bottom w:val="single" w:sz="4" w:space="0" w:color="000000"/>
              <w:right w:val="single" w:sz="4" w:space="0" w:color="000000"/>
            </w:tcBorders>
            <w:shd w:val="clear" w:color="auto" w:fill="D2D2D2"/>
          </w:tcPr>
          <w:p>
            <w:pPr/>
          </w:p>
        </w:tc>
        <w:tc>
          <w:tcPr>
            <w:tcW w:w="4430" w:type="dxa"/>
            <w:gridSpan w:val="5"/>
            <w:vMerge/>
            <w:tcBorders>
              <w:left w:val="single" w:sz="4" w:space="0" w:color="000000"/>
              <w:bottom w:val="single" w:sz="4" w:space="0" w:color="000000"/>
              <w:right w:val="single" w:sz="4" w:space="0" w:color="000000"/>
            </w:tcBorders>
            <w:shd w:val="clear" w:color="auto" w:fill="D2D2D2"/>
          </w:tcPr>
          <w:p>
            <w:pPr/>
          </w:p>
        </w:tc>
        <w:tc>
          <w:tcPr>
            <w:tcW w:w="165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5"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724" w:type="dxa"/>
            <w:vMerge/>
            <w:tcBorders>
              <w:left w:val="single" w:sz="4" w:space="0" w:color="000000"/>
              <w:bottom w:val="single" w:sz="4" w:space="0" w:color="000000"/>
              <w:right w:val="single" w:sz="4" w:space="0" w:color="000000"/>
            </w:tcBorders>
            <w:shd w:val="clear" w:color="auto" w:fill="D2D2D2"/>
          </w:tcPr>
          <w:p>
            <w:pPr/>
          </w:p>
        </w:tc>
        <w:tc>
          <w:tcPr>
            <w:tcW w:w="86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94,020,988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19,396,854</w:t>
            </w:r>
          </w:p>
        </w:tc>
        <w:tc>
          <w:tcPr>
            <w:tcW w:w="7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51,220,140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-40,485,997</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30,130,997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124,151,985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w:t>
            </w: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94,020,988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19,396,854</w:t>
            </w:r>
          </w:p>
        </w:tc>
        <w:tc>
          <w:tcPr>
            <w:tcW w:w="7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51,220,140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-40,485,997</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30,130,997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124,151,985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w:t>
            </w: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23,940,000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1,815,789</w:t>
            </w:r>
          </w:p>
        </w:tc>
        <w:tc>
          <w:tcPr>
            <w:tcW w:w="7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-23,940,000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-22,124,211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1,815,789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70,080,988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17,581,065</w:t>
            </w:r>
          </w:p>
        </w:tc>
        <w:tc>
          <w:tcPr>
            <w:tcW w:w="7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51,220,140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-16,545,997</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52,255,208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122,336,196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43.85%</w:t>
            </w: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41,700,000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30.72%</w:t>
            </w:r>
          </w:p>
        </w:tc>
        <w:tc>
          <w:tcPr>
            <w:tcW w:w="86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72,747,356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40,418,497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113,165,853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154,865,853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w:t>
            </w: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41,700,000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30.72%</w:t>
            </w:r>
          </w:p>
        </w:tc>
        <w:tc>
          <w:tcPr>
            <w:tcW w:w="86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72,747,356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40,418,497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113,165,853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154,865,853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w:t>
            </w: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135,720,988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19,396,854</w:t>
            </w:r>
          </w:p>
        </w:tc>
        <w:tc>
          <w:tcPr>
            <w:tcW w:w="7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123,967,496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143,296,850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279,017,838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both"/>
      </w:pPr>
      <w:r>
        <w:rPr/>
        <w:t>股份变动的原因</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692" w:right="208"/>
        <w:jc w:val="cente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日，公司完成了已离职股权激励对象所持的尚未解锁的</w:t>
      </w:r>
      <w:r>
        <w:rPr>
          <w:rFonts w:ascii="Times New Roman" w:hAnsi="Times New Roman" w:cs="Times New Roman" w:eastAsia="Times New Roman" w:hint="default"/>
        </w:rPr>
        <w:t>67,500</w:t>
      </w:r>
      <w:r>
        <w:rPr/>
        <w:t>股限制性股票的回购注销，公司总股本由</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spacing w:val="7"/>
        </w:rPr>
        <w:t>135,720,988</w:t>
      </w:r>
      <w:r>
        <w:rPr>
          <w:spacing w:val="7"/>
        </w:rPr>
        <w:t>股减至</w:t>
      </w:r>
      <w:r>
        <w:rPr>
          <w:rFonts w:ascii="Times New Roman" w:hAnsi="Times New Roman" w:cs="Times New Roman" w:eastAsia="Times New Roman" w:hint="default"/>
          <w:spacing w:val="7"/>
        </w:rPr>
        <w:t>135,653,488</w:t>
      </w:r>
      <w:r>
        <w:rPr>
          <w:spacing w:val="7"/>
        </w:rPr>
        <w:t>股；</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23</w:t>
      </w:r>
      <w:r>
        <w:rPr>
          <w:spacing w:val="7"/>
        </w:rPr>
        <w:t>日，公司实施</w:t>
      </w:r>
      <w:r>
        <w:rPr>
          <w:rFonts w:ascii="Times New Roman" w:hAnsi="Times New Roman" w:cs="Times New Roman" w:eastAsia="Times New Roman" w:hint="default"/>
          <w:spacing w:val="7"/>
        </w:rPr>
        <w:t>2013</w:t>
      </w:r>
      <w:r>
        <w:rPr>
          <w:spacing w:val="7"/>
        </w:rPr>
        <w:t>年度资本公积金转增股本方案，转增后总股本增至</w:t>
      </w:r>
    </w:p>
    <w:p>
      <w:pPr>
        <w:spacing w:line="240" w:lineRule="auto" w:before="9"/>
        <w:rPr>
          <w:rFonts w:ascii="宋体" w:hAnsi="宋体" w:cs="宋体" w:eastAsia="宋体" w:hint="default"/>
          <w:sz w:val="16"/>
          <w:szCs w:val="16"/>
        </w:rPr>
      </w:pPr>
    </w:p>
    <w:p>
      <w:pPr>
        <w:pStyle w:val="BodyText"/>
        <w:spacing w:line="451" w:lineRule="auto"/>
        <w:ind w:right="190"/>
        <w:jc w:val="both"/>
      </w:pPr>
      <w:r>
        <w:rPr>
          <w:rFonts w:ascii="Times New Roman" w:hAnsi="Times New Roman" w:cs="Times New Roman" w:eastAsia="Times New Roman" w:hint="default"/>
          <w:spacing w:val="-2"/>
        </w:rPr>
        <w:t>259,620,984</w:t>
      </w:r>
      <w:r>
        <w:rPr>
          <w:spacing w:val="-2"/>
        </w:rPr>
        <w:t>股；</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月，公司实施发行股份及支付现金购买资产并募集配套资金事项，增发新股</w:t>
      </w:r>
      <w:r>
        <w:rPr>
          <w:rFonts w:ascii="Times New Roman" w:hAnsi="Times New Roman" w:cs="Times New Roman" w:eastAsia="Times New Roman" w:hint="default"/>
          <w:spacing w:val="-2"/>
        </w:rPr>
        <w:t>18,157,893</w:t>
      </w:r>
      <w:r>
        <w:rPr>
          <w:spacing w:val="-2"/>
        </w:rPr>
        <w:t>股；</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日，公司股权激励对象共行权</w:t>
      </w:r>
      <w:r>
        <w:rPr>
          <w:rFonts w:ascii="Times New Roman" w:hAnsi="Times New Roman" w:cs="Times New Roman" w:eastAsia="Times New Roman" w:hint="default"/>
        </w:rPr>
        <w:t>1,238,961</w:t>
      </w:r>
      <w:r>
        <w:rPr/>
        <w:t>份股票期权，增加公司股本</w:t>
      </w:r>
      <w:r>
        <w:rPr>
          <w:rFonts w:ascii="Times New Roman" w:hAnsi="Times New Roman" w:cs="Times New Roman" w:eastAsia="Times New Roman" w:hint="default"/>
        </w:rPr>
        <w:t>1,238,961</w:t>
      </w:r>
      <w:r>
        <w:rPr/>
        <w:t>股，至此公司总股本变更</w:t>
      </w:r>
      <w:r>
        <w:rPr>
          <w:spacing w:val="-86"/>
        </w:rPr>
        <w:t> </w:t>
      </w:r>
      <w:r>
        <w:rPr>
          <w:spacing w:val="-86"/>
        </w:rPr>
      </w:r>
      <w:r>
        <w:rPr/>
        <w:t>为</w:t>
      </w:r>
      <w:r>
        <w:rPr>
          <w:rFonts w:ascii="Times New Roman" w:hAnsi="Times New Roman" w:cs="Times New Roman" w:eastAsia="Times New Roman" w:hint="default"/>
        </w:rPr>
        <w:t>279,017,838</w:t>
      </w:r>
      <w:r>
        <w:rPr/>
        <w:t>股。</w:t>
      </w:r>
    </w:p>
    <w:p>
      <w:pPr>
        <w:spacing w:line="240" w:lineRule="auto" w:before="4"/>
        <w:rPr>
          <w:rFonts w:ascii="宋体" w:hAnsi="宋体" w:cs="宋体" w:eastAsia="宋体" w:hint="default"/>
          <w:sz w:val="24"/>
          <w:szCs w:val="24"/>
        </w:rPr>
      </w:pPr>
    </w:p>
    <w:p>
      <w:pPr>
        <w:pStyle w:val="BodyText"/>
        <w:spacing w:line="240" w:lineRule="auto"/>
        <w:ind w:left="154" w:right="0"/>
        <w:jc w:val="both"/>
      </w:pPr>
      <w:r>
        <w:rPr/>
        <w:t>股份变动的批准情况</w:t>
      </w:r>
    </w:p>
    <w:p>
      <w:pPr>
        <w:pStyle w:val="BodyText"/>
        <w:spacing w:line="240" w:lineRule="auto" w:before="117"/>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spacing w:val="-2"/>
        </w:rPr>
        <w:t>1</w:t>
      </w:r>
      <w:r>
        <w:rPr>
          <w:spacing w:val="-2"/>
        </w:rPr>
        <w:t>、经中国证监会出具《关于核准北京东方国信科技股份有限公司向陈益玲等发行股份购买资产并募集配套资金的批复》</w:t>
      </w:r>
    </w:p>
    <w:p>
      <w:pPr>
        <w:spacing w:line="240" w:lineRule="auto" w:before="9"/>
        <w:rPr>
          <w:rFonts w:ascii="宋体" w:hAnsi="宋体" w:cs="宋体" w:eastAsia="宋体" w:hint="default"/>
          <w:sz w:val="16"/>
          <w:szCs w:val="16"/>
        </w:rPr>
      </w:pPr>
    </w:p>
    <w:p>
      <w:pPr>
        <w:pStyle w:val="BodyText"/>
        <w:spacing w:line="451" w:lineRule="auto"/>
        <w:ind w:left="154" w:right="181"/>
        <w:jc w:val="left"/>
      </w:pPr>
      <w:r>
        <w:rPr>
          <w:spacing w:val="-1"/>
        </w:rPr>
        <w:t>（证监许可</w:t>
      </w:r>
      <w:r>
        <w:rPr>
          <w:rFonts w:ascii="Times New Roman" w:hAnsi="Times New Roman" w:cs="Times New Roman" w:eastAsia="Times New Roman" w:hint="default"/>
          <w:spacing w:val="-1"/>
        </w:rPr>
        <w:t>[2014]1305</w:t>
      </w:r>
      <w:r>
        <w:rPr>
          <w:spacing w:val="-1"/>
        </w:rPr>
        <w:t>号文件）核准，公司于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日向陈益玲等交易对方合计发行</w:t>
      </w:r>
      <w:r>
        <w:rPr>
          <w:rFonts w:ascii="Times New Roman" w:hAnsi="Times New Roman" w:cs="Times New Roman" w:eastAsia="Times New Roman" w:hint="default"/>
          <w:spacing w:val="-1"/>
        </w:rPr>
        <w:t>18,157,893</w:t>
      </w:r>
      <w:r>
        <w:rPr>
          <w:spacing w:val="-1"/>
        </w:rPr>
        <w:t>股普通</w:t>
      </w:r>
      <w:r>
        <w:rPr>
          <w:rFonts w:ascii="Times New Roman" w:hAnsi="Times New Roman" w:cs="Times New Roman" w:eastAsia="Times New Roman" w:hint="default"/>
          <w:spacing w:val="-1"/>
        </w:rPr>
        <w:t>A</w:t>
      </w:r>
      <w:r>
        <w:rPr>
          <w:spacing w:val="-1"/>
        </w:rPr>
        <w:t>股股票，上述</w:t>
      </w:r>
      <w:r>
        <w:rPr>
          <w:spacing w:val="-87"/>
        </w:rPr>
        <w:t> </w:t>
      </w:r>
      <w:r>
        <w:rPr>
          <w:spacing w:val="-87"/>
        </w:rPr>
      </w:r>
      <w:r>
        <w:rPr/>
        <w:t>股份于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日上市。</w:t>
      </w:r>
    </w:p>
    <w:p>
      <w:pPr>
        <w:pStyle w:val="BodyText"/>
        <w:spacing w:line="470" w:lineRule="auto" w:before="43"/>
        <w:ind w:right="92" w:firstLine="360"/>
        <w:jc w:val="left"/>
      </w:pPr>
      <w:r>
        <w:rPr>
          <w:rFonts w:ascii="Times New Roman" w:hAnsi="Times New Roman" w:cs="Times New Roman" w:eastAsia="Times New Roman" w:hint="default"/>
          <w:spacing w:val="-4"/>
        </w:rPr>
        <w:t>2</w:t>
      </w:r>
      <w:r>
        <w:rPr>
          <w:spacing w:val="-4"/>
        </w:rPr>
        <w:t>、经公司第二届董事会第二十七次会议审议通过，同意满足第一个行权期行权条件的激励对象在规定时间内行权，</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日，公司股权激励对象共行权</w:t>
      </w:r>
      <w:r>
        <w:rPr>
          <w:rFonts w:ascii="Times New Roman" w:hAnsi="Times New Roman" w:cs="Times New Roman" w:eastAsia="Times New Roman" w:hint="default"/>
        </w:rPr>
        <w:t>1,238,961</w:t>
      </w:r>
      <w:r>
        <w:rPr/>
        <w:t>份股票期权，增加公司股本</w:t>
      </w:r>
      <w:r>
        <w:rPr>
          <w:rFonts w:ascii="Times New Roman" w:hAnsi="Times New Roman" w:cs="Times New Roman" w:eastAsia="Times New Roman" w:hint="default"/>
        </w:rPr>
        <w:t>1,238,961</w:t>
      </w:r>
      <w:r>
        <w:rPr/>
        <w:t>股。 股份变动的过户情况</w:t>
      </w:r>
    </w:p>
    <w:p>
      <w:pPr>
        <w:spacing w:after="0" w:line="47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240" w:lineRule="auto"/>
        <w:ind w:left="513" w:right="0"/>
        <w:jc w:val="left"/>
      </w:pPr>
      <w:r>
        <w:rPr>
          <w:rFonts w:ascii="Times New Roman" w:hAnsi="Times New Roman" w:cs="Times New Roman" w:eastAsia="Times New Roman" w:hint="default"/>
          <w:spacing w:val="-2"/>
        </w:rPr>
        <w:t>1</w:t>
      </w:r>
      <w:r>
        <w:rPr>
          <w:spacing w:val="-2"/>
        </w:rPr>
        <w:t>、经中国证监会出具《关于核准北京东方国信科技股份有限公司向陈益玲等发行股份购买资产并募集配套资金的批复》</w:t>
      </w:r>
    </w:p>
    <w:p>
      <w:pPr>
        <w:spacing w:line="240" w:lineRule="auto" w:before="9"/>
        <w:rPr>
          <w:rFonts w:ascii="宋体" w:hAnsi="宋体" w:cs="宋体" w:eastAsia="宋体" w:hint="default"/>
          <w:sz w:val="16"/>
          <w:szCs w:val="16"/>
        </w:rPr>
      </w:pPr>
    </w:p>
    <w:p>
      <w:pPr>
        <w:pStyle w:val="BodyText"/>
        <w:spacing w:line="451" w:lineRule="auto"/>
        <w:ind w:left="154" w:right="181"/>
        <w:jc w:val="left"/>
      </w:pPr>
      <w:r>
        <w:rPr>
          <w:spacing w:val="-1"/>
        </w:rPr>
        <w:t>（证监许可</w:t>
      </w:r>
      <w:r>
        <w:rPr>
          <w:rFonts w:ascii="Times New Roman" w:hAnsi="Times New Roman" w:cs="Times New Roman" w:eastAsia="Times New Roman" w:hint="default"/>
          <w:spacing w:val="-1"/>
        </w:rPr>
        <w:t>[2014]1305</w:t>
      </w:r>
      <w:r>
        <w:rPr>
          <w:spacing w:val="-1"/>
        </w:rPr>
        <w:t>号文件）核准，公司于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日向陈益玲等交易对方合计发行</w:t>
      </w:r>
      <w:r>
        <w:rPr>
          <w:rFonts w:ascii="Times New Roman" w:hAnsi="Times New Roman" w:cs="Times New Roman" w:eastAsia="Times New Roman" w:hint="default"/>
          <w:spacing w:val="-1"/>
        </w:rPr>
        <w:t>18,157,893</w:t>
      </w:r>
      <w:r>
        <w:rPr>
          <w:spacing w:val="-1"/>
        </w:rPr>
        <w:t>股普通</w:t>
      </w:r>
      <w:r>
        <w:rPr>
          <w:rFonts w:ascii="Times New Roman" w:hAnsi="Times New Roman" w:cs="Times New Roman" w:eastAsia="Times New Roman" w:hint="default"/>
          <w:spacing w:val="-1"/>
        </w:rPr>
        <w:t>A</w:t>
      </w:r>
      <w:r>
        <w:rPr>
          <w:spacing w:val="-1"/>
        </w:rPr>
        <w:t>股股票，并办</w:t>
      </w:r>
      <w:r>
        <w:rPr>
          <w:spacing w:val="-87"/>
        </w:rPr>
        <w:t> </w:t>
      </w:r>
      <w:r>
        <w:rPr>
          <w:spacing w:val="-87"/>
        </w:rPr>
      </w:r>
      <w:r>
        <w:rPr/>
        <w:t>理了股份登记手续，股份性质为限售流通股，上述股份于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日上市。</w:t>
      </w:r>
    </w:p>
    <w:p>
      <w:pPr>
        <w:pStyle w:val="BodyText"/>
        <w:spacing w:line="446" w:lineRule="auto" w:before="43"/>
        <w:ind w:right="92" w:firstLine="360"/>
        <w:jc w:val="left"/>
      </w:pPr>
      <w:r>
        <w:rPr>
          <w:rFonts w:ascii="Times New Roman" w:hAnsi="Times New Roman" w:cs="Times New Roman" w:eastAsia="Times New Roman" w:hint="default"/>
          <w:spacing w:val="-4"/>
        </w:rPr>
        <w:t>2</w:t>
      </w:r>
      <w:r>
        <w:rPr>
          <w:spacing w:val="-4"/>
        </w:rPr>
        <w:t>、经公司第二届董事会第二十七次会议审议通过，同意满足第一个行权期行权条件的激励对象在规定时间内行权，</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日，公司股权激励对象共行权</w:t>
      </w:r>
      <w:r>
        <w:rPr>
          <w:rFonts w:ascii="Times New Roman" w:hAnsi="Times New Roman" w:cs="Times New Roman" w:eastAsia="Times New Roman" w:hint="default"/>
          <w:spacing w:val="-2"/>
        </w:rPr>
        <w:t>1,238,961</w:t>
      </w:r>
      <w:r>
        <w:rPr>
          <w:spacing w:val="-2"/>
        </w:rPr>
        <w:t>份股票期权，增加公司股本</w:t>
      </w:r>
      <w:r>
        <w:rPr>
          <w:rFonts w:ascii="Times New Roman" w:hAnsi="Times New Roman" w:cs="Times New Roman" w:eastAsia="Times New Roman" w:hint="default"/>
          <w:spacing w:val="-2"/>
        </w:rPr>
        <w:t>1,238,961</w:t>
      </w:r>
      <w:r>
        <w:rPr>
          <w:spacing w:val="-2"/>
        </w:rPr>
        <w:t>股，股份均已登记在激</w:t>
      </w:r>
      <w:r>
        <w:rPr>
          <w:spacing w:val="-41"/>
        </w:rPr>
        <w:t> </w:t>
      </w:r>
      <w:r>
        <w:rPr>
          <w:spacing w:val="-41"/>
        </w:rPr>
      </w:r>
      <w:r>
        <w:rPr/>
        <w:t>励对象名下。 股份变动对最近一年和最近一期基本每股收益和稀释每股收益、归属于公司普通股股东的每股净资产等财务指标的影响</w:t>
      </w:r>
    </w:p>
    <w:p>
      <w:pPr>
        <w:pStyle w:val="BodyText"/>
        <w:spacing w:line="212" w:lineRule="exact"/>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92"/>
        <w:jc w:val="left"/>
      </w:pPr>
      <w:r>
        <w:rPr/>
        <w:t>公司认为必要或证券监管机构要求披露的其他内容</w:t>
      </w:r>
    </w:p>
    <w:p>
      <w:pPr>
        <w:pStyle w:val="BodyText"/>
        <w:spacing w:line="240"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2"/>
        <w:jc w:val="left"/>
        <w:rPr>
          <w:b w:val="0"/>
          <w:bCs w:val="0"/>
        </w:rPr>
      </w:pPr>
      <w:bookmarkStart w:name="2、限售股份变动情况" w:id="78"/>
      <w:bookmarkEnd w:id="7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234"/>
        <w:gridCol w:w="1276"/>
        <w:gridCol w:w="1276"/>
        <w:gridCol w:w="1418"/>
        <w:gridCol w:w="1728"/>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31,920,000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21,877,667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45,817,667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首次公开发行上 市承诺及高管锁 定股份</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部分股份于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9"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6"/>
                <w:sz w:val="18"/>
                <w:szCs w:val="18"/>
              </w:rPr>
              <w:t>日解锁；所持股</w:t>
            </w:r>
            <w:r>
              <w:rPr>
                <w:rFonts w:ascii="宋体" w:hAnsi="宋体" w:cs="宋体" w:eastAsia="宋体" w:hint="default"/>
                <w:sz w:val="18"/>
                <w:szCs w:val="18"/>
              </w:rPr>
              <w:t> 份同时按照高管股份 锁定及解锁。</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23,940,000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16,408,250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34,363,250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首次公开发行上 市承诺及高管锁 定股份</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部分股份于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9"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6"/>
                <w:sz w:val="18"/>
                <w:szCs w:val="18"/>
              </w:rPr>
              <w:t>日解锁；所持股</w:t>
            </w:r>
            <w:r>
              <w:rPr>
                <w:rFonts w:ascii="宋体" w:hAnsi="宋体" w:cs="宋体" w:eastAsia="宋体" w:hint="default"/>
                <w:sz w:val="18"/>
                <w:szCs w:val="18"/>
              </w:rPr>
              <w:t> 份同时按照高管股份 锁定及解锁。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新余仁邦翰威投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14,364,000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14,364,000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首次公开发行上 市承诺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新余仁邦时代投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9,576,000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首次公开发行上 市承诺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9,169,736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9,169,736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购买资产并募集配套 资金报告书中所作承 诺分两期解锁</w:t>
            </w:r>
          </w:p>
        </w:tc>
      </w:tr>
      <w:tr>
        <w:trPr>
          <w:trHeight w:val="134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6,355,263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6,355,263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购买资产并募集配套 资金报告书中所作承 诺分两期解锁</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234"/>
        <w:gridCol w:w="1276"/>
        <w:gridCol w:w="1276"/>
        <w:gridCol w:w="1418"/>
        <w:gridCol w:w="1728"/>
      </w:tblGrid>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邢洪海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2,623,062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2,368,389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4,991,451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股权激励股份锁 </w:t>
            </w:r>
            <w:r>
              <w:rPr>
                <w:rFonts w:ascii="宋体" w:hAnsi="宋体" w:cs="宋体" w:eastAsia="宋体" w:hint="default"/>
                <w:spacing w:val="-10"/>
                <w:sz w:val="18"/>
                <w:szCs w:val="18"/>
              </w:rPr>
              <w:t>定安排；资产重组</w:t>
            </w:r>
            <w:r>
              <w:rPr>
                <w:rFonts w:ascii="宋体" w:hAnsi="宋体" w:cs="宋体" w:eastAsia="宋体" w:hint="default"/>
                <w:sz w:val="18"/>
                <w:szCs w:val="18"/>
              </w:rPr>
              <w:t> 股份锁定承诺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所持限制性股票按照 公司股权激励计划安 排分三期解锁；其余 股份按照现金及发行 股份购买资产报告书 中所作承诺分两期解 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程树森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2,382,465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2,177,225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4,559,690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梁洪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2,067,979</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1,889,831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3,957,810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贾振丽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1,524,777</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1,393,424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2,918,201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霍守锋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1,524,777</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1,393,424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2,918,201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5"/>
              <w:jc w:val="left"/>
              <w:rPr>
                <w:rFonts w:ascii="宋体" w:hAnsi="宋体" w:cs="宋体" w:eastAsia="宋体" w:hint="default"/>
                <w:sz w:val="18"/>
                <w:szCs w:val="18"/>
              </w:rPr>
            </w:pPr>
            <w:r>
              <w:rPr>
                <w:rFonts w:ascii="宋体" w:hAnsi="宋体" w:cs="宋体" w:eastAsia="宋体" w:hint="default"/>
                <w:sz w:val="18"/>
                <w:szCs w:val="18"/>
              </w:rPr>
              <w:t>上海屹隆信息科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1,815,789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1,815,789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购买资产并募集配套 资金报告书中所作承 诺分两期解锁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李永杰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571,791</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522,534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1,094,325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何本强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817,105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817,105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购买资产并募集配套 资金报告书中所作承 诺分两期解锁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赵宏博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381,194</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729,550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285,895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261,266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547,161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田佳星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285,895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261,266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547,161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武文袈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111,181</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101,603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212,784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234"/>
        <w:gridCol w:w="1276"/>
        <w:gridCol w:w="1276"/>
        <w:gridCol w:w="1418"/>
        <w:gridCol w:w="1728"/>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44,472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85,113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按照现金及发行股份 购买资产报告书中所 作承诺分两期解锁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其他激励对象所 持股权激励股份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2,357,500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1,271,666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2,053,933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3,139,767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股权激励计划股 份锁定安排</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按照公司股权激励计 划安排分三期解锁</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37,319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89,280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3"/>
                <w:sz w:val="18"/>
              </w:rPr>
              <w:t>111,961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股权激励计划股 </w:t>
            </w:r>
            <w:r>
              <w:rPr>
                <w:rFonts w:ascii="宋体" w:hAnsi="宋体" w:cs="宋体" w:eastAsia="宋体" w:hint="default"/>
                <w:spacing w:val="-10"/>
                <w:sz w:val="18"/>
                <w:szCs w:val="18"/>
              </w:rPr>
              <w:t>份锁定安排；高管</w:t>
            </w:r>
            <w:r>
              <w:rPr>
                <w:rFonts w:ascii="宋体" w:hAnsi="宋体" w:cs="宋体" w:eastAsia="宋体" w:hint="default"/>
                <w:sz w:val="18"/>
                <w:szCs w:val="18"/>
              </w:rPr>
              <w:t> 锁定股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按照公司股权激励计 划安排分三期解锁； 同时，按照高管股份 锁定及解锁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94,020,988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39,213,985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69,344,982</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124,151,985</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92"/>
        <w:jc w:val="left"/>
        <w:rPr>
          <w:b w:val="0"/>
          <w:bCs w:val="0"/>
        </w:rPr>
      </w:pPr>
      <w:bookmarkStart w:name="二、证券发行与上市情况" w:id="79"/>
      <w:bookmarkEnd w:id="7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报告期内证券发行情况" w:id="80"/>
      <w:bookmarkEnd w:id="80"/>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18,157,893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1,238,961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1"/>
        <w:ind w:left="154" w:right="92"/>
        <w:jc w:val="left"/>
      </w:pPr>
      <w:r>
        <w:rPr/>
        <w:t>证券发行情况的说明</w:t>
      </w:r>
    </w:p>
    <w:p>
      <w:pPr>
        <w:spacing w:line="240" w:lineRule="auto" w:before="11"/>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spacing w:val="-2"/>
        </w:rPr>
        <w:t>1</w:t>
      </w:r>
      <w:r>
        <w:rPr>
          <w:spacing w:val="-2"/>
        </w:rPr>
        <w:t>、经中国证监会出具《关于核准北京东方国信科技股份有限公司向陈益玲等发行股份购买资产并募集配套资金的批复》</w:t>
      </w:r>
    </w:p>
    <w:p>
      <w:pPr>
        <w:spacing w:line="240" w:lineRule="auto" w:before="9"/>
        <w:rPr>
          <w:rFonts w:ascii="宋体" w:hAnsi="宋体" w:cs="宋体" w:eastAsia="宋体" w:hint="default"/>
          <w:sz w:val="16"/>
          <w:szCs w:val="16"/>
        </w:rPr>
      </w:pPr>
    </w:p>
    <w:p>
      <w:pPr>
        <w:pStyle w:val="BodyText"/>
        <w:spacing w:line="451" w:lineRule="auto"/>
        <w:ind w:left="154" w:right="181"/>
        <w:jc w:val="left"/>
      </w:pPr>
      <w:r>
        <w:rPr>
          <w:spacing w:val="-1"/>
        </w:rPr>
        <w:t>（证监许可</w:t>
      </w:r>
      <w:r>
        <w:rPr>
          <w:rFonts w:ascii="Times New Roman" w:hAnsi="Times New Roman" w:cs="Times New Roman" w:eastAsia="Times New Roman" w:hint="default"/>
          <w:spacing w:val="-1"/>
        </w:rPr>
        <w:t>[2014]1305</w:t>
      </w:r>
      <w:r>
        <w:rPr>
          <w:spacing w:val="-1"/>
        </w:rPr>
        <w:t>号文件）核准，公司于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日向陈益玲等交易对方合计发行</w:t>
      </w:r>
      <w:r>
        <w:rPr>
          <w:rFonts w:ascii="Times New Roman" w:hAnsi="Times New Roman" w:cs="Times New Roman" w:eastAsia="Times New Roman" w:hint="default"/>
          <w:spacing w:val="-1"/>
        </w:rPr>
        <w:t>18,157,893</w:t>
      </w:r>
      <w:r>
        <w:rPr>
          <w:spacing w:val="-1"/>
        </w:rPr>
        <w:t>股普通</w:t>
      </w:r>
      <w:r>
        <w:rPr>
          <w:rFonts w:ascii="Times New Roman" w:hAnsi="Times New Roman" w:cs="Times New Roman" w:eastAsia="Times New Roman" w:hint="default"/>
          <w:spacing w:val="-1"/>
        </w:rPr>
        <w:t>A</w:t>
      </w:r>
      <w:r>
        <w:rPr>
          <w:spacing w:val="-1"/>
        </w:rPr>
        <w:t>股股票，上述</w:t>
      </w:r>
      <w:r>
        <w:rPr>
          <w:spacing w:val="-87"/>
        </w:rPr>
        <w:t> </w:t>
      </w:r>
      <w:r>
        <w:rPr>
          <w:spacing w:val="-87"/>
        </w:rPr>
      </w:r>
      <w:r>
        <w:rPr/>
        <w:t>股份于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日上市。</w:t>
      </w:r>
    </w:p>
    <w:p>
      <w:pPr>
        <w:pStyle w:val="BodyText"/>
        <w:spacing w:line="451" w:lineRule="auto" w:before="43"/>
        <w:ind w:right="92"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日，公司股权激励对象共行权</w:t>
      </w:r>
      <w:r>
        <w:rPr>
          <w:rFonts w:ascii="Times New Roman" w:hAnsi="Times New Roman" w:cs="Times New Roman" w:eastAsia="Times New Roman" w:hint="default"/>
          <w:spacing w:val="-2"/>
        </w:rPr>
        <w:t>1,238,961</w:t>
      </w:r>
      <w:r>
        <w:rPr>
          <w:spacing w:val="-2"/>
        </w:rPr>
        <w:t>份股票期权，行权价格为</w:t>
      </w:r>
      <w:r>
        <w:rPr>
          <w:rFonts w:ascii="Times New Roman" w:hAnsi="Times New Roman" w:cs="Times New Roman" w:eastAsia="Times New Roman" w:hint="default"/>
          <w:spacing w:val="-2"/>
        </w:rPr>
        <w:t>5.874</w:t>
      </w:r>
      <w:r>
        <w:rPr>
          <w:spacing w:val="-2"/>
        </w:rPr>
        <w:t>元</w:t>
      </w:r>
      <w:r>
        <w:rPr>
          <w:rFonts w:ascii="Times New Roman" w:hAnsi="Times New Roman" w:cs="Times New Roman" w:eastAsia="Times New Roman" w:hint="default"/>
          <w:spacing w:val="-2"/>
        </w:rPr>
        <w:t>/</w:t>
      </w:r>
      <w:r>
        <w:rPr>
          <w:spacing w:val="-2"/>
        </w:rPr>
        <w:t>股，新增公司</w:t>
      </w:r>
      <w:r>
        <w:rPr/>
        <w:t> 股份</w:t>
      </w:r>
      <w:r>
        <w:rPr>
          <w:rFonts w:ascii="Times New Roman" w:hAnsi="Times New Roman" w:cs="Times New Roman" w:eastAsia="Times New Roman" w:hint="default"/>
        </w:rPr>
        <w:t>1,238,961</w:t>
      </w:r>
      <w:r>
        <w:rPr/>
        <w:t>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3"/>
        <w:spacing w:line="240" w:lineRule="auto"/>
        <w:ind w:left="154" w:right="92"/>
        <w:jc w:val="left"/>
        <w:rPr>
          <w:b w:val="0"/>
          <w:bCs w:val="0"/>
        </w:rPr>
      </w:pPr>
      <w:bookmarkStart w:name="2、公司股份总数及股东结构的变动、公司资产和负债结构的变动情况说明" w:id="81"/>
      <w:bookmarkEnd w:id="8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513" w:right="9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日，公司完成了已离职股权激励对象所持的尚未解锁的</w:t>
      </w:r>
      <w:r>
        <w:rPr>
          <w:rFonts w:ascii="Times New Roman" w:hAnsi="Times New Roman" w:cs="Times New Roman" w:eastAsia="Times New Roman" w:hint="default"/>
        </w:rPr>
        <w:t>67,500</w:t>
      </w:r>
      <w:r>
        <w:rPr/>
        <w:t>股限制性股票的回购注销，公司总股本由</w:t>
      </w:r>
    </w:p>
    <w:p>
      <w:pPr>
        <w:spacing w:line="240" w:lineRule="auto" w:before="9"/>
        <w:rPr>
          <w:rFonts w:ascii="宋体" w:hAnsi="宋体" w:cs="宋体" w:eastAsia="宋体" w:hint="default"/>
          <w:sz w:val="16"/>
          <w:szCs w:val="16"/>
        </w:rPr>
      </w:pPr>
    </w:p>
    <w:p>
      <w:pPr>
        <w:pStyle w:val="BodyText"/>
        <w:spacing w:line="240" w:lineRule="auto"/>
        <w:ind w:right="92"/>
        <w:jc w:val="left"/>
      </w:pPr>
      <w:r>
        <w:rPr>
          <w:rFonts w:ascii="Times New Roman" w:hAnsi="Times New Roman" w:cs="Times New Roman" w:eastAsia="Times New Roman" w:hint="default"/>
        </w:rPr>
        <w:t>135,720,988</w:t>
      </w:r>
      <w:r>
        <w:rPr/>
        <w:t>股减至</w:t>
      </w:r>
      <w:r>
        <w:rPr>
          <w:rFonts w:ascii="Times New Roman" w:hAnsi="Times New Roman" w:cs="Times New Roman" w:eastAsia="Times New Roman" w:hint="default"/>
        </w:rPr>
        <w:t>135,653,488</w:t>
      </w:r>
      <w:r>
        <w:rPr/>
        <w:t>股，减少资本公积</w:t>
      </w:r>
      <w:r>
        <w:rPr>
          <w:rFonts w:ascii="Times New Roman" w:hAnsi="Times New Roman" w:cs="Times New Roman" w:eastAsia="Times New Roman" w:hint="default"/>
        </w:rPr>
        <w:t>298350</w:t>
      </w:r>
      <w:r>
        <w:rPr/>
        <w:t>元，减少资产</w:t>
      </w:r>
      <w:r>
        <w:rPr>
          <w:rFonts w:ascii="Times New Roman" w:hAnsi="Times New Roman" w:cs="Times New Roman" w:eastAsia="Times New Roman" w:hint="default"/>
        </w:rPr>
        <w:t>365850</w:t>
      </w:r>
      <w:r>
        <w:rPr/>
        <w:t>元。</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r>
        <w:rPr/>
        <w:pict>
          <v:group style="position:absolute;margin-left:188.539993pt;margin-top:738.209961pt;width:362.7pt;height:27pt;mso-position-horizontal-relative:page;mso-position-vertical-relative:page;z-index:-954808" coordorigin="3771,14764" coordsize="7254,540">
            <v:group style="position:absolute;left:3782;top:14776;width:2;height:393" coordorigin="3782,14776" coordsize="2,393">
              <v:shape style="position:absolute;left:3782;top:14776;width:2;height:393" coordorigin="3782,14776" coordsize="0,393" path="m3782,14776l3782,15168e" filled="false" stroked="true" strokeweight="1.140pt" strokecolor="#ffffff">
                <v:path arrowok="t"/>
              </v:shape>
            </v:group>
            <v:group style="position:absolute;left:3771;top:15168;width:7254;height:136" coordorigin="3771,15168" coordsize="7254,136">
              <v:shape style="position:absolute;left:3771;top:15168;width:7254;height:136" coordorigin="3771,15168" coordsize="7254,136" path="m3771,15304l11024,15304,11024,15168,3771,15168,3771,15304xe" filled="true" fillcolor="#ffffff" stroked="false">
                <v:path arrowok="t"/>
                <v:fill type="solid"/>
              </v:shape>
            </v:group>
            <v:group style="position:absolute;left:3794;top:14776;width:7208;height:393" coordorigin="3794,14776" coordsize="7208,393">
              <v:shape style="position:absolute;left:3794;top:14776;width:7208;height:393" coordorigin="3794,14776" coordsize="7208,393" path="m3794,15168l11002,15168,11002,14776,3794,14776,3794,15168xe" filled="true" fillcolor="#ffffff" stroked="false">
                <v:path arrowok="t"/>
                <v:fill type="solid"/>
              </v:shape>
            </v:group>
            <w10:wrap type="none"/>
          </v:group>
        </w:pict>
      </w:r>
    </w:p>
    <w:p>
      <w:pPr>
        <w:spacing w:line="240" w:lineRule="auto" w:before="3"/>
        <w:rPr>
          <w:rFonts w:ascii="宋体" w:hAnsi="宋体" w:cs="宋体" w:eastAsia="宋体" w:hint="default"/>
          <w:sz w:val="15"/>
          <w:szCs w:val="15"/>
        </w:rPr>
      </w:pPr>
    </w:p>
    <w:p>
      <w:pPr>
        <w:pStyle w:val="BodyText"/>
        <w:spacing w:line="451" w:lineRule="auto"/>
        <w:ind w:right="363" w:firstLine="27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日，公司实施</w:t>
      </w:r>
      <w:r>
        <w:rPr>
          <w:rFonts w:ascii="Times New Roman" w:hAnsi="Times New Roman" w:cs="Times New Roman" w:eastAsia="Times New Roman" w:hint="default"/>
        </w:rPr>
        <w:t>2013</w:t>
      </w:r>
      <w:r>
        <w:rPr/>
        <w:t>年度资本公积金转增股本方案，转增后总股本增至</w:t>
      </w:r>
      <w:r>
        <w:rPr>
          <w:rFonts w:ascii="Times New Roman" w:hAnsi="Times New Roman" w:cs="Times New Roman" w:eastAsia="Times New Roman" w:hint="default"/>
        </w:rPr>
        <w:t>259,620,984</w:t>
      </w:r>
      <w:r>
        <w:rPr/>
        <w:t>股，公司资本公积金减 少</w:t>
      </w:r>
      <w:r>
        <w:rPr>
          <w:rFonts w:ascii="Times New Roman" w:hAnsi="Times New Roman" w:cs="Times New Roman" w:eastAsia="Times New Roman" w:hint="default"/>
        </w:rPr>
        <w:t>123,967,496</w:t>
      </w:r>
      <w:r>
        <w:rPr/>
        <w:t>元。</w:t>
      </w:r>
    </w:p>
    <w:p>
      <w:pPr>
        <w:pStyle w:val="BodyText"/>
        <w:spacing w:line="240" w:lineRule="auto" w:before="43"/>
        <w:ind w:left="513" w:right="0"/>
        <w:jc w:val="left"/>
      </w:pPr>
      <w:r>
        <w:rPr>
          <w:rFonts w:ascii="Times New Roman" w:hAnsi="Times New Roman" w:cs="Times New Roman" w:eastAsia="Times New Roman" w:hint="default"/>
        </w:rPr>
        <w:t>3</w:t>
      </w:r>
      <w:r>
        <w:rPr/>
        <w:t>、经中国证监会出具《关于核准北京东方国信科技股份有限公司向陈益玲等发行股份购买资产并募集配套资金的批复》</w:t>
      </w:r>
    </w:p>
    <w:p>
      <w:pPr>
        <w:spacing w:line="240" w:lineRule="auto" w:before="10"/>
        <w:rPr>
          <w:rFonts w:ascii="宋体" w:hAnsi="宋体" w:cs="宋体" w:eastAsia="宋体" w:hint="default"/>
          <w:sz w:val="16"/>
          <w:szCs w:val="16"/>
        </w:rPr>
      </w:pPr>
    </w:p>
    <w:p>
      <w:pPr>
        <w:pStyle w:val="BodyText"/>
        <w:spacing w:line="451" w:lineRule="auto"/>
        <w:ind w:left="154" w:right="361"/>
        <w:jc w:val="left"/>
      </w:pPr>
      <w:r>
        <w:rPr>
          <w:spacing w:val="-1"/>
        </w:rPr>
        <w:t>（证监许可</w:t>
      </w:r>
      <w:r>
        <w:rPr>
          <w:rFonts w:ascii="Times New Roman" w:hAnsi="Times New Roman" w:cs="Times New Roman" w:eastAsia="Times New Roman" w:hint="default"/>
          <w:spacing w:val="-1"/>
        </w:rPr>
        <w:t>[2014]1305</w:t>
      </w:r>
      <w:r>
        <w:rPr>
          <w:spacing w:val="-1"/>
        </w:rPr>
        <w:t>号文件）核准，公司于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日向陈益玲等交易对方合计发行</w:t>
      </w:r>
      <w:r>
        <w:rPr>
          <w:rFonts w:ascii="Times New Roman" w:hAnsi="Times New Roman" w:cs="Times New Roman" w:eastAsia="Times New Roman" w:hint="default"/>
          <w:spacing w:val="-1"/>
        </w:rPr>
        <w:t>18,157,893</w:t>
      </w:r>
      <w:r>
        <w:rPr>
          <w:spacing w:val="-1"/>
        </w:rPr>
        <w:t>股普通</w:t>
      </w:r>
      <w:r>
        <w:rPr>
          <w:rFonts w:ascii="Times New Roman" w:hAnsi="Times New Roman" w:cs="Times New Roman" w:eastAsia="Times New Roman" w:hint="default"/>
          <w:spacing w:val="-1"/>
        </w:rPr>
        <w:t>A</w:t>
      </w:r>
      <w:r>
        <w:rPr>
          <w:spacing w:val="-1"/>
        </w:rPr>
        <w:t>股股票，增加</w:t>
      </w:r>
      <w:r>
        <w:rPr>
          <w:spacing w:val="-87"/>
        </w:rPr>
        <w:t> </w:t>
      </w:r>
      <w:r>
        <w:rPr>
          <w:spacing w:val="-87"/>
        </w:rPr>
      </w:r>
      <w:r>
        <w:rPr/>
        <w:t>公司资本公积</w:t>
      </w:r>
      <w:r>
        <w:rPr>
          <w:rFonts w:ascii="Times New Roman" w:hAnsi="Times New Roman" w:cs="Times New Roman" w:eastAsia="Times New Roman" w:hint="default"/>
        </w:rPr>
        <w:t>319,942,107</w:t>
      </w:r>
      <w:r>
        <w:rPr/>
        <w:t>元，增加公司资产</w:t>
      </w:r>
      <w:r>
        <w:rPr>
          <w:spacing w:val="-24"/>
        </w:rPr>
        <w:t> </w:t>
      </w:r>
      <w:r>
        <w:rPr>
          <w:rFonts w:ascii="Times New Roman" w:hAnsi="Times New Roman" w:cs="Times New Roman" w:eastAsia="Times New Roman" w:hint="default"/>
        </w:rPr>
        <w:t>338,100,000</w:t>
      </w:r>
      <w:r>
        <w:rPr/>
        <w:t>元。</w:t>
      </w:r>
    </w:p>
    <w:p>
      <w:pPr>
        <w:pStyle w:val="BodyText"/>
        <w:spacing w:line="451" w:lineRule="auto" w:before="43"/>
        <w:ind w:right="363"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日，公司股权激励对象共行权</w:t>
      </w:r>
      <w:r>
        <w:rPr>
          <w:rFonts w:ascii="Times New Roman" w:hAnsi="Times New Roman" w:cs="Times New Roman" w:eastAsia="Times New Roman" w:hint="default"/>
          <w:spacing w:val="-2"/>
        </w:rPr>
        <w:t>1,238,961</w:t>
      </w:r>
      <w:r>
        <w:rPr>
          <w:spacing w:val="-2"/>
        </w:rPr>
        <w:t>份股票期权，行权价格为</w:t>
      </w:r>
      <w:r>
        <w:rPr>
          <w:rFonts w:ascii="Times New Roman" w:hAnsi="Times New Roman" w:cs="Times New Roman" w:eastAsia="Times New Roman" w:hint="default"/>
          <w:spacing w:val="-2"/>
        </w:rPr>
        <w:t>5.874</w:t>
      </w:r>
      <w:r>
        <w:rPr>
          <w:spacing w:val="-2"/>
        </w:rPr>
        <w:t>元</w:t>
      </w:r>
      <w:r>
        <w:rPr>
          <w:rFonts w:ascii="Times New Roman" w:hAnsi="Times New Roman" w:cs="Times New Roman" w:eastAsia="Times New Roman" w:hint="default"/>
          <w:spacing w:val="-2"/>
        </w:rPr>
        <w:t>/</w:t>
      </w:r>
      <w:r>
        <w:rPr>
          <w:spacing w:val="-2"/>
        </w:rPr>
        <w:t>股，新增公司</w:t>
      </w:r>
      <w:r>
        <w:rPr/>
        <w:t> 股份</w:t>
      </w:r>
      <w:r>
        <w:rPr>
          <w:rFonts w:ascii="Times New Roman" w:hAnsi="Times New Roman" w:cs="Times New Roman" w:eastAsia="Times New Roman" w:hint="default"/>
        </w:rPr>
        <w:t>1,238,961</w:t>
      </w:r>
      <w:r>
        <w:rPr/>
        <w:t>股，增加公司资本公积</w:t>
      </w:r>
      <w:r>
        <w:rPr>
          <w:rFonts w:ascii="Times New Roman" w:hAnsi="Times New Roman" w:cs="Times New Roman" w:eastAsia="Times New Roman" w:hint="default"/>
        </w:rPr>
        <w:t>6,038,695.61</w:t>
      </w:r>
      <w:r>
        <w:rPr/>
        <w:t>元，增加公司资产</w:t>
      </w:r>
      <w:r>
        <w:rPr>
          <w:rFonts w:ascii="Times New Roman" w:hAnsi="Times New Roman" w:cs="Times New Roman" w:eastAsia="Times New Roman" w:hint="default"/>
        </w:rPr>
        <w:t>7277656.61</w:t>
      </w:r>
      <w:r>
        <w:rPr/>
        <w:t>元。</w:t>
      </w:r>
    </w:p>
    <w:p>
      <w:pPr>
        <w:spacing w:line="240" w:lineRule="auto" w:before="9"/>
        <w:rPr>
          <w:rFonts w:ascii="宋体" w:hAnsi="宋体" w:cs="宋体" w:eastAsia="宋体" w:hint="default"/>
          <w:sz w:val="16"/>
          <w:szCs w:val="16"/>
        </w:rPr>
      </w:pPr>
    </w:p>
    <w:p>
      <w:pPr>
        <w:pStyle w:val="Heading2"/>
        <w:spacing w:line="240" w:lineRule="auto"/>
        <w:ind w:right="363"/>
        <w:jc w:val="left"/>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63"/>
        <w:jc w:val="left"/>
        <w:rPr>
          <w:b w:val="0"/>
          <w:bCs w:val="0"/>
        </w:rPr>
      </w:pPr>
      <w:bookmarkStart w:name="1、公司股东数量及持股情况" w:id="83"/>
      <w:bookmarkEnd w:id="8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37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6"/>
        <w:gridCol w:w="1380"/>
        <w:gridCol w:w="882"/>
        <w:gridCol w:w="892"/>
        <w:gridCol w:w="877"/>
        <w:gridCol w:w="906"/>
        <w:gridCol w:w="938"/>
        <w:gridCol w:w="1151"/>
        <w:gridCol w:w="236"/>
        <w:gridCol w:w="1387"/>
      </w:tblGrid>
      <w:tr>
        <w:trPr>
          <w:trHeight w:val="408"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7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10,249</w:t>
            </w:r>
          </w:p>
        </w:tc>
        <w:tc>
          <w:tcPr>
            <w:tcW w:w="38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10,440</w:t>
            </w:r>
          </w:p>
        </w:tc>
      </w:tr>
      <w:tr>
        <w:trPr>
          <w:trHeight w:val="391" w:hRule="exact"/>
        </w:trPr>
        <w:tc>
          <w:tcPr>
            <w:tcW w:w="989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7" w:hRule="exact"/>
        </w:trPr>
        <w:tc>
          <w:tcPr>
            <w:tcW w:w="1246"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9" w:right="7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7" w:right="8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03" w:right="10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5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6"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7" w:right="8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77" w:type="dxa"/>
            <w:vMerge/>
            <w:tcBorders>
              <w:left w:val="single" w:sz="4" w:space="0" w:color="000000"/>
              <w:right w:val="single" w:sz="4" w:space="0" w:color="000000"/>
            </w:tcBorders>
            <w:shd w:val="clear" w:color="auto" w:fill="D2D2D2"/>
          </w:tcPr>
          <w:p>
            <w:pPr/>
          </w:p>
        </w:tc>
        <w:tc>
          <w:tcPr>
            <w:tcW w:w="906"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2774" w:type="dxa"/>
            <w:gridSpan w:val="3"/>
            <w:vMerge/>
            <w:tcBorders>
              <w:left w:val="single" w:sz="4" w:space="0" w:color="000000"/>
              <w:right w:val="single" w:sz="4" w:space="0" w:color="000000"/>
            </w:tcBorders>
            <w:shd w:val="clear" w:color="auto" w:fill="D2D2D2"/>
          </w:tcPr>
          <w:p>
            <w:pPr/>
          </w:p>
        </w:tc>
      </w:tr>
      <w:tr>
        <w:trPr>
          <w:trHeight w:val="140" w:hRule="exact"/>
        </w:trPr>
        <w:tc>
          <w:tcPr>
            <w:tcW w:w="12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92" w:type="dxa"/>
            <w:vMerge/>
            <w:tcBorders>
              <w:left w:val="single" w:sz="4" w:space="0" w:color="000000"/>
              <w:right w:val="single" w:sz="4" w:space="0" w:color="000000"/>
            </w:tcBorders>
            <w:shd w:val="clear" w:color="auto" w:fill="D2D2D2"/>
          </w:tcPr>
          <w:p>
            <w:pPr/>
          </w:p>
        </w:tc>
        <w:tc>
          <w:tcPr>
            <w:tcW w:w="877" w:type="dxa"/>
            <w:vMerge/>
            <w:tcBorders>
              <w:left w:val="single" w:sz="4" w:space="0" w:color="000000"/>
              <w:right w:val="single" w:sz="4" w:space="0" w:color="000000"/>
            </w:tcBorders>
            <w:shd w:val="clear" w:color="auto" w:fill="D2D2D2"/>
          </w:tcPr>
          <w:p>
            <w:pPr/>
          </w:p>
        </w:tc>
        <w:tc>
          <w:tcPr>
            <w:tcW w:w="906"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2774"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6"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877" w:type="dxa"/>
            <w:vMerge/>
            <w:tcBorders>
              <w:left w:val="single" w:sz="4" w:space="0" w:color="000000"/>
              <w:right w:val="single" w:sz="4" w:space="0" w:color="000000"/>
            </w:tcBorders>
            <w:shd w:val="clear" w:color="auto" w:fill="D2D2D2"/>
          </w:tcPr>
          <w:p>
            <w:pPr/>
          </w:p>
        </w:tc>
        <w:tc>
          <w:tcPr>
            <w:tcW w:w="906"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13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6"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892" w:type="dxa"/>
            <w:vMerge/>
            <w:tcBorders>
              <w:left w:val="single" w:sz="4" w:space="0" w:color="000000"/>
              <w:bottom w:val="nil" w:sz="6" w:space="0" w:color="auto"/>
              <w:right w:val="single" w:sz="4" w:space="0" w:color="000000"/>
            </w:tcBorders>
            <w:shd w:val="clear" w:color="auto" w:fill="D2D2D2"/>
          </w:tcPr>
          <w:p>
            <w:pPr/>
          </w:p>
        </w:tc>
        <w:tc>
          <w:tcPr>
            <w:tcW w:w="877" w:type="dxa"/>
            <w:vMerge/>
            <w:tcBorders>
              <w:left w:val="single" w:sz="4" w:space="0" w:color="000000"/>
              <w:right w:val="single" w:sz="4" w:space="0" w:color="000000"/>
            </w:tcBorders>
            <w:shd w:val="clear" w:color="auto" w:fill="D2D2D2"/>
          </w:tcPr>
          <w:p>
            <w:pPr/>
          </w:p>
        </w:tc>
        <w:tc>
          <w:tcPr>
            <w:tcW w:w="906"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1387" w:type="dxa"/>
            <w:gridSpan w:val="2"/>
            <w:vMerge/>
            <w:tcBorders>
              <w:left w:val="single" w:sz="4" w:space="0" w:color="000000"/>
              <w:right w:val="single" w:sz="4" w:space="0" w:color="000000"/>
            </w:tcBorders>
            <w:shd w:val="clear" w:color="auto" w:fill="D2D2D2"/>
          </w:tcPr>
          <w:p>
            <w:pPr/>
          </w:p>
        </w:tc>
        <w:tc>
          <w:tcPr>
            <w:tcW w:w="1387" w:type="dxa"/>
            <w:vMerge/>
            <w:tcBorders>
              <w:left w:val="single" w:sz="4" w:space="0" w:color="000000"/>
              <w:right w:val="single" w:sz="4" w:space="0" w:color="000000"/>
            </w:tcBorders>
            <w:shd w:val="clear" w:color="auto" w:fill="D2D2D2"/>
          </w:tcPr>
          <w:p>
            <w:pPr/>
          </w:p>
        </w:tc>
      </w:tr>
      <w:tr>
        <w:trPr>
          <w:trHeight w:val="161" w:hRule="exact"/>
        </w:trPr>
        <w:tc>
          <w:tcPr>
            <w:tcW w:w="1246"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c>
          <w:tcPr>
            <w:tcW w:w="906"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1387" w:type="dxa"/>
            <w:gridSpan w:val="2"/>
            <w:vMerge/>
            <w:tcBorders>
              <w:left w:val="single" w:sz="4" w:space="0" w:color="000000"/>
              <w:bottom w:val="single" w:sz="4" w:space="0" w:color="000000"/>
              <w:right w:val="single" w:sz="4" w:space="0" w:color="000000"/>
            </w:tcBorders>
            <w:shd w:val="clear" w:color="auto" w:fill="D2D2D2"/>
          </w:tcPr>
          <w:p>
            <w:pPr/>
          </w:p>
        </w:tc>
        <w:tc>
          <w:tcPr>
            <w:tcW w:w="138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56,090,222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24,170,222</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45,817,667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10,272,555</w:t>
            </w:r>
          </w:p>
        </w:tc>
        <w:tc>
          <w:tcPr>
            <w:tcW w:w="1387"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z w:val="18"/>
              </w:rPr>
              <w:t>29,200,000</w:t>
            </w: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40,817,666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16,877,666</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34,363,250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6,454,416</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102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新余仁邦翰威 投资管理有限 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19,066,155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4,702,155</w:t>
            </w:r>
          </w:p>
        </w:tc>
        <w:tc>
          <w:tcPr>
            <w:tcW w:w="90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新余仁邦时代 投资管理有限 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12,186,397</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2,610,397</w:t>
            </w:r>
          </w:p>
        </w:tc>
        <w:tc>
          <w:tcPr>
            <w:tcW w:w="90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9" w:lineRule="auto" w:before="75"/>
              <w:ind w:left="22" w:right="131"/>
              <w:jc w:val="both"/>
              <w:rPr>
                <w:rFonts w:ascii="宋体" w:hAnsi="宋体" w:cs="宋体" w:eastAsia="宋体" w:hint="default"/>
                <w:sz w:val="18"/>
                <w:szCs w:val="18"/>
              </w:rPr>
            </w:pPr>
            <w:r>
              <w:rPr>
                <w:rFonts w:ascii="宋体" w:hAnsi="宋体" w:cs="宋体" w:eastAsia="宋体" w:hint="default"/>
                <w:sz w:val="18"/>
                <w:szCs w:val="18"/>
              </w:rPr>
              <w:t>－汇添富均衡 增长股票型证 券投资基金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9,434,419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9,434,419</w:t>
            </w:r>
          </w:p>
        </w:tc>
        <w:tc>
          <w:tcPr>
            <w:tcW w:w="90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9,169,736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9,169,736</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9,169,736</w:t>
            </w:r>
          </w:p>
        </w:tc>
        <w:tc>
          <w:tcPr>
            <w:tcW w:w="93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6,355,263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6,355,263</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6,355,263</w:t>
            </w:r>
          </w:p>
        </w:tc>
        <w:tc>
          <w:tcPr>
            <w:tcW w:w="93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邢洪海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5,020,865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2,397,803</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4,991,451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29,414</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1,339,696</w:t>
            </w: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程树森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4,559,690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2,177,225</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4,559,690</w:t>
            </w:r>
          </w:p>
        </w:tc>
        <w:tc>
          <w:tcPr>
            <w:tcW w:w="93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梁洪</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3,957,810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1,889,831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3,957,810</w:t>
            </w:r>
          </w:p>
        </w:tc>
        <w:tc>
          <w:tcPr>
            <w:tcW w:w="93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885,000</w:t>
            </w:r>
          </w:p>
        </w:tc>
      </w:tr>
      <w:tr>
        <w:trPr>
          <w:trHeight w:val="67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pacing w:val="-10"/>
                <w:sz w:val="18"/>
                <w:szCs w:val="18"/>
              </w:rPr>
              <w:t>名股东的情况（如有</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892" w:type="dxa"/>
            <w:tcBorders>
              <w:top w:val="single" w:sz="4" w:space="0" w:color="000000"/>
              <w:left w:val="nil" w:sz="6" w:space="0" w:color="auto"/>
              <w:bottom w:val="single" w:sz="4" w:space="0" w:color="000000"/>
              <w:right w:val="nil" w:sz="6" w:space="0" w:color="auto"/>
            </w:tcBorders>
          </w:tcPr>
          <w:p>
            <w:pPr/>
          </w:p>
        </w:tc>
        <w:tc>
          <w:tcPr>
            <w:tcW w:w="877" w:type="dxa"/>
            <w:tcBorders>
              <w:top w:val="single" w:sz="4" w:space="0" w:color="000000"/>
              <w:left w:val="nil" w:sz="6" w:space="0" w:color="auto"/>
              <w:bottom w:val="single" w:sz="4" w:space="0" w:color="000000"/>
              <w:right w:val="nil" w:sz="6" w:space="0" w:color="auto"/>
            </w:tcBorders>
          </w:tcPr>
          <w:p>
            <w:pPr/>
          </w:p>
        </w:tc>
        <w:tc>
          <w:tcPr>
            <w:tcW w:w="906" w:type="dxa"/>
            <w:tcBorders>
              <w:top w:val="single" w:sz="4" w:space="0" w:color="000000"/>
              <w:left w:val="nil" w:sz="6" w:space="0" w:color="auto"/>
              <w:bottom w:val="single" w:sz="4" w:space="0" w:color="000000"/>
              <w:right w:val="nil" w:sz="6" w:space="0" w:color="auto"/>
            </w:tcBorders>
          </w:tcPr>
          <w:p>
            <w:pPr/>
          </w:p>
        </w:tc>
        <w:tc>
          <w:tcPr>
            <w:tcW w:w="938" w:type="dxa"/>
            <w:tcBorders>
              <w:top w:val="single" w:sz="4" w:space="0" w:color="000000"/>
              <w:left w:val="nil" w:sz="6" w:space="0" w:color="auto"/>
              <w:bottom w:val="single" w:sz="4" w:space="0" w:color="000000"/>
              <w:right w:val="nil" w:sz="6" w:space="0" w:color="auto"/>
            </w:tcBorders>
          </w:tcPr>
          <w:p>
            <w:pPr/>
          </w:p>
        </w:tc>
        <w:tc>
          <w:tcPr>
            <w:tcW w:w="1151" w:type="dxa"/>
            <w:tcBorders>
              <w:top w:val="single" w:sz="4" w:space="0" w:color="000000"/>
              <w:left w:val="nil" w:sz="6" w:space="0" w:color="auto"/>
              <w:bottom w:val="single" w:sz="4" w:space="0" w:color="000000"/>
              <w:right w:val="nil" w:sz="6" w:space="0" w:color="auto"/>
            </w:tcBorders>
          </w:tcPr>
          <w:p>
            <w:pPr/>
          </w:p>
        </w:tc>
        <w:tc>
          <w:tcPr>
            <w:tcW w:w="236" w:type="dxa"/>
            <w:tcBorders>
              <w:top w:val="single" w:sz="4" w:space="0" w:color="000000"/>
              <w:left w:val="nil" w:sz="6" w:space="0" w:color="auto"/>
              <w:bottom w:val="single" w:sz="4" w:space="0" w:color="000000"/>
              <w:right w:val="nil" w:sz="6" w:space="0" w:color="auto"/>
            </w:tcBorders>
          </w:tcPr>
          <w:p>
            <w:pPr/>
          </w:p>
        </w:tc>
        <w:tc>
          <w:tcPr>
            <w:tcW w:w="1387" w:type="dxa"/>
            <w:tcBorders>
              <w:top w:val="single" w:sz="4" w:space="0" w:color="000000"/>
              <w:left w:val="nil" w:sz="6" w:space="0" w:color="auto"/>
              <w:bottom w:val="single" w:sz="4" w:space="0" w:color="000000"/>
              <w:right w:val="single" w:sz="4" w:space="0" w:color="000000"/>
            </w:tcBorders>
          </w:tcPr>
          <w:p>
            <w:pPr/>
          </w:p>
        </w:tc>
      </w:tr>
    </w:tbl>
    <w:p>
      <w:pPr>
        <w:spacing w:after="0"/>
        <w:sectPr>
          <w:pgSz w:w="11910" w:h="16840"/>
          <w:pgMar w:header="747" w:footer="979" w:top="1060" w:bottom="1160" w:left="980" w:right="7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6"/>
        <w:gridCol w:w="4495"/>
        <w:gridCol w:w="1387"/>
        <w:gridCol w:w="1387"/>
      </w:tblGrid>
      <w:tr>
        <w:trPr>
          <w:trHeight w:val="362" w:hRule="exact"/>
        </w:trPr>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269" w:type="dxa"/>
            <w:gridSpan w:val="3"/>
            <w:tcBorders>
              <w:top w:val="single" w:sz="4" w:space="0" w:color="000000"/>
              <w:left w:val="single" w:sz="13" w:space="0" w:color="D2D2D2"/>
              <w:bottom w:val="single" w:sz="4" w:space="0" w:color="000000"/>
              <w:right w:val="single" w:sz="4" w:space="0" w:color="000000"/>
            </w:tcBorders>
          </w:tcPr>
          <w:p>
            <w:pPr/>
          </w:p>
        </w:tc>
      </w:tr>
      <w:tr>
        <w:trPr>
          <w:trHeight w:val="629" w:hRule="exact"/>
        </w:trPr>
        <w:tc>
          <w:tcPr>
            <w:tcW w:w="26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269" w:type="dxa"/>
            <w:gridSpan w:val="3"/>
            <w:vMerge w:val="restart"/>
            <w:tcBorders>
              <w:top w:val="single" w:sz="4" w:space="0" w:color="000000"/>
              <w:left w:val="single" w:sz="9" w:space="0" w:color="D2D2D2"/>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5"/>
                <w:sz w:val="18"/>
                <w:szCs w:val="18"/>
              </w:rPr>
              <w:t>公司股东管连平和霍卫平已共同签署关于一致行动的《协议书》，认定为一致行动人，两人为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公司的共同实际控制人。管连平持有新余仁邦翰威投资管理有限公司和新余仁邦时代投资管 理有限公司部分股权，担任新余仁邦翰威投资管理有限公司法定代表人；霍卫平持有新余仁 邦翰威投资管理有限公司和新余仁邦时代投资管理有限公司部分股权，担任新余仁邦时代投 资管理有限公司法定代表人。</w:t>
            </w:r>
            <w:r>
              <w:rPr>
                <w:rFonts w:ascii="宋体" w:hAnsi="宋体" w:cs="宋体" w:eastAsia="宋体" w:hint="default"/>
                <w:spacing w:val="-72"/>
                <w:sz w:val="18"/>
                <w:szCs w:val="18"/>
              </w:rPr>
              <w:t> </w:t>
            </w:r>
            <w:r>
              <w:rPr>
                <w:rFonts w:ascii="宋体" w:hAnsi="宋体" w:cs="宋体" w:eastAsia="宋体" w:hint="default"/>
                <w:sz w:val="18"/>
                <w:szCs w:val="18"/>
              </w:rPr>
              <w:t>除以上股东之间的关联关系外，公司未知其他股东之间是否存</w:t>
            </w:r>
            <w:r>
              <w:rPr>
                <w:rFonts w:ascii="宋体" w:hAnsi="宋体" w:cs="宋体" w:eastAsia="宋体" w:hint="default"/>
                <w:sz w:val="18"/>
                <w:szCs w:val="18"/>
              </w:rPr>
              <w:t> 在关联关系，也未知是否属于《上市公司收购管理办法》规定的一致行动人。</w:t>
            </w:r>
          </w:p>
        </w:tc>
      </w:tr>
      <w:tr>
        <w:trPr>
          <w:trHeight w:val="705" w:hRule="exact"/>
        </w:trPr>
        <w:tc>
          <w:tcPr>
            <w:tcW w:w="26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269" w:type="dxa"/>
            <w:gridSpan w:val="3"/>
            <w:vMerge/>
            <w:tcBorders>
              <w:left w:val="single" w:sz="9" w:space="0" w:color="D2D2D2"/>
              <w:right w:val="single" w:sz="4" w:space="0" w:color="000000"/>
            </w:tcBorders>
          </w:tcPr>
          <w:p>
            <w:pPr/>
          </w:p>
        </w:tc>
      </w:tr>
      <w:tr>
        <w:trPr>
          <w:trHeight w:val="629" w:hRule="exact"/>
        </w:trPr>
        <w:tc>
          <w:tcPr>
            <w:tcW w:w="26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269" w:type="dxa"/>
            <w:gridSpan w:val="3"/>
            <w:vMerge/>
            <w:tcBorders>
              <w:left w:val="single" w:sz="9" w:space="0" w:color="D2D2D2"/>
              <w:bottom w:val="single" w:sz="4" w:space="0" w:color="000000"/>
              <w:right w:val="single" w:sz="4" w:space="0" w:color="000000"/>
            </w:tcBorders>
          </w:tcPr>
          <w:p>
            <w:pPr/>
          </w:p>
        </w:tc>
      </w:tr>
      <w:tr>
        <w:trPr>
          <w:trHeight w:val="402" w:hRule="exact"/>
        </w:trPr>
        <w:tc>
          <w:tcPr>
            <w:tcW w:w="98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26" w:type="dxa"/>
            <w:tcBorders>
              <w:top w:val="single" w:sz="4" w:space="0" w:color="000000"/>
              <w:left w:val="single" w:sz="4" w:space="0" w:color="000000"/>
              <w:bottom w:val="nil" w:sz="6" w:space="0" w:color="auto"/>
              <w:right w:val="single" w:sz="4" w:space="0" w:color="000000"/>
            </w:tcBorders>
            <w:shd w:val="clear" w:color="auto" w:fill="D2D2D2"/>
          </w:tcPr>
          <w:p>
            <w:pPr/>
          </w:p>
        </w:tc>
        <w:tc>
          <w:tcPr>
            <w:tcW w:w="4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4"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26" w:type="dxa"/>
            <w:vMerge/>
            <w:tcBorders>
              <w:left w:val="single" w:sz="4" w:space="0" w:color="000000"/>
              <w:bottom w:val="nil" w:sz="6" w:space="0" w:color="auto"/>
              <w:right w:val="single" w:sz="4" w:space="0" w:color="000000"/>
            </w:tcBorders>
            <w:shd w:val="clear" w:color="auto" w:fill="D2D2D2"/>
          </w:tcPr>
          <w:p>
            <w:pPr/>
          </w:p>
        </w:tc>
        <w:tc>
          <w:tcPr>
            <w:tcW w:w="4495" w:type="dxa"/>
            <w:vMerge/>
            <w:tcBorders>
              <w:left w:val="single" w:sz="4" w:space="0" w:color="000000"/>
              <w:bottom w:val="nil" w:sz="6" w:space="0" w:color="auto"/>
              <w:right w:val="single" w:sz="4" w:space="0" w:color="000000"/>
            </w:tcBorders>
            <w:shd w:val="clear" w:color="auto" w:fill="D2D2D2"/>
          </w:tcPr>
          <w:p>
            <w:pPr/>
          </w:p>
        </w:tc>
        <w:tc>
          <w:tcPr>
            <w:tcW w:w="1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6" w:type="dxa"/>
            <w:tcBorders>
              <w:top w:val="nil" w:sz="6" w:space="0" w:color="auto"/>
              <w:left w:val="single" w:sz="4" w:space="0" w:color="000000"/>
              <w:bottom w:val="single" w:sz="4" w:space="0" w:color="000000"/>
              <w:right w:val="single" w:sz="4" w:space="0" w:color="000000"/>
            </w:tcBorders>
            <w:shd w:val="clear" w:color="auto" w:fill="D2D2D2"/>
          </w:tcPr>
          <w:p>
            <w:pPr/>
          </w:p>
        </w:tc>
        <w:tc>
          <w:tcPr>
            <w:tcW w:w="4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vMerge/>
            <w:tcBorders>
              <w:left w:val="single" w:sz="4" w:space="0" w:color="000000"/>
              <w:bottom w:val="single" w:sz="4" w:space="0" w:color="000000"/>
              <w:right w:val="single" w:sz="4" w:space="0" w:color="000000"/>
            </w:tcBorders>
            <w:shd w:val="clear" w:color="auto" w:fill="D2D2D2"/>
          </w:tcPr>
          <w:p>
            <w:pPr/>
          </w:p>
        </w:tc>
        <w:tc>
          <w:tcPr>
            <w:tcW w:w="138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新余仁邦翰威投资管理有限公司</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19,066,155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19,066,155</w:t>
            </w:r>
          </w:p>
        </w:tc>
      </w:tr>
      <w:tr>
        <w:trPr>
          <w:trHeight w:val="40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新余仁邦时代投资管理有限公司</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12,186,397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12,186,397</w:t>
            </w:r>
          </w:p>
        </w:tc>
      </w:tr>
      <w:tr>
        <w:trPr>
          <w:trHeight w:val="40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10,272,555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10,272,555</w:t>
            </w:r>
          </w:p>
        </w:tc>
      </w:tr>
      <w:tr>
        <w:trPr>
          <w:trHeight w:val="71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中国工商银行－汇添富均衡增长 股票型证券投资基金</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9,434,419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9,434,419</w:t>
            </w:r>
          </w:p>
        </w:tc>
      </w:tr>
      <w:tr>
        <w:trPr>
          <w:trHeight w:val="40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6,454,416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6,454,416</w:t>
            </w:r>
          </w:p>
        </w:tc>
      </w:tr>
      <w:tr>
        <w:trPr>
          <w:trHeight w:val="1026"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中国工商银行股份有限公司－汇 添富外延增长主题股票型证券投 资基金</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3,687,820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3,687,820</w:t>
            </w:r>
          </w:p>
        </w:tc>
      </w:tr>
      <w:tr>
        <w:trPr>
          <w:trHeight w:val="71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中国工商银行－上投摩根内需动 力股票型证券投资基金</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3,002,655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3,002,655</w:t>
            </w:r>
          </w:p>
        </w:tc>
      </w:tr>
      <w:tr>
        <w:trPr>
          <w:trHeight w:val="40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全国社保基金四零四组合</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2,999,970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2,999,970</w:t>
            </w:r>
          </w:p>
        </w:tc>
      </w:tr>
      <w:tr>
        <w:trPr>
          <w:trHeight w:val="1026"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中国农业银行股份有限公司－鹏 华动力增长混合型证券投资基金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2,699,884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2,699,884</w:t>
            </w:r>
          </w:p>
        </w:tc>
      </w:tr>
      <w:tr>
        <w:trPr>
          <w:trHeight w:val="71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中国建设银行－上投摩根双息平 衡混合型证券投资基金</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2,342,335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2,342,335</w:t>
            </w:r>
          </w:p>
        </w:tc>
      </w:tr>
      <w:tr>
        <w:trPr>
          <w:trHeight w:val="1338" w:hRule="exact"/>
        </w:trPr>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7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28"/>
              <w:jc w:val="left"/>
              <w:rPr>
                <w:rFonts w:ascii="宋体" w:hAnsi="宋体" w:cs="宋体" w:eastAsia="宋体" w:hint="default"/>
                <w:sz w:val="18"/>
                <w:szCs w:val="18"/>
              </w:rPr>
            </w:pPr>
            <w:r>
              <w:rPr>
                <w:rFonts w:ascii="宋体" w:hAnsi="宋体" w:cs="宋体" w:eastAsia="宋体" w:hint="default"/>
                <w:sz w:val="18"/>
                <w:szCs w:val="18"/>
              </w:rPr>
              <w:t>公司未发现上述股东之间存在关联关系或属于《上市公司持股变动信息披露管理办法》规定 的一致行动人。</w:t>
            </w:r>
          </w:p>
        </w:tc>
      </w:tr>
      <w:tr>
        <w:trPr>
          <w:trHeight w:val="714" w:hRule="exact"/>
        </w:trPr>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363"/>
        <w:jc w:val="left"/>
      </w:pPr>
      <w:r>
        <w:rPr/>
        <w:t>公司股东在报告期内是否进行约定购回交易</w:t>
      </w:r>
    </w:p>
    <w:p>
      <w:pPr>
        <w:pStyle w:val="BodyText"/>
        <w:spacing w:line="338" w:lineRule="auto" w:before="117"/>
        <w:ind w:right="65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after="0" w:line="338" w:lineRule="auto"/>
        <w:jc w:val="left"/>
        <w:sectPr>
          <w:pgSz w:w="11910" w:h="16840"/>
          <w:pgMar w:header="747" w:footer="979" w:top="1060" w:bottom="1160" w:left="980" w:right="76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公司控股股东情况" w:id="84"/>
      <w:bookmarkEnd w:id="8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管连平先生，</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 </w:t>
            </w:r>
            <w:r>
              <w:rPr>
                <w:rFonts w:ascii="宋体" w:hAnsi="宋体" w:cs="宋体" w:eastAsia="宋体" w:hint="default"/>
                <w:spacing w:val="-3"/>
                <w:sz w:val="18"/>
                <w:szCs w:val="18"/>
              </w:rPr>
              <w:t>毕业于西安理工大学，获学士学位，公司主要创始人；</w:t>
            </w:r>
            <w:r>
              <w:rPr>
                <w:rFonts w:ascii="Times New Roman" w:hAnsi="Times New Roman" w:cs="Times New Roman" w:eastAsia="Times New Roman" w:hint="default"/>
                <w:spacing w:val="-3"/>
                <w:sz w:val="18"/>
                <w:szCs w:val="18"/>
              </w:rPr>
              <w:t>1991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年，曾任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国营七〇〇厂设计主管和销售主管；</w:t>
            </w:r>
            <w:r>
              <w:rPr>
                <w:rFonts w:ascii="Times New Roman" w:hAnsi="Times New Roman" w:cs="Times New Roman" w:eastAsia="Times New Roman" w:hint="default"/>
                <w:spacing w:val="-4"/>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月担任东方国信有 限执行董事；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月至今担任公司董事长及总经理。</w:t>
            </w:r>
          </w:p>
          <w:p>
            <w:pPr>
              <w:pStyle w:val="TableParagraph"/>
              <w:spacing w:line="307" w:lineRule="auto" w:before="13"/>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霍卫平先生，</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 毕业于吉林大学计算机科学与技术专业，获学士学位；曾任国营北京有线电总 厂京信交换系统设备厂团支部书记、技术室主任；</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年与管连平先生共同创 办东方国信；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月担任东方国信有限公司总经理；</w:t>
            </w:r>
            <w:r>
              <w:rPr>
                <w:rFonts w:ascii="Times New Roman" w:hAnsi="Times New Roman" w:cs="Times New Roman" w:eastAsia="Times New Roman" w:hint="default"/>
                <w:sz w:val="18"/>
                <w:szCs w:val="18"/>
              </w:rPr>
              <w:t>2008</w:t>
            </w:r>
          </w:p>
          <w:p>
            <w:pPr>
              <w:pStyle w:val="TableParagraph"/>
              <w:spacing w:line="240" w:lineRule="auto" w:before="8"/>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月至今任公司董事兼常务副总经理，现任公司董事、常务副总经理。</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40" w:lineRule="auto" w:before="116"/>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85"/>
      <w:bookmarkEnd w:id="8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管连平先生，</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 毕业于西安理工大学，获学士学位，公司主要创始人；</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年，曾 任国营七〇〇厂设计主管和销售主管；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 信有限执行董事；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月至今担任公司董事长及总经理。 霍卫平先生，</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 毕业于吉林大学计算机科学与技术专业，获学士学位；曾任国营北京有线电总 </w:t>
            </w:r>
            <w:r>
              <w:rPr>
                <w:rFonts w:ascii="宋体" w:hAnsi="宋体" w:cs="宋体" w:eastAsia="宋体" w:hint="default"/>
                <w:spacing w:val="-3"/>
                <w:sz w:val="18"/>
                <w:szCs w:val="18"/>
              </w:rPr>
              <w:t>厂京信交换系统设备厂团支部书记、技术室主任；</w:t>
            </w:r>
            <w:r>
              <w:rPr>
                <w:rFonts w:ascii="Times New Roman" w:hAnsi="Times New Roman" w:cs="Times New Roman" w:eastAsia="Times New Roman" w:hint="default"/>
                <w:spacing w:val="-3"/>
                <w:sz w:val="18"/>
                <w:szCs w:val="18"/>
              </w:rPr>
              <w:t>1997 </w:t>
            </w:r>
            <w:r>
              <w:rPr>
                <w:rFonts w:ascii="宋体" w:hAnsi="宋体" w:cs="宋体" w:eastAsia="宋体" w:hint="default"/>
                <w:sz w:val="18"/>
                <w:szCs w:val="18"/>
              </w:rPr>
              <w:t>年与管连平先生共同创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办东方国信；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月担任东方国信有限公司总经理；</w:t>
            </w:r>
            <w:r>
              <w:rPr>
                <w:rFonts w:ascii="Times New Roman" w:hAnsi="Times New Roman" w:cs="Times New Roman" w:eastAsia="Times New Roman" w:hint="default"/>
                <w:sz w:val="18"/>
                <w:szCs w:val="18"/>
              </w:rPr>
              <w:t>2008</w:t>
            </w:r>
          </w:p>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月至今任公司董事兼常务副总经理，现任公司董事、常务副总经理。</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4260" w:lineRule="exact"/>
        <w:ind w:left="1356"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1434" cy="27051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4591434" cy="270510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13"/>
        <w:rPr>
          <w:rFonts w:ascii="宋体" w:hAnsi="宋体" w:cs="宋体" w:eastAsia="宋体" w:hint="default"/>
          <w:sz w:val="16"/>
          <w:szCs w:val="16"/>
        </w:rPr>
      </w:pPr>
    </w:p>
    <w:p>
      <w:pPr>
        <w:pStyle w:val="BodyText"/>
        <w:spacing w:line="240" w:lineRule="auto" w:before="44"/>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86"/>
      <w:bookmarkEnd w:id="8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前10吊限售条件股东持股数量及限售条件" w:id="87"/>
      <w:bookmarkEnd w:id="87"/>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45,817,667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34,363,250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9,169,736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按照现金及发行股份购 买资产并募集配套资金 报告书中所作承诺分两 期解锁</w:t>
            </w: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6,355,263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按照现金及发行股份购 买资产并募集配套资金 报告书中所作承诺分两 期解锁</w:t>
            </w:r>
          </w:p>
        </w:tc>
      </w:tr>
      <w:tr>
        <w:trPr>
          <w:trHeight w:val="196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邢洪海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5,020,865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所持限制性股票按照公 司股权激励计划安排分 三期解锁；其余股份按 照现金及发行股份购买 资产报告书中所作承诺 分两期解锁</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程树森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4,559,690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按照现金及发行股份购 买资产报告书中所作承 诺分两期解锁</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梁洪</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3,957,810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按照现金及发行股份购 买资产报告书中所作承 诺分两期解锁</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贾振丽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2,918,201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按照现金及发行股份购 买资产报告书中所作承 诺分两期解锁</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霍守锋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2,918,201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按照现金及发行股份购 买资产报告书中所作承 诺分两期解锁</w:t>
            </w: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1"/>
              <w:jc w:val="left"/>
              <w:rPr>
                <w:rFonts w:ascii="宋体" w:hAnsi="宋体" w:cs="宋体" w:eastAsia="宋体" w:hint="default"/>
                <w:sz w:val="18"/>
                <w:szCs w:val="18"/>
              </w:rPr>
            </w:pPr>
            <w:r>
              <w:rPr>
                <w:rFonts w:ascii="宋体" w:hAnsi="宋体" w:cs="宋体" w:eastAsia="宋体" w:hint="default"/>
                <w:sz w:val="18"/>
                <w:szCs w:val="18"/>
              </w:rPr>
              <w:t>上海屹隆信息科技有限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1,815,789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按照现金及发行股份购 买资产并募集配套资金 报告书中所作承诺分两 期解锁</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80" w:right="0"/>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0"/>
      <w:bookmarkEnd w:id="90"/>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股情况" w:id="91"/>
      <w:bookmarkEnd w:id="91"/>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44"/>
        <w:ind w:left="0" w:right="162"/>
        <w:jc w:val="right"/>
      </w:pPr>
      <w:r>
        <w:rPr/>
        <w:pict>
          <v:shape style="position:absolute;margin-left:56.459999pt;margin-top:-208.168274pt;width:479pt;height:533.6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4"/>
                    <w:gridCol w:w="557"/>
                    <w:gridCol w:w="683"/>
                    <w:gridCol w:w="509"/>
                    <w:gridCol w:w="566"/>
                    <w:gridCol w:w="851"/>
                    <w:gridCol w:w="708"/>
                    <w:gridCol w:w="709"/>
                    <w:gridCol w:w="568"/>
                    <w:gridCol w:w="566"/>
                    <w:gridCol w:w="568"/>
                    <w:gridCol w:w="566"/>
                    <w:gridCol w:w="568"/>
                    <w:gridCol w:w="1342"/>
                  </w:tblGrid>
                  <w:tr>
                    <w:trPr>
                      <w:trHeight w:val="3210"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年龄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330" w:right="59" w:hanging="270"/>
                          <w:jc w:val="left"/>
                          <w:rPr>
                            <w:rFonts w:ascii="宋体" w:hAnsi="宋体" w:cs="宋体" w:eastAsia="宋体" w:hint="default"/>
                            <w:sz w:val="18"/>
                            <w:szCs w:val="18"/>
                          </w:rPr>
                        </w:pPr>
                        <w:r>
                          <w:rPr>
                            <w:rFonts w:ascii="宋体" w:hAnsi="宋体" w:cs="宋体" w:eastAsia="宋体" w:hint="default"/>
                            <w:sz w:val="18"/>
                            <w:szCs w:val="18"/>
                          </w:rPr>
                          <w:t>期初持股 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80"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期末 持股 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期初 持有 的股 权激 励获 授予 限制 性股 票数 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9"/>
                          <w:jc w:val="both"/>
                          <w:rPr>
                            <w:rFonts w:ascii="宋体" w:hAnsi="宋体" w:cs="宋体" w:eastAsia="宋体" w:hint="default"/>
                            <w:sz w:val="18"/>
                            <w:szCs w:val="18"/>
                          </w:rPr>
                        </w:pPr>
                        <w:r>
                          <w:rPr>
                            <w:rFonts w:ascii="宋体" w:hAnsi="宋体" w:cs="宋体" w:eastAsia="宋体" w:hint="default"/>
                            <w:sz w:val="18"/>
                            <w:szCs w:val="18"/>
                          </w:rPr>
                          <w:t>本期 获授 予的 股权 激励 限制 性股 票数 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本期 被注 销的 股权 激励 限制 性股 票数 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期末 持有 的股 权激 励获 授予 限制 性股 票数 量</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增减变动原因</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3"/>
                            <w:sz w:val="18"/>
                            <w:szCs w:val="18"/>
                          </w:rPr>
                          <w:t>长、总</w:t>
                        </w:r>
                        <w:r>
                          <w:rPr>
                            <w:rFonts w:ascii="宋体" w:hAnsi="宋体" w:cs="宋体" w:eastAsia="宋体" w:hint="default"/>
                            <w:sz w:val="18"/>
                            <w:szCs w:val="18"/>
                          </w:rPr>
                          <w:t>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29,170,2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56,090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,222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年度资本公积金 转增股本增加了 </w:t>
                        </w:r>
                        <w:r>
                          <w:rPr>
                            <w:rFonts w:ascii="宋体" w:hAnsi="宋体" w:cs="宋体" w:eastAsia="宋体" w:hint="default"/>
                            <w:spacing w:val="-10"/>
                            <w:sz w:val="18"/>
                            <w:szCs w:val="18"/>
                          </w:rPr>
                          <w:t>股份；个人减持</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常务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40,817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,666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年度资本公积金 转增股本增加了 </w:t>
                        </w:r>
                        <w:r>
                          <w:rPr>
                            <w:rFonts w:ascii="宋体" w:hAnsi="宋体" w:cs="宋体" w:eastAsia="宋体" w:hint="default"/>
                            <w:spacing w:val="-10"/>
                            <w:sz w:val="18"/>
                            <w:szCs w:val="18"/>
                          </w:rPr>
                          <w:t>股份；个人减持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62"/>
        <w:jc w:val="right"/>
      </w:pPr>
      <w:r>
        <w:rPr/>
        <w:t>。</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509"/>
        <w:gridCol w:w="566"/>
        <w:gridCol w:w="851"/>
        <w:gridCol w:w="708"/>
        <w:gridCol w:w="709"/>
        <w:gridCol w:w="568"/>
        <w:gridCol w:w="566"/>
        <w:gridCol w:w="568"/>
        <w:gridCol w:w="566"/>
        <w:gridCol w:w="568"/>
        <w:gridCol w:w="1342"/>
      </w:tblGrid>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总工 程师</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 会秘 </w:t>
            </w:r>
            <w:r>
              <w:rPr>
                <w:rFonts w:ascii="宋体" w:hAnsi="宋体" w:cs="宋体" w:eastAsia="宋体" w:hint="default"/>
                <w:spacing w:val="-13"/>
                <w:sz w:val="18"/>
                <w:szCs w:val="18"/>
              </w:rPr>
              <w:t>书、副</w:t>
            </w:r>
            <w:r>
              <w:rPr>
                <w:rFonts w:ascii="宋体" w:hAnsi="宋体" w:cs="宋体" w:eastAsia="宋体" w:hint="default"/>
                <w:sz w:val="18"/>
                <w:szCs w:val="18"/>
              </w:rPr>
              <w:t> 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60,000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47"/>
              <w:jc w:val="left"/>
              <w:rPr>
                <w:rFonts w:ascii="宋体" w:hAnsi="宋体" w:cs="宋体" w:eastAsia="宋体" w:hint="default"/>
                <w:sz w:val="18"/>
                <w:szCs w:val="18"/>
              </w:rPr>
            </w:pPr>
            <w:r>
              <w:rPr>
                <w:rFonts w:ascii="宋体" w:hAnsi="宋体" w:cs="宋体" w:eastAsia="宋体" w:hint="default"/>
                <w:sz w:val="18"/>
                <w:szCs w:val="18"/>
              </w:rPr>
              <w:t>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年度资本公积金 转增股本方案</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胡淑瑜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51,047,8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96,907</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,888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60,000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2、持有股票期权情况" w:id="92"/>
      <w:bookmarkEnd w:id="92"/>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199"/>
        <w:jc w:val="right"/>
      </w:pPr>
      <w:r>
        <w:rPr/>
        <w:pict>
          <v:shape style="position:absolute;margin-left:56.459999pt;margin-top:-24.248272pt;width:479.2pt;height:107.6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3"/>
                    <w:gridCol w:w="1194"/>
                    <w:gridCol w:w="1196"/>
                    <w:gridCol w:w="1197"/>
                    <w:gridCol w:w="1198"/>
                    <w:gridCol w:w="1197"/>
                    <w:gridCol w:w="1198"/>
                    <w:gridCol w:w="1196"/>
                  </w:tblGrid>
                  <w:tr>
                    <w:trPr>
                      <w:trHeight w:val="1026"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2" w:firstLine="30"/>
                          <w:jc w:val="left"/>
                          <w:rPr>
                            <w:rFonts w:ascii="宋体" w:hAnsi="宋体" w:cs="宋体" w:eastAsia="宋体" w:hint="default"/>
                            <w:sz w:val="18"/>
                            <w:szCs w:val="18"/>
                          </w:rPr>
                        </w:pPr>
                        <w:r>
                          <w:rPr>
                            <w:rFonts w:ascii="宋体" w:hAnsi="宋体" w:cs="宋体" w:eastAsia="宋体" w:hint="default"/>
                            <w:sz w:val="18"/>
                            <w:szCs w:val="18"/>
                          </w:rPr>
                          <w:t>期初持有股票 </w:t>
                        </w:r>
                        <w:r>
                          <w:rPr>
                            <w:rFonts w:ascii="宋体" w:hAnsi="宋体" w:cs="宋体" w:eastAsia="宋体" w:hint="default"/>
                            <w:spacing w:val="-5"/>
                            <w:sz w:val="18"/>
                            <w:szCs w:val="18"/>
                          </w:rPr>
                          <w:t>期权数量（份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3"/>
                          <w:ind w:left="53" w:right="53"/>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8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114,831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80,382</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114,831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80,382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2"/>
        <w:spacing w:line="240" w:lineRule="auto" w:before="26"/>
        <w:ind w:left="154" w:right="92"/>
        <w:jc w:val="left"/>
        <w:rPr>
          <w:b w:val="0"/>
          <w:bCs w:val="0"/>
        </w:rPr>
      </w:pPr>
      <w:bookmarkStart w:name="二、任职情况" w:id="93"/>
      <w:bookmarkEnd w:id="9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1" w:right="3823" w:hanging="358"/>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管连平先生主要工作经历，详见</w:t>
      </w:r>
      <w:r>
        <w:rPr>
          <w:rFonts w:ascii="Times New Roman" w:hAnsi="Times New Roman" w:cs="Times New Roman" w:eastAsia="Times New Roman" w:hint="default"/>
        </w:rPr>
        <w:t>“</w:t>
      </w:r>
      <w:r>
        <w:rPr/>
        <w:t>第六节</w:t>
      </w:r>
      <w:r>
        <w:rPr>
          <w:spacing w:val="-18"/>
        </w:rPr>
        <w:t> </w:t>
      </w:r>
      <w:r>
        <w:rPr/>
        <w:t>三、股东及实际控制人情况</w:t>
      </w:r>
      <w:r>
        <w:rPr>
          <w:rFonts w:ascii="Times New Roman" w:hAnsi="Times New Roman" w:cs="Times New Roman" w:eastAsia="Times New Roman" w:hint="default"/>
        </w:rPr>
        <w:t>”</w:t>
      </w:r>
      <w:r>
        <w:rPr/>
        <w:t>。</w:t>
      </w:r>
    </w:p>
    <w:p>
      <w:pPr>
        <w:pStyle w:val="BodyText"/>
        <w:spacing w:line="451" w:lineRule="auto" w:before="115"/>
        <w:ind w:left="511" w:right="92"/>
        <w:jc w:val="left"/>
      </w:pPr>
      <w:r>
        <w:rPr/>
        <w:t>霍卫平先生主要工作经历，详见</w:t>
      </w:r>
      <w:r>
        <w:rPr>
          <w:rFonts w:ascii="Times New Roman" w:hAnsi="Times New Roman" w:cs="Times New Roman" w:eastAsia="Times New Roman" w:hint="default"/>
        </w:rPr>
        <w:t>“</w:t>
      </w:r>
      <w:r>
        <w:rPr/>
        <w:t>第六节</w:t>
      </w:r>
      <w:r>
        <w:rPr>
          <w:spacing w:val="-17"/>
        </w:rPr>
        <w:t> </w:t>
      </w:r>
      <w:r>
        <w:rPr/>
        <w:t>三、股东及实际控制人情况</w:t>
      </w:r>
      <w:r>
        <w:rPr>
          <w:rFonts w:ascii="Times New Roman" w:hAnsi="Times New Roman" w:cs="Times New Roman" w:eastAsia="Times New Roman" w:hint="default"/>
        </w:rPr>
        <w:t>”</w:t>
      </w:r>
      <w:r>
        <w:rPr/>
        <w:t>。 </w:t>
      </w:r>
      <w:r>
        <w:rPr>
          <w:spacing w:val="-2"/>
        </w:rPr>
        <w:t>金正皓先生，</w:t>
      </w:r>
      <w:r>
        <w:rPr>
          <w:rFonts w:ascii="Times New Roman" w:hAnsi="Times New Roman" w:cs="Times New Roman" w:eastAsia="Times New Roman" w:hint="default"/>
          <w:spacing w:val="-2"/>
        </w:rPr>
        <w:t>1971</w:t>
      </w:r>
      <w:r>
        <w:rPr>
          <w:spacing w:val="-2"/>
        </w:rPr>
        <w:t>年生，中国籍，硕士学历，毕业于中国科学院数学和系统科学研究院；自</w:t>
      </w:r>
      <w:r>
        <w:rPr>
          <w:rFonts w:ascii="Times New Roman" w:hAnsi="Times New Roman" w:cs="Times New Roman" w:eastAsia="Times New Roman" w:hint="default"/>
          <w:spacing w:val="-2"/>
        </w:rPr>
        <w:t>2000</w:t>
      </w:r>
      <w:r>
        <w:rPr>
          <w:spacing w:val="-2"/>
        </w:rPr>
        <w:t>年至今历任公司开发部</w:t>
      </w:r>
    </w:p>
    <w:p>
      <w:pPr>
        <w:pStyle w:val="BodyText"/>
        <w:spacing w:line="477" w:lineRule="auto" w:before="43"/>
        <w:ind w:left="511" w:right="95" w:hanging="358"/>
        <w:jc w:val="left"/>
      </w:pPr>
      <w:r>
        <w:rPr/>
        <w:t>经理，设计中心经理，战略规划设计部总经理，现任公司董事、研发中心副总经理。 佘元冠先生，</w:t>
      </w:r>
      <w:r>
        <w:rPr>
          <w:rFonts w:ascii="Times New Roman" w:hAnsi="Times New Roman" w:cs="Times New Roman" w:eastAsia="Times New Roman" w:hint="default"/>
        </w:rPr>
        <w:t>1948</w:t>
      </w:r>
      <w:r>
        <w:rPr/>
        <w:t>年生，中国籍，硕士学位，教授，博士生导师；</w:t>
      </w:r>
      <w:r>
        <w:rPr>
          <w:rFonts w:ascii="Times New Roman" w:hAnsi="Times New Roman" w:cs="Times New Roman" w:eastAsia="Times New Roman" w:hint="default"/>
        </w:rPr>
        <w:t>1987</w:t>
      </w:r>
      <w:r>
        <w:rPr/>
        <w:t>年获北京钢铁学院工业管理工程专业硕士学位；</w:t>
      </w:r>
    </w:p>
    <w:p>
      <w:pPr>
        <w:pStyle w:val="BodyText"/>
        <w:spacing w:line="458" w:lineRule="auto" w:before="21"/>
        <w:ind w:right="191"/>
        <w:jc w:val="both"/>
      </w:pP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1991</w:t>
      </w:r>
      <w:r>
        <w:rPr/>
        <w:t>年在加拿大</w:t>
      </w:r>
      <w:r>
        <w:rPr>
          <w:rFonts w:ascii="Times New Roman" w:hAnsi="Times New Roman" w:cs="Times New Roman" w:eastAsia="Times New Roman" w:hint="default"/>
        </w:rPr>
        <w:t>McMaster</w:t>
      </w:r>
      <w:r>
        <w:rPr>
          <w:rFonts w:ascii="Times New Roman" w:hAnsi="Times New Roman" w:cs="Times New Roman" w:eastAsia="Times New Roman" w:hint="default"/>
          <w:spacing w:val="30"/>
        </w:rPr>
        <w:t> </w:t>
      </w:r>
      <w:r>
        <w:rPr/>
        <w:t>大学商学院任访问学者；</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-1999</w:t>
      </w:r>
      <w:r>
        <w:rPr/>
        <w:t>年任北京科技大学管理学院副院长；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-2004</w:t>
      </w:r>
      <w:r>
        <w:rPr>
          <w:rFonts w:ascii="Times New Roman" w:hAnsi="Times New Roman" w:cs="Times New Roman" w:eastAsia="Times New Roman" w:hint="default"/>
          <w:spacing w:val="-36"/>
        </w:rPr>
        <w:t> </w:t>
      </w:r>
      <w:r>
        <w:rPr/>
        <w:t>年任北京科技大学管庄校区院长；</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-2008</w:t>
      </w:r>
      <w:r>
        <w:rPr/>
        <w:t>年任北京科技大学管庄文法学院院长。佘元冠教授现任北京科技大学经济管</w:t>
      </w:r>
      <w:r>
        <w:rPr>
          <w:spacing w:val="-57"/>
        </w:rPr>
        <w:t> </w:t>
      </w:r>
      <w:r>
        <w:rPr>
          <w:spacing w:val="-57"/>
        </w:rPr>
      </w:r>
      <w:r>
        <w:rPr>
          <w:spacing w:val="-2"/>
        </w:rPr>
        <w:t>理学院教授、博士生导师。佘元冠教授是中国企业管理研究会常务理事、国家标准化委员会全国信用标准化工作组委员、中</w:t>
      </w:r>
      <w:r>
        <w:rPr>
          <w:spacing w:val="-67"/>
        </w:rPr>
        <w:t> </w:t>
      </w:r>
      <w:r>
        <w:rPr>
          <w:spacing w:val="-67"/>
        </w:rPr>
      </w:r>
      <w:r>
        <w:rPr/>
        <w:t>国质量协会常务理事兼学术培训委员会委员、新加坡亚太管理中心兼职教授；现任公司独立董事。</w:t>
      </w:r>
    </w:p>
    <w:p>
      <w:pPr>
        <w:spacing w:after="0" w:line="458"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154" w:right="152" w:firstLine="430"/>
        <w:jc w:val="both"/>
      </w:pPr>
      <w:r>
        <w:rPr>
          <w:spacing w:val="-2"/>
        </w:rPr>
        <w:t>韩松林先生，</w:t>
      </w:r>
      <w:r>
        <w:rPr>
          <w:rFonts w:ascii="Times New Roman" w:hAnsi="Times New Roman" w:cs="Times New Roman" w:eastAsia="Times New Roman" w:hint="default"/>
          <w:spacing w:val="-2"/>
        </w:rPr>
        <w:t>1943</w:t>
      </w:r>
      <w:r>
        <w:rPr>
          <w:spacing w:val="-2"/>
        </w:rPr>
        <w:t>年生，中国籍，本科学历，</w:t>
      </w:r>
      <w:r>
        <w:rPr>
          <w:rFonts w:ascii="Times New Roman" w:hAnsi="Times New Roman" w:cs="Times New Roman" w:eastAsia="Times New Roman" w:hint="default"/>
          <w:spacing w:val="-2"/>
        </w:rPr>
        <w:t>1968</w:t>
      </w:r>
      <w:r>
        <w:rPr>
          <w:spacing w:val="-2"/>
        </w:rPr>
        <w:t>年毕业于南京邮电学院；曾任南京</w:t>
      </w:r>
      <w:r>
        <w:rPr>
          <w:rFonts w:ascii="Times New Roman" w:hAnsi="Times New Roman" w:cs="Times New Roman" w:eastAsia="Times New Roman" w:hint="default"/>
          <w:spacing w:val="-2"/>
        </w:rPr>
        <w:t>518</w:t>
      </w:r>
      <w:r>
        <w:rPr>
          <w:spacing w:val="-2"/>
        </w:rPr>
        <w:t>厂车间负责人、邮电部电信总</w:t>
      </w:r>
      <w:r>
        <w:rPr/>
        <w:t> 局处长、中国电信总局副局长、长飞光纤光缆有限公司董事长。韩松林先生现已退休，现任公司独立董事。</w:t>
      </w:r>
    </w:p>
    <w:p>
      <w:pPr>
        <w:pStyle w:val="BodyText"/>
        <w:spacing w:line="458" w:lineRule="auto" w:before="74"/>
        <w:ind w:right="150" w:firstLine="357"/>
        <w:jc w:val="both"/>
      </w:pPr>
      <w:r>
        <w:rPr/>
        <w:t>李晓慧女士，</w:t>
      </w:r>
      <w:r>
        <w:rPr>
          <w:rFonts w:ascii="Times New Roman" w:hAnsi="Times New Roman" w:cs="Times New Roman" w:eastAsia="Times New Roman" w:hint="default"/>
        </w:rPr>
        <w:t>1967</w:t>
      </w:r>
      <w:r>
        <w:rPr/>
        <w:t>年生，中国籍，经济学博士，中国注册会计师。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月至今，任中央财经大学会计学院副院长， </w:t>
      </w:r>
      <w:r>
        <w:rPr>
          <w:spacing w:val="-2"/>
        </w:rPr>
        <w:t>教授，硕士生导师。李晓慧女士现担任北京国家会计学院、上海国家会计学院的外聘教授；河北省注册会计师协会后续教育</w:t>
      </w:r>
      <w:r>
        <w:rPr>
          <w:spacing w:val="-66"/>
        </w:rPr>
        <w:t> </w:t>
      </w:r>
      <w:r>
        <w:rPr>
          <w:spacing w:val="-66"/>
        </w:rPr>
      </w:r>
      <w:r>
        <w:rPr/>
        <w:t>委员会副主任委员；北京市注册会计师协会执业指导委员会委员；亚洲风险与危机管理协会（</w:t>
      </w:r>
      <w:r>
        <w:rPr>
          <w:rFonts w:ascii="Times New Roman" w:hAnsi="Times New Roman" w:cs="Times New Roman" w:eastAsia="Times New Roman" w:hint="default"/>
        </w:rPr>
        <w:t>AARCM</w:t>
      </w:r>
      <w:r>
        <w:rPr/>
        <w:t>）</w:t>
      </w:r>
      <w:r>
        <w:rPr>
          <w:rFonts w:ascii="Times New Roman" w:hAnsi="Times New Roman" w:cs="Times New Roman" w:eastAsia="Times New Roman" w:hint="default"/>
        </w:rPr>
        <w:t>CERM</w:t>
      </w:r>
      <w:r>
        <w:rPr/>
        <w:t>资格证书专</w:t>
      </w:r>
      <w:r>
        <w:rPr>
          <w:spacing w:val="-84"/>
        </w:rPr>
        <w:t> </w:t>
      </w:r>
      <w:r>
        <w:rPr/>
        <w:t>家认证（中国）委员会委员；中国注册会计师协会专业技术咨询委员会委员。现任公司独立董事。</w:t>
      </w:r>
    </w:p>
    <w:p>
      <w:pPr>
        <w:pStyle w:val="BodyText"/>
        <w:spacing w:line="451" w:lineRule="auto" w:before="68"/>
        <w:ind w:right="151" w:firstLine="357"/>
        <w:jc w:val="both"/>
      </w:pPr>
      <w:r>
        <w:rPr>
          <w:spacing w:val="-2"/>
        </w:rPr>
        <w:t>彭岩先生，</w:t>
      </w:r>
      <w:r>
        <w:rPr>
          <w:rFonts w:ascii="Times New Roman" w:hAnsi="Times New Roman" w:cs="Times New Roman" w:eastAsia="Times New Roman" w:hint="default"/>
          <w:spacing w:val="-2"/>
        </w:rPr>
        <w:t>1970</w:t>
      </w:r>
      <w:r>
        <w:rPr>
          <w:spacing w:val="-2"/>
        </w:rPr>
        <w:t>年生，中国籍，本科学历，毕业于吉林大学计算机科学系软件专业，获学士学位；曾在首钢计算机公司</w:t>
      </w:r>
      <w:r>
        <w:rPr/>
        <w:t> </w:t>
      </w:r>
      <w:r>
        <w:rPr>
          <w:spacing w:val="-2"/>
        </w:rPr>
        <w:t>担任工程师，长天科技集团任项目经理，同天科技公司任项目经理。</w:t>
      </w:r>
      <w:r>
        <w:rPr>
          <w:rFonts w:ascii="Times New Roman" w:hAnsi="Times New Roman" w:cs="Times New Roman" w:eastAsia="Times New Roman" w:hint="default"/>
          <w:spacing w:val="-2"/>
        </w:rPr>
        <w:t>2003</w:t>
      </w:r>
      <w:r>
        <w:rPr>
          <w:spacing w:val="-2"/>
        </w:rPr>
        <w:t>年加入公司，先后担任项目服务中心经理商务中心</w:t>
      </w:r>
      <w:r>
        <w:rPr>
          <w:spacing w:val="-62"/>
        </w:rPr>
        <w:t> </w:t>
      </w:r>
      <w:r>
        <w:rPr>
          <w:spacing w:val="-62"/>
        </w:rPr>
      </w:r>
      <w:r>
        <w:rPr/>
        <w:t>经理兼数据增值中心经理。现任公司监事会主席、商务部总经理。</w:t>
      </w:r>
    </w:p>
    <w:p>
      <w:pPr>
        <w:pStyle w:val="BodyText"/>
        <w:spacing w:line="451" w:lineRule="auto" w:before="74"/>
        <w:ind w:left="154" w:right="151" w:firstLine="357"/>
        <w:jc w:val="both"/>
      </w:pPr>
      <w:r>
        <w:rPr/>
        <w:t>朱军峰先生，</w:t>
      </w:r>
      <w:r>
        <w:rPr>
          <w:rFonts w:ascii="Times New Roman" w:hAnsi="Times New Roman" w:cs="Times New Roman" w:eastAsia="Times New Roman" w:hint="default"/>
        </w:rPr>
        <w:t>1978</w:t>
      </w:r>
      <w:r>
        <w:rPr>
          <w:rFonts w:ascii="Times New Roman" w:hAnsi="Times New Roman" w:cs="Times New Roman" w:eastAsia="Times New Roman" w:hint="default"/>
          <w:spacing w:val="2"/>
        </w:rPr>
        <w:t> </w:t>
      </w:r>
      <w:r>
        <w:rPr/>
        <w:t>年生，中国籍，硕士学历，毕业于四川大学计算机科学系软件工程专业，获硕士学位。曾任成都民 </w:t>
      </w:r>
      <w:r>
        <w:rPr>
          <w:spacing w:val="-2"/>
        </w:rPr>
        <w:t>航光电公司软件工程师，中国科学院计算技术研究所工程师。</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年参与民航多家机场弱电显示软件部分设计和开</w:t>
      </w:r>
      <w:r>
        <w:rPr>
          <w:spacing w:val="-55"/>
        </w:rPr>
        <w:t> </w:t>
      </w:r>
      <w:r>
        <w:rPr/>
        <w:t>发工作；</w:t>
      </w:r>
      <w:r>
        <w:rPr>
          <w:rFonts w:ascii="Times New Roman" w:hAnsi="Times New Roman" w:cs="Times New Roman" w:eastAsia="Times New Roman" w:hint="default"/>
        </w:rPr>
        <w:t>2003 </w:t>
      </w:r>
      <w:r>
        <w:rPr/>
        <w:t>年加入公司，先后担任公司软件工程师、项目经理、应用软件研发部副总经理。现任公司监事、应用软件研</w:t>
      </w:r>
      <w:r>
        <w:rPr>
          <w:spacing w:val="-87"/>
        </w:rPr>
        <w:t> </w:t>
      </w:r>
      <w:r>
        <w:rPr>
          <w:spacing w:val="-87"/>
        </w:rPr>
      </w:r>
      <w:r>
        <w:rPr/>
        <w:t>发部副总经理。</w:t>
      </w:r>
    </w:p>
    <w:p>
      <w:pPr>
        <w:pStyle w:val="BodyText"/>
        <w:spacing w:line="451" w:lineRule="auto" w:before="74"/>
        <w:ind w:left="154" w:right="151" w:firstLine="357"/>
        <w:jc w:val="both"/>
      </w:pPr>
      <w:r>
        <w:rPr/>
        <w:t>冯志宏先生，</w:t>
      </w:r>
      <w:r>
        <w:rPr>
          <w:rFonts w:ascii="Times New Roman" w:hAnsi="Times New Roman" w:cs="Times New Roman" w:eastAsia="Times New Roman" w:hint="default"/>
        </w:rPr>
        <w:t>1975 </w:t>
      </w:r>
      <w:r>
        <w:rPr/>
        <w:t>年生，中国籍，大专学历，毕业于济南大学高分子化学系。</w:t>
      </w:r>
      <w:r>
        <w:rPr>
          <w:rFonts w:ascii="Times New Roman" w:hAnsi="Times New Roman" w:cs="Times New Roman" w:eastAsia="Times New Roman" w:hint="default"/>
        </w:rPr>
        <w:t>1997</w:t>
      </w:r>
      <w:r>
        <w:rPr>
          <w:rFonts w:ascii="Times New Roman" w:hAnsi="Times New Roman" w:cs="Times New Roman" w:eastAsia="Times New Roman" w:hint="default"/>
          <w:spacing w:val="10"/>
        </w:rPr>
        <w:t> </w:t>
      </w:r>
      <w:r>
        <w:rPr/>
        <w:t>年加入公司，先后担任公司工程部 经理、山西电信项目经理、山西联通项目经理。现任公司监事、高级项目经理。</w:t>
      </w:r>
    </w:p>
    <w:p>
      <w:pPr>
        <w:pStyle w:val="BodyText"/>
        <w:spacing w:line="451" w:lineRule="auto" w:before="74"/>
        <w:ind w:right="152" w:firstLine="357"/>
        <w:jc w:val="both"/>
      </w:pPr>
      <w:r>
        <w:rPr/>
        <w:t>王菁，女，</w:t>
      </w:r>
      <w:r>
        <w:rPr>
          <w:rFonts w:ascii="Times New Roman" w:hAnsi="Times New Roman" w:cs="Times New Roman" w:eastAsia="Times New Roman" w:hint="default"/>
        </w:rPr>
        <w:t>1973</w:t>
      </w:r>
      <w:r>
        <w:rPr/>
        <w:t>年生，中国籍，本科学历，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月毕业于中共北京市委党校。</w:t>
      </w:r>
      <w:r>
        <w:rPr>
          <w:rFonts w:ascii="Times New Roman" w:hAnsi="Times New Roman" w:cs="Times New Roman" w:eastAsia="Times New Roman" w:hint="default"/>
        </w:rPr>
        <w:t>1999</w:t>
      </w:r>
      <w:r>
        <w:rPr/>
        <w:t>年至今，在北京东方国信科技股 份有限公司任职，现任公司监事、财务部会计职务。</w:t>
      </w:r>
    </w:p>
    <w:p>
      <w:pPr>
        <w:pStyle w:val="BodyText"/>
        <w:spacing w:line="451" w:lineRule="auto" w:before="74"/>
        <w:ind w:left="154" w:right="150" w:firstLine="357"/>
        <w:jc w:val="both"/>
      </w:pPr>
      <w:r>
        <w:rPr>
          <w:spacing w:val="-2"/>
        </w:rPr>
        <w:t>王红庆先生，</w:t>
      </w:r>
      <w:r>
        <w:rPr>
          <w:rFonts w:ascii="Times New Roman" w:hAnsi="Times New Roman" w:cs="Times New Roman" w:eastAsia="Times New Roman" w:hint="default"/>
          <w:spacing w:val="-2"/>
        </w:rPr>
        <w:t>1971</w:t>
      </w:r>
      <w:r>
        <w:rPr>
          <w:spacing w:val="-2"/>
        </w:rPr>
        <w:t>年生，中国籍，本科学历，毕业于江西理工大学自动化系，获电气技术专业学士学位。曾任长岭集团</w:t>
      </w:r>
      <w:r>
        <w:rPr/>
        <w:t> </w:t>
      </w:r>
      <w:r>
        <w:rPr>
          <w:spacing w:val="-1"/>
        </w:rPr>
        <w:t>股份有限公司工程师；</w:t>
      </w:r>
      <w:r>
        <w:rPr>
          <w:rFonts w:ascii="Times New Roman" w:hAnsi="Times New Roman" w:cs="Times New Roman" w:eastAsia="Times New Roman" w:hint="default"/>
          <w:spacing w:val="-1"/>
        </w:rPr>
        <w:t>2000</w:t>
      </w:r>
      <w:r>
        <w:rPr>
          <w:spacing w:val="-1"/>
        </w:rPr>
        <w:t>年加入公司，先后担任北京东方国信科技股份有限公司</w:t>
      </w:r>
      <w:r>
        <w:rPr>
          <w:rFonts w:ascii="Times New Roman" w:hAnsi="Times New Roman" w:cs="Times New Roman" w:eastAsia="Times New Roman" w:hint="default"/>
          <w:spacing w:val="-1"/>
        </w:rPr>
        <w:t>CTI</w:t>
      </w:r>
      <w:r>
        <w:rPr>
          <w:spacing w:val="-1"/>
        </w:rPr>
        <w:t>产品部经理、</w:t>
      </w:r>
      <w:r>
        <w:rPr>
          <w:rFonts w:ascii="Times New Roman" w:hAnsi="Times New Roman" w:cs="Times New Roman" w:eastAsia="Times New Roman" w:hint="default"/>
          <w:spacing w:val="-1"/>
        </w:rPr>
        <w:t>CRM</w:t>
      </w:r>
      <w:r>
        <w:rPr>
          <w:spacing w:val="-1"/>
        </w:rPr>
        <w:t>产品部经理、项目</w:t>
      </w:r>
      <w:r>
        <w:rPr>
          <w:spacing w:val="-88"/>
        </w:rPr>
        <w:t> </w:t>
      </w:r>
      <w:r>
        <w:rPr>
          <w:spacing w:val="-88"/>
        </w:rPr>
      </w:r>
      <w:r>
        <w:rPr/>
        <w:t>中心总经理、应用软件研发部总经理。现任北京东方国信科技股份有限公司副总经理。</w:t>
      </w:r>
    </w:p>
    <w:p>
      <w:pPr>
        <w:pStyle w:val="BodyText"/>
        <w:spacing w:line="451" w:lineRule="auto" w:before="74"/>
        <w:ind w:right="149" w:firstLine="357"/>
        <w:jc w:val="both"/>
      </w:pPr>
      <w:r>
        <w:rPr/>
        <w:t>赵光宇先生，</w:t>
      </w:r>
      <w:r>
        <w:rPr>
          <w:rFonts w:ascii="Times New Roman" w:hAnsi="Times New Roman" w:cs="Times New Roman" w:eastAsia="Times New Roman" w:hint="default"/>
        </w:rPr>
        <w:t>1977</w:t>
      </w:r>
      <w:r>
        <w:rPr>
          <w:rFonts w:ascii="Times New Roman" w:hAnsi="Times New Roman" w:cs="Times New Roman" w:eastAsia="Times New Roman" w:hint="default"/>
          <w:spacing w:val="3"/>
        </w:rPr>
        <w:t> </w:t>
      </w:r>
      <w:r>
        <w:rPr/>
        <w:t>年生，中国籍，</w:t>
      </w:r>
      <w:r>
        <w:rPr>
          <w:rFonts w:ascii="Times New Roman" w:hAnsi="Times New Roman" w:cs="Times New Roman" w:eastAsia="Times New Roman" w:hint="default"/>
        </w:rPr>
        <w:t>1995</w:t>
      </w:r>
      <w:r>
        <w:rPr/>
        <w:t>年进入清华大学工程力学系学习。</w:t>
      </w:r>
      <w:r>
        <w:rPr>
          <w:rFonts w:ascii="Times New Roman" w:hAnsi="Times New Roman" w:cs="Times New Roman" w:eastAsia="Times New Roman" w:hint="default"/>
        </w:rPr>
        <w:t>2004</w:t>
      </w:r>
      <w:r>
        <w:rPr/>
        <w:t>年加入公司，先后任公司软件工程师、 项目经理、基础软件研发部总经理，现任公司总工程师。</w:t>
      </w:r>
    </w:p>
    <w:p>
      <w:pPr>
        <w:pStyle w:val="BodyText"/>
        <w:spacing w:line="451" w:lineRule="auto" w:before="74"/>
        <w:ind w:right="149" w:firstLine="357"/>
        <w:jc w:val="both"/>
      </w:pPr>
      <w:r>
        <w:rPr>
          <w:spacing w:val="-2"/>
        </w:rPr>
        <w:t>陈桂霞女士，</w:t>
      </w:r>
      <w:r>
        <w:rPr>
          <w:rFonts w:ascii="Times New Roman" w:hAnsi="Times New Roman" w:cs="Times New Roman" w:eastAsia="Times New Roman" w:hint="default"/>
          <w:spacing w:val="-2"/>
        </w:rPr>
        <w:t>1956</w:t>
      </w:r>
      <w:r>
        <w:rPr>
          <w:spacing w:val="-2"/>
        </w:rPr>
        <w:t>年生，中国籍，大专毕业。</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1991</w:t>
      </w:r>
      <w:r>
        <w:rPr>
          <w:spacing w:val="-2"/>
        </w:rPr>
        <w:t>年任北京市朝付公司下属基层店财务主管；</w:t>
      </w:r>
      <w:r>
        <w:rPr>
          <w:rFonts w:ascii="Times New Roman" w:hAnsi="Times New Roman" w:cs="Times New Roman" w:eastAsia="Times New Roman" w:hint="default"/>
          <w:spacing w:val="-2"/>
        </w:rPr>
        <w:t>1992</w:t>
      </w:r>
      <w:r>
        <w:rPr>
          <w:spacing w:val="-2"/>
        </w:rPr>
        <w:t>－</w:t>
      </w:r>
      <w:r>
        <w:rPr>
          <w:rFonts w:ascii="Times New Roman" w:hAnsi="Times New Roman" w:cs="Times New Roman" w:eastAsia="Times New Roman" w:hint="default"/>
          <w:spacing w:val="-2"/>
        </w:rPr>
        <w:t>1995</w:t>
      </w:r>
      <w:r>
        <w:rPr>
          <w:spacing w:val="-2"/>
        </w:rPr>
        <w:t>年在</w:t>
      </w:r>
      <w:r>
        <w:rPr/>
        <w:t> 北内集团三产任财务经理；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2001</w:t>
      </w:r>
      <w:r>
        <w:rPr/>
        <w:t>年任北京京客隆集团下属财务经理</w:t>
      </w:r>
      <w:r>
        <w:rPr>
          <w:rFonts w:ascii="Times New Roman" w:hAnsi="Times New Roman" w:cs="Times New Roman" w:eastAsia="Times New Roman" w:hint="default"/>
        </w:rPr>
        <w:t>/</w:t>
      </w:r>
      <w:r>
        <w:rPr/>
        <w:t>总帐主管；</w:t>
      </w:r>
      <w:r>
        <w:rPr>
          <w:rFonts w:ascii="Times New Roman" w:hAnsi="Times New Roman" w:cs="Times New Roman" w:eastAsia="Times New Roman" w:hint="default"/>
        </w:rPr>
        <w:t>2002</w:t>
      </w:r>
      <w:r>
        <w:rPr/>
        <w:t>年加入公司，历任公司财务经</w:t>
      </w:r>
      <w:r>
        <w:rPr>
          <w:spacing w:val="-49"/>
        </w:rPr>
        <w:t> </w:t>
      </w:r>
      <w:r>
        <w:rPr>
          <w:spacing w:val="-49"/>
        </w:rPr>
      </w:r>
      <w:r>
        <w:rPr/>
        <w:t>理、财务总监兼董事会秘书；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月起至今任公司财务总监。</w:t>
      </w:r>
    </w:p>
    <w:p>
      <w:pPr>
        <w:pStyle w:val="BodyText"/>
        <w:spacing w:line="240" w:lineRule="auto" w:before="43"/>
        <w:ind w:left="511" w:right="0"/>
        <w:jc w:val="left"/>
        <w:rPr>
          <w:rFonts w:ascii="Times New Roman" w:hAnsi="Times New Roman" w:cs="Times New Roman" w:eastAsia="Times New Roman" w:hint="default"/>
        </w:rPr>
      </w:pPr>
      <w:r>
        <w:rPr/>
        <w:t>刘彦斐女士，</w:t>
      </w:r>
      <w:r>
        <w:rPr>
          <w:rFonts w:ascii="Times New Roman" w:hAnsi="Times New Roman" w:cs="Times New Roman" w:eastAsia="Times New Roman" w:hint="default"/>
        </w:rPr>
        <w:t>1980</w:t>
      </w:r>
      <w:r>
        <w:rPr/>
        <w:t>年生，中国籍，硕士学历，毕业于北京科技大学企业管理专业，获管理学硕士学位；曾任职于</w:t>
      </w:r>
      <w:r>
        <w:rPr>
          <w:rFonts w:ascii="Times New Roman" w:hAnsi="Times New Roman" w:cs="Times New Roman" w:eastAsia="Times New Roman" w:hint="default"/>
        </w:rPr>
        <w:t>ABB</w:t>
      </w:r>
    </w:p>
    <w:p>
      <w:pPr>
        <w:spacing w:line="240" w:lineRule="auto" w:before="0"/>
        <w:rPr>
          <w:rFonts w:ascii="Times New Roman" w:hAnsi="Times New Roman" w:cs="Times New Roman" w:eastAsia="Times New Roman" w:hint="default"/>
          <w:sz w:val="19"/>
          <w:szCs w:val="19"/>
        </w:rPr>
      </w:pPr>
    </w:p>
    <w:p>
      <w:pPr>
        <w:pStyle w:val="BodyText"/>
        <w:spacing w:line="451" w:lineRule="auto"/>
        <w:ind w:right="0"/>
        <w:jc w:val="left"/>
      </w:pPr>
      <w:r>
        <w:rPr>
          <w:spacing w:val="-2"/>
        </w:rPr>
        <w:t>（中国）有限公司，北京菲斯曼供热技术有限公司；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月加入本公司担任财务经理，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月起兼任公司证券事务代</w:t>
      </w:r>
      <w:r>
        <w:rPr>
          <w:spacing w:val="-54"/>
        </w:rPr>
        <w:t> </w:t>
      </w:r>
      <w:r>
        <w:rPr/>
        <w:t>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月起至今担任公司董事会秘书。</w:t>
      </w:r>
    </w:p>
    <w:p>
      <w:pPr>
        <w:spacing w:line="240" w:lineRule="auto" w:before="4"/>
        <w:rPr>
          <w:rFonts w:ascii="宋体" w:hAnsi="宋体" w:cs="宋体" w:eastAsia="宋体" w:hint="default"/>
          <w:sz w:val="24"/>
          <w:szCs w:val="24"/>
        </w:rPr>
      </w:pPr>
    </w:p>
    <w:p>
      <w:pPr>
        <w:pStyle w:val="BodyText"/>
        <w:spacing w:line="240" w:lineRule="auto"/>
        <w:ind w:right="0"/>
        <w:jc w:val="left"/>
      </w:pPr>
      <w:r>
        <w:rPr/>
        <w:t>在股东单位任职情况</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新余仁邦翰威投资管理有限公司（原北 京仁邦翰威投资咨询有限公司）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2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新余仁邦时代投资管理有限公司（原北 京仁邦时代投资咨询有限公司）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新余仁邦翰威投资管理有限公司（原北 京仁邦翰威投资咨询有限公司）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新余仁邦时代投资管理有限公司（原北 京仁邦时代投资咨询有限公司）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在其他单位任职情况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副院长、教 </w:t>
            </w:r>
            <w:r>
              <w:rPr>
                <w:rFonts w:ascii="宋体" w:hAnsi="宋体" w:cs="宋体" w:eastAsia="宋体" w:hint="default"/>
                <w:spacing w:val="-13"/>
                <w:sz w:val="18"/>
                <w:szCs w:val="18"/>
              </w:rPr>
              <w:t>授、硕士生导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94"/>
      <w:bookmarkEnd w:id="94"/>
      <w:r>
        <w:rPr>
          <w:b w:val="0"/>
          <w:bCs w:val="0"/>
        </w:rPr>
      </w: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BodyText"/>
        <w:spacing w:line="240" w:lineRule="auto" w:before="44"/>
        <w:ind w:left="0" w:right="159"/>
        <w:jc w:val="right"/>
      </w:pPr>
      <w:r>
        <w:rPr/>
        <w:pict>
          <v:shape style="position:absolute;margin-left:56.459999pt;margin-top:-114.548286pt;width:479.2pt;height:185.6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08"/>
                  </w:tblGrid>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董事、监事薪酬由董事会薪酬与考核委员会拟定薪酬管理制度，经 股东大会决议，公司执行支付；高级管理人员薪酬由董事会薪酬与 考核委员会拟定薪酬管理制度，经董事会决议，公司执行支付。</w:t>
                        </w:r>
                      </w:p>
                    </w:tc>
                  </w:tr>
                  <w:tr>
                    <w:trPr>
                      <w:trHeight w:val="196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根据董事、监事的身份和工作性质及所承担的责任、风险、压力等 确定不同的年度薪酬标准；高管人员实行年薪制，由基本年薪、绩 效年薪两部分构成，基本年薪是高管年薪中的固定部分，根据任职 岗位、年限并结合公司上年度经营业绩情况及市场薪酬行情综合确 </w:t>
                        </w:r>
                        <w:r>
                          <w:rPr>
                            <w:rFonts w:ascii="宋体" w:hAnsi="宋体" w:cs="宋体" w:eastAsia="宋体" w:hint="default"/>
                            <w:spacing w:val="-2"/>
                            <w:sz w:val="18"/>
                            <w:szCs w:val="18"/>
                          </w:rPr>
                          <w:t>定，绩效年薪是高管年薪中的浮动部分，与个人管理目标直接挂钩</w:t>
                        </w:r>
                        <w:r>
                          <w:rPr>
                            <w:rFonts w:ascii="宋体" w:hAnsi="宋体" w:cs="宋体" w:eastAsia="宋体" w:hint="default"/>
                            <w:sz w:val="18"/>
                            <w:szCs w:val="18"/>
                          </w:rPr>
                          <w:t> 与公司的经营目标间接挂钩。</w:t>
                        </w:r>
                      </w:p>
                    </w:tc>
                  </w:tr>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公司现任董事、监事及高级管理人员共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年度实际支付 薪酬总额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474.13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154" w:right="0"/>
        <w:jc w:val="left"/>
      </w:pPr>
      <w:r>
        <w:rPr/>
        <w:t>公司报告期内董事、监事和高级管理人员报酬情况</w:t>
      </w:r>
    </w:p>
    <w:p>
      <w:pPr>
        <w:pStyle w:val="BodyText"/>
        <w:spacing w:line="240" w:lineRule="auto" w:before="117"/>
        <w:ind w:left="0" w:right="150"/>
        <w:jc w:val="right"/>
      </w:pPr>
      <w:r>
        <w:rPr/>
        <w:t>单位：万元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04"/>
        <w:gridCol w:w="2185"/>
        <w:gridCol w:w="642"/>
        <w:gridCol w:w="641"/>
        <w:gridCol w:w="1026"/>
        <w:gridCol w:w="1301"/>
        <w:gridCol w:w="1301"/>
        <w:gridCol w:w="1295"/>
      </w:tblGrid>
      <w:tr>
        <w:trPr>
          <w:trHeight w:val="714"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5"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5" w:right="10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2" w:right="10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40.27</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40.27</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王菁</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35.71</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35.71</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40.31</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40.31</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52.48</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52.48</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胡淑瑜</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474.13</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776"/>
        <w:gridCol w:w="1721"/>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胡淑瑜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由于个人原因辞去监事职务及在公司担任的其他职务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经股东大会选举成为公司非职工代表监事</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本报告期，公司核心技术人员未发生重大变动，核心技术人员规模有所扩大，主要系引进了在大数据技术方面的高端技术人</w:t>
      </w:r>
      <w:r>
        <w:rPr>
          <w:spacing w:val="-66"/>
        </w:rPr>
        <w:t> </w:t>
      </w:r>
      <w:r>
        <w:rPr>
          <w:spacing w:val="-66"/>
        </w:rPr>
      </w:r>
      <w:r>
        <w:rPr/>
        <w:t>才，进一步提升了公司技术研发实力和创新能力。</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公司员工情况" w:id="97"/>
      <w:bookmarkEnd w:id="97"/>
      <w:r>
        <w:rPr>
          <w:b w:val="0"/>
          <w:bCs w:val="0"/>
        </w:rPr>
      </w:r>
      <w:r>
        <w:rPr/>
        <w:t>六、公司员工情况</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134" w:firstLine="482"/>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日，公司合并口径员工总数为</w:t>
      </w:r>
      <w:r>
        <w:rPr>
          <w:rFonts w:ascii="Times New Roman" w:hAnsi="Times New Roman" w:cs="Times New Roman" w:eastAsia="Times New Roman" w:hint="default"/>
        </w:rPr>
        <w:t>1858</w:t>
      </w:r>
      <w:r>
        <w:rPr/>
        <w:t>人，需要承担费用的离退休职工</w:t>
      </w:r>
      <w:r>
        <w:rPr>
          <w:rFonts w:ascii="Times New Roman" w:hAnsi="Times New Roman" w:cs="Times New Roman" w:eastAsia="Times New Roman" w:hint="default"/>
        </w:rPr>
        <w:t>0</w:t>
      </w:r>
      <w:r>
        <w:rPr/>
        <w:t>人，其专业构成和教育程度分 布情况如下：</w:t>
      </w:r>
    </w:p>
    <w:p>
      <w:pPr>
        <w:pStyle w:val="BodyText"/>
        <w:spacing w:line="240" w:lineRule="auto" w:before="116"/>
        <w:ind w:right="0"/>
        <w:jc w:val="left"/>
      </w:pPr>
      <w:r>
        <w:rPr/>
        <w:t>（一）专业结构</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2366"/>
        <w:gridCol w:w="3196"/>
        <w:gridCol w:w="2962"/>
      </w:tblGrid>
      <w:tr>
        <w:trPr>
          <w:trHeight w:val="334" w:hRule="exact"/>
        </w:trPr>
        <w:tc>
          <w:tcPr>
            <w:tcW w:w="23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31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9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751" w:right="0"/>
              <w:jc w:val="left"/>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7"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市场营销人员</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127</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6.84%</w:t>
            </w:r>
          </w:p>
        </w:tc>
      </w:tr>
      <w:tr>
        <w:trPr>
          <w:trHeight w:val="347"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行政及管理人员</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328</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17.65%</w:t>
            </w:r>
          </w:p>
        </w:tc>
      </w:tr>
      <w:tr>
        <w:trPr>
          <w:trHeight w:val="348"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技术、研发人员</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1403</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75.51%</w:t>
            </w:r>
          </w:p>
        </w:tc>
      </w:tr>
      <w:tr>
        <w:trPr>
          <w:trHeight w:val="347"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b/>
                <w:sz w:val="18"/>
              </w:rPr>
              <w:t>1858</w:t>
            </w:r>
            <w:r>
              <w:rPr>
                <w:rFonts w:ascii="Times New Roman"/>
                <w:sz w:val="18"/>
              </w:rPr>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44"/>
        <w:ind w:left="154" w:right="0"/>
        <w:jc w:val="left"/>
      </w:pPr>
      <w:r>
        <w:rPr/>
        <w:t>（二）学历结构</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62"/>
        <w:gridCol w:w="3198"/>
        <w:gridCol w:w="2963"/>
      </w:tblGrid>
      <w:tr>
        <w:trPr>
          <w:trHeight w:val="347" w:hRule="exact"/>
        </w:trPr>
        <w:tc>
          <w:tcPr>
            <w:tcW w:w="23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学历结构</w:t>
            </w:r>
            <w:r>
              <w:rPr>
                <w:rFonts w:ascii="宋体" w:hAnsi="宋体" w:cs="宋体" w:eastAsia="宋体" w:hint="default"/>
                <w:sz w:val="18"/>
                <w:szCs w:val="18"/>
              </w:rPr>
            </w:r>
          </w:p>
        </w:tc>
        <w:tc>
          <w:tcPr>
            <w:tcW w:w="319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96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752" w:right="0"/>
              <w:jc w:val="left"/>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3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0.75%</w:t>
            </w:r>
          </w:p>
        </w:tc>
      </w:tr>
      <w:tr>
        <w:trPr>
          <w:trHeight w:val="34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3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326</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17.55%</w:t>
            </w:r>
          </w:p>
        </w:tc>
      </w:tr>
      <w:tr>
        <w:trPr>
          <w:trHeight w:val="34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本科</w:t>
            </w:r>
          </w:p>
        </w:tc>
        <w:tc>
          <w:tcPr>
            <w:tcW w:w="3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1376</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74.06%</w:t>
            </w:r>
          </w:p>
        </w:tc>
      </w:tr>
      <w:tr>
        <w:trPr>
          <w:trHeight w:val="34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3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142</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7.64%</w:t>
            </w:r>
          </w:p>
        </w:tc>
      </w:tr>
      <w:tr>
        <w:trPr>
          <w:trHeight w:val="34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1858</w:t>
            </w:r>
            <w:r>
              <w:rPr>
                <w:rFonts w:ascii="Times New Roman"/>
                <w:sz w:val="18"/>
              </w:rPr>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70" w:right="208"/>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0" w:firstLine="360"/>
        <w:jc w:val="both"/>
      </w:pPr>
      <w:r>
        <w:rPr>
          <w:spacing w:val="-2"/>
        </w:rPr>
        <w:t>公司严格按照《公司法》、《证券法》、《上市公司治理准则》、《深圳证券交易所创业板股票上市规则》、《深圳证</w:t>
      </w:r>
      <w:r>
        <w:rPr/>
        <w:t> </w:t>
      </w:r>
      <w:r>
        <w:rPr>
          <w:spacing w:val="-2"/>
        </w:rPr>
        <w:t>券交易所创业板上市公司规范运作指引》等法律、法规和中国证监会有关法律法规的要求，确立了股东大会、董事会、监事</w:t>
      </w:r>
      <w:r>
        <w:rPr>
          <w:spacing w:val="-66"/>
        </w:rPr>
        <w:t> </w:t>
      </w:r>
      <w:r>
        <w:rPr>
          <w:spacing w:val="-66"/>
        </w:rPr>
      </w:r>
      <w:r>
        <w:rPr>
          <w:spacing w:val="-2"/>
        </w:rPr>
        <w:t>会及经营管理层的分层治理结构，不断完善公司法人治理结构，建立健全公司内部控制制度，进一步规范公司运作，提高公</w:t>
      </w:r>
      <w:r>
        <w:rPr>
          <w:spacing w:val="-66"/>
        </w:rPr>
        <w:t> </w:t>
      </w:r>
      <w:r>
        <w:rPr>
          <w:spacing w:val="-66"/>
        </w:rPr>
      </w:r>
      <w:r>
        <w:rPr/>
        <w:t>司治理水平。公司治理各方面基本符合《上市公司治理准则》和《深圳证券交易所创业板上市公司规范运作指引》的要求。</w:t>
      </w:r>
    </w:p>
    <w:p>
      <w:pPr>
        <w:pStyle w:val="BodyText"/>
        <w:spacing w:line="477" w:lineRule="auto" w:before="54"/>
        <w:ind w:left="514" w:right="92" w:firstLine="1"/>
        <w:jc w:val="left"/>
      </w:pPr>
      <w:r>
        <w:rPr>
          <w:rFonts w:ascii="宋体" w:hAnsi="宋体" w:cs="宋体" w:eastAsia="宋体" w:hint="default"/>
          <w:b/>
          <w:bCs/>
        </w:rPr>
        <w:t>（一）股东与股东大会</w:t>
      </w:r>
      <w:r>
        <w:rPr>
          <w:rFonts w:ascii="宋体" w:hAnsi="宋体" w:cs="宋体" w:eastAsia="宋体" w:hint="default"/>
          <w:b/>
          <w:bCs/>
          <w:w w:val="99"/>
        </w:rPr>
        <w:t> </w:t>
      </w:r>
      <w:r>
        <w:rPr>
          <w:spacing w:val="-2"/>
        </w:rPr>
        <w:t>公司股东大会均严格按照《上市公司股东大会规则》、《公司章程》、《股东大会议事规则》等规定召集、召开，并尽</w:t>
      </w:r>
    </w:p>
    <w:p>
      <w:pPr>
        <w:pStyle w:val="BodyText"/>
        <w:spacing w:line="477" w:lineRule="auto" w:before="54"/>
        <w:ind w:left="154" w:right="191"/>
        <w:jc w:val="both"/>
      </w:pPr>
      <w:r>
        <w:rPr>
          <w:spacing w:val="-2"/>
        </w:rPr>
        <w:t>可能为股东参加股东大会创造便利条件，对每一项需要审议的事项均设定充裕的时间给股东表达意见，确保所有股东，特别</w:t>
      </w:r>
      <w:r>
        <w:rPr>
          <w:spacing w:val="-66"/>
        </w:rPr>
        <w:t> </w:t>
      </w:r>
      <w:r>
        <w:rPr>
          <w:spacing w:val="-66"/>
        </w:rPr>
      </w:r>
      <w:r>
        <w:rPr>
          <w:spacing w:val="-2"/>
        </w:rPr>
        <w:t>是公众股东的平等地位，充分行使自己的权利。同时，公司聘请专业律师见证股东大会，确保会议召集召开以及表决程序符</w:t>
      </w:r>
      <w:r>
        <w:rPr>
          <w:spacing w:val="-66"/>
        </w:rPr>
        <w:t> </w:t>
      </w:r>
      <w:r>
        <w:rPr>
          <w:spacing w:val="-66"/>
        </w:rPr>
      </w:r>
      <w:r>
        <w:rPr/>
        <w:t>合相关法律规定，维护股东的合法权益。</w:t>
      </w:r>
    </w:p>
    <w:p>
      <w:pPr>
        <w:pStyle w:val="BodyText"/>
        <w:spacing w:line="477" w:lineRule="auto" w:before="54"/>
        <w:ind w:left="514" w:right="92" w:firstLine="1"/>
        <w:jc w:val="left"/>
      </w:pPr>
      <w:r>
        <w:rPr>
          <w:rFonts w:ascii="宋体" w:hAnsi="宋体" w:cs="宋体" w:eastAsia="宋体" w:hint="default"/>
          <w:b/>
          <w:bCs/>
        </w:rPr>
        <w:t>（二）控股股东与上市公司</w:t>
      </w:r>
      <w:r>
        <w:rPr>
          <w:rFonts w:ascii="宋体" w:hAnsi="宋体" w:cs="宋体" w:eastAsia="宋体" w:hint="default"/>
          <w:b/>
          <w:bCs/>
          <w:w w:val="99"/>
        </w:rPr>
        <w:t> </w:t>
      </w:r>
      <w:r>
        <w:rPr>
          <w:spacing w:val="-2"/>
        </w:rPr>
        <w:t>公司严格按照《公司法》、《证券法》、《公司章程》及证券监管部门的有关规定正确处理与控股股东的关系。公司控</w:t>
      </w:r>
    </w:p>
    <w:p>
      <w:pPr>
        <w:pStyle w:val="BodyText"/>
        <w:spacing w:line="477" w:lineRule="auto" w:before="54"/>
        <w:ind w:left="154" w:right="110"/>
        <w:jc w:val="both"/>
      </w:pPr>
      <w:r>
        <w:rPr/>
        <w:t>股股东严格规范自身行为，依法行使其权利并承担相应义务，没有超越股东大会直接或间接干预本公司的决策和经营活动。 公司的人员、资产、财务、机构、业务独立，不存在控股股东占用资金以及公司为控股股东提供担保的情形。</w:t>
      </w:r>
    </w:p>
    <w:p>
      <w:pPr>
        <w:pStyle w:val="BodyText"/>
        <w:spacing w:line="477" w:lineRule="auto" w:before="53"/>
        <w:ind w:left="514" w:right="92" w:firstLine="1"/>
        <w:jc w:val="left"/>
      </w:pPr>
      <w:r>
        <w:rPr>
          <w:rFonts w:ascii="宋体" w:hAnsi="宋体" w:cs="宋体" w:eastAsia="宋体" w:hint="default"/>
          <w:b/>
          <w:bCs/>
        </w:rPr>
        <w:t>（三）董事和董事会</w:t>
      </w:r>
      <w:r>
        <w:rPr>
          <w:rFonts w:ascii="宋体" w:hAnsi="宋体" w:cs="宋体" w:eastAsia="宋体" w:hint="default"/>
          <w:b/>
          <w:bCs/>
          <w:w w:val="99"/>
        </w:rPr>
        <w:t> </w:t>
      </w:r>
      <w:r>
        <w:rPr>
          <w:spacing w:val="-2"/>
        </w:rPr>
        <w:t>根据《公司章程》及《董事会议事规则》的规定，公司董事会由</w:t>
      </w:r>
      <w:r>
        <w:rPr>
          <w:rFonts w:ascii="Times New Roman" w:hAnsi="Times New Roman" w:cs="Times New Roman" w:eastAsia="Times New Roman" w:hint="default"/>
          <w:spacing w:val="-2"/>
        </w:rPr>
        <w:t>6</w:t>
      </w:r>
      <w:r>
        <w:rPr>
          <w:spacing w:val="-2"/>
        </w:rPr>
        <w:t>名董事组成，其中独立董事</w:t>
      </w:r>
      <w:r>
        <w:rPr>
          <w:rFonts w:ascii="Times New Roman" w:hAnsi="Times New Roman" w:cs="Times New Roman" w:eastAsia="Times New Roman" w:hint="default"/>
          <w:spacing w:val="-2"/>
        </w:rPr>
        <w:t>3</w:t>
      </w:r>
      <w:r>
        <w:rPr>
          <w:spacing w:val="-2"/>
        </w:rPr>
        <w:t>名。公司选聘董事，董事</w:t>
      </w:r>
    </w:p>
    <w:p>
      <w:pPr>
        <w:pStyle w:val="BodyText"/>
        <w:spacing w:line="477" w:lineRule="auto" w:before="21"/>
        <w:ind w:right="190"/>
        <w:jc w:val="both"/>
      </w:pPr>
      <w:r>
        <w:rPr>
          <w:spacing w:val="-2"/>
        </w:rPr>
        <w:t>会人数、构成及资格均符合法律、法规和公司规章的规定。公司董事会均严格按照《公司章程》及《董事会议事规则》的程</w:t>
      </w:r>
      <w:r>
        <w:rPr>
          <w:spacing w:val="-71"/>
        </w:rPr>
        <w:t> </w:t>
      </w:r>
      <w:r>
        <w:rPr>
          <w:spacing w:val="-71"/>
        </w:rPr>
      </w:r>
      <w:r>
        <w:rPr>
          <w:spacing w:val="-2"/>
        </w:rPr>
        <w:t>序召集、召开。公司董事能够依据《董事会议事规则》、《独立董事工作制度》、《深圳证券交易所创业板上市公司规范运</w:t>
      </w:r>
      <w:r>
        <w:rPr>
          <w:spacing w:val="-68"/>
        </w:rPr>
        <w:t> </w:t>
      </w:r>
      <w:r>
        <w:rPr>
          <w:spacing w:val="-68"/>
        </w:rPr>
      </w:r>
      <w:r>
        <w:rPr>
          <w:spacing w:val="-2"/>
        </w:rPr>
        <w:t>作指引》等开展工作，出席董事会和股东大会，依法行使职权，勤勉尽责地履行职责和义务，同时积极参加相关培训，熟悉</w:t>
      </w:r>
      <w:r>
        <w:rPr>
          <w:spacing w:val="-68"/>
        </w:rPr>
        <w:t> </w:t>
      </w:r>
      <w:r>
        <w:rPr>
          <w:spacing w:val="-68"/>
        </w:rPr>
      </w:r>
      <w:r>
        <w:rPr/>
        <w:t>相关法律法规。</w:t>
      </w:r>
    </w:p>
    <w:p>
      <w:pPr>
        <w:pStyle w:val="BodyText"/>
        <w:spacing w:line="451" w:lineRule="auto" w:before="54"/>
        <w:ind w:right="189" w:firstLine="360"/>
        <w:jc w:val="both"/>
      </w:pPr>
      <w:r>
        <w:rPr/>
        <w:t>董事会下设薪酬与考核委员会、战略委员会、提名委员会和审计委员会，各委员会中独立董事占比均超过</w:t>
      </w:r>
      <w:r>
        <w:rPr>
          <w:rFonts w:ascii="Times New Roman" w:hAnsi="Times New Roman" w:cs="Times New Roman" w:eastAsia="Times New Roman" w:hint="default"/>
        </w:rPr>
        <w:t>1/2</w:t>
      </w:r>
      <w:r>
        <w:rPr/>
        <w:t>，提高了 董事会履职能力和专业化程度，保障了董事会决策的科学性和规范性。</w:t>
      </w:r>
    </w:p>
    <w:p>
      <w:pPr>
        <w:pStyle w:val="BodyText"/>
        <w:spacing w:line="240" w:lineRule="auto" w:before="74"/>
        <w:ind w:left="513" w:right="92"/>
        <w:jc w:val="left"/>
      </w:pPr>
      <w:r>
        <w:rPr/>
        <w:t>公司独立董事独立履行职责，不受公司主要股东、实际控制人以及其他与公司有利害关系的单位或个人影响。</w:t>
      </w:r>
    </w:p>
    <w:p>
      <w:pPr>
        <w:spacing w:line="240" w:lineRule="auto" w:before="10"/>
        <w:rPr>
          <w:rFonts w:ascii="宋体" w:hAnsi="宋体" w:cs="宋体" w:eastAsia="宋体" w:hint="default"/>
          <w:sz w:val="17"/>
          <w:szCs w:val="17"/>
        </w:rPr>
      </w:pPr>
    </w:p>
    <w:p>
      <w:pPr>
        <w:pStyle w:val="BodyText"/>
        <w:spacing w:line="477" w:lineRule="auto"/>
        <w:ind w:left="513" w:right="92" w:firstLine="1"/>
        <w:jc w:val="left"/>
      </w:pPr>
      <w:r>
        <w:rPr>
          <w:rFonts w:ascii="宋体" w:hAnsi="宋体" w:cs="宋体" w:eastAsia="宋体" w:hint="default"/>
          <w:b/>
          <w:bCs/>
        </w:rPr>
        <w:t>（四）监事和监事会</w:t>
      </w:r>
      <w:r>
        <w:rPr>
          <w:rFonts w:ascii="宋体" w:hAnsi="宋体" w:cs="宋体" w:eastAsia="宋体" w:hint="default"/>
          <w:b/>
          <w:bCs/>
          <w:w w:val="99"/>
        </w:rPr>
        <w:t> </w:t>
      </w:r>
      <w:r>
        <w:rPr>
          <w:spacing w:val="-2"/>
        </w:rPr>
        <w:t>根据《公司章程》及《监事会议事规则》的规定，公司监事会由</w:t>
      </w:r>
      <w:r>
        <w:rPr>
          <w:rFonts w:ascii="Times New Roman" w:hAnsi="Times New Roman" w:cs="Times New Roman" w:eastAsia="Times New Roman" w:hint="default"/>
          <w:spacing w:val="-2"/>
        </w:rPr>
        <w:t>4</w:t>
      </w:r>
      <w:r>
        <w:rPr>
          <w:spacing w:val="-2"/>
        </w:rPr>
        <w:t>名监事组成，其中职工代表和非职工监事各</w:t>
      </w:r>
      <w:r>
        <w:rPr>
          <w:rFonts w:ascii="Times New Roman" w:hAnsi="Times New Roman" w:cs="Times New Roman" w:eastAsia="Times New Roman" w:hint="default"/>
          <w:spacing w:val="-2"/>
        </w:rPr>
        <w:t>2</w:t>
      </w:r>
      <w:r>
        <w:rPr>
          <w:spacing w:val="-2"/>
        </w:rPr>
        <w:t>名。监事</w:t>
      </w:r>
    </w:p>
    <w:p>
      <w:pPr>
        <w:pStyle w:val="BodyText"/>
        <w:spacing w:line="240" w:lineRule="auto" w:before="21"/>
        <w:ind w:left="154" w:right="0"/>
        <w:jc w:val="both"/>
      </w:pPr>
      <w:r>
        <w:rPr/>
        <w:t>会均按照《公司章程》及《监事会议事规则》的程序召集、召开。公司监事会除审议日常事项外，在检查公司的财务、对董</w:t>
      </w:r>
    </w:p>
    <w:p>
      <w:pPr>
        <w:spacing w:after="0" w:line="240"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事、高级管理人员履职等方面发挥了良好的监督职能，切实维护公司及股东的合法权益。</w:t>
      </w:r>
    </w:p>
    <w:p>
      <w:pPr>
        <w:spacing w:line="240" w:lineRule="auto" w:before="10"/>
        <w:rPr>
          <w:rFonts w:ascii="宋体" w:hAnsi="宋体" w:cs="宋体" w:eastAsia="宋体" w:hint="default"/>
          <w:sz w:val="17"/>
          <w:szCs w:val="17"/>
        </w:rPr>
      </w:pPr>
    </w:p>
    <w:p>
      <w:pPr>
        <w:spacing w:line="477" w:lineRule="auto" w:before="0"/>
        <w:ind w:left="513" w:right="92" w:firstLine="1"/>
        <w:jc w:val="left"/>
        <w:rPr>
          <w:rFonts w:ascii="宋体" w:hAnsi="宋体" w:cs="宋体" w:eastAsia="宋体" w:hint="default"/>
          <w:sz w:val="18"/>
          <w:szCs w:val="18"/>
        </w:rPr>
      </w:pPr>
      <w:r>
        <w:rPr>
          <w:rFonts w:ascii="宋体" w:hAnsi="宋体" w:cs="宋体" w:eastAsia="宋体" w:hint="default"/>
          <w:b/>
          <w:bCs/>
          <w:sz w:val="18"/>
          <w:szCs w:val="18"/>
        </w:rPr>
        <w:t>（五）关于绩效评价与激励约束机制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公司已建立企业绩效激励与评价体系，并不断完善。公司董事、监事和高级管理人员的绩效评价标准和激励约束机制公</w:t>
      </w:r>
    </w:p>
    <w:p>
      <w:pPr>
        <w:pStyle w:val="BodyText"/>
        <w:spacing w:line="477" w:lineRule="auto" w:before="54"/>
        <w:ind w:left="513" w:right="92" w:hanging="360"/>
        <w:jc w:val="left"/>
      </w:pPr>
      <w:r>
        <w:rPr/>
        <w:t>开、透明，符合法律、法规的规定。 </w:t>
      </w:r>
      <w:r>
        <w:rPr>
          <w:spacing w:val="-2"/>
        </w:rPr>
        <w:t>公司董事会设立了薪酬与考核委员会，负责薪酬政策及方案的制定与审定。公司高级管理人员均认真履行工作职责，较</w:t>
      </w:r>
    </w:p>
    <w:p>
      <w:pPr>
        <w:pStyle w:val="BodyText"/>
        <w:spacing w:line="240" w:lineRule="auto" w:before="54"/>
        <w:ind w:right="0"/>
        <w:jc w:val="both"/>
      </w:pPr>
      <w:r>
        <w:rPr/>
        <w:t>好地完成了董事会制定的经营管理任务。</w:t>
      </w:r>
    </w:p>
    <w:p>
      <w:pPr>
        <w:spacing w:line="240" w:lineRule="auto" w:before="10"/>
        <w:rPr>
          <w:rFonts w:ascii="宋体" w:hAnsi="宋体" w:cs="宋体" w:eastAsia="宋体" w:hint="default"/>
          <w:sz w:val="17"/>
          <w:szCs w:val="17"/>
        </w:rPr>
      </w:pPr>
    </w:p>
    <w:p>
      <w:pPr>
        <w:pStyle w:val="BodyText"/>
        <w:spacing w:line="477" w:lineRule="auto"/>
        <w:ind w:left="513" w:right="92" w:firstLine="1"/>
        <w:jc w:val="left"/>
      </w:pPr>
      <w:r>
        <w:rPr>
          <w:rFonts w:ascii="宋体" w:hAnsi="宋体" w:cs="宋体" w:eastAsia="宋体" w:hint="default"/>
          <w:b/>
          <w:bCs/>
        </w:rPr>
        <w:t>（六）关于经理层</w:t>
      </w:r>
      <w:r>
        <w:rPr>
          <w:rFonts w:ascii="宋体" w:hAnsi="宋体" w:cs="宋体" w:eastAsia="宋体" w:hint="default"/>
          <w:b/>
          <w:bCs/>
          <w:w w:val="99"/>
        </w:rPr>
        <w:t> </w:t>
      </w:r>
      <w:r>
        <w:rPr>
          <w:spacing w:val="-2"/>
        </w:rPr>
        <w:t>公司已建立《总经理工作细则》等制度，公司经理层能勤勉尽责，切实贯彻、执行董事会的决议。总经理及其他高级管</w:t>
      </w:r>
    </w:p>
    <w:p>
      <w:pPr>
        <w:pStyle w:val="BodyText"/>
        <w:spacing w:line="477" w:lineRule="auto" w:before="54"/>
        <w:ind w:left="513" w:right="92" w:hanging="360"/>
        <w:jc w:val="left"/>
      </w:pPr>
      <w:r>
        <w:rPr/>
        <w:t>理人员职责清晰，能够严格按照公司各项管理制度履行职责。经理层人员的聘任公开、透明、程序规范。 </w:t>
      </w:r>
      <w:r>
        <w:rPr>
          <w:spacing w:val="-2"/>
        </w:rPr>
        <w:t>公司总经理的聘任、管理层的聘任、管理层的考核和激励等方面均严格按照公司规定执行，管理层比较稳定，且忠实履</w:t>
      </w:r>
    </w:p>
    <w:p>
      <w:pPr>
        <w:pStyle w:val="BodyText"/>
        <w:spacing w:line="240" w:lineRule="auto" w:before="54"/>
        <w:ind w:right="0"/>
        <w:jc w:val="both"/>
      </w:pPr>
      <w:r>
        <w:rPr/>
        <w:t>行诚信义务，没有发现违规行为。</w:t>
      </w:r>
    </w:p>
    <w:p>
      <w:pPr>
        <w:spacing w:line="240" w:lineRule="auto" w:before="10"/>
        <w:rPr>
          <w:rFonts w:ascii="宋体" w:hAnsi="宋体" w:cs="宋体" w:eastAsia="宋体" w:hint="default"/>
          <w:sz w:val="17"/>
          <w:szCs w:val="17"/>
        </w:rPr>
      </w:pPr>
    </w:p>
    <w:p>
      <w:pPr>
        <w:spacing w:line="477" w:lineRule="auto" w:before="0"/>
        <w:ind w:left="513" w:right="92" w:firstLine="1"/>
        <w:jc w:val="left"/>
        <w:rPr>
          <w:rFonts w:ascii="宋体" w:hAnsi="宋体" w:cs="宋体" w:eastAsia="宋体" w:hint="default"/>
          <w:sz w:val="18"/>
          <w:szCs w:val="18"/>
        </w:rPr>
      </w:pPr>
      <w:r>
        <w:rPr>
          <w:rFonts w:ascii="宋体" w:hAnsi="宋体" w:cs="宋体" w:eastAsia="宋体" w:hint="default"/>
          <w:b/>
          <w:bCs/>
          <w:sz w:val="18"/>
          <w:szCs w:val="18"/>
        </w:rPr>
        <w:t>（七）公司内部控制制度的建立健全情况</w:t>
      </w:r>
      <w:r>
        <w:rPr>
          <w:rFonts w:ascii="宋体" w:hAnsi="宋体" w:cs="宋体" w:eastAsia="宋体" w:hint="default"/>
          <w:b/>
          <w:bCs/>
          <w:w w:val="99"/>
          <w:sz w:val="18"/>
          <w:szCs w:val="18"/>
        </w:rPr>
        <w:t> </w:t>
      </w:r>
      <w:r>
        <w:rPr>
          <w:rFonts w:ascii="宋体" w:hAnsi="宋体" w:cs="宋体" w:eastAsia="宋体" w:hint="default"/>
          <w:spacing w:val="-2"/>
          <w:sz w:val="18"/>
          <w:szCs w:val="18"/>
        </w:rPr>
        <w:t>为加强公司内部管理，健全和完善内部控制，提高公司运营效率，控制和规避经营中存在的风险，公司制定了一系列内</w:t>
      </w:r>
    </w:p>
    <w:p>
      <w:pPr>
        <w:pStyle w:val="BodyText"/>
        <w:spacing w:line="477" w:lineRule="auto" w:before="54"/>
        <w:ind w:right="103"/>
        <w:jc w:val="both"/>
      </w:pPr>
      <w:r>
        <w:rPr>
          <w:spacing w:val="-2"/>
        </w:rPr>
        <w:t>部控制制度，并得到了严格贯彻和执行。公司根据《公司法》、《证券法》、《创业板上市公司规范运作指引》等有关法律</w:t>
      </w:r>
      <w:r>
        <w:rPr>
          <w:spacing w:val="-69"/>
        </w:rPr>
        <w:t> </w:t>
      </w:r>
      <w:r>
        <w:rPr>
          <w:spacing w:val="-69"/>
        </w:rPr>
      </w:r>
      <w:r>
        <w:rPr>
          <w:spacing w:val="-4"/>
        </w:rPr>
        <w:t>法规的规定，制定并完善了《公司章程》，依据相关法律法规和公司章程制定《股东大会议事规则》、《董事会议事规则》、</w:t>
      </w:r>
    </w:p>
    <w:p>
      <w:pPr>
        <w:pStyle w:val="BodyText"/>
        <w:spacing w:line="477" w:lineRule="auto" w:before="54"/>
        <w:ind w:right="103"/>
        <w:jc w:val="both"/>
      </w:pPr>
      <w:r>
        <w:rPr>
          <w:spacing w:val="-2"/>
        </w:rPr>
        <w:t>《监事会议事规则》、《独立董事工作制度》、《董事会秘书工作细则》、《审计委员会工作细则》、《提名委员会工作细</w:t>
      </w:r>
      <w:r>
        <w:rPr>
          <w:spacing w:val="-70"/>
        </w:rPr>
        <w:t> </w:t>
      </w:r>
      <w:r>
        <w:rPr>
          <w:spacing w:val="-70"/>
        </w:rPr>
      </w:r>
      <w:r>
        <w:rPr>
          <w:spacing w:val="-2"/>
        </w:rPr>
        <w:t>则》、《战略委员会工作细则》、《独立董事及审计委员会年报工作制度》、《薪酬与考核委员会工作制度》、《总经理工</w:t>
      </w:r>
      <w:r>
        <w:rPr>
          <w:spacing w:val="-70"/>
        </w:rPr>
        <w:t> </w:t>
      </w:r>
      <w:r>
        <w:rPr>
          <w:spacing w:val="-70"/>
        </w:rPr>
      </w:r>
      <w:r>
        <w:rPr>
          <w:spacing w:val="-7"/>
        </w:rPr>
        <w:t>作细则》、《对外担保管理制度》、《对外投资管理制度》、《规范与关联方资金往来的管理制度》、《关联交易决策制度》、</w:t>
      </w:r>
    </w:p>
    <w:p>
      <w:pPr>
        <w:pStyle w:val="BodyText"/>
        <w:spacing w:line="477" w:lineRule="auto" w:before="54"/>
        <w:ind w:right="193"/>
        <w:jc w:val="both"/>
      </w:pPr>
      <w:r>
        <w:rPr>
          <w:spacing w:val="-2"/>
        </w:rPr>
        <w:t>《内部审计制度》、《投资者关系管理制度》、《内幕信息知情人登记管理制度》等公司治理和内部控制相关制度。公司认</w:t>
      </w:r>
      <w:r>
        <w:rPr>
          <w:spacing w:val="-67"/>
        </w:rPr>
        <w:t> </w:t>
      </w:r>
      <w:r>
        <w:rPr>
          <w:spacing w:val="-67"/>
        </w:rPr>
      </w:r>
      <w:r>
        <w:rPr/>
        <w:t>为已经建立了较为完善的内部管理制度体系，各项制度建立之后能够得到有效的贯彻和执行。</w:t>
      </w:r>
    </w:p>
    <w:p>
      <w:pPr>
        <w:spacing w:line="477" w:lineRule="auto" w:before="54"/>
        <w:ind w:left="513" w:right="92" w:firstLine="1"/>
        <w:jc w:val="left"/>
        <w:rPr>
          <w:rFonts w:ascii="宋体" w:hAnsi="宋体" w:cs="宋体" w:eastAsia="宋体" w:hint="default"/>
          <w:sz w:val="18"/>
          <w:szCs w:val="18"/>
        </w:rPr>
      </w:pPr>
      <w:r>
        <w:rPr>
          <w:rFonts w:ascii="宋体" w:hAnsi="宋体" w:cs="宋体" w:eastAsia="宋体" w:hint="default"/>
          <w:b/>
          <w:bCs/>
          <w:sz w:val="18"/>
          <w:szCs w:val="18"/>
        </w:rPr>
        <w:t>（八）关于信息披露与透明度</w:t>
      </w:r>
      <w:r>
        <w:rPr>
          <w:rFonts w:ascii="宋体" w:hAnsi="宋体" w:cs="宋体" w:eastAsia="宋体" w:hint="default"/>
          <w:b/>
          <w:bCs/>
          <w:w w:val="99"/>
          <w:sz w:val="18"/>
          <w:szCs w:val="18"/>
        </w:rPr>
        <w:t> </w:t>
      </w:r>
      <w:r>
        <w:rPr>
          <w:rFonts w:ascii="宋体" w:hAnsi="宋体" w:cs="宋体" w:eastAsia="宋体" w:hint="default"/>
          <w:spacing w:val="-4"/>
          <w:sz w:val="18"/>
          <w:szCs w:val="18"/>
        </w:rPr>
        <w:t>公司严格按照有关法律法规以及《信息披露管理制度》、《投资者关系管理制度》等的要求，真实、准确、及时、公平、</w:t>
      </w:r>
    </w:p>
    <w:p>
      <w:pPr>
        <w:pStyle w:val="BodyText"/>
        <w:spacing w:line="477" w:lineRule="auto" w:before="54"/>
        <w:ind w:right="191"/>
        <w:jc w:val="both"/>
      </w:pPr>
      <w:r>
        <w:rPr>
          <w:spacing w:val="-2"/>
        </w:rPr>
        <w:t>完整地披露有关信息；并指定公司董事会秘书负责信息披露工作，协调公司与投资者的关系，接待股东来访，回答投资者咨</w:t>
      </w:r>
      <w:r>
        <w:rPr>
          <w:spacing w:val="-66"/>
        </w:rPr>
        <w:t> </w:t>
      </w:r>
      <w:r>
        <w:rPr>
          <w:spacing w:val="-66"/>
        </w:rPr>
      </w:r>
      <w:r>
        <w:rPr>
          <w:spacing w:val="-2"/>
        </w:rPr>
        <w:t>询，向投资者提供公司已披露的资料；并指定巨潮资讯网为公司信息披露的指定网站，确保公司所有股东能够以平等的机会</w:t>
      </w:r>
      <w:r>
        <w:rPr>
          <w:spacing w:val="-66"/>
        </w:rPr>
        <w:t> </w:t>
      </w:r>
      <w:r>
        <w:rPr>
          <w:spacing w:val="-66"/>
        </w:rPr>
      </w:r>
      <w:r>
        <w:rPr/>
        <w:t>获得信息。</w:t>
      </w:r>
    </w:p>
    <w:p>
      <w:pPr>
        <w:pStyle w:val="BodyText"/>
        <w:spacing w:line="477" w:lineRule="auto" w:before="54"/>
        <w:ind w:left="513" w:right="92" w:firstLine="1"/>
        <w:jc w:val="left"/>
      </w:pPr>
      <w:r>
        <w:rPr>
          <w:rFonts w:ascii="宋体" w:hAnsi="宋体" w:cs="宋体" w:eastAsia="宋体" w:hint="default"/>
          <w:b/>
          <w:bCs/>
        </w:rPr>
        <w:t>（九）关于利益相关者</w:t>
      </w:r>
      <w:r>
        <w:rPr>
          <w:rFonts w:ascii="宋体" w:hAnsi="宋体" w:cs="宋体" w:eastAsia="宋体" w:hint="default"/>
          <w:b/>
          <w:bCs/>
          <w:w w:val="99"/>
        </w:rPr>
        <w:t> </w:t>
      </w:r>
      <w:r>
        <w:rPr>
          <w:spacing w:val="-2"/>
        </w:rPr>
        <w:t>公司充分尊重和维护相关利益者的合法权益，积极与相关利益者合作，加强与各方的沟通和交流，实现股东、员工、社</w:t>
      </w:r>
    </w:p>
    <w:p>
      <w:pPr>
        <w:pStyle w:val="BodyText"/>
        <w:spacing w:line="240" w:lineRule="auto" w:before="54"/>
        <w:ind w:right="0"/>
        <w:jc w:val="both"/>
      </w:pPr>
      <w:r>
        <w:rPr/>
        <w:t>会等各方利益的协调平衡，共同推动公司持续、健康的发展。</w:t>
      </w:r>
    </w:p>
    <w:p>
      <w:pPr>
        <w:spacing w:after="0" w:line="240" w:lineRule="auto"/>
        <w:jc w:val="both"/>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公司治理与《公司法》和中国证监会相关规定的要求是否存在差异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8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1"/>
              <w:jc w:val="both"/>
              <w:rPr>
                <w:rFonts w:ascii="Times New Roman" w:hAnsi="Times New Roman" w:cs="Times New Roman" w:eastAsia="Times New Roman" w:hint="default"/>
                <w:sz w:val="18"/>
                <w:szCs w:val="18"/>
              </w:rPr>
            </w:pPr>
            <w:hyperlink r:id="rId19">
              <w:r>
                <w:rPr>
                  <w:rFonts w:ascii="Times New Roman"/>
                  <w:sz w:val="18"/>
                </w:rPr>
                <w:t>http://www.cninfo.com.cn/final</w:t>
              </w:r>
            </w:hyperlink>
            <w:r>
              <w:rPr>
                <w:rFonts w:ascii="Times New Roman"/>
                <w:sz w:val="18"/>
              </w:rPr>
              <w:t> page/2014-05-17/64035951.PD</w:t>
            </w:r>
            <w:r>
              <w:rPr>
                <w:rFonts w:ascii="Times New Roman"/>
                <w:w w:val="99"/>
                <w:sz w:val="18"/>
              </w:rPr>
              <w:t> </w:t>
            </w:r>
            <w:r>
              <w:rPr>
                <w:rFonts w:ascii="Times New Roman"/>
                <w:sz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
              <w:jc w:val="left"/>
              <w:rPr>
                <w:rFonts w:ascii="Times New Roman" w:hAnsi="Times New Roman" w:cs="Times New Roman" w:eastAsia="Times New Roman" w:hint="default"/>
                <w:sz w:val="18"/>
                <w:szCs w:val="18"/>
              </w:rPr>
            </w:pPr>
            <w:hyperlink r:id="rId19">
              <w:r>
                <w:rPr>
                  <w:rFonts w:ascii="Times New Roman"/>
                  <w:sz w:val="18"/>
                </w:rPr>
                <w:t>http://www.cninfo.com.cn/final</w:t>
              </w:r>
            </w:hyperlink>
            <w:r>
              <w:rPr>
                <w:rFonts w:ascii="Times New Roman"/>
                <w:sz w:val="18"/>
              </w:rPr>
              <w:t> page/2014-08-05/1200098531.P</w:t>
            </w:r>
            <w:r>
              <w:rPr>
                <w:rFonts w:ascii="Times New Roman"/>
                <w:w w:val="99"/>
                <w:sz w:val="18"/>
              </w:rPr>
              <w:t> </w:t>
            </w:r>
            <w:r>
              <w:rPr>
                <w:rFonts w:ascii="Times New Roman"/>
                <w:sz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第二届董事会第二十五次会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1"/>
              <w:jc w:val="both"/>
              <w:rPr>
                <w:rFonts w:ascii="Times New Roman" w:hAnsi="Times New Roman" w:cs="Times New Roman" w:eastAsia="Times New Roman" w:hint="default"/>
                <w:sz w:val="18"/>
                <w:szCs w:val="18"/>
              </w:rPr>
            </w:pPr>
            <w:hyperlink r:id="rId19">
              <w:r>
                <w:rPr>
                  <w:rFonts w:ascii="Times New Roman"/>
                  <w:sz w:val="18"/>
                </w:rPr>
                <w:t>http://www.cninfo.com.cn/final</w:t>
              </w:r>
            </w:hyperlink>
            <w:r>
              <w:rPr>
                <w:rFonts w:ascii="Times New Roman"/>
                <w:sz w:val="18"/>
              </w:rPr>
              <w:t> page/2014-04-10/63817646.PD</w:t>
            </w:r>
            <w:r>
              <w:rPr>
                <w:rFonts w:ascii="Times New Roman"/>
                <w:w w:val="99"/>
                <w:sz w:val="18"/>
              </w:rPr>
              <w:t> </w:t>
            </w:r>
            <w:r>
              <w:rPr>
                <w:rFonts w:ascii="Times New Roman"/>
                <w:sz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第二届董事会第二十六次会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1"/>
              <w:jc w:val="both"/>
              <w:rPr>
                <w:rFonts w:ascii="Times New Roman" w:hAnsi="Times New Roman" w:cs="Times New Roman" w:eastAsia="Times New Roman" w:hint="default"/>
                <w:sz w:val="18"/>
                <w:szCs w:val="18"/>
              </w:rPr>
            </w:pPr>
            <w:hyperlink r:id="rId19">
              <w:r>
                <w:rPr>
                  <w:rFonts w:ascii="Times New Roman"/>
                  <w:sz w:val="18"/>
                </w:rPr>
                <w:t>http://www.cninfo.com.cn/final</w:t>
              </w:r>
            </w:hyperlink>
            <w:r>
              <w:rPr>
                <w:rFonts w:ascii="Times New Roman"/>
                <w:sz w:val="18"/>
              </w:rPr>
              <w:t> page/2014-04-25/63918032.PD</w:t>
            </w:r>
            <w:r>
              <w:rPr>
                <w:rFonts w:ascii="Times New Roman"/>
                <w:w w:val="99"/>
                <w:sz w:val="18"/>
              </w:rPr>
              <w:t> </w:t>
            </w:r>
            <w:r>
              <w:rPr>
                <w:rFonts w:ascii="Times New Roman"/>
                <w:sz w:val="18"/>
              </w:rPr>
              <w:t>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第二届董事会第二十七次会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
              <w:jc w:val="left"/>
              <w:rPr>
                <w:rFonts w:ascii="Times New Roman" w:hAnsi="Times New Roman" w:cs="Times New Roman" w:eastAsia="Times New Roman" w:hint="default"/>
                <w:sz w:val="18"/>
                <w:szCs w:val="18"/>
              </w:rPr>
            </w:pPr>
            <w:hyperlink r:id="rId19">
              <w:r>
                <w:rPr>
                  <w:rFonts w:ascii="Times New Roman"/>
                  <w:sz w:val="18"/>
                </w:rPr>
                <w:t>http://www.cninfo.com.cn/final</w:t>
              </w:r>
            </w:hyperlink>
            <w:r>
              <w:rPr>
                <w:rFonts w:ascii="Times New Roman"/>
                <w:sz w:val="18"/>
              </w:rPr>
              <w:t> page/2014-06-25/1200007191.P</w:t>
            </w:r>
            <w:r>
              <w:rPr>
                <w:rFonts w:ascii="Times New Roman"/>
                <w:w w:val="99"/>
                <w:sz w:val="18"/>
              </w:rPr>
              <w:t> </w:t>
            </w:r>
            <w:r>
              <w:rPr>
                <w:rFonts w:ascii="Times New Roman"/>
                <w:sz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第二届董事会第二十八次会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
              <w:jc w:val="left"/>
              <w:rPr>
                <w:rFonts w:ascii="Times New Roman" w:hAnsi="Times New Roman" w:cs="Times New Roman" w:eastAsia="Times New Roman" w:hint="default"/>
                <w:sz w:val="18"/>
                <w:szCs w:val="18"/>
              </w:rPr>
            </w:pPr>
            <w:hyperlink r:id="rId19">
              <w:r>
                <w:rPr>
                  <w:rFonts w:ascii="Times New Roman"/>
                  <w:sz w:val="18"/>
                </w:rPr>
                <w:t>http://www.cninfo.com.cn/final</w:t>
              </w:r>
            </w:hyperlink>
            <w:r>
              <w:rPr>
                <w:rFonts w:ascii="Times New Roman"/>
                <w:sz w:val="18"/>
              </w:rPr>
              <w:t> page/2014-07-09/1200040341.P</w:t>
            </w:r>
            <w:r>
              <w:rPr>
                <w:rFonts w:ascii="Times New Roman"/>
                <w:w w:val="99"/>
                <w:sz w:val="18"/>
              </w:rPr>
              <w:t> </w:t>
            </w:r>
            <w:r>
              <w:rPr>
                <w:rFonts w:ascii="Times New Roman"/>
                <w:sz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第二届董事会第二十九次会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
              <w:jc w:val="left"/>
              <w:rPr>
                <w:rFonts w:ascii="Times New Roman" w:hAnsi="Times New Roman" w:cs="Times New Roman" w:eastAsia="Times New Roman" w:hint="default"/>
                <w:sz w:val="18"/>
                <w:szCs w:val="18"/>
              </w:rPr>
            </w:pPr>
            <w:hyperlink r:id="rId19">
              <w:r>
                <w:rPr>
                  <w:rFonts w:ascii="Times New Roman"/>
                  <w:sz w:val="18"/>
                </w:rPr>
                <w:t>http://www.cninfo.com.cn/final</w:t>
              </w:r>
            </w:hyperlink>
            <w:r>
              <w:rPr>
                <w:rFonts w:ascii="Times New Roman"/>
                <w:sz w:val="18"/>
              </w:rPr>
              <w:t> page/2014-07-18/1200064048.P</w:t>
            </w:r>
            <w:r>
              <w:rPr>
                <w:rFonts w:ascii="Times New Roman"/>
                <w:w w:val="99"/>
                <w:sz w:val="18"/>
              </w:rPr>
              <w:t> </w:t>
            </w:r>
            <w:r>
              <w:rPr>
                <w:rFonts w:ascii="Times New Roman"/>
                <w:sz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第二届董事会第三十次会议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hyperlink r:id="rId19">
              <w:r>
                <w:rPr>
                  <w:rFonts w:ascii="Times New Roman"/>
                  <w:sz w:val="18"/>
                </w:rPr>
                <w:t>http://www.cninfo.com.cn/final</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1"/>
              <w:jc w:val="left"/>
              <w:rPr>
                <w:rFonts w:ascii="Times New Roman" w:hAnsi="Times New Roman" w:cs="Times New Roman" w:eastAsia="Times New Roman" w:hint="default"/>
                <w:sz w:val="18"/>
                <w:szCs w:val="18"/>
              </w:rPr>
            </w:pPr>
            <w:r>
              <w:rPr>
                <w:rFonts w:ascii="Times New Roman"/>
                <w:sz w:val="18"/>
              </w:rPr>
              <w:t>page/2014-07-23/1200071394.P</w:t>
            </w:r>
            <w:r>
              <w:rPr>
                <w:rFonts w:ascii="Times New Roman"/>
                <w:w w:val="99"/>
                <w:sz w:val="18"/>
              </w:rPr>
              <w:t> </w:t>
            </w:r>
            <w:r>
              <w:rPr>
                <w:rFonts w:ascii="Times New Roman"/>
                <w:sz w:val="18"/>
              </w:rPr>
              <w:t>DF</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第二届董事会第三十一次会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第二届董事会第三十二次会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
              <w:jc w:val="left"/>
              <w:rPr>
                <w:rFonts w:ascii="Times New Roman" w:hAnsi="Times New Roman" w:cs="Times New Roman" w:eastAsia="Times New Roman" w:hint="default"/>
                <w:sz w:val="18"/>
                <w:szCs w:val="18"/>
              </w:rPr>
            </w:pPr>
            <w:hyperlink r:id="rId19">
              <w:r>
                <w:rPr>
                  <w:rFonts w:ascii="Times New Roman"/>
                  <w:sz w:val="18"/>
                </w:rPr>
                <w:t>http://www.cninfo.com.cn/final</w:t>
              </w:r>
            </w:hyperlink>
            <w:r>
              <w:rPr>
                <w:rFonts w:ascii="Times New Roman"/>
                <w:sz w:val="18"/>
              </w:rPr>
              <w:t> page/2014-12-16/1200467403.P</w:t>
            </w:r>
            <w:r>
              <w:rPr>
                <w:rFonts w:ascii="Times New Roman"/>
                <w:w w:val="99"/>
                <w:sz w:val="18"/>
              </w:rPr>
              <w:t> </w:t>
            </w:r>
            <w:r>
              <w:rPr>
                <w:rFonts w:ascii="Times New Roman"/>
                <w:sz w:val="18"/>
              </w:rPr>
              <w:t>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2"/>
        <w:jc w:val="left"/>
        <w:rPr>
          <w:b w:val="0"/>
          <w:bCs w:val="0"/>
        </w:rPr>
      </w:pPr>
      <w:bookmarkStart w:name="四、年度报告重大差错责任追究制度的建立与执行情况" w:id="105"/>
      <w:bookmarkEnd w:id="105"/>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6" w:firstLine="357"/>
        <w:jc w:val="left"/>
      </w:pPr>
      <w:r>
        <w:rPr/>
        <w:t>公司根据《上市公司信息披露管理办法》、《上市公司治理准则》和《深圳证券交易所创业板股票上市规则》等法律、 </w:t>
      </w:r>
      <w:r>
        <w:rPr>
          <w:spacing w:val="-2"/>
        </w:rPr>
        <w:t>法规、规范性文件的规定和要求，结合公司的实际情况，已制定了《北京东方国信科技股份有限公司年报信息披露重大差错</w:t>
      </w:r>
      <w:r>
        <w:rPr>
          <w:spacing w:val="-66"/>
        </w:rPr>
        <w:t> </w:t>
      </w:r>
      <w:r>
        <w:rPr>
          <w:spacing w:val="-66"/>
        </w:rPr>
      </w:r>
      <w:r>
        <w:rPr>
          <w:spacing w:val="-2"/>
        </w:rPr>
        <w:t>责任追究制度》，并得到了有效执行。报告期内，公司未发生重大会计差错更正、重大遗漏信息补充以及业绩预告修正等情</w:t>
      </w:r>
      <w:r>
        <w:rPr>
          <w:spacing w:val="-66"/>
        </w:rPr>
        <w:t> </w:t>
      </w:r>
      <w:r>
        <w:rPr>
          <w:spacing w:val="-66"/>
        </w:rPr>
      </w:r>
      <w:r>
        <w:rPr/>
        <w:t>况。</w:t>
      </w:r>
    </w:p>
    <w:p>
      <w:pPr>
        <w:spacing w:line="240" w:lineRule="auto" w:before="4"/>
        <w:rPr>
          <w:rFonts w:ascii="宋体" w:hAnsi="宋体" w:cs="宋体" w:eastAsia="宋体" w:hint="default"/>
          <w:sz w:val="17"/>
          <w:szCs w:val="17"/>
        </w:rPr>
      </w:pPr>
    </w:p>
    <w:p>
      <w:pPr>
        <w:pStyle w:val="Heading2"/>
        <w:spacing w:line="240" w:lineRule="auto"/>
        <w:ind w:left="154" w:right="92"/>
        <w:jc w:val="left"/>
        <w:rPr>
          <w:b w:val="0"/>
          <w:bCs w:val="0"/>
        </w:rPr>
      </w:pPr>
      <w:bookmarkStart w:name="五、监事会工作情况" w:id="106"/>
      <w:bookmarkEnd w:id="106"/>
      <w:r>
        <w:rPr>
          <w:b w:val="0"/>
          <w:bCs w:val="0"/>
        </w:rPr>
      </w:r>
      <w:r>
        <w:rPr/>
        <w:t>五、监事会工作情况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t>监事会在报告期内的监督活动是否发现公司存在风险</w:t>
      </w:r>
    </w:p>
    <w:p>
      <w:pPr>
        <w:pStyle w:val="BodyText"/>
        <w:spacing w:line="340" w:lineRule="auto" w:before="116"/>
        <w:ind w:right="63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第九节 财务报告" w:id="107"/>
      <w:bookmarkEnd w:id="107"/>
      <w:r>
        <w:rPr>
          <w:b w:val="0"/>
          <w:bCs w:val="0"/>
        </w:rPr>
      </w:r>
      <w:bookmarkStart w:name="_bookmark8" w:id="108"/>
      <w:bookmarkEnd w:id="108"/>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二、财务报表" w:id="109"/>
      <w:bookmarkEnd w:id="10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10"/>
      <w:bookmarkEnd w:id="11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before="44"/>
        <w:ind w:right="-19"/>
        <w:jc w:val="left"/>
      </w:pPr>
      <w:r>
        <w:rPr/>
        <w:t>编制单位：北京东方国信科技股份有限公司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575" w:space="50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241,346,305.13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281,727,043.77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11,043,700.00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477,969,217.99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305,330,206.08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46,981,243.42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20,253,398.03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331,172.08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774,763.60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23,766,129.64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25,607,755.23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30,675,802.34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17,080,613.97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824,966,870.60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661,817,480.68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7,945,711.62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9,934,895.41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24,198,722.78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18,878,684.78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65,832,983.13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5,146,780.45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216,322,634.49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180,271,999.31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79,866,645.77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67,897,279.41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590,931,859.79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183,812,975.46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308,091.20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2,433,702.91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6,422,470.29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5,004,035.08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991,829,119.07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473,380,352.81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1,816,795,989.67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1,135,197,833.49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16,455,595.75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6,241,382.80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9,580,742.30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1,597,649.59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29,221,497.39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28,446,762.06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35,444,273.25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16,382,659.24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155,426.48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91,670.00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87,473.13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120,919.10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151,684,433.95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16,162,980.35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307,629,442.25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119,044,023.14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312,914,942.25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119,419,523.14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279,017,838.00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135,720,988.00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823,291,755.12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618,167,339.33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39,569,952.76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28,179,290.36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355,817,081.02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231,579,050.35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1,497,696,626.90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1,013,646,668.04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6,184,420.52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2,131,642.31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1,503,881,047.42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1,015,778,310.35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1,816,795,989.67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1,135,197,833.49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249"/>
        <w:jc w:val="right"/>
      </w:pPr>
      <w:r>
        <w:rPr/>
        <w:t>法定代表人：管连平</w:t>
        <w:tab/>
        <w:t>主管会计工作负责人：陈桂霞</w:t>
        <w:tab/>
        <w:t>会计机构负责人：姜海青</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11"/>
      <w:bookmarkEnd w:id="11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200,406,978.42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252,298,864.51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332,775,616.59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258,879,301.23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43,273,061.92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10,013,808.56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331,172.08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774,763.60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24,322,424.09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30,188,898.85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14,174,634.91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9,019,156.66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615,283,888.01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562,242,793.41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787,295,711.62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303,484,895.41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21,727,249.81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15,685,412.14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65,832,983.13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5,146,780.45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184,290,569.46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162,713,284.25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79,866,645.77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67,897,279.41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276,737.15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2,317,020.34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1,639,653.91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1,165,400.25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1,140,929,550.85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558,410,072.25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1,756,213,438.86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1,120,652,865.66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11,429,636.65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7,574,227.24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35,926.30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351,116.48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27,789,966.02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27,137,254.13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14,878,048.92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6,669,099.23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155,426.48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91,670.00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87,473.13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120,919.10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177,450,327.07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31,559,835.00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291,826,804.57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123,504,121.18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297,112,304.57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123,879,621.18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279,017,838.00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135,720,988.00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823,291,755.12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618,167,339.33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39,569,952.76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28,179,290.36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317,221,588.41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214,705,626.79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1,459,101,134.29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996,773,244.48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1,756,213,438.86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1,120,652,865.66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12"/>
      <w:bookmarkEnd w:id="11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615,266,383.37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468,161,375.81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615,266,383.37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468,161,375.81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81.619995pt;width:157.7pt;height:19.650pt;mso-position-horizontal-relative:page;mso-position-vertical-relative:page;z-index:-954712" coordorigin="4245,11632" coordsize="3154,393">
            <v:shape style="position:absolute;left:4245;top:11632;width:3154;height:393" coordorigin="4245,11632" coordsize="3154,393" path="m4245,12025l7399,12025,7399,11632,4245,11632,4245,120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475,189,910.00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377,446,399.56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317,815,234.89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259,276,069.47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4,155,977.57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1,626,189.45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38,728,595.42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29,236,770.46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108,618,407.92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90,461,861.28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-379,466.77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-5,359,475.25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6,251,160.97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2,204,984.15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-1,989,183.79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-2,065,104.59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138,087,289.58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88,649,871.66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10,348,152.06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8,644,089.96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985,801.28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82,450.29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147,449,640.36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97,211,511.33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12,596,364.47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7,293,505.31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134,853,275.89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89,918,006.02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135,628,693.07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90,236,363.71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-775,417.18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-318,357.69</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134,853,275.89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89,918,006.02</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135,628,693.07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90,236,363.71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-775,417.18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-318,357.69</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bl>
    <w:p>
      <w:pPr>
        <w:pStyle w:val="BodyText"/>
        <w:tabs>
          <w:tab w:pos="3574" w:val="left" w:leader="none"/>
          <w:tab w:pos="7715" w:val="left" w:leader="none"/>
        </w:tabs>
        <w:spacing w:line="624" w:lineRule="auto" w:before="51"/>
        <w:ind w:right="249"/>
        <w:jc w:val="left"/>
      </w:pPr>
      <w:r>
        <w:rPr/>
        <w:t>本期发生同一控制下企业合并的，被合并方在合并前实现的净利润为：元，上期被合并方实现的净利润为：元。 法定代表人：管连平</w:t>
        <w:tab/>
        <w:t>主管会计工作负责人：陈桂霞</w:t>
        <w:tab/>
        <w:t>会计机构负责人：姜海青</w:t>
      </w:r>
    </w:p>
    <w:p>
      <w:pPr>
        <w:pStyle w:val="Heading3"/>
        <w:spacing w:line="240" w:lineRule="auto" w:before="63"/>
        <w:ind w:right="0"/>
        <w:jc w:val="left"/>
        <w:rPr>
          <w:b w:val="0"/>
          <w:bCs w:val="0"/>
        </w:rPr>
      </w:pPr>
      <w:bookmarkStart w:name="4、母公司利润表" w:id="113"/>
      <w:bookmarkEnd w:id="11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409,744,720.88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334,991,127.00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174,448,876.58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147,229,000.35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2,831,660.29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918,142.18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33,905,005.09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25,074,279.05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78,740,538.55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70,430,629.90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-425,658.14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-5,662,417.06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3,734,643.83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1,669,840.04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-1,989,183.79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-2,065,104.59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114,520,470.89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93,266,547.95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6,249,846.15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5,407,482.05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120,765,946.05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98,673,025.30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6,859,322.03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8,865,660.50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113,906,624.02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89,807,364.80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113,906,624.02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89,807,364.80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14"/>
      <w:bookmarkEnd w:id="11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550,811,224.66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372,192,812.25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3,919,622.08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1,072,096.99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33,126,037.27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15,222,247.12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587,856,884.01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388,487,156.36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203,915,762.71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172,572,462.87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191,226,660.18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161,480,749.33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58,548,486.95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34,462,777.78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48,379,302.94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62,045,286.58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502,070,212.78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430,561,276.56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85,786,671.23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-42,074,120.20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128,000.50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128,000.50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111,731,672.84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60,402,718.08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3,327,933.25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17,873,592.87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129,659,606.09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78,276,310.95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-129,531,605.59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-78,276,310.95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6,822,405.20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15,823,850.00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116,822,405.20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65,823,850.00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5,028,857.60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6,164,913.28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105,028,857.60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13,424,913.28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11,793,547.60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52,398,936.72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-31,951,386.76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-67,951,494.43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271,655,569.43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339,607,063.86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239,704,182.67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271,655,569.43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15"/>
      <w:bookmarkEnd w:id="11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363,009,517.68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222,705,638.28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39,846.15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857,482.05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52,256,305.76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34,188,503.13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415,305,669.59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257,751,623.46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84,483,722.63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59,985,719.15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160,933,416.10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135,285,598.98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39,661,959.21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28,420,754.37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42,241,379.62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54,090,829.84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327,320,477.56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277,782,902.34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87,985,192.03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-20,031,278.88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111,371,273.84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59,356,158.14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143,241,273.84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88,406,158.14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-143,241,273.84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-88,406,158.14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6,822,405.20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13,373,850.00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116,822,405.20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63,373,850.00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5,028,857.60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6,164,913.28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105,028,857.60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13,424,913.28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11,793,547.60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49,948,936.72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-43,462,534.21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-58,488,500.30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242,227,390.17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300,715,890.47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198,764,855.96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242,227,390.17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16"/>
      <w:bookmarkEnd w:id="11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135,72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0,988.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618,167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,339.33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290.36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231,579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,050.35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2,131,6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42.31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135,72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0,988.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618,167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,339.33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290.36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231,579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,050.35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2,131,6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42.31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143,29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205,124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662.40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124,238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,030.67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4,052,7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78.21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488,102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,737.07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135,628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,693.07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-775,41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134,853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,275.89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329,091</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,911.79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4,828,1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95.39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353,249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,461.18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327,758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,702.42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4,828,1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95.39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350,744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,790.81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1,171,</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461.00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1,333,2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09.37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2,504,6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70.37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662.40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662.40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7,496.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7,496.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279,01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7,838.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823,291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,755.12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952.76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355,817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,081.02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6,184,4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20.52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81,047.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121,50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436,180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,677.33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553.88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156,398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,414.50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733,277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,645.71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121,50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436,180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,677.33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553.88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156,398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,414.50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733,277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,645.71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8"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181,986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8,980,7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75,180,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635.85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2,131,6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42.31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282,500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,664.64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90,236,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363.71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-318,35</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7.69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89,918,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006.02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181,986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198,657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181,986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198,657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8,980,7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-15,055,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727.86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-6,074,9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91.38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8,980,7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-8,980,7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36.48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-6,074,9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91.38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-6,074,9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91.38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135,72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0,988.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618,167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,339.33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290.36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231,579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,050.35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2,131,6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42.31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17"/>
      <w:bookmarkEnd w:id="11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135,720,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988.00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618,167,3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39.33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28,179,29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214,705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,626.79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996,773,2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44.48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135,720,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988.00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618,167,3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39.33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28,179,29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214,705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,626.79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996,773,2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44.48</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143,296,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205,124,4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15.79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11,390,66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102,515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462,327,8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89.81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113,906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,624.02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113,906,6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24.02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19,329,3</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329,091,9</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11.79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348,421,2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65.79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18,157,8</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327,758,7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02.42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345,916,5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95.42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1,171,46</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1,333,209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2,504,670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11,390,66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662.40</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11,390,66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-11,390,</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2.40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662.40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123,967,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496.00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-123,967,</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123,967,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496.00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-123,967,</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279,017,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838.00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823,291,7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39,569,95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317,221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,588.41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1,459,101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,134.29</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121,500,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436,180,6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77.33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19,198,55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139,953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,989.85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716,833,2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21.06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121,500,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436,180,6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77.33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19,198,55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139,953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,989.85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716,833,2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21.06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14,220,9</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181,986,6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8,980,736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74,751,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636.94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279,940,0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23.42</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89,807,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89,807,36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364.80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4.80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14,220,9</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181,986,6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196,207,6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14,220,9</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181,986,6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196,207,6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8,980,736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-15,055,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727.86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-6,074,99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8,980,736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-8,980,7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36.48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-6,074,9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-6,074,99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135,720,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618,167,3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28,179,29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214,705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,626.79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996,773,2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一、审计报告" w:id="118"/>
      <w:bookmarkEnd w:id="118"/>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05010030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韩景利、姜照东</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left="169" w:right="208"/>
        <w:jc w:val="center"/>
        <w:rPr>
          <w:b w:val="0"/>
          <w:bCs w:val="0"/>
        </w:rPr>
      </w:pPr>
      <w:r>
        <w:rPr/>
        <w:t>审计报告正文</w:t>
      </w:r>
      <w:r>
        <w:rPr>
          <w:b w:val="0"/>
          <w:bCs w:val="0"/>
        </w:rPr>
      </w:r>
    </w:p>
    <w:p>
      <w:pPr>
        <w:spacing w:line="240" w:lineRule="auto" w:before="6"/>
        <w:rPr>
          <w:rFonts w:ascii="宋体" w:hAnsi="宋体" w:cs="宋体" w:eastAsia="宋体" w:hint="default"/>
          <w:b/>
          <w:bCs/>
          <w:sz w:val="24"/>
          <w:szCs w:val="24"/>
        </w:rPr>
      </w:pPr>
    </w:p>
    <w:p>
      <w:pPr>
        <w:pStyle w:val="Heading5"/>
        <w:spacing w:line="240" w:lineRule="auto" w:before="44"/>
        <w:ind w:right="92"/>
        <w:jc w:val="left"/>
        <w:rPr>
          <w:b w:val="0"/>
          <w:bCs w:val="0"/>
        </w:rPr>
      </w:pPr>
      <w:r>
        <w:rPr/>
        <w:t>北京东方国信科技股份有限公司全体股东：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8"/>
          <w:szCs w:val="18"/>
        </w:rPr>
      </w:pPr>
    </w:p>
    <w:p>
      <w:pPr>
        <w:pStyle w:val="BodyText"/>
        <w:spacing w:line="451" w:lineRule="auto"/>
        <w:ind w:right="189" w:firstLine="470"/>
        <w:jc w:val="both"/>
      </w:pPr>
      <w:r>
        <w:rPr/>
        <w:t>我们审计了后附的北京东方国信科技股份有限公司（以下简称</w:t>
      </w:r>
      <w:r>
        <w:rPr>
          <w:rFonts w:ascii="Times New Roman" w:hAnsi="Times New Roman" w:cs="Times New Roman" w:eastAsia="Times New Roman" w:hint="default"/>
        </w:rPr>
        <w:t>“</w:t>
      </w:r>
      <w:r>
        <w:rPr/>
        <w:t>东方国信</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 </w:t>
      </w:r>
      <w:r>
        <w:rPr>
          <w:spacing w:val="-2"/>
        </w:rPr>
        <w:t>母公司资产负债表，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年度的合并及母公司利润表、合并及母公司现金流量表、合并及母公司股东权益变动表，以及财务</w:t>
      </w:r>
      <w:r>
        <w:rPr>
          <w:spacing w:val="-61"/>
        </w:rPr>
        <w:t> </w:t>
      </w:r>
      <w:r>
        <w:rPr>
          <w:spacing w:val="-61"/>
        </w:rPr>
      </w:r>
      <w:r>
        <w:rPr/>
        <w:t>报表附注。</w:t>
      </w:r>
    </w:p>
    <w:p>
      <w:pPr>
        <w:spacing w:line="477" w:lineRule="auto" w:before="74"/>
        <w:ind w:left="624" w:right="92" w:firstLine="1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编制和公允列报财务报表是东方国信管理层的责任，这种责任包括：（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w:t>
      </w:r>
    </w:p>
    <w:p>
      <w:pPr>
        <w:pStyle w:val="BodyText"/>
        <w:spacing w:line="463" w:lineRule="auto" w:before="21"/>
        <w:ind w:left="624" w:right="92" w:hanging="471"/>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477" w:lineRule="auto" w:before="65"/>
        <w:ind w:right="92"/>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477" w:lineRule="auto" w:before="54"/>
        <w:ind w:right="87" w:firstLine="470"/>
        <w:jc w:val="left"/>
      </w:pPr>
      <w:r>
        <w:rPr>
          <w:spacing w:val="-2"/>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477" w:lineRule="auto" w:before="54"/>
        <w:ind w:left="636" w:right="3042" w:hanging="1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451" w:lineRule="auto" w:before="54"/>
        <w:ind w:right="92" w:firstLine="470"/>
        <w:jc w:val="left"/>
      </w:pPr>
      <w:r>
        <w:rPr>
          <w:spacing w:val="-1"/>
        </w:rPr>
        <w:t>我们认为，东方国信财务报表在所有重大方面按照企业会计准则的规定编制，公允反映了东方国信</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r>
        <w:rPr/>
        <w:t> 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3"/>
        <w:rPr>
          <w:rFonts w:ascii="宋体" w:hAnsi="宋体" w:cs="宋体" w:eastAsia="宋体" w:hint="default"/>
          <w:sz w:val="21"/>
          <w:szCs w:val="21"/>
        </w:rPr>
      </w:pPr>
    </w:p>
    <w:p>
      <w:pPr>
        <w:pStyle w:val="BodyText"/>
        <w:tabs>
          <w:tab w:pos="6869" w:val="left" w:leader="none"/>
        </w:tabs>
        <w:spacing w:line="316" w:lineRule="auto"/>
        <w:ind w:left="8027" w:right="1417" w:hanging="7424"/>
        <w:jc w:val="left"/>
      </w:pPr>
      <w:r>
        <w:rPr/>
        <w:t>北京兴华会计师事务所（特殊普通合伙）</w:t>
        <w:tab/>
        <w:t>中国注册会计师： 姜照东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tabs>
          <w:tab w:pos="6897" w:val="left" w:leader="none"/>
        </w:tabs>
        <w:spacing w:line="240" w:lineRule="auto"/>
        <w:ind w:left="1610" w:right="92"/>
        <w:jc w:val="left"/>
      </w:pPr>
      <w:r>
        <w:rPr>
          <w:spacing w:val="-1"/>
        </w:rPr>
        <w:t>中国</w:t>
      </w:r>
      <w:r>
        <w:rPr>
          <w:rFonts w:ascii="Times New Roman" w:hAnsi="Times New Roman" w:cs="Times New Roman" w:eastAsia="Times New Roman" w:hint="default"/>
          <w:b/>
          <w:bCs/>
          <w:spacing w:val="-1"/>
        </w:rPr>
        <w:t>·</w:t>
      </w:r>
      <w:r>
        <w:rPr>
          <w:spacing w:val="-1"/>
        </w:rPr>
        <w:t>北京</w:t>
        <w:tab/>
        <w:t>中国注册会计师：</w:t>
      </w:r>
    </w:p>
    <w:p>
      <w:pPr>
        <w:pStyle w:val="BodyText"/>
        <w:tabs>
          <w:tab w:pos="8117" w:val="left" w:leader="none"/>
        </w:tabs>
        <w:spacing w:line="240" w:lineRule="auto" w:before="63"/>
        <w:ind w:left="1054" w:right="92"/>
        <w:jc w:val="left"/>
      </w:pPr>
      <w:r>
        <w:rPr/>
        <w:t>二〇一五年三月二十日</w:t>
        <w:tab/>
        <w:t>韩景利</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公司基本情况" w:id="119"/>
      <w:bookmarkEnd w:id="119"/>
      <w:r>
        <w:rPr>
          <w:b w:val="0"/>
          <w:bCs w:val="0"/>
        </w:rPr>
      </w:r>
      <w:r>
        <w:rPr/>
        <w:t>三、公司基本情况</w:t>
      </w:r>
      <w:r>
        <w:rPr>
          <w:b w:val="0"/>
          <w:bCs w:val="0"/>
        </w:rPr>
      </w:r>
    </w:p>
    <w:p>
      <w:pPr>
        <w:spacing w:line="440" w:lineRule="atLeast" w:before="143"/>
        <w:ind w:left="576" w:right="92" w:firstLine="1"/>
        <w:jc w:val="left"/>
        <w:rPr>
          <w:rFonts w:ascii="宋体" w:hAnsi="宋体" w:cs="宋体" w:eastAsia="宋体" w:hint="default"/>
          <w:sz w:val="18"/>
          <w:szCs w:val="18"/>
        </w:rPr>
      </w:pPr>
      <w:r>
        <w:rPr>
          <w:rFonts w:ascii="宋体" w:hAnsi="宋体" w:cs="宋体" w:eastAsia="宋体" w:hint="default"/>
          <w:b/>
          <w:bCs/>
          <w:sz w:val="18"/>
          <w:szCs w:val="18"/>
        </w:rPr>
        <w:t>（一）公司历史沿革及改制情况</w:t>
      </w:r>
      <w:r>
        <w:rPr>
          <w:rFonts w:ascii="宋体" w:hAnsi="宋体" w:cs="宋体" w:eastAsia="宋体" w:hint="default"/>
          <w:b/>
          <w:bCs/>
          <w:w w:val="99"/>
          <w:sz w:val="18"/>
          <w:szCs w:val="18"/>
        </w:rPr>
        <w:t> </w:t>
      </w:r>
      <w:r>
        <w:rPr>
          <w:rFonts w:ascii="宋体" w:hAnsi="宋体" w:cs="宋体" w:eastAsia="宋体" w:hint="default"/>
          <w:sz w:val="18"/>
          <w:szCs w:val="18"/>
        </w:rPr>
        <w:t>北京东方国信科技股份有限公司（以下简称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）系由北京东方国信电子有限公司整体变更设立的股份</w:t>
      </w:r>
    </w:p>
    <w:p>
      <w:pPr>
        <w:pStyle w:val="BodyText"/>
        <w:spacing w:line="300" w:lineRule="auto" w:before="63"/>
        <w:ind w:right="189"/>
        <w:jc w:val="both"/>
      </w:pPr>
      <w:r>
        <w:rPr/>
        <w:t>有限公司。北京东方国信电子有限公司原系由管连平、霍卫平、潘晓忠投资设立，于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日在北京市工商行政管理</w:t>
      </w:r>
      <w:r>
        <w:rPr>
          <w:spacing w:val="-82"/>
        </w:rPr>
        <w:t> </w:t>
      </w:r>
      <w:r>
        <w:rPr>
          <w:spacing w:val="-82"/>
        </w:rPr>
      </w:r>
      <w:r>
        <w:rPr/>
        <w:t>局朝阳分局登记注册，取得注册号为</w:t>
      </w:r>
      <w:r>
        <w:rPr>
          <w:rFonts w:ascii="Times New Roman" w:hAnsi="Times New Roman" w:cs="Times New Roman" w:eastAsia="Times New Roman" w:hint="default"/>
        </w:rPr>
        <w:t>1101052249629</w:t>
      </w:r>
      <w:r>
        <w:rPr/>
        <w:t>的《企业法人营业执照》，注册资本人民币</w:t>
      </w:r>
      <w:r>
        <w:rPr>
          <w:rFonts w:ascii="Times New Roman" w:hAnsi="Times New Roman" w:cs="Times New Roman" w:eastAsia="Times New Roman" w:hint="default"/>
        </w:rPr>
        <w:t>50</w:t>
      </w:r>
      <w:r>
        <w:rPr/>
        <w:t>万元，其中：管连平投入</w:t>
      </w:r>
      <w:r>
        <w:rPr>
          <w:spacing w:val="-84"/>
        </w:rPr>
        <w:t> </w:t>
      </w:r>
      <w:r>
        <w:rPr>
          <w:spacing w:val="-84"/>
        </w:rPr>
      </w:r>
      <w:r>
        <w:rPr>
          <w:spacing w:val="-1"/>
        </w:rPr>
        <w:t>货币资金</w:t>
      </w:r>
      <w:r>
        <w:rPr>
          <w:rFonts w:ascii="Times New Roman" w:hAnsi="Times New Roman" w:cs="Times New Roman" w:eastAsia="Times New Roman" w:hint="default"/>
          <w:spacing w:val="-1"/>
        </w:rPr>
        <w:t>20</w:t>
      </w:r>
      <w:r>
        <w:rPr>
          <w:spacing w:val="-1"/>
        </w:rPr>
        <w:t>万元，占注册资本的</w:t>
      </w:r>
      <w:r>
        <w:rPr>
          <w:rFonts w:ascii="Times New Roman" w:hAnsi="Times New Roman" w:cs="Times New Roman" w:eastAsia="Times New Roman" w:hint="default"/>
          <w:spacing w:val="-1"/>
        </w:rPr>
        <w:t>40%</w:t>
      </w:r>
      <w:r>
        <w:rPr>
          <w:spacing w:val="-1"/>
        </w:rPr>
        <w:t>；霍卫平投入货币资金</w:t>
      </w:r>
      <w:r>
        <w:rPr>
          <w:rFonts w:ascii="Times New Roman" w:hAnsi="Times New Roman" w:cs="Times New Roman" w:eastAsia="Times New Roman" w:hint="default"/>
          <w:spacing w:val="-1"/>
        </w:rPr>
        <w:t>15</w:t>
      </w:r>
      <w:r>
        <w:rPr>
          <w:spacing w:val="-1"/>
        </w:rPr>
        <w:t>万元，占注册资本的</w:t>
      </w:r>
      <w:r>
        <w:rPr>
          <w:rFonts w:ascii="Times New Roman" w:hAnsi="Times New Roman" w:cs="Times New Roman" w:eastAsia="Times New Roman" w:hint="default"/>
          <w:spacing w:val="-1"/>
        </w:rPr>
        <w:t>30%</w:t>
      </w:r>
      <w:r>
        <w:rPr>
          <w:spacing w:val="-1"/>
        </w:rPr>
        <w:t>；潘晓忠投入货币资金</w:t>
      </w:r>
      <w:r>
        <w:rPr>
          <w:rFonts w:ascii="Times New Roman" w:hAnsi="Times New Roman" w:cs="Times New Roman" w:eastAsia="Times New Roman" w:hint="default"/>
          <w:spacing w:val="-1"/>
        </w:rPr>
        <w:t>15</w:t>
      </w:r>
      <w:r>
        <w:rPr>
          <w:spacing w:val="-1"/>
        </w:rPr>
        <w:t>万元，占注</w:t>
      </w:r>
      <w:r>
        <w:rPr>
          <w:spacing w:val="-55"/>
        </w:rPr>
        <w:t> </w:t>
      </w:r>
      <w:r>
        <w:rPr>
          <w:spacing w:val="-55"/>
        </w:rPr>
      </w:r>
      <w:r>
        <w:rPr/>
        <w:t>册资本的</w:t>
      </w:r>
      <w:r>
        <w:rPr>
          <w:rFonts w:ascii="Times New Roman" w:hAnsi="Times New Roman" w:cs="Times New Roman" w:eastAsia="Times New Roman" w:hint="default"/>
        </w:rPr>
        <w:t>30%</w:t>
      </w:r>
      <w:r>
        <w:rPr/>
        <w:t>。</w:t>
      </w:r>
    </w:p>
    <w:p>
      <w:pPr>
        <w:pStyle w:val="BodyText"/>
        <w:spacing w:line="300" w:lineRule="auto" w:before="133"/>
        <w:ind w:right="190" w:firstLine="422"/>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日经北京东方国信电子有限公司股东会决议，将注册资本由</w:t>
      </w:r>
      <w:r>
        <w:rPr>
          <w:rFonts w:ascii="Times New Roman" w:hAnsi="Times New Roman" w:cs="Times New Roman" w:eastAsia="Times New Roman" w:hint="default"/>
        </w:rPr>
        <w:t>50</w:t>
      </w:r>
      <w:r>
        <w:rPr/>
        <w:t>万元增加至</w:t>
      </w:r>
      <w:r>
        <w:rPr>
          <w:rFonts w:ascii="Times New Roman" w:hAnsi="Times New Roman" w:cs="Times New Roman" w:eastAsia="Times New Roman" w:hint="default"/>
        </w:rPr>
        <w:t>500</w:t>
      </w:r>
      <w:r>
        <w:rPr/>
        <w:t>万元，其中，管连平本次投 入货币资金</w:t>
      </w:r>
      <w:r>
        <w:rPr>
          <w:rFonts w:ascii="Times New Roman" w:hAnsi="Times New Roman" w:cs="Times New Roman" w:eastAsia="Times New Roman" w:hint="default"/>
        </w:rPr>
        <w:t>180</w:t>
      </w:r>
      <w:r>
        <w:rPr/>
        <w:t>万元、霍卫平本次投入货币资金</w:t>
      </w:r>
      <w:r>
        <w:rPr>
          <w:rFonts w:ascii="Times New Roman" w:hAnsi="Times New Roman" w:cs="Times New Roman" w:eastAsia="Times New Roman" w:hint="default"/>
        </w:rPr>
        <w:t>135</w:t>
      </w:r>
      <w:r>
        <w:rPr/>
        <w:t>万元、潘晓忠本次投入货币资金</w:t>
      </w:r>
      <w:r>
        <w:rPr>
          <w:rFonts w:ascii="Times New Roman" w:hAnsi="Times New Roman" w:cs="Times New Roman" w:eastAsia="Times New Roman" w:hint="default"/>
        </w:rPr>
        <w:t>135</w:t>
      </w:r>
      <w:r>
        <w:rPr/>
        <w:t>万元。增资后的股东及持股比例分别</w:t>
      </w:r>
      <w:r>
        <w:rPr>
          <w:spacing w:val="-83"/>
        </w:rPr>
        <w:t> </w:t>
      </w:r>
      <w:r>
        <w:rPr>
          <w:spacing w:val="-83"/>
        </w:rPr>
      </w:r>
      <w:r>
        <w:rPr/>
        <w:t>为：管连平</w:t>
      </w:r>
      <w:r>
        <w:rPr>
          <w:rFonts w:ascii="Times New Roman" w:hAnsi="Times New Roman" w:cs="Times New Roman" w:eastAsia="Times New Roman" w:hint="default"/>
        </w:rPr>
        <w:t>40%</w:t>
      </w:r>
      <w:r>
        <w:rPr/>
        <w:t>、霍卫平</w:t>
      </w:r>
      <w:r>
        <w:rPr>
          <w:rFonts w:ascii="Times New Roman" w:hAnsi="Times New Roman" w:cs="Times New Roman" w:eastAsia="Times New Roman" w:hint="default"/>
        </w:rPr>
        <w:t>30%</w:t>
      </w:r>
      <w:r>
        <w:rPr/>
        <w:t>、潘晓忠</w:t>
      </w:r>
      <w:r>
        <w:rPr>
          <w:rFonts w:ascii="Times New Roman" w:hAnsi="Times New Roman" w:cs="Times New Roman" w:eastAsia="Times New Roman" w:hint="default"/>
        </w:rPr>
        <w:t>30%</w:t>
      </w:r>
      <w:r>
        <w:rPr/>
        <w:t>。</w:t>
      </w:r>
    </w:p>
    <w:p>
      <w:pPr>
        <w:pStyle w:val="BodyText"/>
        <w:spacing w:line="300" w:lineRule="auto" w:before="133"/>
        <w:ind w:right="191" w:firstLine="422"/>
        <w:jc w:val="both"/>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29</w:t>
      </w:r>
      <w:r>
        <w:rPr>
          <w:spacing w:val="-1"/>
        </w:rPr>
        <w:t>日经北京东方国信电子有限公司股东会决议，潘晓忠将所持公司</w:t>
      </w:r>
      <w:r>
        <w:rPr>
          <w:rFonts w:ascii="Times New Roman" w:hAnsi="Times New Roman" w:cs="Times New Roman" w:eastAsia="Times New Roman" w:hint="default"/>
          <w:spacing w:val="-1"/>
        </w:rPr>
        <w:t>18%</w:t>
      </w:r>
      <w:r>
        <w:rPr>
          <w:spacing w:val="-1"/>
        </w:rPr>
        <w:t>股权转让给北京仁邦翰威投资咨询有</w:t>
      </w:r>
      <w:r>
        <w:rPr/>
        <w:t> </w:t>
      </w:r>
      <w:r>
        <w:rPr>
          <w:spacing w:val="-1"/>
        </w:rPr>
        <w:t>限公司，将所持公司</w:t>
      </w:r>
      <w:r>
        <w:rPr>
          <w:rFonts w:ascii="Times New Roman" w:hAnsi="Times New Roman" w:cs="Times New Roman" w:eastAsia="Times New Roman" w:hint="default"/>
          <w:spacing w:val="-1"/>
        </w:rPr>
        <w:t>12%</w:t>
      </w:r>
      <w:r>
        <w:rPr>
          <w:spacing w:val="-1"/>
        </w:rPr>
        <w:t>股权转让给北京仁邦时代投资咨询有限公司。变更后的股东及股权比例分别为：管连平</w:t>
      </w:r>
      <w:r>
        <w:rPr>
          <w:rFonts w:ascii="Times New Roman" w:hAnsi="Times New Roman" w:cs="Times New Roman" w:eastAsia="Times New Roman" w:hint="default"/>
          <w:spacing w:val="-1"/>
        </w:rPr>
        <w:t>40%</w:t>
      </w:r>
      <w:r>
        <w:rPr>
          <w:spacing w:val="-1"/>
        </w:rPr>
        <w:t>、霍卫</w:t>
      </w:r>
      <w:r>
        <w:rPr>
          <w:spacing w:val="-57"/>
        </w:rPr>
        <w:t> </w:t>
      </w:r>
      <w:r>
        <w:rPr>
          <w:spacing w:val="-57"/>
        </w:rPr>
      </w:r>
      <w:r>
        <w:rPr/>
        <w:t>平</w:t>
      </w:r>
      <w:r>
        <w:rPr>
          <w:rFonts w:ascii="Times New Roman" w:hAnsi="Times New Roman" w:cs="Times New Roman" w:eastAsia="Times New Roman" w:hint="default"/>
        </w:rPr>
        <w:t>30%</w:t>
      </w:r>
      <w:r>
        <w:rPr/>
        <w:t>、北京仁邦翰威投资咨询有限公司</w:t>
      </w:r>
      <w:r>
        <w:rPr>
          <w:rFonts w:ascii="Times New Roman" w:hAnsi="Times New Roman" w:cs="Times New Roman" w:eastAsia="Times New Roman" w:hint="default"/>
        </w:rPr>
        <w:t>18%</w:t>
      </w:r>
      <w:r>
        <w:rPr/>
        <w:t>、北京仁邦时代投资咨询有限公司</w:t>
      </w:r>
      <w:r>
        <w:rPr>
          <w:rFonts w:ascii="Times New Roman" w:hAnsi="Times New Roman" w:cs="Times New Roman" w:eastAsia="Times New Roman" w:hint="default"/>
        </w:rPr>
        <w:t>12%</w:t>
      </w:r>
      <w:r>
        <w:rPr/>
        <w:t>。</w:t>
      </w:r>
    </w:p>
    <w:p>
      <w:pPr>
        <w:pStyle w:val="BodyText"/>
        <w:spacing w:line="300" w:lineRule="auto" w:before="133"/>
        <w:ind w:right="190" w:firstLine="422"/>
        <w:jc w:val="both"/>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日经北京东方国信电子有限公司股东会决议，北京东方国信电子有限公司以</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日为基准日，采用</w:t>
      </w:r>
      <w:r>
        <w:rPr/>
        <w:t> </w:t>
      </w:r>
      <w:r>
        <w:rPr>
          <w:spacing w:val="-2"/>
        </w:rPr>
        <w:t>整体变更方式设立股份有限公司。整体变更后，公司的股本总额为人民币</w:t>
      </w:r>
      <w:r>
        <w:rPr>
          <w:rFonts w:ascii="Times New Roman" w:hAnsi="Times New Roman" w:cs="Times New Roman" w:eastAsia="Times New Roman" w:hint="default"/>
          <w:spacing w:val="-2"/>
        </w:rPr>
        <w:t>2,000</w:t>
      </w:r>
      <w:r>
        <w:rPr>
          <w:spacing w:val="-2"/>
        </w:rPr>
        <w:t>万元，每股面值人民币</w:t>
      </w:r>
      <w:r>
        <w:rPr>
          <w:rFonts w:ascii="Times New Roman" w:hAnsi="Times New Roman" w:cs="Times New Roman" w:eastAsia="Times New Roman" w:hint="default"/>
          <w:spacing w:val="-2"/>
        </w:rPr>
        <w:t>1</w:t>
      </w:r>
      <w:r>
        <w:rPr>
          <w:spacing w:val="-2"/>
        </w:rPr>
        <w:t>元，折股份总数</w:t>
      </w:r>
      <w:r>
        <w:rPr>
          <w:rFonts w:ascii="Times New Roman" w:hAnsi="Times New Roman" w:cs="Times New Roman" w:eastAsia="Times New Roman" w:hint="default"/>
          <w:spacing w:val="-2"/>
        </w:rPr>
        <w:t>2,000</w:t>
      </w:r>
      <w:r>
        <w:rPr>
          <w:rFonts w:ascii="Times New Roman" w:hAnsi="Times New Roman" w:cs="Times New Roman" w:eastAsia="Times New Roman" w:hint="default"/>
          <w:spacing w:val="-11"/>
        </w:rPr>
        <w:t> </w:t>
      </w:r>
      <w:r>
        <w:rPr>
          <w:spacing w:val="9"/>
        </w:rPr>
        <w:t>万股；公司名称变更为北京东方国信科技股份有限公司；公司已于</w:t>
      </w:r>
      <w:r>
        <w:rPr>
          <w:spacing w:val="-65"/>
        </w:rPr>
        <w:t> </w:t>
      </w: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6</w:t>
      </w:r>
      <w:r>
        <w:rPr>
          <w:spacing w:val="8"/>
        </w:rPr>
        <w:t>月</w:t>
      </w:r>
      <w:r>
        <w:rPr>
          <w:rFonts w:ascii="Times New Roman" w:hAnsi="Times New Roman" w:cs="Times New Roman" w:eastAsia="Times New Roman" w:hint="default"/>
          <w:spacing w:val="8"/>
        </w:rPr>
        <w:t>30</w:t>
      </w:r>
      <w:r>
        <w:rPr>
          <w:spacing w:val="8"/>
        </w:rPr>
        <w:t>日取得北京市工商行政管理局颁发的</w:t>
      </w:r>
      <w:r>
        <w:rPr>
          <w:spacing w:val="-65"/>
        </w:rPr>
        <w:t> </w:t>
      </w:r>
      <w:r>
        <w:rPr>
          <w:spacing w:val="-65"/>
        </w:rPr>
      </w:r>
      <w:r>
        <w:rPr>
          <w:rFonts w:ascii="Times New Roman" w:hAnsi="Times New Roman" w:cs="Times New Roman" w:eastAsia="Times New Roman" w:hint="default"/>
        </w:rPr>
        <w:t>110105002496292</w:t>
      </w:r>
      <w:r>
        <w:rPr/>
        <w:t>号《企业法人营业执照》。整体变更后公司股东及持股比例分别为：管连平</w:t>
      </w:r>
      <w:r>
        <w:rPr>
          <w:rFonts w:ascii="Times New Roman" w:hAnsi="Times New Roman" w:cs="Times New Roman" w:eastAsia="Times New Roman" w:hint="default"/>
        </w:rPr>
        <w:t>40%</w:t>
      </w:r>
      <w:r>
        <w:rPr/>
        <w:t>、霍卫平</w:t>
      </w:r>
      <w:r>
        <w:rPr>
          <w:rFonts w:ascii="Times New Roman" w:hAnsi="Times New Roman" w:cs="Times New Roman" w:eastAsia="Times New Roman" w:hint="default"/>
        </w:rPr>
        <w:t>30%</w:t>
      </w:r>
      <w:r>
        <w:rPr/>
        <w:t>、北京仁邦</w:t>
      </w:r>
      <w:r>
        <w:rPr>
          <w:spacing w:val="-28"/>
        </w:rPr>
        <w:t> </w:t>
      </w:r>
      <w:r>
        <w:rPr/>
        <w:t>翰威投资咨询有限公司</w:t>
      </w:r>
      <w:r>
        <w:rPr>
          <w:rFonts w:ascii="Times New Roman" w:hAnsi="Times New Roman" w:cs="Times New Roman" w:eastAsia="Times New Roman" w:hint="default"/>
        </w:rPr>
        <w:t>18%</w:t>
      </w:r>
      <w:r>
        <w:rPr/>
        <w:t>、北京仁邦时代投资咨询有限公司</w:t>
      </w:r>
      <w:r>
        <w:rPr>
          <w:rFonts w:ascii="Times New Roman" w:hAnsi="Times New Roman" w:cs="Times New Roman" w:eastAsia="Times New Roman" w:hint="default"/>
        </w:rPr>
        <w:t>12%</w:t>
      </w:r>
      <w:r>
        <w:rPr/>
        <w:t>。</w:t>
      </w:r>
    </w:p>
    <w:p>
      <w:pPr>
        <w:pStyle w:val="BodyText"/>
        <w:spacing w:line="300" w:lineRule="auto" w:before="133"/>
        <w:ind w:right="189" w:firstLine="422"/>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日经公司股东大会决议，决定进行增资扩股，增加发行</w:t>
      </w:r>
      <w:r>
        <w:rPr>
          <w:rFonts w:ascii="Times New Roman" w:hAnsi="Times New Roman" w:cs="Times New Roman" w:eastAsia="Times New Roman" w:hint="default"/>
          <w:spacing w:val="-1"/>
        </w:rPr>
        <w:t>280</w:t>
      </w:r>
      <w:r>
        <w:rPr>
          <w:spacing w:val="-1"/>
        </w:rPr>
        <w:t>万股，每股面值</w:t>
      </w:r>
      <w:r>
        <w:rPr>
          <w:rFonts w:ascii="Times New Roman" w:hAnsi="Times New Roman" w:cs="Times New Roman" w:eastAsia="Times New Roman" w:hint="default"/>
          <w:spacing w:val="-1"/>
        </w:rPr>
        <w:t>1</w:t>
      </w:r>
      <w:r>
        <w:rPr>
          <w:spacing w:val="-1"/>
        </w:rPr>
        <w:t>元，将公司注册资本由</w:t>
      </w:r>
      <w:r>
        <w:rPr>
          <w:rFonts w:ascii="Times New Roman" w:hAnsi="Times New Roman" w:cs="Times New Roman" w:eastAsia="Times New Roman" w:hint="default"/>
          <w:spacing w:val="-1"/>
        </w:rPr>
        <w:t>2,000</w:t>
      </w:r>
      <w:r>
        <w:rPr>
          <w:rFonts w:ascii="Times New Roman" w:hAnsi="Times New Roman" w:cs="Times New Roman" w:eastAsia="Times New Roman" w:hint="default"/>
        </w:rPr>
        <w:t> </w:t>
      </w:r>
      <w:r>
        <w:rPr>
          <w:spacing w:val="-1"/>
        </w:rPr>
        <w:t>万元增至</w:t>
      </w:r>
      <w:r>
        <w:rPr>
          <w:rFonts w:ascii="Times New Roman" w:hAnsi="Times New Roman" w:cs="Times New Roman" w:eastAsia="Times New Roman" w:hint="default"/>
          <w:spacing w:val="-1"/>
        </w:rPr>
        <w:t>2,280</w:t>
      </w:r>
      <w:r>
        <w:rPr>
          <w:spacing w:val="-1"/>
        </w:rPr>
        <w:t>万元，由王春卿、金凤、张靖以货币出资方式认购公司的</w:t>
      </w:r>
      <w:r>
        <w:rPr>
          <w:rFonts w:ascii="Times New Roman" w:hAnsi="Times New Roman" w:cs="Times New Roman" w:eastAsia="Times New Roman" w:hint="default"/>
          <w:spacing w:val="-1"/>
        </w:rPr>
        <w:t>280</w:t>
      </w:r>
      <w:r>
        <w:rPr>
          <w:spacing w:val="-1"/>
        </w:rPr>
        <w:t>万股增资。增资后的股东及持股比例分别为：管</w:t>
      </w:r>
      <w:r>
        <w:rPr>
          <w:spacing w:val="-73"/>
        </w:rPr>
        <w:t> </w:t>
      </w:r>
      <w:r>
        <w:rPr>
          <w:spacing w:val="-73"/>
        </w:rPr>
      </w:r>
      <w:r>
        <w:rPr/>
        <w:t>连平</w:t>
      </w:r>
      <w:r>
        <w:rPr>
          <w:rFonts w:ascii="Times New Roman" w:hAnsi="Times New Roman" w:cs="Times New Roman" w:eastAsia="Times New Roman" w:hint="default"/>
        </w:rPr>
        <w:t>35.0878%</w:t>
      </w:r>
      <w:r>
        <w:rPr/>
        <w:t>、霍卫平</w:t>
      </w:r>
      <w:r>
        <w:rPr>
          <w:rFonts w:ascii="Times New Roman" w:hAnsi="Times New Roman" w:cs="Times New Roman" w:eastAsia="Times New Roman" w:hint="default"/>
        </w:rPr>
        <w:t>26.3158%</w:t>
      </w:r>
      <w:r>
        <w:rPr/>
        <w:t>、北京仁邦翰威投资咨询有限公司</w:t>
      </w:r>
      <w:r>
        <w:rPr>
          <w:rFonts w:ascii="Times New Roman" w:hAnsi="Times New Roman" w:cs="Times New Roman" w:eastAsia="Times New Roman" w:hint="default"/>
        </w:rPr>
        <w:t>15.7895%</w:t>
      </w:r>
      <w:r>
        <w:rPr/>
        <w:t>、北京仁邦时代投资咨询有限公司</w:t>
      </w:r>
      <w:r>
        <w:rPr>
          <w:rFonts w:ascii="Times New Roman" w:hAnsi="Times New Roman" w:cs="Times New Roman" w:eastAsia="Times New Roman" w:hint="default"/>
        </w:rPr>
        <w:t>10.5263%</w:t>
      </w:r>
      <w:r>
        <w:rPr/>
        <w:t>、</w:t>
      </w:r>
      <w:r>
        <w:rPr>
          <w:spacing w:val="-59"/>
        </w:rPr>
        <w:t> </w:t>
      </w:r>
      <w:r>
        <w:rPr/>
        <w:t>王春卿</w:t>
      </w:r>
      <w:r>
        <w:rPr>
          <w:rFonts w:ascii="Times New Roman" w:hAnsi="Times New Roman" w:cs="Times New Roman" w:eastAsia="Times New Roman" w:hint="default"/>
        </w:rPr>
        <w:t>4.6052%</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BodyText"/>
        <w:spacing w:line="300" w:lineRule="auto" w:before="133"/>
        <w:ind w:left="154" w:right="187" w:firstLine="422"/>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日经公司股东大会决议，公司增加注册资本人民币</w:t>
      </w:r>
      <w:r>
        <w:rPr>
          <w:rFonts w:ascii="Times New Roman" w:hAnsi="Times New Roman" w:cs="Times New Roman" w:eastAsia="Times New Roman" w:hint="default"/>
        </w:rPr>
        <w:t>752.40</w:t>
      </w:r>
      <w:r>
        <w:rPr/>
        <w:t>万元，由资本公积转增注册资本人民币</w:t>
      </w:r>
      <w:r>
        <w:rPr>
          <w:rFonts w:ascii="Times New Roman" w:hAnsi="Times New Roman" w:cs="Times New Roman" w:eastAsia="Times New Roman" w:hint="default"/>
        </w:rPr>
        <w:t>752.40 </w:t>
      </w:r>
      <w:r>
        <w:rPr/>
        <w:t>万元，转增基准日期为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日，变更后注册资本为人民币</w:t>
      </w:r>
      <w:r>
        <w:rPr>
          <w:rFonts w:ascii="Times New Roman" w:hAnsi="Times New Roman" w:cs="Times New Roman" w:eastAsia="Times New Roman" w:hint="default"/>
        </w:rPr>
        <w:t>3,032.40</w:t>
      </w:r>
      <w:r>
        <w:rPr/>
        <w:t>万元。增资后的股东及持股比例分别为：管连平</w:t>
      </w:r>
      <w:r>
        <w:rPr>
          <w:spacing w:val="-85"/>
        </w:rPr>
        <w:t> </w:t>
      </w:r>
      <w:r>
        <w:rPr>
          <w:spacing w:val="-85"/>
        </w:rPr>
      </w:r>
      <w:r>
        <w:rPr>
          <w:rFonts w:ascii="Times New Roman" w:hAnsi="Times New Roman" w:cs="Times New Roman" w:eastAsia="Times New Roman" w:hint="default"/>
        </w:rPr>
        <w:t>35.0878%</w:t>
      </w:r>
      <w:r>
        <w:rPr/>
        <w:t>、霍卫平</w:t>
      </w:r>
      <w:r>
        <w:rPr>
          <w:rFonts w:ascii="Times New Roman" w:hAnsi="Times New Roman" w:cs="Times New Roman" w:eastAsia="Times New Roman" w:hint="default"/>
        </w:rPr>
        <w:t>26.3158%</w:t>
      </w:r>
      <w:r>
        <w:rPr/>
        <w:t>、北京仁邦翰威投资咨询有限公司</w:t>
      </w:r>
      <w:r>
        <w:rPr>
          <w:rFonts w:ascii="Times New Roman" w:hAnsi="Times New Roman" w:cs="Times New Roman" w:eastAsia="Times New Roman" w:hint="default"/>
        </w:rPr>
        <w:t>15.7895%</w:t>
      </w:r>
      <w:r>
        <w:rPr/>
        <w:t>、北京仁邦时代投资咨询有限公司</w:t>
      </w:r>
      <w:r>
        <w:rPr>
          <w:rFonts w:ascii="Times New Roman" w:hAnsi="Times New Roman" w:cs="Times New Roman" w:eastAsia="Times New Roman" w:hint="default"/>
        </w:rPr>
        <w:t>10.5263%</w:t>
      </w:r>
      <w:r>
        <w:rPr/>
        <w:t>、王春</w:t>
      </w:r>
      <w:r>
        <w:rPr>
          <w:spacing w:val="-56"/>
        </w:rPr>
        <w:t> </w:t>
      </w:r>
      <w:r>
        <w:rPr/>
        <w:t>卿</w:t>
      </w:r>
      <w:r>
        <w:rPr>
          <w:rFonts w:ascii="Times New Roman" w:hAnsi="Times New Roman" w:cs="Times New Roman" w:eastAsia="Times New Roman" w:hint="default"/>
        </w:rPr>
        <w:t>4.6052%</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BodyText"/>
        <w:spacing w:line="300" w:lineRule="auto" w:before="133"/>
        <w:ind w:right="191" w:firstLine="422"/>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4</w:t>
      </w:r>
      <w:r>
        <w:rPr>
          <w:spacing w:val="-2"/>
        </w:rPr>
        <w:t>日经公司第二次临时股东大会决议，股东王春卿将所持公司</w:t>
      </w:r>
      <w:r>
        <w:rPr>
          <w:rFonts w:ascii="Times New Roman" w:hAnsi="Times New Roman" w:cs="Times New Roman" w:eastAsia="Times New Roman" w:hint="default"/>
          <w:spacing w:val="-2"/>
        </w:rPr>
        <w:t>4.6052%</w:t>
      </w:r>
      <w:r>
        <w:rPr>
          <w:spacing w:val="-2"/>
        </w:rPr>
        <w:t>股权转让给毛自力，至此王春卿不再持</w:t>
      </w:r>
      <w:r>
        <w:rPr/>
        <w:t> </w:t>
      </w:r>
      <w:r>
        <w:rPr>
          <w:spacing w:val="3"/>
        </w:rPr>
        <w:t>有公司股权。股权转让后股东及持股比例分别为：管连平</w:t>
      </w:r>
      <w:r>
        <w:rPr>
          <w:rFonts w:ascii="Times New Roman" w:hAnsi="Times New Roman" w:cs="Times New Roman" w:eastAsia="Times New Roman" w:hint="default"/>
          <w:spacing w:val="3"/>
        </w:rPr>
        <w:t>35.0878%</w:t>
      </w:r>
      <w:r>
        <w:rPr>
          <w:spacing w:val="3"/>
        </w:rPr>
        <w:t>、霍卫平</w:t>
      </w:r>
      <w:r>
        <w:rPr>
          <w:rFonts w:ascii="Times New Roman" w:hAnsi="Times New Roman" w:cs="Times New Roman" w:eastAsia="Times New Roman" w:hint="default"/>
          <w:spacing w:val="3"/>
        </w:rPr>
        <w:t>26.3158%</w:t>
      </w:r>
      <w:r>
        <w:rPr>
          <w:spacing w:val="3"/>
        </w:rPr>
        <w:t>、北京仁邦翰威投资咨询有限公司</w:t>
      </w:r>
      <w:r>
        <w:rPr>
          <w:spacing w:val="-56"/>
        </w:rPr>
        <w:t> </w:t>
      </w:r>
      <w:r>
        <w:rPr>
          <w:spacing w:val="-56"/>
        </w:rPr>
      </w:r>
      <w:r>
        <w:rPr>
          <w:rFonts w:ascii="Times New Roman" w:hAnsi="Times New Roman" w:cs="Times New Roman" w:eastAsia="Times New Roman" w:hint="default"/>
        </w:rPr>
        <w:t>15.7895%</w:t>
      </w:r>
      <w:r>
        <w:rPr/>
        <w:t>、北京仁邦时代投资咨询有限公司</w:t>
      </w:r>
      <w:r>
        <w:rPr>
          <w:rFonts w:ascii="Times New Roman" w:hAnsi="Times New Roman" w:cs="Times New Roman" w:eastAsia="Times New Roman" w:hint="default"/>
        </w:rPr>
        <w:t>10.5263%</w:t>
      </w:r>
      <w:r>
        <w:rPr/>
        <w:t>、毛自力</w:t>
      </w:r>
      <w:r>
        <w:rPr>
          <w:rFonts w:ascii="Times New Roman" w:hAnsi="Times New Roman" w:cs="Times New Roman" w:eastAsia="Times New Roman" w:hint="default"/>
        </w:rPr>
        <w:t>4.6052%</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BodyText"/>
        <w:spacing w:line="300" w:lineRule="auto" w:before="133"/>
        <w:ind w:right="92" w:firstLine="422"/>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日经中国证券监督管理委员会证监许可</w:t>
      </w:r>
      <w:r>
        <w:rPr>
          <w:rFonts w:ascii="Times New Roman" w:hAnsi="Times New Roman" w:cs="Times New Roman" w:eastAsia="Times New Roman" w:hint="default"/>
        </w:rPr>
        <w:t>[2010]1902</w:t>
      </w:r>
      <w:r>
        <w:rPr/>
        <w:t>号文批复、</w:t>
      </w:r>
      <w:r>
        <w:rPr>
          <w:rFonts w:ascii="Times New Roman" w:hAnsi="Times New Roman" w:cs="Times New Roman" w:eastAsia="Times New Roman" w:hint="default"/>
        </w:rPr>
        <w:t>2011</w:t>
      </w:r>
      <w:r>
        <w:rPr/>
        <w:t>年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26"/>
        </w:rPr>
        <w:t> </w:t>
      </w:r>
      <w:r>
        <w:rPr>
          <w:spacing w:val="2"/>
        </w:rPr>
        <w:t>日深圳证券交易所</w:t>
      </w:r>
      <w:r>
        <w:rPr>
          <w:rFonts w:ascii="Times New Roman" w:hAnsi="Times New Roman" w:cs="Times New Roman" w:eastAsia="Times New Roman" w:hint="default"/>
          <w:spacing w:val="2"/>
        </w:rPr>
        <w:t>“</w:t>
      </w:r>
      <w:r>
        <w:rPr>
          <w:spacing w:val="2"/>
        </w:rPr>
        <w:t>深证上</w:t>
      </w:r>
      <w:r>
        <w:rPr/>
        <w:t> </w:t>
      </w:r>
      <w:r>
        <w:rPr>
          <w:rFonts w:ascii="Times New Roman" w:hAnsi="Times New Roman" w:cs="Times New Roman" w:eastAsia="Times New Roman" w:hint="default"/>
        </w:rPr>
        <w:t>[2011]31 </w:t>
      </w:r>
      <w:r>
        <w:rPr/>
        <w:t>号</w:t>
      </w:r>
      <w:r>
        <w:rPr>
          <w:rFonts w:ascii="Times New Roman" w:hAnsi="Times New Roman" w:cs="Times New Roman" w:eastAsia="Times New Roman" w:hint="default"/>
        </w:rPr>
        <w:t>”</w:t>
      </w:r>
      <w:r>
        <w:rPr/>
        <w:t>文核准，公司首次公开发行人民币普通股</w:t>
      </w:r>
      <w:r>
        <w:rPr>
          <w:rFonts w:ascii="Times New Roman" w:hAnsi="Times New Roman" w:cs="Times New Roman" w:eastAsia="Times New Roman" w:hint="default"/>
        </w:rPr>
        <w:t>1,017.60 </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0"/>
        </w:rPr>
        <w:t> </w:t>
      </w:r>
      <w:r>
        <w:rPr/>
        <w:t>日在创业板上市。 股票简称</w:t>
      </w:r>
      <w:r>
        <w:rPr>
          <w:rFonts w:ascii="Times New Roman" w:hAnsi="Times New Roman" w:cs="Times New Roman" w:eastAsia="Times New Roman" w:hint="default"/>
        </w:rPr>
        <w:t>“</w:t>
      </w:r>
      <w:r>
        <w:rPr/>
        <w:t>东方国信</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“300166”</w:t>
      </w:r>
      <w:r>
        <w:rPr/>
        <w:t>，发行后总股本</w:t>
      </w:r>
      <w:r>
        <w:rPr>
          <w:rFonts w:ascii="Times New Roman" w:hAnsi="Times New Roman" w:cs="Times New Roman" w:eastAsia="Times New Roman" w:hint="default"/>
        </w:rPr>
        <w:t>4,050</w:t>
      </w:r>
      <w:r>
        <w:rPr/>
        <w:t>万股。</w:t>
      </w:r>
    </w:p>
    <w:p>
      <w:pPr>
        <w:pStyle w:val="BodyText"/>
        <w:spacing w:line="240" w:lineRule="auto" w:before="133"/>
        <w:ind w:left="576" w:right="9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日经公司</w:t>
      </w:r>
      <w:r>
        <w:rPr>
          <w:rFonts w:ascii="Times New Roman" w:hAnsi="Times New Roman" w:cs="Times New Roman" w:eastAsia="Times New Roman" w:hint="default"/>
        </w:rPr>
        <w:t>2011</w:t>
      </w:r>
      <w:r>
        <w:rPr/>
        <w:t>年度股东大会决议，以截止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4,050.00</w:t>
      </w:r>
      <w:r>
        <w:rPr/>
        <w:t>万股为基数，向全体股东每</w:t>
      </w:r>
    </w:p>
    <w:p>
      <w:pPr>
        <w:pStyle w:val="BodyText"/>
        <w:spacing w:line="300" w:lineRule="auto" w:before="63"/>
        <w:ind w:right="192"/>
        <w:jc w:val="both"/>
      </w:pP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4,050.00</w:t>
      </w:r>
      <w:r>
        <w:rPr>
          <w:spacing w:val="-2"/>
        </w:rPr>
        <w:t>万股，将资本公积</w:t>
      </w:r>
      <w:r>
        <w:rPr>
          <w:rFonts w:ascii="Times New Roman" w:hAnsi="Times New Roman" w:cs="Times New Roman" w:eastAsia="Times New Roman" w:hint="default"/>
          <w:spacing w:val="-2"/>
        </w:rPr>
        <w:t>40,500,000.00</w:t>
      </w:r>
      <w:r>
        <w:rPr>
          <w:spacing w:val="-2"/>
        </w:rPr>
        <w:t>元转增股本，增加注册资本人民币</w:t>
      </w:r>
      <w:r>
        <w:rPr>
          <w:rFonts w:ascii="Times New Roman" w:hAnsi="Times New Roman" w:cs="Times New Roman" w:eastAsia="Times New Roman" w:hint="default"/>
          <w:spacing w:val="-2"/>
        </w:rPr>
        <w:t>40,500,000.00</w:t>
      </w:r>
      <w:r>
        <w:rPr>
          <w:spacing w:val="-2"/>
        </w:rPr>
        <w:t>元，变更后</w:t>
      </w:r>
      <w:r>
        <w:rPr>
          <w:spacing w:val="-34"/>
        </w:rPr>
        <w:t> </w:t>
      </w:r>
      <w:r>
        <w:rPr>
          <w:spacing w:val="-34"/>
        </w:rPr>
      </w:r>
      <w:r>
        <w:rPr/>
        <w:t>注册资本为人民币</w:t>
      </w:r>
      <w:r>
        <w:rPr>
          <w:rFonts w:ascii="Times New Roman" w:hAnsi="Times New Roman" w:cs="Times New Roman" w:eastAsia="Times New Roman" w:hint="default"/>
        </w:rPr>
        <w:t>81,000,000.00</w:t>
      </w:r>
      <w:r>
        <w:rPr/>
        <w:t>元。</w:t>
      </w:r>
    </w:p>
    <w:p>
      <w:pPr>
        <w:pStyle w:val="BodyText"/>
        <w:spacing w:line="300" w:lineRule="auto" w:before="133"/>
        <w:ind w:right="190" w:firstLine="422"/>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22</w:t>
      </w:r>
      <w:r>
        <w:rPr>
          <w:spacing w:val="-1"/>
        </w:rPr>
        <w:t>日经公司</w:t>
      </w:r>
      <w:r>
        <w:rPr>
          <w:rFonts w:ascii="Times New Roman" w:hAnsi="Times New Roman" w:cs="Times New Roman" w:eastAsia="Times New Roman" w:hint="default"/>
          <w:spacing w:val="-1"/>
        </w:rPr>
        <w:t>2012</w:t>
      </w:r>
      <w:r>
        <w:rPr>
          <w:spacing w:val="-1"/>
        </w:rPr>
        <w:t>年第三次临时股东大会决议，以截止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日公司总股本</w:t>
      </w:r>
      <w:r>
        <w:rPr>
          <w:rFonts w:ascii="Times New Roman" w:hAnsi="Times New Roman" w:cs="Times New Roman" w:eastAsia="Times New Roman" w:hint="default"/>
          <w:spacing w:val="-1"/>
        </w:rPr>
        <w:t>8,100.00</w:t>
      </w:r>
      <w:r>
        <w:rPr>
          <w:spacing w:val="-1"/>
        </w:rPr>
        <w:t>万股为基数，向全体</w:t>
      </w:r>
      <w:r>
        <w:rPr/>
        <w:t> 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4,050.00</w:t>
      </w:r>
      <w:r>
        <w:rPr/>
        <w:t>万股，将资本公积</w:t>
      </w:r>
      <w:r>
        <w:rPr>
          <w:rFonts w:ascii="Times New Roman" w:hAnsi="Times New Roman" w:cs="Times New Roman" w:eastAsia="Times New Roman" w:hint="default"/>
        </w:rPr>
        <w:t>40,500,000.00</w:t>
      </w:r>
      <w:r>
        <w:rPr/>
        <w:t>元转增股本，增加注册资本人民币</w:t>
      </w:r>
      <w:r>
        <w:rPr>
          <w:rFonts w:ascii="Times New Roman" w:hAnsi="Times New Roman" w:cs="Times New Roman" w:eastAsia="Times New Roman" w:hint="default"/>
        </w:rPr>
        <w:t>40,500,000.00</w:t>
      </w:r>
      <w:r>
        <w:rPr/>
        <w:t>元， 变更后注册资本为人民币</w:t>
      </w:r>
      <w:r>
        <w:rPr>
          <w:rFonts w:ascii="Times New Roman" w:hAnsi="Times New Roman" w:cs="Times New Roman" w:eastAsia="Times New Roman" w:hint="default"/>
        </w:rPr>
        <w:t>121,500,000.00</w:t>
      </w:r>
      <w:r>
        <w:rPr/>
        <w:t>元。</w:t>
      </w:r>
    </w:p>
    <w:p>
      <w:pPr>
        <w:pStyle w:val="BodyText"/>
        <w:spacing w:line="240" w:lineRule="auto" w:before="133"/>
        <w:ind w:left="576" w:right="9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日经公司</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年第一次临时股东大会授权，公司董事会于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日召开的第二届董事会第十七次会</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3"/>
        <w:jc w:val="left"/>
      </w:pPr>
      <w:r>
        <w:rPr/>
        <w:t>议决议，于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日向限制性股票激励对象定向增发股票</w:t>
      </w:r>
      <w:r>
        <w:rPr>
          <w:rFonts w:ascii="Times New Roman" w:hAnsi="Times New Roman" w:cs="Times New Roman" w:eastAsia="Times New Roman" w:hint="default"/>
        </w:rPr>
        <w:t>246.75</w:t>
      </w:r>
      <w:r>
        <w:rPr/>
        <w:t>万股，增加注册资本人民币</w:t>
      </w:r>
      <w:r>
        <w:rPr>
          <w:rFonts w:ascii="Times New Roman" w:hAnsi="Times New Roman" w:cs="Times New Roman" w:eastAsia="Times New Roman" w:hint="default"/>
        </w:rPr>
        <w:t>2,467,500.00</w:t>
      </w:r>
      <w:r>
        <w:rPr/>
        <w:t>元，变更后的</w:t>
      </w:r>
      <w:r>
        <w:rPr>
          <w:spacing w:val="-85"/>
        </w:rPr>
        <w:t> </w:t>
      </w:r>
      <w:r>
        <w:rPr/>
        <w:t>注册资本为人民币</w:t>
      </w:r>
      <w:r>
        <w:rPr>
          <w:rFonts w:ascii="Times New Roman" w:hAnsi="Times New Roman" w:cs="Times New Roman" w:eastAsia="Times New Roman" w:hint="default"/>
        </w:rPr>
        <w:t>123,967,500.00</w:t>
      </w:r>
      <w:r>
        <w:rPr/>
        <w:t>元。</w:t>
      </w:r>
    </w:p>
    <w:p>
      <w:pPr>
        <w:pStyle w:val="BodyText"/>
        <w:spacing w:line="307" w:lineRule="auto" w:before="133"/>
        <w:ind w:right="190" w:firstLine="422"/>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日经公司</w:t>
      </w:r>
      <w:r>
        <w:rPr>
          <w:rFonts w:ascii="Times New Roman" w:hAnsi="Times New Roman" w:cs="Times New Roman" w:eastAsia="Times New Roman" w:hint="default"/>
          <w:spacing w:val="-2"/>
        </w:rPr>
        <w:t>2013</w:t>
      </w:r>
      <w:r>
        <w:rPr>
          <w:spacing w:val="-2"/>
        </w:rPr>
        <w:t>年第二次临时股东大会决议，公司申请增加注册资本人民币</w:t>
      </w:r>
      <w:r>
        <w:rPr>
          <w:rFonts w:ascii="Times New Roman" w:hAnsi="Times New Roman" w:cs="Times New Roman" w:eastAsia="Times New Roman" w:hint="default"/>
          <w:spacing w:val="-2"/>
        </w:rPr>
        <w:t>11,753,488.00</w:t>
      </w:r>
      <w:r>
        <w:rPr>
          <w:spacing w:val="-2"/>
        </w:rPr>
        <w:t>元，股本</w:t>
      </w:r>
      <w:r>
        <w:rPr>
          <w:rFonts w:ascii="Times New Roman" w:hAnsi="Times New Roman" w:cs="Times New Roman" w:eastAsia="Times New Roman" w:hint="default"/>
          <w:spacing w:val="-2"/>
        </w:rPr>
        <w:t>11,753,488</w:t>
      </w:r>
      <w:r>
        <w:rPr>
          <w:rFonts w:ascii="Times New Roman" w:hAnsi="Times New Roman" w:cs="Times New Roman" w:eastAsia="Times New Roman" w:hint="default"/>
        </w:rPr>
        <w:t> </w:t>
      </w:r>
      <w:r>
        <w:rPr>
          <w:spacing w:val="-2"/>
        </w:rPr>
        <w:t>股，由邢洪海、程树森、霍守锋、贾振丽、李永杰、赵宏博、田佳星、王可、梁洪、武文袈、刘岩在取得中国证券监督管理</w:t>
      </w:r>
      <w:r>
        <w:rPr>
          <w:spacing w:val="-72"/>
        </w:rPr>
        <w:t> </w:t>
      </w:r>
      <w:r>
        <w:rPr>
          <w:spacing w:val="-72"/>
        </w:rPr>
      </w:r>
      <w:r>
        <w:rPr/>
        <w:t>委员会及其他主管部门批复后，以其各自持有的北京北科亿力科技有限公司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北科亿力</w:t>
      </w:r>
      <w:r>
        <w:rPr>
          <w:rFonts w:ascii="Times New Roman" w:hAnsi="Times New Roman" w:cs="Times New Roman" w:eastAsia="Times New Roman" w:hint="default"/>
        </w:rPr>
        <w:t>”)</w:t>
      </w:r>
      <w:r>
        <w:rPr/>
        <w:t>股权和北京科瑞明软件有 限公司（以下简称</w:t>
      </w:r>
      <w:r>
        <w:rPr>
          <w:rFonts w:ascii="Times New Roman" w:hAnsi="Times New Roman" w:cs="Times New Roman" w:eastAsia="Times New Roman" w:hint="default"/>
        </w:rPr>
        <w:t>“</w:t>
      </w:r>
      <w:r>
        <w:rPr/>
        <w:t>科瑞明</w:t>
      </w:r>
      <w:r>
        <w:rPr>
          <w:rFonts w:ascii="Times New Roman" w:hAnsi="Times New Roman" w:cs="Times New Roman" w:eastAsia="Times New Roman" w:hint="default"/>
        </w:rPr>
        <w:t>”</w:t>
      </w:r>
      <w:r>
        <w:rPr/>
        <w:t>）股权作为出资对价一次缴足，变更后的注册资本为人民币</w:t>
      </w:r>
      <w:r>
        <w:rPr>
          <w:rFonts w:ascii="Times New Roman" w:hAnsi="Times New Roman" w:cs="Times New Roman" w:eastAsia="Times New Roman" w:hint="default"/>
        </w:rPr>
        <w:t>135,720,988.00</w:t>
      </w:r>
      <w:r>
        <w:rPr/>
        <w:t>元。</w:t>
      </w:r>
    </w:p>
    <w:p>
      <w:pPr>
        <w:pStyle w:val="BodyText"/>
        <w:spacing w:line="300" w:lineRule="auto" w:before="127"/>
        <w:ind w:right="191" w:firstLine="422"/>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25</w:t>
      </w:r>
      <w:r>
        <w:rPr>
          <w:spacing w:val="-1"/>
        </w:rPr>
        <w:t>日经公司</w:t>
      </w:r>
      <w:r>
        <w:rPr>
          <w:rFonts w:ascii="Times New Roman" w:hAnsi="Times New Roman" w:cs="Times New Roman" w:eastAsia="Times New Roman" w:hint="default"/>
          <w:spacing w:val="-1"/>
        </w:rPr>
        <w:t>2013</w:t>
      </w:r>
      <w:r>
        <w:rPr>
          <w:spacing w:val="-1"/>
        </w:rPr>
        <w:t>年第一次临时股东大会授权，公司董事会于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日召开的第二届董事会第二十五次会</w:t>
      </w:r>
      <w:r>
        <w:rPr/>
        <w:t> </w:t>
      </w:r>
      <w:r>
        <w:rPr>
          <w:spacing w:val="-2"/>
        </w:rPr>
        <w:t>议决议，减少注册资本人民币</w:t>
      </w:r>
      <w:r>
        <w:rPr>
          <w:rFonts w:ascii="Times New Roman" w:hAnsi="Times New Roman" w:cs="Times New Roman" w:eastAsia="Times New Roman" w:hint="default"/>
          <w:spacing w:val="-2"/>
        </w:rPr>
        <w:t>67,500.00</w:t>
      </w:r>
      <w:r>
        <w:rPr>
          <w:spacing w:val="-2"/>
        </w:rPr>
        <w:t>元，股本</w:t>
      </w:r>
      <w:r>
        <w:rPr>
          <w:rFonts w:ascii="Times New Roman" w:hAnsi="Times New Roman" w:cs="Times New Roman" w:eastAsia="Times New Roman" w:hint="default"/>
          <w:spacing w:val="-2"/>
        </w:rPr>
        <w:t>67,500</w:t>
      </w:r>
      <w:r>
        <w:rPr>
          <w:spacing w:val="-2"/>
        </w:rPr>
        <w:t>股，变更后的注册资本为人民币</w:t>
      </w:r>
      <w:r>
        <w:rPr>
          <w:rFonts w:ascii="Times New Roman" w:hAnsi="Times New Roman" w:cs="Times New Roman" w:eastAsia="Times New Roman" w:hint="default"/>
          <w:spacing w:val="-2"/>
        </w:rPr>
        <w:t>135,653,488.00</w:t>
      </w:r>
      <w:r>
        <w:rPr>
          <w:spacing w:val="-2"/>
        </w:rPr>
        <w:t>元，股本为</w:t>
      </w:r>
      <w:r>
        <w:rPr>
          <w:rFonts w:ascii="Times New Roman" w:hAnsi="Times New Roman" w:cs="Times New Roman" w:eastAsia="Times New Roman" w:hint="default"/>
          <w:spacing w:val="-2"/>
        </w:rPr>
        <w:t>135,653,488</w:t>
      </w:r>
      <w:r>
        <w:rPr>
          <w:rFonts w:ascii="Times New Roman" w:hAnsi="Times New Roman" w:cs="Times New Roman" w:eastAsia="Times New Roman" w:hint="default"/>
          <w:spacing w:val="16"/>
        </w:rPr>
        <w:t> </w:t>
      </w:r>
      <w:r>
        <w:rPr/>
        <w:t>股。</w:t>
      </w:r>
    </w:p>
    <w:p>
      <w:pPr>
        <w:pStyle w:val="BodyText"/>
        <w:spacing w:line="300" w:lineRule="auto" w:before="151"/>
        <w:ind w:left="154" w:right="188" w:firstLine="422"/>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日经公司</w:t>
      </w:r>
      <w:r>
        <w:rPr>
          <w:rFonts w:ascii="Times New Roman" w:hAnsi="Times New Roman" w:cs="Times New Roman" w:eastAsia="Times New Roman" w:hint="default"/>
        </w:rPr>
        <w:t>2013</w:t>
      </w:r>
      <w:r>
        <w:rPr/>
        <w:t>年度股东大会审议通过，公司</w:t>
      </w:r>
      <w:r>
        <w:rPr>
          <w:rFonts w:ascii="Times New Roman" w:hAnsi="Times New Roman" w:cs="Times New Roman" w:eastAsia="Times New Roman" w:hint="default"/>
        </w:rPr>
        <w:t>2013</w:t>
      </w:r>
      <w:r>
        <w:rPr/>
        <w:t>年年度利润分配及资本公积金转增股本预案为：以</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股，转增后的注册资本为人民币</w:t>
      </w:r>
      <w:r>
        <w:rPr>
          <w:rFonts w:ascii="Times New Roman" w:hAnsi="Times New Roman" w:cs="Times New Roman" w:eastAsia="Times New Roman" w:hint="default"/>
        </w:rPr>
        <w:t>259,620,984.00</w:t>
      </w:r>
      <w:r>
        <w:rPr/>
        <w:t>元，</w:t>
      </w:r>
      <w:r>
        <w:rPr>
          <w:spacing w:val="-47"/>
        </w:rPr>
        <w:t> </w:t>
      </w:r>
      <w:r>
        <w:rPr/>
        <w:t>股本为</w:t>
      </w:r>
      <w:r>
        <w:rPr>
          <w:rFonts w:ascii="Times New Roman" w:hAnsi="Times New Roman" w:cs="Times New Roman" w:eastAsia="Times New Roman" w:hint="default"/>
        </w:rPr>
        <w:t>259,620,984</w:t>
      </w:r>
      <w:r>
        <w:rPr/>
        <w:t>股。</w:t>
      </w:r>
    </w:p>
    <w:p>
      <w:pPr>
        <w:pStyle w:val="BodyText"/>
        <w:spacing w:line="300" w:lineRule="auto" w:before="133"/>
        <w:ind w:right="190" w:firstLine="422"/>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日经公司</w:t>
      </w:r>
      <w:r>
        <w:rPr>
          <w:rFonts w:ascii="Times New Roman" w:hAnsi="Times New Roman" w:cs="Times New Roman" w:eastAsia="Times New Roman" w:hint="default"/>
        </w:rPr>
        <w:t>2013</w:t>
      </w:r>
      <w:r>
        <w:rPr/>
        <w:t>年第一次临时股东大会授权，公司董事会于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日召开的第二届董事会第二十七次 会议，符合股票期权行权条件的激励对象共</w:t>
      </w:r>
      <w:r>
        <w:rPr>
          <w:rFonts w:ascii="Times New Roman" w:hAnsi="Times New Roman" w:cs="Times New Roman" w:eastAsia="Times New Roman" w:hint="default"/>
        </w:rPr>
        <w:t>137</w:t>
      </w:r>
      <w:r>
        <w:rPr/>
        <w:t>名，可申请解锁的限制性股票数量为</w:t>
      </w:r>
      <w:r>
        <w:rPr>
          <w:rFonts w:ascii="Times New Roman" w:hAnsi="Times New Roman" w:cs="Times New Roman" w:eastAsia="Times New Roman" w:hint="default"/>
        </w:rPr>
        <w:t>1,306,115</w:t>
      </w:r>
      <w:r>
        <w:rPr/>
        <w:t>股，可行权的股票期权总数为</w:t>
      </w:r>
      <w:r>
        <w:rPr>
          <w:spacing w:val="-85"/>
        </w:rPr>
        <w:t> </w:t>
      </w:r>
      <w:r>
        <w:rPr>
          <w:spacing w:val="-85"/>
        </w:rPr>
      </w:r>
      <w:r>
        <w:rPr>
          <w:rFonts w:ascii="Times New Roman" w:hAnsi="Times New Roman" w:cs="Times New Roman" w:eastAsia="Times New Roman" w:hint="default"/>
        </w:rPr>
        <w:t>1,297,503</w:t>
      </w:r>
      <w:r>
        <w:rPr/>
        <w:t>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日，公司股权激励对象实际行权</w:t>
      </w:r>
      <w:r>
        <w:rPr>
          <w:rFonts w:ascii="Times New Roman" w:hAnsi="Times New Roman" w:cs="Times New Roman" w:eastAsia="Times New Roman" w:hint="default"/>
        </w:rPr>
        <w:t>1,236,751</w:t>
      </w:r>
      <w:r>
        <w:rPr/>
        <w:t>份期权，增加新股</w:t>
      </w:r>
      <w:r>
        <w:rPr>
          <w:rFonts w:ascii="Times New Roman" w:hAnsi="Times New Roman" w:cs="Times New Roman" w:eastAsia="Times New Roman" w:hint="default"/>
        </w:rPr>
        <w:t>1,236,751</w:t>
      </w:r>
      <w:r>
        <w:rPr/>
        <w:t>股，变更后 公司注册资本为人民币</w:t>
      </w:r>
      <w:r>
        <w:rPr>
          <w:rFonts w:ascii="Times New Roman" w:hAnsi="Times New Roman" w:cs="Times New Roman" w:eastAsia="Times New Roman" w:hint="default"/>
        </w:rPr>
        <w:t>260,857,735.00</w:t>
      </w:r>
      <w:r>
        <w:rPr/>
        <w:t>元，股本为</w:t>
      </w:r>
      <w:r>
        <w:rPr>
          <w:rFonts w:ascii="Times New Roman" w:hAnsi="Times New Roman" w:cs="Times New Roman" w:eastAsia="Times New Roman" w:hint="default"/>
        </w:rPr>
        <w:t>260,857,735</w:t>
      </w:r>
      <w:r>
        <w:rPr/>
        <w:t>股。</w:t>
      </w:r>
    </w:p>
    <w:p>
      <w:pPr>
        <w:pStyle w:val="BodyText"/>
        <w:spacing w:line="300" w:lineRule="auto" w:before="133"/>
        <w:ind w:right="92" w:firstLine="422"/>
        <w:jc w:val="left"/>
      </w:pPr>
      <w:r>
        <w:rPr>
          <w:rFonts w:ascii="Times New Roman" w:hAnsi="Times New Roman" w:cs="Times New Roman" w:eastAsia="Times New Roman" w:hint="default"/>
          <w:spacing w:val="-3"/>
        </w:rPr>
        <w:t>2014</w:t>
      </w:r>
      <w:r>
        <w:rPr>
          <w:spacing w:val="-3"/>
        </w:rPr>
        <w:t>年经第一次临时股东大会决议、第二届董事会第二十八次会议决议、第二届董事会第二十九次会议决议，根据《发</w:t>
      </w:r>
      <w:r>
        <w:rPr/>
        <w:t> 行股份及支付现金购买资产协议》，东方国信申请增加注册资本人民币</w:t>
      </w:r>
      <w:r>
        <w:rPr>
          <w:rFonts w:ascii="Times New Roman" w:hAnsi="Times New Roman" w:cs="Times New Roman" w:eastAsia="Times New Roman" w:hint="default"/>
        </w:rPr>
        <w:t>18,157,893.00</w:t>
      </w:r>
      <w:r>
        <w:rPr/>
        <w:t>元，申请增加股本</w:t>
      </w:r>
      <w:r>
        <w:rPr>
          <w:rFonts w:ascii="Times New Roman" w:hAnsi="Times New Roman" w:cs="Times New Roman" w:eastAsia="Times New Roman" w:hint="default"/>
        </w:rPr>
        <w:t>18,157,893</w:t>
      </w:r>
      <w:r>
        <w:rPr/>
        <w:t>股，经中</w:t>
      </w:r>
      <w:r>
        <w:rPr>
          <w:spacing w:val="-49"/>
        </w:rPr>
        <w:t> </w:t>
      </w:r>
      <w:r>
        <w:rPr>
          <w:spacing w:val="-1"/>
        </w:rPr>
        <w:t>国证券监督管理委员核准后，采用定向增发方式增加注册资本人民币</w:t>
      </w:r>
      <w:r>
        <w:rPr>
          <w:rFonts w:ascii="Times New Roman" w:hAnsi="Times New Roman" w:cs="Times New Roman" w:eastAsia="Times New Roman" w:hint="default"/>
          <w:spacing w:val="-1"/>
        </w:rPr>
        <w:t>18,157,893.00</w:t>
      </w:r>
      <w:r>
        <w:rPr>
          <w:spacing w:val="-1"/>
        </w:rPr>
        <w:t>元，股本</w:t>
      </w:r>
      <w:r>
        <w:rPr>
          <w:rFonts w:ascii="Times New Roman" w:hAnsi="Times New Roman" w:cs="Times New Roman" w:eastAsia="Times New Roman" w:hint="default"/>
          <w:spacing w:val="-1"/>
        </w:rPr>
        <w:t>18,157,893</w:t>
      </w:r>
      <w:r>
        <w:rPr>
          <w:spacing w:val="-1"/>
        </w:rPr>
        <w:t>股，由陈益玲、章祺、</w:t>
      </w:r>
      <w:r>
        <w:rPr>
          <w:spacing w:val="-68"/>
        </w:rPr>
        <w:t> </w:t>
      </w:r>
      <w:r>
        <w:rPr>
          <w:spacing w:val="-68"/>
        </w:rPr>
      </w:r>
      <w:r>
        <w:rPr/>
        <w:t>何本强和上海屹隆信息科技有限公司（以下简称</w:t>
      </w:r>
      <w:r>
        <w:rPr>
          <w:rFonts w:ascii="Times New Roman" w:hAnsi="Times New Roman" w:cs="Times New Roman" w:eastAsia="Times New Roman" w:hint="default"/>
        </w:rPr>
        <w:t>“</w:t>
      </w:r>
      <w:r>
        <w:rPr/>
        <w:t>上海屹隆</w:t>
      </w:r>
      <w:r>
        <w:rPr>
          <w:rFonts w:ascii="Times New Roman" w:hAnsi="Times New Roman" w:cs="Times New Roman" w:eastAsia="Times New Roman" w:hint="default"/>
        </w:rPr>
        <w:t>”</w:t>
      </w:r>
      <w:r>
        <w:rPr/>
        <w:t>），以其各自持有的上海屹通信息科技股份有限公司（以下简称 </w:t>
      </w:r>
      <w:r>
        <w:rPr>
          <w:rFonts w:ascii="Times New Roman" w:hAnsi="Times New Roman" w:cs="Times New Roman" w:eastAsia="Times New Roman" w:hint="default"/>
        </w:rPr>
        <w:t>“</w:t>
      </w:r>
      <w:r>
        <w:rPr/>
        <w:t>屹通信息</w:t>
      </w:r>
      <w:r>
        <w:rPr>
          <w:rFonts w:ascii="Times New Roman" w:hAnsi="Times New Roman" w:cs="Times New Roman" w:eastAsia="Times New Roman" w:hint="default"/>
        </w:rPr>
        <w:t>”</w:t>
      </w:r>
      <w:r>
        <w:rPr/>
        <w:t>）股权作为出资对价一次缴足，变更后的注册资本为人民币</w:t>
      </w:r>
      <w:r>
        <w:rPr>
          <w:rFonts w:ascii="Times New Roman" w:hAnsi="Times New Roman" w:cs="Times New Roman" w:eastAsia="Times New Roman" w:hint="default"/>
        </w:rPr>
        <w:t>279,015,628.00</w:t>
      </w:r>
      <w:r>
        <w:rPr/>
        <w:t>元，股本为</w:t>
      </w:r>
      <w:r>
        <w:rPr>
          <w:rFonts w:ascii="Times New Roman" w:hAnsi="Times New Roman" w:cs="Times New Roman" w:eastAsia="Times New Roman" w:hint="default"/>
        </w:rPr>
        <w:t>279,015,628</w:t>
      </w:r>
      <w:r>
        <w:rPr/>
        <w:t>股。</w:t>
      </w:r>
    </w:p>
    <w:p>
      <w:pPr>
        <w:pStyle w:val="BodyText"/>
        <w:spacing w:line="300" w:lineRule="auto" w:before="133"/>
        <w:ind w:right="136" w:firstLine="422"/>
        <w:jc w:val="both"/>
      </w:pPr>
      <w:r>
        <w:rPr/>
        <w:t>经公司董事会于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日召开的第二届董事会第二十七次会议，本次可申请行权的股票期权数量为</w:t>
      </w:r>
      <w:r>
        <w:rPr>
          <w:rFonts w:ascii="Times New Roman" w:hAnsi="Times New Roman" w:cs="Times New Roman" w:eastAsia="Times New Roman" w:hint="default"/>
        </w:rPr>
        <w:t>1,297,503</w:t>
      </w:r>
      <w:r>
        <w:rPr/>
        <w:t>份， </w:t>
      </w:r>
      <w:r>
        <w:rPr>
          <w:spacing w:val="-2"/>
        </w:rPr>
        <w:t>采取自主行权模式行权；可申请解锁的限制性股票数量为</w:t>
      </w:r>
      <w:r>
        <w:rPr>
          <w:rFonts w:ascii="Times New Roman" w:hAnsi="Times New Roman" w:cs="Times New Roman" w:eastAsia="Times New Roman" w:hint="default"/>
          <w:spacing w:val="-2"/>
        </w:rPr>
        <w:t>1,306,115</w:t>
      </w:r>
      <w:r>
        <w:rPr>
          <w:spacing w:val="-2"/>
        </w:rPr>
        <w:t>股符合股票期权行权条件的激励对象可以实际行权。</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日止，公司实际行权股数为</w:t>
      </w:r>
      <w:r>
        <w:rPr>
          <w:rFonts w:ascii="Times New Roman" w:hAnsi="Times New Roman" w:cs="Times New Roman" w:eastAsia="Times New Roman" w:hint="default"/>
        </w:rPr>
        <w:t>2,210</w:t>
      </w:r>
      <w:r>
        <w:rPr/>
        <w:t>股。</w:t>
      </w:r>
    </w:p>
    <w:p>
      <w:pPr>
        <w:pStyle w:val="BodyText"/>
        <w:spacing w:line="415" w:lineRule="auto" w:before="133"/>
        <w:ind w:left="576" w:right="2685"/>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日公司注册资本为人民币</w:t>
      </w:r>
      <w:r>
        <w:rPr>
          <w:rFonts w:ascii="Times New Roman" w:hAnsi="Times New Roman" w:cs="Times New Roman" w:eastAsia="Times New Roman" w:hint="default"/>
        </w:rPr>
        <w:t>279,017,838.00</w:t>
      </w:r>
      <w:r>
        <w:rPr/>
        <w:t>元，股本为</w:t>
      </w:r>
      <w:r>
        <w:rPr>
          <w:rFonts w:ascii="Times New Roman" w:hAnsi="Times New Roman" w:cs="Times New Roman" w:eastAsia="Times New Roman" w:hint="default"/>
        </w:rPr>
        <w:t>279,017,838</w:t>
      </w:r>
      <w:r>
        <w:rPr/>
        <w:t>股。 公司住所：北京市朝阳区望京北路</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D</w:t>
      </w:r>
      <w:r>
        <w:rPr/>
        <w:t>座</w:t>
      </w:r>
      <w:r>
        <w:rPr>
          <w:rFonts w:ascii="Times New Roman" w:hAnsi="Times New Roman" w:cs="Times New Roman" w:eastAsia="Times New Roman" w:hint="default"/>
        </w:rPr>
        <w:t>1108</w:t>
      </w:r>
      <w:r>
        <w:rPr/>
        <w:t>。</w:t>
      </w:r>
    </w:p>
    <w:p>
      <w:pPr>
        <w:pStyle w:val="BodyText"/>
        <w:spacing w:line="240" w:lineRule="auto" w:before="37"/>
        <w:ind w:left="576" w:right="92"/>
        <w:jc w:val="left"/>
      </w:pPr>
      <w:r>
        <w:rPr/>
        <w:t>公司法定代表人：管连平。</w:t>
      </w:r>
    </w:p>
    <w:p>
      <w:pPr>
        <w:pStyle w:val="BodyText"/>
        <w:spacing w:line="432" w:lineRule="exact" w:before="61"/>
        <w:ind w:left="576" w:right="92" w:firstLine="1"/>
        <w:jc w:val="left"/>
      </w:pPr>
      <w:r>
        <w:rPr>
          <w:rFonts w:ascii="宋体" w:hAnsi="宋体" w:cs="宋体" w:eastAsia="宋体" w:hint="default"/>
          <w:b/>
          <w:bCs/>
        </w:rPr>
        <w:t>（二）公司行业性质</w:t>
      </w:r>
      <w:r>
        <w:rPr>
          <w:rFonts w:ascii="宋体" w:hAnsi="宋体" w:cs="宋体" w:eastAsia="宋体" w:hint="default"/>
          <w:b/>
          <w:bCs/>
          <w:w w:val="99"/>
        </w:rPr>
        <w:t> </w:t>
      </w:r>
      <w:r>
        <w:rPr/>
        <w:t>根据国家统计局</w:t>
      </w:r>
      <w:r>
        <w:rPr>
          <w:rFonts w:ascii="Times New Roman" w:hAnsi="Times New Roman" w:cs="Times New Roman" w:eastAsia="Times New Roman" w:hint="default"/>
        </w:rPr>
        <w:t>2002</w:t>
      </w:r>
      <w:r>
        <w:rPr/>
        <w:t>年颁布的《国民经济行业分类》，公司归属于软件行业中的应用软件服务（</w:t>
      </w:r>
      <w:r>
        <w:rPr>
          <w:rFonts w:ascii="Times New Roman" w:hAnsi="Times New Roman" w:cs="Times New Roman" w:eastAsia="Times New Roman" w:hint="default"/>
        </w:rPr>
        <w:t>G6212</w:t>
      </w:r>
      <w:r>
        <w:rPr/>
        <w:t>）；根据中国</w:t>
      </w:r>
    </w:p>
    <w:p>
      <w:pPr>
        <w:pStyle w:val="BodyText"/>
        <w:spacing w:line="300" w:lineRule="auto" w:before="15"/>
        <w:ind w:left="154" w:right="92"/>
        <w:jc w:val="left"/>
      </w:pPr>
      <w:r>
        <w:rPr>
          <w:spacing w:val="-2"/>
        </w:rPr>
        <w:t>证监会发布的《上市公司行业分类指引（</w:t>
      </w:r>
      <w:r>
        <w:rPr>
          <w:rFonts w:ascii="Times New Roman" w:hAnsi="Times New Roman" w:cs="Times New Roman" w:eastAsia="Times New Roman" w:hint="default"/>
          <w:spacing w:val="-2"/>
        </w:rPr>
        <w:t>2012</w:t>
      </w:r>
      <w:r>
        <w:rPr>
          <w:spacing w:val="-2"/>
        </w:rPr>
        <w:t>年修订）》，公司归属于信息传输、软件和信息技术服务业中的软件和信息技</w:t>
      </w:r>
      <w:r>
        <w:rPr>
          <w:spacing w:val="-63"/>
        </w:rPr>
        <w:t> </w:t>
      </w:r>
      <w:r>
        <w:rPr>
          <w:spacing w:val="-63"/>
        </w:rPr>
      </w:r>
      <w:r>
        <w:rPr/>
        <w:t>术服务业</w:t>
      </w:r>
      <w:r>
        <w:rPr>
          <w:rFonts w:ascii="Times New Roman" w:hAnsi="Times New Roman" w:cs="Times New Roman" w:eastAsia="Times New Roman" w:hint="default"/>
        </w:rPr>
        <w:t>(I65)</w:t>
      </w:r>
      <w:r>
        <w:rPr/>
        <w:t>。</w:t>
      </w:r>
    </w:p>
    <w:p>
      <w:pPr>
        <w:pStyle w:val="BodyText"/>
        <w:spacing w:line="316" w:lineRule="auto" w:before="133"/>
        <w:ind w:right="192" w:firstLine="420"/>
        <w:jc w:val="both"/>
      </w:pPr>
      <w:r>
        <w:rPr/>
        <w:t>公司主营业务是提供完整的数据采集、处理、分析、应用相关的产品、服务及解决方案，主要包括软件产品开发与销 售、技术服务和相应的系统集成等。</w:t>
      </w:r>
    </w:p>
    <w:p>
      <w:pPr>
        <w:spacing w:line="439" w:lineRule="auto" w:before="139"/>
        <w:ind w:left="576" w:right="7763" w:firstLine="1"/>
        <w:jc w:val="left"/>
        <w:rPr>
          <w:rFonts w:ascii="宋体" w:hAnsi="宋体" w:cs="宋体" w:eastAsia="宋体" w:hint="default"/>
          <w:sz w:val="18"/>
          <w:szCs w:val="18"/>
        </w:rPr>
      </w:pPr>
      <w:r>
        <w:rPr>
          <w:rFonts w:ascii="宋体" w:hAnsi="宋体" w:cs="宋体" w:eastAsia="宋体" w:hint="default"/>
          <w:b/>
          <w:bCs/>
          <w:sz w:val="18"/>
          <w:szCs w:val="18"/>
        </w:rPr>
        <w:t>（三）公司经营范围</w:t>
      </w:r>
      <w:r>
        <w:rPr>
          <w:rFonts w:ascii="宋体" w:hAnsi="宋体" w:cs="宋体" w:eastAsia="宋体" w:hint="default"/>
          <w:b/>
          <w:bCs/>
          <w:w w:val="99"/>
          <w:sz w:val="18"/>
          <w:szCs w:val="18"/>
        </w:rPr>
        <w:t> </w:t>
      </w:r>
      <w:r>
        <w:rPr>
          <w:rFonts w:ascii="宋体" w:hAnsi="宋体" w:cs="宋体" w:eastAsia="宋体" w:hint="default"/>
          <w:sz w:val="18"/>
          <w:szCs w:val="18"/>
        </w:rPr>
        <w:t>公司经营范围包括：</w:t>
      </w:r>
    </w:p>
    <w:p>
      <w:pPr>
        <w:pStyle w:val="BodyText"/>
        <w:spacing w:line="300" w:lineRule="auto" w:before="47"/>
        <w:ind w:right="189" w:firstLine="422"/>
        <w:jc w:val="both"/>
      </w:pPr>
      <w:r>
        <w:rPr/>
        <w:t>许可经营项目：因特网信息服务业务（除新闻、出版、教育、医疗保健、药品、医疗器械和</w:t>
      </w:r>
      <w:r>
        <w:rPr>
          <w:rFonts w:ascii="Times New Roman" w:hAnsi="Times New Roman" w:cs="Times New Roman" w:eastAsia="Times New Roman" w:hint="default"/>
        </w:rPr>
        <w:t>BBS</w:t>
      </w:r>
      <w:r>
        <w:rPr/>
        <w:t>以外的内容）（电信 </w:t>
      </w:r>
      <w:r>
        <w:rPr>
          <w:spacing w:val="-2"/>
        </w:rPr>
        <w:t>与信息服务许可证有效期至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日）；利用信息网络经营游戏产品（含网络游戏虚拟货币发行）（网络文化经营许可</w:t>
      </w:r>
      <w:r>
        <w:rPr>
          <w:spacing w:val="-60"/>
        </w:rPr>
        <w:t> </w:t>
      </w:r>
      <w:r>
        <w:rPr>
          <w:spacing w:val="-60"/>
        </w:rPr>
      </w:r>
      <w:r>
        <w:rPr>
          <w:spacing w:val="-2"/>
        </w:rPr>
        <w:t>证有效期至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日）；第二类增值电信业务中的信息服务业务（不含固定网电话信息服务和互联网信息服务）（增值</w:t>
      </w:r>
      <w:r>
        <w:rPr>
          <w:spacing w:val="-60"/>
        </w:rPr>
        <w:t> </w:t>
      </w:r>
      <w:r>
        <w:rPr>
          <w:spacing w:val="-60"/>
        </w:rPr>
      </w:r>
      <w:r>
        <w:rPr/>
        <w:t>电信业务许可证有效期至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w:t>
      </w:r>
    </w:p>
    <w:p>
      <w:pPr>
        <w:spacing w:after="0" w:line="30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2" w:firstLine="422"/>
        <w:jc w:val="both"/>
      </w:pPr>
      <w:r>
        <w:rPr/>
        <w:t>一般经营项目：计算机软硬件、机电一体化产品、计算机系统集成的技术开发、技术咨询、技术服务、技术培训；销 </w:t>
      </w:r>
      <w:r>
        <w:rPr>
          <w:spacing w:val="-2"/>
        </w:rPr>
        <w:t>售自行开发后产品、电子产品、通讯设备；租赁计算机软硬件；企业策划；信息咨询（中介除外）；货物进出口、技术进出</w:t>
      </w:r>
      <w:r>
        <w:rPr>
          <w:spacing w:val="-69"/>
        </w:rPr>
        <w:t> </w:t>
      </w:r>
      <w:r>
        <w:rPr>
          <w:spacing w:val="-69"/>
        </w:rPr>
      </w:r>
      <w:r>
        <w:rPr/>
        <w:t>口、代理进出口。</w:t>
      </w:r>
    </w:p>
    <w:p>
      <w:pPr>
        <w:spacing w:line="432" w:lineRule="exact" w:before="3"/>
        <w:ind w:left="576" w:right="92" w:firstLine="1"/>
        <w:jc w:val="left"/>
        <w:rPr>
          <w:rFonts w:ascii="宋体" w:hAnsi="宋体" w:cs="宋体" w:eastAsia="宋体" w:hint="default"/>
          <w:sz w:val="18"/>
          <w:szCs w:val="18"/>
        </w:rPr>
      </w:pPr>
      <w:r>
        <w:rPr>
          <w:rFonts w:ascii="宋体" w:hAnsi="宋体" w:cs="宋体" w:eastAsia="宋体" w:hint="default"/>
          <w:b/>
          <w:bCs/>
          <w:sz w:val="18"/>
          <w:szCs w:val="18"/>
        </w:rPr>
        <w:t>（四）公司主要产品及业务</w:t>
      </w:r>
      <w:r>
        <w:rPr>
          <w:rFonts w:ascii="宋体" w:hAnsi="宋体" w:cs="宋体" w:eastAsia="宋体" w:hint="default"/>
          <w:b/>
          <w:bCs/>
          <w:w w:val="99"/>
          <w:sz w:val="18"/>
          <w:szCs w:val="18"/>
        </w:rPr>
        <w:t> </w:t>
      </w:r>
      <w:r>
        <w:rPr>
          <w:rFonts w:ascii="宋体" w:hAnsi="宋体" w:cs="宋体" w:eastAsia="宋体" w:hint="default"/>
          <w:sz w:val="18"/>
          <w:szCs w:val="18"/>
        </w:rPr>
        <w:t>公司主营业务是公司主营业务是提供完整的数据采集、处理、分析、应用相关的产品、服务及解决方案，帮助客户充</w:t>
      </w:r>
    </w:p>
    <w:p>
      <w:pPr>
        <w:pStyle w:val="BodyText"/>
        <w:spacing w:line="316" w:lineRule="auto" w:before="15"/>
        <w:ind w:right="93"/>
        <w:jc w:val="left"/>
      </w:pPr>
      <w:r>
        <w:rPr/>
        <w:t>分利用数据的价值从而获得更高的生产效率和经营效益。公司一直致力于大数据技术的研发积累，随着大数据需求的增长， </w:t>
      </w:r>
      <w:r>
        <w:rPr>
          <w:spacing w:val="-2"/>
        </w:rPr>
        <w:t>推出大数据平台，解决基于大数据的存储、数据集成、数据管控、分析挖掘、应用等一系列问题，支持客户从传统架构向大</w:t>
      </w:r>
      <w:r>
        <w:rPr>
          <w:spacing w:val="-67"/>
        </w:rPr>
        <w:t> </w:t>
      </w:r>
      <w:r>
        <w:rPr>
          <w:spacing w:val="-67"/>
        </w:rPr>
      </w:r>
      <w:r>
        <w:rPr/>
        <w:t>数据架构演进。公司还提供大数据运营服务，利用从大数据获得的洞察力帮助客户开展业务。</w:t>
      </w:r>
    </w:p>
    <w:p>
      <w:pPr>
        <w:pStyle w:val="BodyText"/>
        <w:spacing w:line="300" w:lineRule="auto" w:before="139"/>
        <w:ind w:left="154" w:right="189" w:firstLine="420"/>
        <w:jc w:val="both"/>
      </w:pPr>
      <w:r>
        <w:rPr>
          <w:spacing w:val="-1"/>
        </w:rPr>
        <w:t>本期纳入合并范围的子公司包括</w:t>
      </w:r>
      <w:r>
        <w:rPr>
          <w:rFonts w:ascii="Times New Roman" w:hAnsi="Times New Roman" w:cs="Times New Roman" w:eastAsia="Times New Roman" w:hint="default"/>
          <w:spacing w:val="-1"/>
        </w:rPr>
        <w:t>10</w:t>
      </w:r>
      <w:r>
        <w:rPr>
          <w:spacing w:val="-1"/>
        </w:rPr>
        <w:t>家，新增</w:t>
      </w:r>
      <w:r>
        <w:rPr>
          <w:rFonts w:ascii="Times New Roman" w:hAnsi="Times New Roman" w:cs="Times New Roman" w:eastAsia="Times New Roman" w:hint="default"/>
          <w:spacing w:val="-1"/>
        </w:rPr>
        <w:t>2</w:t>
      </w:r>
      <w:r>
        <w:rPr>
          <w:spacing w:val="-1"/>
        </w:rPr>
        <w:t>公司，上海屹通信息科技发展有限公司和北京汉桥科创科技有限公司（以</w:t>
      </w:r>
      <w:r>
        <w:rPr/>
        <w:t> 下简称</w:t>
      </w:r>
      <w:r>
        <w:rPr>
          <w:rFonts w:ascii="Times New Roman" w:hAnsi="Times New Roman" w:cs="Times New Roman" w:eastAsia="Times New Roman" w:hint="default"/>
        </w:rPr>
        <w:t>“</w:t>
      </w:r>
      <w:r>
        <w:rPr/>
        <w:t>汉桥科创</w:t>
      </w:r>
      <w:r>
        <w:rPr>
          <w:rFonts w:ascii="Times New Roman" w:hAnsi="Times New Roman" w:cs="Times New Roman" w:eastAsia="Times New Roman" w:hint="default"/>
        </w:rPr>
        <w:t>”</w:t>
      </w:r>
      <w:r>
        <w:rPr/>
        <w:t>），具体见本附注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92"/>
        <w:jc w:val="left"/>
        <w:rPr>
          <w:b w:val="0"/>
          <w:bCs w:val="0"/>
        </w:rPr>
      </w:pPr>
      <w:bookmarkStart w:name="四、财务报表的编制基础" w:id="120"/>
      <w:bookmarkEnd w:id="12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编制基础" w:id="121"/>
      <w:bookmarkEnd w:id="12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8" w:firstLine="422"/>
        <w:jc w:val="both"/>
      </w:pPr>
      <w:r>
        <w:rPr/>
        <w:t>公司以持续经营为基础，根据实际发生的交易和事项，按照财政部发布的《企业会计准则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41</w:t>
      </w:r>
      <w:r>
        <w:rPr/>
        <w:t>项具体会 </w:t>
      </w:r>
      <w:r>
        <w:rPr>
          <w:spacing w:val="-2"/>
        </w:rPr>
        <w:t>计准则、企业会计准则应用指南、企业会计准则解释及其他相关规定（以下简称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w:t>
      </w:r>
      <w:r>
        <w:rPr>
          <w:spacing w:val="-44"/>
        </w:rPr>
        <w:t> </w:t>
      </w:r>
      <w:r>
        <w:rPr>
          <w:spacing w:val="-44"/>
        </w:rPr>
      </w:r>
      <w:r>
        <w:rPr/>
        <w:t>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1"/>
        <w:rPr>
          <w:rFonts w:ascii="宋体" w:hAnsi="宋体" w:cs="宋体" w:eastAsia="宋体" w:hint="default"/>
          <w:sz w:val="22"/>
          <w:szCs w:val="22"/>
        </w:rPr>
      </w:pPr>
    </w:p>
    <w:p>
      <w:pPr>
        <w:pStyle w:val="Heading3"/>
        <w:spacing w:line="240" w:lineRule="auto"/>
        <w:ind w:right="92"/>
        <w:jc w:val="left"/>
        <w:rPr>
          <w:b w:val="0"/>
          <w:bCs w:val="0"/>
        </w:rPr>
      </w:pPr>
      <w:bookmarkStart w:name="2、持续经营" w:id="122"/>
      <w:bookmarkEnd w:id="12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公司自本报告期末至少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92"/>
        <w:jc w:val="left"/>
        <w:rPr>
          <w:b w:val="0"/>
          <w:bCs w:val="0"/>
        </w:rPr>
      </w:pPr>
      <w:bookmarkStart w:name="五、重要会计政策及会计估计" w:id="123"/>
      <w:bookmarkEnd w:id="12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153"/>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left="154" w:right="92"/>
        <w:jc w:val="left"/>
        <w:rPr>
          <w:b w:val="0"/>
          <w:bCs w:val="0"/>
        </w:rPr>
      </w:pPr>
      <w:bookmarkStart w:name="1、遵循企业会计准则的声明" w:id="124"/>
      <w:bookmarkEnd w:id="12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3" w:firstLine="422"/>
        <w:jc w:val="both"/>
      </w:pPr>
      <w:r>
        <w:rPr/>
        <w:t>本公司所编制的财务报表符合企业会计准则的要求，真实、完整地反映了报告期公司的财务状况、经营成果、现金流 量等有关信息。</w:t>
      </w:r>
    </w:p>
    <w:p>
      <w:pPr>
        <w:spacing w:line="240" w:lineRule="auto" w:before="7"/>
        <w:rPr>
          <w:rFonts w:ascii="宋体" w:hAnsi="宋体" w:cs="宋体" w:eastAsia="宋体" w:hint="default"/>
          <w:sz w:val="22"/>
          <w:szCs w:val="22"/>
        </w:rPr>
      </w:pPr>
    </w:p>
    <w:p>
      <w:pPr>
        <w:spacing w:line="506" w:lineRule="auto" w:before="0"/>
        <w:ind w:left="154" w:right="5612" w:firstLine="0"/>
        <w:jc w:val="left"/>
        <w:rPr>
          <w:rFonts w:ascii="宋体" w:hAnsi="宋体" w:cs="宋体" w:eastAsia="宋体" w:hint="default"/>
          <w:sz w:val="21"/>
          <w:szCs w:val="21"/>
        </w:rPr>
      </w:pPr>
      <w:bookmarkStart w:name="2、会计期间" w:id="125"/>
      <w:bookmarkEnd w:id="1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 </w:t>
      </w:r>
      <w:bookmarkStart w:name="3、营业周期" w:id="126"/>
      <w:bookmarkEnd w:id="126"/>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Heading4"/>
        <w:spacing w:line="240" w:lineRule="auto" w:before="63"/>
        <w:ind w:left="154" w:right="92"/>
        <w:jc w:val="left"/>
      </w:pPr>
      <w:r>
        <w:rPr/>
        <w:t>本公司营业周期为</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24"/>
          <w:szCs w:val="24"/>
        </w:rPr>
      </w:pPr>
    </w:p>
    <w:p>
      <w:pPr>
        <w:pStyle w:val="Heading4"/>
        <w:spacing w:line="506" w:lineRule="auto"/>
        <w:ind w:left="154" w:right="92"/>
        <w:jc w:val="left"/>
      </w:pPr>
      <w:bookmarkStart w:name="4、记账本位币" w:id="127"/>
      <w:bookmarkEnd w:id="127"/>
      <w:r>
        <w:rPr/>
      </w:r>
      <w:r>
        <w:rPr>
          <w:rFonts w:ascii="Times New Roman" w:hAnsi="Times New Roman" w:cs="Times New Roman" w:eastAsia="Times New Roman" w:hint="default"/>
          <w:b/>
          <w:bCs/>
        </w:rPr>
        <w:t>4</w:t>
      </w:r>
      <w:r>
        <w:rPr>
          <w:rFonts w:ascii="宋体" w:hAnsi="宋体" w:cs="宋体" w:eastAsia="宋体" w:hint="default"/>
          <w:b/>
          <w:bCs/>
        </w:rPr>
        <w:t>、记账本位币</w:t>
      </w:r>
      <w:r>
        <w:rPr>
          <w:rFonts w:ascii="宋体" w:hAnsi="宋体" w:cs="宋体" w:eastAsia="宋体" w:hint="default"/>
          <w:b/>
          <w:bCs/>
          <w:w w:val="99"/>
        </w:rPr>
        <w:t> </w:t>
      </w:r>
      <w:r>
        <w:rPr>
          <w:spacing w:val="-1"/>
        </w:rPr>
        <w:t>本公司的记账本位币为人民币，编制财务报表采用的货币为人民币。本公司及子公司选定记账本位币的依</w:t>
      </w:r>
    </w:p>
    <w:p>
      <w:pPr>
        <w:spacing w:after="0" w:line="506" w:lineRule="auto"/>
        <w:jc w:val="left"/>
        <w:sectPr>
          <w:footerReference w:type="default" r:id="rId20"/>
          <w:pgSz w:w="11910" w:h="16840"/>
          <w:pgMar w:footer="979" w:header="747" w:top="1060" w:bottom="116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92"/>
        <w:jc w:val="left"/>
      </w:pPr>
      <w:r>
        <w:rPr/>
        <w:t>据是主要业务收支的计价和结算币种。</w:t>
      </w:r>
    </w:p>
    <w:p>
      <w:pPr>
        <w:pStyle w:val="Heading3"/>
        <w:spacing w:line="590" w:lineRule="atLeast" w:before="39"/>
        <w:ind w:right="4609"/>
        <w:jc w:val="left"/>
        <w:rPr>
          <w:b w:val="0"/>
          <w:bCs w:val="0"/>
        </w:rPr>
      </w:pPr>
      <w:bookmarkStart w:name="同一控制下和非同一控制下企业合并的会计处理方法" w:id="128"/>
      <w:bookmarkEnd w:id="128"/>
      <w:r>
        <w:rPr>
          <w:b w:val="0"/>
          <w:bCs w:val="0"/>
        </w:rPr>
      </w:r>
      <w:r>
        <w:rPr>
          <w:rFonts w:ascii="Times New Roman" w:hAnsi="Times New Roman" w:cs="Times New Roman" w:eastAsia="Times New Roman" w:hint="default"/>
        </w:rPr>
        <w:t>5</w:t>
      </w:r>
      <w:r>
        <w:rPr/>
        <w:t>、</w:t>
      </w:r>
      <w:r>
        <w:rPr>
          <w:spacing w:val="-67"/>
        </w:rPr>
        <w:t> </w:t>
      </w:r>
      <w:r>
        <w:rPr/>
        <w:t>同一控制下和非同一控制下企业合并的会计处理方法</w:t>
      </w:r>
      <w:r>
        <w:rPr>
          <w:w w:val="99"/>
        </w:rPr>
        <w:t> </w:t>
      </w:r>
      <w:r>
        <w:rPr>
          <w:rFonts w:ascii="宋体" w:hAnsi="宋体" w:cs="宋体" w:eastAsia="宋体" w:hint="default"/>
        </w:rPr>
        <w:t>A</w:t>
      </w:r>
      <w:r>
        <w:rPr/>
        <w:t>、同一控制下企业合并</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left="513" w:right="101" w:firstLine="422"/>
        <w:jc w:val="both"/>
      </w:pPr>
      <w:r>
        <w:rPr>
          <w:spacing w:val="-2"/>
        </w:rPr>
        <w:t>参与合并的企业在合并前后均受同一方或相同的多方最终控制且该控制并非暂时性的，为同一控制下的企业合并。</w:t>
      </w:r>
      <w:r>
        <w:rPr/>
        <w:t> 合并日为合并方实际取得对被合并方控制权的日期。</w:t>
      </w:r>
    </w:p>
    <w:p>
      <w:pPr>
        <w:pStyle w:val="BodyText"/>
        <w:spacing w:line="316" w:lineRule="auto" w:before="139"/>
        <w:ind w:left="514" w:right="192" w:firstLine="422"/>
        <w:jc w:val="both"/>
      </w:pPr>
      <w:r>
        <w:rPr/>
        <w:t>在企业合并中取得的资产和负债，按照合并日被合并方在最终控制方合并财务报表中的账面价值计量。被合并各 </w:t>
      </w:r>
      <w:r>
        <w:rPr>
          <w:spacing w:val="-2"/>
        </w:rPr>
        <w:t>方采用的会计政策与本公司不一致的，合并方在合并日按照本公司会计政策进行调整，在此基础上按照调整后的账面价</w:t>
      </w:r>
      <w:r>
        <w:rPr>
          <w:spacing w:val="-68"/>
        </w:rPr>
        <w:t> </w:t>
      </w:r>
      <w:r>
        <w:rPr>
          <w:spacing w:val="-68"/>
        </w:rPr>
      </w:r>
      <w:r>
        <w:rPr/>
        <w:t>值确认。</w:t>
      </w:r>
    </w:p>
    <w:p>
      <w:pPr>
        <w:pStyle w:val="BodyText"/>
        <w:spacing w:line="316" w:lineRule="auto" w:before="139"/>
        <w:ind w:left="514" w:right="193" w:firstLine="422"/>
        <w:jc w:val="both"/>
      </w:pPr>
      <w:r>
        <w:rPr/>
        <w:t>在合并中取得的净资产账面价值与支付的合并对价账面价值（或发行股份面值总额）的差额，调整资本公积中的 股本溢价，资本公积中的股本溢价不足冲减的，调整留存收益。</w:t>
      </w:r>
    </w:p>
    <w:p>
      <w:pPr>
        <w:pStyle w:val="BodyText"/>
        <w:spacing w:line="316" w:lineRule="auto" w:before="139"/>
        <w:ind w:left="514" w:right="194" w:firstLine="422"/>
        <w:jc w:val="both"/>
      </w:pPr>
      <w:r>
        <w:rPr/>
        <w:t>为进行企业合并而发生的各项直接相关费用，包括为进行合并而支付的审计费用、评估费用、法律服务费等，于 发生时计入当期损益。</w:t>
      </w:r>
    </w:p>
    <w:p>
      <w:pPr>
        <w:pStyle w:val="BodyText"/>
        <w:spacing w:line="316" w:lineRule="auto" w:before="139"/>
        <w:ind w:left="514" w:right="194" w:firstLine="422"/>
        <w:jc w:val="both"/>
      </w:pPr>
      <w:r>
        <w:rPr/>
        <w:t>企业合并中发行权益性证券发生的手续费、佣金等，抵减权益性证券溢价收入，溢价收入不足冲减的，冲减留存 收益。</w:t>
      </w:r>
    </w:p>
    <w:p>
      <w:pPr>
        <w:pStyle w:val="BodyText"/>
        <w:spacing w:line="300" w:lineRule="auto" w:before="139"/>
        <w:ind w:left="513" w:right="192" w:firstLine="422"/>
        <w:jc w:val="both"/>
      </w:pPr>
      <w:r>
        <w:rPr/>
        <w:t>通过多次交易分步实现的同一控制下企业合并，属于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的，本公司将各项交易作为一项取得控制权的 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300" w:lineRule="auto" w:before="133"/>
        <w:ind w:left="514" w:right="191" w:firstLine="422"/>
        <w:jc w:val="both"/>
      </w:pPr>
      <w:r>
        <w:rPr>
          <w:spacing w:val="-2"/>
        </w:rPr>
        <w:t>（</w:t>
      </w:r>
      <w:r>
        <w:rPr>
          <w:rFonts w:ascii="Times New Roman" w:hAnsi="Times New Roman" w:cs="Times New Roman" w:eastAsia="Times New Roman" w:hint="default"/>
          <w:spacing w:val="-2"/>
        </w:rPr>
        <w:t>1</w:t>
      </w:r>
      <w:r>
        <w:rPr>
          <w:spacing w:val="-2"/>
        </w:rPr>
        <w:t>）确定同一控制下企业合并形成的长期股权投资的初始投资成本。在合并日，根据合并后应享有被合并方净资</w:t>
      </w:r>
      <w:r>
        <w:rPr/>
        <w:t> 产在最终控制方合并财务报表中的账面价值的份额，确定长期股权投资的初始投资成本。</w:t>
      </w:r>
    </w:p>
    <w:p>
      <w:pPr>
        <w:pStyle w:val="BodyText"/>
        <w:spacing w:line="300" w:lineRule="auto" w:before="152"/>
        <w:ind w:left="514" w:right="137" w:firstLine="422"/>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）长期股权投资初始投资成本与合并对价账面价值之间的差额的处理。合并日长期股权投资的初始投资成本， 与达到合并前的长期股权投资账面价值加上合并日进一步取得股份新支付对价的账面价值之和的差额，调整资本公积</w:t>
      </w:r>
    </w:p>
    <w:p>
      <w:pPr>
        <w:pStyle w:val="BodyText"/>
        <w:spacing w:line="240" w:lineRule="auto" w:before="31"/>
        <w:ind w:left="514" w:right="92"/>
        <w:jc w:val="left"/>
      </w:pPr>
      <w:r>
        <w:rPr/>
        <w:t>（资本溢价或股本溢价），资本公积（资本溢价或股本溢价）不足冲减的，冲减留存收益。</w:t>
      </w:r>
    </w:p>
    <w:p>
      <w:pPr>
        <w:spacing w:line="240" w:lineRule="auto" w:before="0"/>
        <w:rPr>
          <w:rFonts w:ascii="宋体" w:hAnsi="宋体" w:cs="宋体" w:eastAsia="宋体" w:hint="default"/>
          <w:sz w:val="15"/>
          <w:szCs w:val="15"/>
        </w:rPr>
      </w:pPr>
    </w:p>
    <w:p>
      <w:pPr>
        <w:pStyle w:val="BodyText"/>
        <w:spacing w:line="314" w:lineRule="auto"/>
        <w:ind w:left="514" w:right="190" w:firstLine="422"/>
        <w:jc w:val="both"/>
      </w:pPr>
      <w:r>
        <w:rPr>
          <w:spacing w:val="-2"/>
        </w:rPr>
        <w:t>（</w:t>
      </w:r>
      <w:r>
        <w:rPr>
          <w:rFonts w:ascii="Times New Roman" w:hAnsi="Times New Roman" w:cs="Times New Roman" w:eastAsia="Times New Roman" w:hint="default"/>
          <w:spacing w:val="-2"/>
        </w:rPr>
        <w:t>3</w:t>
      </w:r>
      <w:r>
        <w:rPr>
          <w:spacing w:val="-2"/>
        </w:rPr>
        <w:t>）合并日之前持有的股权投资，因采用权益法核算或金融工具确认和计量准则核算而确认的其他综合收益，暂</w:t>
      </w:r>
      <w:r>
        <w:rPr/>
        <w:t> </w:t>
      </w:r>
      <w:r>
        <w:rPr>
          <w:spacing w:val="-2"/>
        </w:rPr>
        <w:t>不进行会计处理，直至处置该项投资时采用与被投资单位直接处置相关资产或负债相同的基础进行会计处理；因采用权</w:t>
      </w:r>
      <w:r>
        <w:rPr>
          <w:spacing w:val="-68"/>
        </w:rPr>
        <w:t> </w:t>
      </w:r>
      <w:r>
        <w:rPr>
          <w:spacing w:val="-68"/>
        </w:rPr>
      </w:r>
      <w:r>
        <w:rPr>
          <w:spacing w:val="-2"/>
        </w:rPr>
        <w:t>益法核算而确认的被投资单位净资产中除净损益、其他综合收益和利润分配以外的所有者权益其他变动，暂不进行会计</w:t>
      </w:r>
      <w:r>
        <w:rPr>
          <w:spacing w:val="-68"/>
        </w:rPr>
        <w:t> </w:t>
      </w:r>
      <w:r>
        <w:rPr>
          <w:spacing w:val="-68"/>
        </w:rPr>
      </w:r>
      <w:r>
        <w:rPr>
          <w:spacing w:val="-2"/>
        </w:rPr>
        <w:t>处理，直至处置该项投资时转入当期损益。其中，处置后的剩余股权采用成本法或权益法核算的，其他综合收益和其他</w:t>
      </w:r>
      <w:r>
        <w:rPr>
          <w:spacing w:val="-70"/>
        </w:rPr>
        <w:t> </w:t>
      </w:r>
      <w:r>
        <w:rPr>
          <w:spacing w:val="-70"/>
        </w:rPr>
      </w:r>
      <w:r>
        <w:rPr>
          <w:spacing w:val="-2"/>
        </w:rPr>
        <w:t>所有者权益应按比例结转，处置后的剩余股权改按金融工具确认和计量准则进行会计处理的，其他综合收益和其他所有</w:t>
      </w:r>
      <w:r>
        <w:rPr>
          <w:spacing w:val="-67"/>
        </w:rPr>
        <w:t> </w:t>
      </w:r>
      <w:r>
        <w:rPr>
          <w:spacing w:val="-67"/>
        </w:rPr>
      </w:r>
      <w:r>
        <w:rPr/>
        <w:t>者权益应全部结转。</w:t>
      </w:r>
    </w:p>
    <w:p>
      <w:pPr>
        <w:pStyle w:val="BodyText"/>
        <w:spacing w:line="240" w:lineRule="auto" w:before="140"/>
        <w:ind w:left="936" w:right="92"/>
        <w:jc w:val="left"/>
      </w:pPr>
      <w:r>
        <w:rPr/>
        <w:t>（</w:t>
      </w:r>
      <w:r>
        <w:rPr>
          <w:rFonts w:ascii="Times New Roman" w:hAnsi="Times New Roman" w:cs="Times New Roman" w:eastAsia="Times New Roman" w:hint="default"/>
        </w:rPr>
        <w:t>4</w:t>
      </w:r>
      <w:r>
        <w:rPr/>
        <w:t>）</w:t>
      </w:r>
      <w:r>
        <w:rPr>
          <w:spacing w:val="-63"/>
        </w:rPr>
        <w:t> </w:t>
      </w:r>
      <w:r>
        <w:rPr/>
        <w:t>在合并财务报表中的会计处理见本附注四、（六）。</w:t>
      </w:r>
    </w:p>
    <w:p>
      <w:pPr>
        <w:pStyle w:val="Heading3"/>
        <w:spacing w:line="240" w:lineRule="auto" w:before="157"/>
        <w:ind w:left="514" w:right="92"/>
        <w:jc w:val="left"/>
        <w:rPr>
          <w:b w:val="0"/>
          <w:bCs w:val="0"/>
        </w:rPr>
      </w:pPr>
      <w:r>
        <w:rPr>
          <w:rFonts w:ascii="宋体" w:hAnsi="宋体" w:cs="宋体" w:eastAsia="宋体" w:hint="default"/>
        </w:rPr>
        <w:t>B</w:t>
      </w:r>
      <w:r>
        <w:rPr/>
        <w:t>、非同一控制下企业合并</w:t>
      </w:r>
      <w:r>
        <w:rPr>
          <w:b w:val="0"/>
          <w:bCs w:val="0"/>
        </w:rPr>
      </w:r>
    </w:p>
    <w:p>
      <w:pPr>
        <w:pStyle w:val="BodyText"/>
        <w:spacing w:line="432" w:lineRule="exact" w:before="47"/>
        <w:ind w:left="936" w:right="92"/>
        <w:jc w:val="left"/>
      </w:pPr>
      <w:r>
        <w:rPr/>
        <w:t>参与合并的各方在合并前后不受同一方或相同的多方最终控制的，为非同一控制下的企业合并。 购买方在购买日对作为企业合并对价付出的资产、发生或承担的负债按照公允价值计量。公允价值与其账面价值</w:t>
      </w:r>
    </w:p>
    <w:p>
      <w:pPr>
        <w:pStyle w:val="BodyText"/>
        <w:spacing w:line="439" w:lineRule="auto" w:before="15"/>
        <w:ind w:left="936" w:right="92" w:hanging="423"/>
        <w:jc w:val="left"/>
      </w:pPr>
      <w:r>
        <w:rPr/>
        <w:t>的差额，计入当期损益。 购买方在购买日对合并成本进行分配，确认所取得的被购买方各项可辨认资产、负债及或有负债的公允价值。</w:t>
      </w:r>
    </w:p>
    <w:p>
      <w:pPr>
        <w:pStyle w:val="BodyText"/>
        <w:spacing w:line="316" w:lineRule="auto" w:before="47"/>
        <w:ind w:left="514" w:right="194" w:firstLine="422"/>
        <w:jc w:val="both"/>
      </w:pPr>
      <w:r>
        <w:rPr/>
        <w:t>购买方对合并成本大于合并中取得的被购买方可辨认净资产公允价值份额的差额，确认为商誉；合并成本小于合 并中取得的被购买方可辨认净资产公允价值份额的差额，经复核后，计入当期损益。</w:t>
      </w:r>
    </w:p>
    <w:p>
      <w:pPr>
        <w:pStyle w:val="BodyText"/>
        <w:spacing w:line="240" w:lineRule="auto" w:before="139"/>
        <w:ind w:left="936" w:right="92"/>
        <w:jc w:val="left"/>
      </w:pPr>
      <w:r>
        <w:rPr/>
        <w:t>企业合并中取得的被购买方除无形资产外的其他各项资产（不仅限于被购买方原已确认的资产），其所带来的经</w:t>
      </w:r>
    </w:p>
    <w:p>
      <w:pPr>
        <w:spacing w:after="0" w:line="240" w:lineRule="auto"/>
        <w:jc w:val="left"/>
        <w:sectPr>
          <w:footerReference w:type="default" r:id="rId21"/>
          <w:pgSz w:w="11910" w:h="16840"/>
          <w:pgMar w:footer="979" w:header="747"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92"/>
        <w:jc w:val="left"/>
      </w:pPr>
      <w:r>
        <w:rPr>
          <w:spacing w:val="-4"/>
        </w:rPr>
        <w:t>济利益很可能流入本公司且公允价值能够可靠计量的，单独确认并按公允价值计量；公允价值能够可靠计量的无形资产，</w:t>
      </w:r>
      <w:r>
        <w:rPr>
          <w:spacing w:val="-52"/>
        </w:rPr>
        <w:t> </w:t>
      </w:r>
      <w:r>
        <w:rPr>
          <w:spacing w:val="-52"/>
        </w:rPr>
      </w:r>
      <w:r>
        <w:rPr>
          <w:spacing w:val="-2"/>
        </w:rPr>
        <w:t>单独确认为无形资产并按公允价值计量；取得的被购买方除或有负债以外的其他各项负债，履行有关义务很可能导致经</w:t>
      </w:r>
      <w:r>
        <w:rPr>
          <w:spacing w:val="-68"/>
        </w:rPr>
        <w:t> </w:t>
      </w:r>
      <w:r>
        <w:rPr>
          <w:spacing w:val="-68"/>
        </w:rPr>
      </w:r>
      <w:r>
        <w:rPr>
          <w:spacing w:val="-2"/>
        </w:rPr>
        <w:t>济利益流出本公司且公允价值能够可靠计量的，单独确认并按照公允价值计量；取得的被购买方或有负债，其公允价值</w:t>
      </w:r>
      <w:r>
        <w:rPr>
          <w:spacing w:val="-70"/>
        </w:rPr>
        <w:t> </w:t>
      </w:r>
      <w:r>
        <w:rPr>
          <w:spacing w:val="-70"/>
        </w:rPr>
      </w:r>
      <w:r>
        <w:rPr/>
        <w:t>能可靠计量的，单独确认为负债并按照公允价值计量。</w:t>
      </w:r>
    </w:p>
    <w:p>
      <w:pPr>
        <w:pStyle w:val="BodyText"/>
        <w:spacing w:line="309" w:lineRule="auto" w:before="139"/>
        <w:ind w:left="513" w:right="192" w:firstLine="422"/>
        <w:jc w:val="both"/>
      </w:pPr>
      <w:r>
        <w:rPr/>
        <w:t>对合并中取得的被购买方资产进行初始确认时，对被购买方拥有的但在其财务报表中未确认的无形资产进行充分 </w:t>
      </w:r>
      <w:r>
        <w:rPr>
          <w:spacing w:val="-2"/>
        </w:rPr>
        <w:t>辨认和合理判断，满足以下条件之一的，应确认为无形资产：（</w:t>
      </w:r>
      <w:r>
        <w:rPr>
          <w:rFonts w:ascii="Times New Roman" w:hAnsi="Times New Roman" w:cs="Times New Roman" w:eastAsia="Times New Roman" w:hint="default"/>
          <w:spacing w:val="-2"/>
        </w:rPr>
        <w:t>1</w:t>
      </w:r>
      <w:r>
        <w:rPr>
          <w:spacing w:val="-2"/>
        </w:rPr>
        <w:t>）源于合同性权利或其他法定权利；（</w:t>
      </w:r>
      <w:r>
        <w:rPr>
          <w:rFonts w:ascii="Times New Roman" w:hAnsi="Times New Roman" w:cs="Times New Roman" w:eastAsia="Times New Roman" w:hint="default"/>
          <w:spacing w:val="-2"/>
        </w:rPr>
        <w:t>2</w:t>
      </w:r>
      <w:r>
        <w:rPr>
          <w:spacing w:val="-2"/>
        </w:rPr>
        <w:t>）能够从被购</w:t>
      </w:r>
      <w:r>
        <w:rPr>
          <w:spacing w:val="-69"/>
        </w:rPr>
        <w:t> </w:t>
      </w:r>
      <w:r>
        <w:rPr>
          <w:spacing w:val="-69"/>
        </w:rPr>
      </w:r>
      <w:r>
        <w:rPr/>
        <w:t>买方中分离或者划分出来，并能单独或与相关合同、资产和负债一起，用于出售、转移、授予许可、租赁或交换。</w:t>
      </w:r>
    </w:p>
    <w:p>
      <w:pPr>
        <w:pStyle w:val="BodyText"/>
        <w:spacing w:line="312" w:lineRule="auto" w:before="144"/>
        <w:ind w:left="513" w:right="191" w:firstLine="422"/>
        <w:jc w:val="both"/>
      </w:pPr>
      <w:r>
        <w:rPr/>
        <w:t>购买方在企业合并中取得的被购买方的可抵扣暂时性差异，在购买日不符合递延所得税资产确认条件的，不予以 </w:t>
      </w:r>
      <w:r>
        <w:rPr>
          <w:spacing w:val="-2"/>
        </w:rPr>
        <w:t>确认。购买日后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w:t>
      </w:r>
      <w:r>
        <w:rPr>
          <w:spacing w:val="-68"/>
        </w:rPr>
        <w:t> </w:t>
      </w:r>
      <w:r>
        <w:rPr>
          <w:spacing w:val="-68"/>
        </w:rPr>
      </w:r>
      <w:r>
        <w:rPr>
          <w:spacing w:val="-2"/>
        </w:rPr>
        <w:t>暂时性差异带来的经济利益能够实现的，确认相关的递延所得税资产，同时减少商誉，商誉不足冲减的，差额部分确认</w:t>
      </w:r>
      <w:r>
        <w:rPr>
          <w:spacing w:val="-70"/>
        </w:rPr>
        <w:t> </w:t>
      </w:r>
      <w:r>
        <w:rPr>
          <w:spacing w:val="-70"/>
        </w:rPr>
      </w:r>
      <w:r>
        <w:rPr/>
        <w:t>为当期损益；除上述情况以外，确认与企业合并相关的递延所得税资产，计入当期损益。</w:t>
      </w:r>
    </w:p>
    <w:p>
      <w:pPr>
        <w:pStyle w:val="BodyText"/>
        <w:spacing w:line="316" w:lineRule="auto" w:before="142"/>
        <w:ind w:left="513" w:right="92" w:firstLine="422"/>
        <w:jc w:val="left"/>
      </w:pPr>
      <w:r>
        <w:rPr>
          <w:spacing w:val="-2"/>
        </w:rPr>
        <w:t>非同一控制下企业合并，购买方为企业合并发生的审计、法律服务、评估咨询等中介费用以及其他相关管理费用，</w:t>
      </w:r>
      <w:r>
        <w:rPr/>
        <w:t> </w:t>
      </w:r>
      <w:r>
        <w:rPr>
          <w:spacing w:val="-2"/>
        </w:rPr>
        <w:t>于发生时计入当期损益；购买方作为合并对价发行的权益性证券或债务性证券的交易费用，计入权益性证券或债务性证</w:t>
      </w:r>
      <w:r>
        <w:rPr>
          <w:spacing w:val="-68"/>
        </w:rPr>
        <w:t> </w:t>
      </w:r>
      <w:r>
        <w:rPr>
          <w:spacing w:val="-68"/>
        </w:rPr>
      </w:r>
      <w:r>
        <w:rPr/>
        <w:t>券的初始确认金额。</w:t>
      </w:r>
    </w:p>
    <w:p>
      <w:pPr>
        <w:pStyle w:val="BodyText"/>
        <w:spacing w:line="312" w:lineRule="auto" w:before="139"/>
        <w:ind w:left="513" w:right="188" w:firstLine="422"/>
        <w:jc w:val="both"/>
      </w:pPr>
      <w:r>
        <w:rPr/>
        <w:t>购买方通过多次交易分步实现非同一控制下企业合并的，属于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w:t>
      </w:r>
      <w:r>
        <w:rPr>
          <w:spacing w:val="1"/>
        </w:rPr>
        <w:t> </w:t>
      </w:r>
      <w:r>
        <w:rPr>
          <w:spacing w:val="-2"/>
        </w:rPr>
        <w:t>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的，在个别财务报表中，以购买日之前所持被购买方的股权投资的账</w:t>
      </w:r>
      <w:r>
        <w:rPr>
          <w:spacing w:val="-50"/>
        </w:rPr>
        <w:t> </w:t>
      </w:r>
      <w:r>
        <w:rPr>
          <w:spacing w:val="-50"/>
        </w:rPr>
      </w:r>
      <w:r>
        <w:rPr>
          <w:spacing w:val="-2"/>
        </w:rPr>
        <w:t>面价值与购买日新增投资成本之和，作为改按成本法核算的初始投资成本；购买日之前持有的被购买方的股权投资因采</w:t>
      </w:r>
      <w:r>
        <w:rPr>
          <w:spacing w:val="-68"/>
        </w:rPr>
        <w:t> </w:t>
      </w:r>
      <w:r>
        <w:rPr>
          <w:spacing w:val="-68"/>
        </w:rPr>
      </w:r>
      <w:r>
        <w:rPr>
          <w:spacing w:val="-2"/>
        </w:rPr>
        <w:t>用权益法核算而确认的其他综合收益，在处置该项投资时采用与被投资单位直接处置相关资产或负债相同的基础进行会</w:t>
      </w:r>
      <w:r>
        <w:rPr>
          <w:spacing w:val="-68"/>
        </w:rPr>
        <w:t> </w:t>
      </w:r>
      <w:r>
        <w:rPr>
          <w:spacing w:val="-68"/>
        </w:rPr>
      </w:r>
      <w:r>
        <w:rPr>
          <w:spacing w:val="-2"/>
        </w:rPr>
        <w:t>计处理，因被投资方除净损益、其他综合收益和利润分配以外的其他所有者权益变动而确认的所有者权益，在处置该项</w:t>
      </w:r>
      <w:r>
        <w:rPr>
          <w:spacing w:val="-70"/>
        </w:rPr>
        <w:t> </w:t>
      </w:r>
      <w:r>
        <w:rPr>
          <w:spacing w:val="-70"/>
        </w:rPr>
      </w:r>
      <w:r>
        <w:rPr>
          <w:spacing w:val="-2"/>
        </w:rPr>
        <w:t>投资时转入处置期间的当期损益。。其中，处置后的剩余股权根据长期股权投资准则采用成本法或权益法核算的，其他</w:t>
      </w:r>
      <w:r>
        <w:rPr>
          <w:spacing w:val="-69"/>
        </w:rPr>
        <w:t> </w:t>
      </w:r>
      <w:r>
        <w:rPr>
          <w:spacing w:val="-69"/>
        </w:rPr>
      </w:r>
      <w:r>
        <w:rPr>
          <w:spacing w:val="-2"/>
        </w:rPr>
        <w:t>综合收益和其他所有者权益应按比例结转，处置后的剩余股权改按金融工具确认和计量准则进行会计处理的，其他综合</w:t>
      </w:r>
      <w:r>
        <w:rPr>
          <w:spacing w:val="-68"/>
        </w:rPr>
        <w:t> </w:t>
      </w:r>
      <w:r>
        <w:rPr>
          <w:spacing w:val="-68"/>
        </w:rPr>
      </w:r>
      <w:r>
        <w:rPr/>
        <w:t>收益和其他所有者权益应全部结转。在合并财务报表中的会计处理见本附注四、（六）。</w:t>
      </w:r>
    </w:p>
    <w:p>
      <w:pPr>
        <w:pStyle w:val="BodyText"/>
        <w:spacing w:line="316" w:lineRule="auto" w:before="142"/>
        <w:ind w:left="513" w:right="192" w:firstLine="422"/>
        <w:jc w:val="both"/>
      </w:pPr>
      <w:r>
        <w:rPr/>
        <w:t>购买日之前持有的股权投资，采用金融工具确认和计量准则进行会计处理的，将该股权投资的公允价值加上新增 </w:t>
      </w:r>
      <w:r>
        <w:rPr>
          <w:spacing w:val="-2"/>
        </w:rPr>
        <w:t>投资成本之和，作为改按成本法核算的初始投资成本，原持有股权的公允价值与账面价值的差额与原计入其他综合收益</w:t>
      </w:r>
      <w:r>
        <w:rPr>
          <w:spacing w:val="-68"/>
        </w:rPr>
        <w:t> </w:t>
      </w:r>
      <w:r>
        <w:rPr>
          <w:spacing w:val="-68"/>
        </w:rPr>
      </w:r>
      <w:r>
        <w:rPr/>
        <w:t>的累计公允价值变动全部转入改按成本法核算的当期投资损益。</w:t>
      </w:r>
    </w:p>
    <w:p>
      <w:pPr>
        <w:pStyle w:val="Heading3"/>
        <w:spacing w:line="240" w:lineRule="auto" w:before="113"/>
        <w:ind w:left="513" w:right="92"/>
        <w:jc w:val="left"/>
        <w:rPr>
          <w:b w:val="0"/>
          <w:bCs w:val="0"/>
        </w:rPr>
      </w:pPr>
      <w:r>
        <w:rPr>
          <w:rFonts w:ascii="宋体" w:hAnsi="宋体" w:cs="宋体" w:eastAsia="宋体" w:hint="default"/>
        </w:rPr>
        <w:t>C</w:t>
      </w:r>
      <w:r>
        <w:rPr/>
        <w:t>、</w:t>
      </w:r>
      <w:r>
        <w:rPr>
          <w:spacing w:val="-67"/>
        </w:rPr>
        <w:t> </w:t>
      </w:r>
      <w:r>
        <w:rPr/>
        <w:t>将多次交易事项判断为一揽子交易的判断标准</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6" w:right="92"/>
        <w:jc w:val="left"/>
      </w:pPr>
      <w:r>
        <w:rPr/>
        <w:t>本公司将多次交易事项判断为一揽子交易的判断标准如下：</w:t>
      </w:r>
    </w:p>
    <w:p>
      <w:pPr>
        <w:spacing w:line="240" w:lineRule="auto" w:before="0"/>
        <w:rPr>
          <w:rFonts w:ascii="宋体" w:hAnsi="宋体" w:cs="宋体" w:eastAsia="宋体" w:hint="default"/>
          <w:sz w:val="15"/>
          <w:szCs w:val="15"/>
        </w:rPr>
      </w:pPr>
    </w:p>
    <w:p>
      <w:pPr>
        <w:pStyle w:val="BodyText"/>
        <w:spacing w:line="240" w:lineRule="auto"/>
        <w:ind w:left="576" w:right="92"/>
        <w:jc w:val="left"/>
      </w:pPr>
      <w:r>
        <w:rPr/>
        <w:t>（</w:t>
      </w:r>
      <w:r>
        <w:rPr>
          <w:rFonts w:ascii="Times New Roman" w:hAnsi="Times New Roman" w:cs="Times New Roman" w:eastAsia="Times New Roman" w:hint="default"/>
        </w:rPr>
        <w:t>1</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576" w:right="92"/>
        <w:jc w:val="left"/>
      </w:pPr>
      <w:r>
        <w:rPr/>
        <w:t>（</w:t>
      </w:r>
      <w:r>
        <w:rPr>
          <w:rFonts w:ascii="Times New Roman" w:hAnsi="Times New Roman" w:cs="Times New Roman" w:eastAsia="Times New Roman" w:hint="default"/>
        </w:rPr>
        <w:t>2</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576" w:right="92"/>
        <w:jc w:val="left"/>
      </w:pPr>
      <w:r>
        <w:rPr/>
        <w:t>（</w:t>
      </w: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576" w:right="92"/>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92"/>
        <w:jc w:val="left"/>
        <w:rPr>
          <w:b w:val="0"/>
          <w:bCs w:val="0"/>
        </w:rPr>
      </w:pPr>
      <w:bookmarkStart w:name="6、合并财务报表的编制方法" w:id="129"/>
      <w:bookmarkEnd w:id="12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firstLine="422"/>
        <w:jc w:val="both"/>
      </w:pPr>
      <w:r>
        <w:rPr/>
        <w:t>本公司合并财务报表的合并范围以控制为基础确定，控制是指投资方拥有被投资方的权力，通过参与被投资方的相关 </w:t>
      </w:r>
      <w:r>
        <w:rPr>
          <w:spacing w:val="-2"/>
        </w:rPr>
        <w:t>活动而享有可变回报，并且有能力运用对被投资方的权力影响其回报金额。相关活动，是指对被投资方的回报产生重大影响</w:t>
      </w:r>
      <w:r>
        <w:rPr>
          <w:spacing w:val="-65"/>
        </w:rPr>
        <w:t> </w:t>
      </w:r>
      <w:r>
        <w:rPr>
          <w:spacing w:val="-65"/>
        </w:rPr>
      </w:r>
      <w:r>
        <w:rPr/>
        <w:t>的活动。</w:t>
      </w:r>
    </w:p>
    <w:p>
      <w:pPr>
        <w:pStyle w:val="BodyText"/>
        <w:spacing w:line="240" w:lineRule="auto" w:before="137"/>
        <w:ind w:left="576" w:right="92"/>
        <w:jc w:val="left"/>
      </w:pPr>
      <w:r>
        <w:rPr/>
        <w:t>被投资方的相关活动根据具体情况进行判断，通常包括商品或劳务的销售和购买、金融资产的管理、资产的购买和处</w:t>
      </w:r>
    </w:p>
    <w:p>
      <w:pPr>
        <w:spacing w:after="0" w:line="240" w:lineRule="auto"/>
        <w:jc w:val="left"/>
        <w:sectPr>
          <w:footerReference w:type="default" r:id="rId22"/>
          <w:pgSz w:w="11910" w:h="16840"/>
          <w:pgMar w:footer="979" w:header="747" w:top="1060" w:bottom="1160" w:left="980" w:right="940"/>
          <w:pgNumType w:start="101"/>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置、研究与开发活动以及融资活动等。</w:t>
      </w:r>
    </w:p>
    <w:p>
      <w:pPr>
        <w:spacing w:line="240" w:lineRule="auto" w:before="0"/>
        <w:rPr>
          <w:rFonts w:ascii="宋体" w:hAnsi="宋体" w:cs="宋体" w:eastAsia="宋体" w:hint="default"/>
          <w:sz w:val="15"/>
          <w:szCs w:val="15"/>
        </w:rPr>
      </w:pPr>
    </w:p>
    <w:p>
      <w:pPr>
        <w:pStyle w:val="BodyText"/>
        <w:spacing w:line="319" w:lineRule="auto"/>
        <w:ind w:right="191" w:firstLine="422"/>
        <w:jc w:val="both"/>
      </w:pPr>
      <w:r>
        <w:rPr/>
        <w:t>在综合考虑被投资方的设立目的、被投资方的相关活动以及如何对相关活动作出决策、本公司享有的权利是否使其目 </w:t>
      </w:r>
      <w:r>
        <w:rPr>
          <w:spacing w:val="-2"/>
        </w:rPr>
        <w:t>前有能力主导被投资方的相关活动、是否通过参与被投资方的相关活动而享有可变回报、是否有能力运用对被投资方的权力</w:t>
      </w:r>
      <w:r>
        <w:rPr>
          <w:spacing w:val="-64"/>
        </w:rPr>
        <w:t> </w:t>
      </w:r>
      <w:r>
        <w:rPr>
          <w:spacing w:val="-64"/>
        </w:rPr>
      </w:r>
      <w:r>
        <w:rPr>
          <w:spacing w:val="-2"/>
        </w:rPr>
        <w:t>影响其回报金额以及与其他方的关系等基础上对是否控制被投资方进行判断。一旦相关事实和情况的变化导致控制所涉及的</w:t>
      </w:r>
      <w:r>
        <w:rPr>
          <w:spacing w:val="-64"/>
        </w:rPr>
        <w:t> </w:t>
      </w:r>
      <w:r>
        <w:rPr>
          <w:spacing w:val="-64"/>
        </w:rPr>
      </w:r>
      <w:r>
        <w:rPr/>
        <w:t>相关要素发生变化的，将进行重新评估。</w:t>
      </w:r>
    </w:p>
    <w:p>
      <w:pPr>
        <w:pStyle w:val="BodyText"/>
        <w:spacing w:line="316" w:lineRule="auto" w:before="137"/>
        <w:ind w:right="193" w:firstLine="422"/>
        <w:jc w:val="both"/>
      </w:pPr>
      <w:r>
        <w:rPr/>
        <w:t>在判断是否拥有对被投资方的权力时，仅考虑与被投资方相关的实质性权利，包括自身所享有的实质性权利以及其他 方所享有的实质性权利。</w:t>
      </w:r>
    </w:p>
    <w:p>
      <w:pPr>
        <w:pStyle w:val="BodyText"/>
        <w:spacing w:line="316" w:lineRule="auto" w:before="139"/>
        <w:ind w:right="93" w:firstLine="422"/>
        <w:jc w:val="left"/>
      </w:pPr>
      <w:r>
        <w:rPr/>
        <w:t>本公司以自身和子公司的财务报表为基础，根据其他有关资料将整个企业集团视为一个会计主体，依据相关企业会计 </w:t>
      </w:r>
      <w:r>
        <w:rPr>
          <w:spacing w:val="-2"/>
        </w:rPr>
        <w:t>准则的确认、计量和列报要求，已按照统一的会计政策及会计期间，反映企业集团整体财务状况、经营成果和现金流量。合</w:t>
      </w:r>
      <w:r>
        <w:rPr>
          <w:spacing w:val="-66"/>
        </w:rPr>
        <w:t> </w:t>
      </w:r>
      <w:r>
        <w:rPr>
          <w:spacing w:val="-66"/>
        </w:rPr>
      </w:r>
      <w:r>
        <w:rPr>
          <w:spacing w:val="-2"/>
        </w:rPr>
        <w:t>并程序具体包括：合并母公司与子公司的资产、负债、所有者权益、收入、费用和现金流等项目；抵销母公司对子公司的长</w:t>
      </w:r>
      <w:r>
        <w:rPr>
          <w:spacing w:val="-67"/>
        </w:rPr>
        <w:t> </w:t>
      </w:r>
      <w:r>
        <w:rPr>
          <w:spacing w:val="-67"/>
        </w:rPr>
      </w:r>
      <w:r>
        <w:rPr/>
        <w:t>期股权投资与母公司在子公司所有者权益中所享有的份额；抵销母公司与子公司、子公司相互之间发生的内部交易的影响， 内部交易表明相关资产发生减值损失的，全额确认该部分损失；站在企业集团角度对特殊交易事项予以调整。</w:t>
      </w:r>
    </w:p>
    <w:p>
      <w:pPr>
        <w:pStyle w:val="BodyText"/>
        <w:spacing w:line="300" w:lineRule="auto" w:before="139"/>
        <w:ind w:right="189" w:firstLine="422"/>
        <w:jc w:val="both"/>
      </w:pPr>
      <w:r>
        <w:rPr>
          <w:spacing w:val="-1"/>
        </w:rPr>
        <w:t>子公司所有者权益中不属于母公司的份额，作为少数股东权益，在合并资产负债表中所有者权益项目下以</w:t>
      </w:r>
      <w:r>
        <w:rPr>
          <w:rFonts w:ascii="Times New Roman" w:hAnsi="Times New Roman" w:cs="Times New Roman" w:eastAsia="Times New Roman" w:hint="default"/>
          <w:spacing w:val="-1"/>
        </w:rPr>
        <w:t>“</w:t>
      </w:r>
      <w:r>
        <w:rPr>
          <w:spacing w:val="-1"/>
        </w:rPr>
        <w:t>少数股东权</w:t>
      </w:r>
      <w:r>
        <w:rPr/>
        <w:t> 益</w:t>
      </w:r>
      <w:r>
        <w:rPr>
          <w:rFonts w:ascii="Times New Roman" w:hAnsi="Times New Roman" w:cs="Times New Roman" w:eastAsia="Times New Roman" w:hint="default"/>
        </w:rPr>
        <w:t>”</w:t>
      </w:r>
      <w:r>
        <w:rPr/>
        <w:t>项目列示。</w:t>
      </w:r>
    </w:p>
    <w:p>
      <w:pPr>
        <w:pStyle w:val="BodyText"/>
        <w:spacing w:line="300" w:lineRule="auto" w:before="133"/>
        <w:ind w:right="231" w:firstLine="422"/>
        <w:jc w:val="left"/>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项目列示。子公司当 期综合收益中属于少数股东权益的份额，在合并利润表中综合收益总额项目下以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归属于少数股东的综合收益总额</w:t>
      </w:r>
      <w:r>
        <w:rPr>
          <w:rFonts w:ascii="Times New Roman" w:hAnsi="Times New Roman" w:cs="Times New Roman" w:eastAsia="Times New Roman" w:hint="default"/>
        </w:rPr>
        <w:t>”</w:t>
      </w:r>
      <w:r>
        <w:rPr/>
        <w:t>项目列 示。</w:t>
      </w:r>
    </w:p>
    <w:p>
      <w:pPr>
        <w:pStyle w:val="BodyText"/>
        <w:spacing w:line="316" w:lineRule="auto" w:before="151"/>
        <w:ind w:left="154" w:right="193" w:firstLine="422"/>
        <w:jc w:val="both"/>
      </w:pPr>
      <w:r>
        <w:rPr/>
        <w:t>子公司少数股东分担的当期亏损超过了少数股东在该子公司期初所有者权益中所享有的份额的，其余额仍冲减少数股 东权益。</w:t>
      </w:r>
    </w:p>
    <w:p>
      <w:pPr>
        <w:pStyle w:val="BodyText"/>
        <w:spacing w:line="300" w:lineRule="auto" w:before="139"/>
        <w:ind w:right="193" w:firstLine="422"/>
        <w:jc w:val="left"/>
      </w:pPr>
      <w:r>
        <w:rPr/>
        <w:t>向子公司出售资产所发生的未实现内部交易损益，全额抵销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。子公司向母公司出售资 产所发生的未实现内部交易损益，按照母公司对该子公司的分配比例在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之间分配抵销。子公司之间出售资产所发生的未实现内部交易损益，按照母公司对出售方子公司的分配比例在</w:t>
      </w:r>
      <w:r>
        <w:rPr>
          <w:rFonts w:ascii="Times New Roman" w:hAnsi="Times New Roman" w:cs="Times New Roman" w:eastAsia="Times New Roman" w:hint="default"/>
        </w:rPr>
        <w:t>“</w:t>
      </w:r>
      <w:r>
        <w:rPr/>
        <w:t>归属于母公 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3"/>
        <w:ind w:left="154" w:right="191" w:firstLine="422"/>
        <w:jc w:val="both"/>
      </w:pPr>
      <w:r>
        <w:rPr/>
        <w:t>本公司在报告期内因同一控制下企业合并增加的子公司以及业务，编制合并报表时，调整合并资产负债表的期初数， </w:t>
      </w:r>
      <w:r>
        <w:rPr>
          <w:spacing w:val="-2"/>
        </w:rPr>
        <w:t>将该子公司以及业务合并当期期初至报告期末的收入、费用、利润纳入合并利润表，现金流量纳入合并现金流量表，同时对</w:t>
      </w:r>
      <w:r>
        <w:rPr>
          <w:spacing w:val="-66"/>
        </w:rPr>
        <w:t> </w:t>
      </w:r>
      <w:r>
        <w:rPr>
          <w:spacing w:val="-66"/>
        </w:rPr>
      </w:r>
      <w:r>
        <w:rPr/>
        <w:t>比较报表的相关项目进行调整，视同合并后的报告主体自最终控制方开始控制时点起一直存在。</w:t>
      </w:r>
    </w:p>
    <w:p>
      <w:pPr>
        <w:pStyle w:val="BodyText"/>
        <w:spacing w:line="316" w:lineRule="auto" w:before="139"/>
        <w:ind w:right="191" w:firstLine="422"/>
        <w:jc w:val="both"/>
      </w:pPr>
      <w:r>
        <w:rPr/>
        <w:t>本公司在报告期内因非同一控制下企业合并或其他方式增加的子公司以及业务，编制合并资产负债表时，不调整合并 </w:t>
      </w:r>
      <w:r>
        <w:rPr>
          <w:spacing w:val="-2"/>
        </w:rPr>
        <w:t>资产负债表的期初数，将该子公司以及业务购买日至报告期末的收入、费用、利润、现金流量纳入合并利润表和合并现金流</w:t>
      </w:r>
      <w:r>
        <w:rPr>
          <w:spacing w:val="-66"/>
        </w:rPr>
        <w:t> </w:t>
      </w:r>
      <w:r>
        <w:rPr>
          <w:spacing w:val="-66"/>
        </w:rPr>
      </w:r>
      <w:r>
        <w:rPr/>
        <w:t>量表。</w:t>
      </w:r>
    </w:p>
    <w:p>
      <w:pPr>
        <w:pStyle w:val="BodyText"/>
        <w:spacing w:line="316" w:lineRule="auto" w:before="139"/>
        <w:ind w:right="227" w:firstLine="422"/>
        <w:jc w:val="both"/>
      </w:pPr>
      <w:r>
        <w:rPr/>
        <w:t>本公司在报告期内处置子公司以及业务，编制合并资产负债表时，不调整合并资产负债表的期初数，该子公司以及业 务期初至处置日的收入、费用、利润纳入合并利润表，现金流量纳入合并现金流量表。</w:t>
      </w:r>
    </w:p>
    <w:p>
      <w:pPr>
        <w:pStyle w:val="BodyText"/>
        <w:spacing w:line="316" w:lineRule="auto" w:before="139"/>
        <w:ind w:right="192" w:firstLine="422"/>
        <w:jc w:val="both"/>
      </w:pPr>
      <w:r>
        <w:rPr/>
        <w:t>母公司购买子公司少数股东拥有的子公司股权，在合并财务报表中，因购买少数股权新取得的长期股权投资与按照新 </w:t>
      </w:r>
      <w:r>
        <w:rPr>
          <w:spacing w:val="-2"/>
        </w:rPr>
        <w:t>增持股比例计算应享有子公司自购买日或合并日开始持续计算的净资产份额之间的差额，调整资本公积（资本溢价或股本溢</w:t>
      </w:r>
      <w:r>
        <w:rPr>
          <w:spacing w:val="-64"/>
        </w:rPr>
        <w:t> </w:t>
      </w:r>
      <w:r>
        <w:rPr>
          <w:spacing w:val="-64"/>
        </w:rPr>
      </w:r>
      <w:r>
        <w:rPr/>
        <w:t>价），资本公积不足冲减的，调整留存收益。</w:t>
      </w:r>
    </w:p>
    <w:p>
      <w:pPr>
        <w:pStyle w:val="BodyText"/>
        <w:spacing w:line="309" w:lineRule="auto" w:before="139"/>
        <w:ind w:right="191" w:firstLine="422"/>
        <w:jc w:val="both"/>
      </w:pPr>
      <w:r>
        <w:rPr/>
        <w:t>通过多次交易分步实现的同一控制下企业合并，不属于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的，取得控制权日，合并方在达到合并之前持有 </w:t>
      </w:r>
      <w:r>
        <w:rPr>
          <w:spacing w:val="-2"/>
        </w:rPr>
        <w:t>的长期股权投资，在取得日与合并方与被合并方同处于同一方最终控制之日熟晚日与合并日之间已确认有关损益、其他综合</w:t>
      </w:r>
      <w:r>
        <w:rPr>
          <w:spacing w:val="-64"/>
        </w:rPr>
        <w:t> </w:t>
      </w:r>
      <w:r>
        <w:rPr>
          <w:spacing w:val="-64"/>
        </w:rPr>
      </w:r>
      <w:r>
        <w:rPr/>
        <w:t>收益和其他所有者权益变动，分别冲减比较报表期间的期初留存收益或当期损益。</w:t>
      </w:r>
    </w:p>
    <w:p>
      <w:pPr>
        <w:pStyle w:val="BodyText"/>
        <w:spacing w:line="300" w:lineRule="auto" w:before="144"/>
        <w:ind w:right="193" w:firstLine="422"/>
        <w:jc w:val="both"/>
      </w:pPr>
      <w:r>
        <w:rPr/>
        <w:t>通过多次交易分步实现非同一控制下企业合并，不属于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的，在合并财务报表中，对于购买日之前持有的 </w:t>
      </w:r>
      <w:r>
        <w:rPr>
          <w:spacing w:val="-2"/>
        </w:rPr>
        <w:t>被购买方的股权，按照该股权在购买日的公允价值进行重新计量，公允价值与其账面价值的差额计入当期投资收益；购买日</w:t>
      </w:r>
    </w:p>
    <w:p>
      <w:pPr>
        <w:spacing w:after="0" w:line="30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3"/>
        <w:jc w:val="left"/>
      </w:pPr>
      <w:r>
        <w:rPr/>
        <w:t>之前持有的被购买方的股权涉及权益法核算下的其他综合收益等的，与其相关的其他综合收益等转为购买日所属当期收益。 由于被投资方重新计量设定收益计划净负债或资产变动而产生的其他综合收益除外。</w:t>
      </w:r>
    </w:p>
    <w:p>
      <w:pPr>
        <w:pStyle w:val="BodyText"/>
        <w:spacing w:line="319" w:lineRule="auto" w:before="139"/>
        <w:ind w:right="191" w:firstLine="422"/>
        <w:jc w:val="both"/>
      </w:pPr>
      <w:r>
        <w:rPr/>
        <w:t>母公司在不丧失控制权的情况下部分处置对子公司的长期股权投资，在合并财务报表中，处置价款与处置长期股权投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资相对应享有子公司自购买日或合并日开始持续计算的净资产份额之间的差额，调整资本公积（资本溢价或股本溢价），资</w:t>
      </w:r>
      <w:r>
        <w:rPr>
          <w:spacing w:val="-66"/>
        </w:rPr>
        <w:t> </w:t>
      </w:r>
      <w:r>
        <w:rPr>
          <w:spacing w:val="-66"/>
        </w:rPr>
      </w:r>
      <w:r>
        <w:rPr/>
        <w:t>本公积不足冲减的，调整留存收益。</w:t>
      </w:r>
    </w:p>
    <w:p>
      <w:pPr>
        <w:pStyle w:val="BodyText"/>
        <w:spacing w:line="316" w:lineRule="auto" w:before="137"/>
        <w:ind w:right="192" w:firstLine="422"/>
        <w:jc w:val="both"/>
      </w:pPr>
      <w:r>
        <w:rPr/>
        <w:t>因处置部分股权投资等原因丧失了对被投资方的控制权的，在编制合并财务报表时，对于剩余股权，按照其在丧失控 </w:t>
      </w:r>
      <w:r>
        <w:rPr>
          <w:spacing w:val="-2"/>
        </w:rPr>
        <w:t>制权日的公允价值进行重新计量。处置股权取得的对价与剩余股权公允价值之和，减去按原持股比例计算应享有原有子公司</w:t>
      </w:r>
      <w:r>
        <w:rPr>
          <w:spacing w:val="-64"/>
        </w:rPr>
        <w:t> </w:t>
      </w:r>
      <w:r>
        <w:rPr>
          <w:spacing w:val="-64"/>
        </w:rPr>
      </w:r>
      <w:r>
        <w:rPr>
          <w:spacing w:val="-2"/>
        </w:rPr>
        <w:t>自购买日或合并日开始持续计算的净资产的份额之间的差额，计入丧失控制权当期的投资收益，同时冲减商誉。与原有子公</w:t>
      </w:r>
      <w:r>
        <w:rPr>
          <w:spacing w:val="-66"/>
        </w:rPr>
        <w:t> </w:t>
      </w:r>
      <w:r>
        <w:rPr>
          <w:spacing w:val="-66"/>
        </w:rPr>
      </w:r>
      <w:r>
        <w:rPr/>
        <w:t>司股权投资相关的其他综合收益等，在丧失控制权时转为当期投资收益。</w:t>
      </w:r>
    </w:p>
    <w:p>
      <w:pPr>
        <w:pStyle w:val="BodyText"/>
        <w:spacing w:line="316" w:lineRule="auto" w:before="139"/>
        <w:ind w:right="192" w:firstLine="422"/>
        <w:jc w:val="both"/>
      </w:pPr>
      <w:r>
        <w:rPr/>
        <w:t>通过多次交易分步处置对子公司股权投资直至丧失控制权的，如果处置对子公司股权投资直至丧失控制权的各项交易 </w:t>
      </w:r>
      <w:r>
        <w:rPr>
          <w:spacing w:val="-2"/>
        </w:rPr>
        <w:t>属于一揽子交易的，将各项交易作为一项处置子公司并丧失控制权的交易进行会计处理；但是，在丧失控制权之前每一次处</w:t>
      </w:r>
      <w:r>
        <w:rPr>
          <w:spacing w:val="-66"/>
        </w:rPr>
        <w:t> </w:t>
      </w:r>
      <w:r>
        <w:rPr>
          <w:spacing w:val="-66"/>
        </w:rPr>
      </w:r>
      <w:r>
        <w:rPr>
          <w:spacing w:val="-2"/>
        </w:rPr>
        <w:t>置价款与处置投资对应的享有该子公司净资产份额的差额，在合并财务报表中确认为其他综合收益，在丧失控制权时一并转</w:t>
      </w:r>
      <w:r>
        <w:rPr>
          <w:spacing w:val="-64"/>
        </w:rPr>
        <w:t> </w:t>
      </w:r>
      <w:r>
        <w:rPr>
          <w:spacing w:val="-64"/>
        </w:rPr>
      </w:r>
      <w:r>
        <w:rPr/>
        <w:t>入丧失控制权当期的损益。</w:t>
      </w:r>
    </w:p>
    <w:p>
      <w:pPr>
        <w:pStyle w:val="BodyText"/>
        <w:spacing w:line="240" w:lineRule="auto" w:before="139"/>
        <w:ind w:left="576" w:right="92"/>
        <w:jc w:val="left"/>
      </w:pPr>
      <w:r>
        <w:rPr/>
        <w:t>合并所有者权益变动表根据合并资产负债表和合并利润表编制。</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bookmarkStart w:name="7、合营安排分类及共同经营会计处理方法" w:id="130"/>
      <w:bookmarkEnd w:id="13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422"/>
        <w:jc w:val="left"/>
      </w:pPr>
      <w:r>
        <w:rPr>
          <w:spacing w:val="-2"/>
        </w:rPr>
        <w:t>合营安排指一项由两个或两个以上的参与方共同控制的安排。共同控制，是指按照相关约定对某项安排所共有的控制，</w:t>
      </w:r>
      <w:r>
        <w:rPr/>
        <w:t> </w:t>
      </w:r>
      <w:r>
        <w:rPr>
          <w:spacing w:val="-2"/>
        </w:rPr>
        <w:t>并且该安排的相关活动必须经过分享控制权的参与方一致同意后才能决策。在判断是否存在共同控制时，应该首先判断所有</w:t>
      </w:r>
      <w:r>
        <w:rPr>
          <w:spacing w:val="-64"/>
        </w:rPr>
        <w:t> </w:t>
      </w:r>
      <w:r>
        <w:rPr>
          <w:spacing w:val="-64"/>
        </w:rPr>
      </w:r>
      <w:r>
        <w:rPr>
          <w:spacing w:val="-2"/>
        </w:rPr>
        <w:t>参与方或参与方组合是否集体控制该安排，其次判断该安排相关活动的决策是否必须经过这些集体控制该安排的参与方一致</w:t>
      </w:r>
      <w:r>
        <w:rPr>
          <w:spacing w:val="-64"/>
        </w:rPr>
        <w:t> </w:t>
      </w:r>
      <w:r>
        <w:rPr>
          <w:spacing w:val="-64"/>
        </w:rPr>
      </w:r>
      <w:r>
        <w:rPr/>
        <w:t>同意。</w:t>
      </w:r>
    </w:p>
    <w:p>
      <w:pPr>
        <w:pStyle w:val="BodyText"/>
        <w:spacing w:line="432" w:lineRule="exact" w:before="4"/>
        <w:ind w:left="576" w:right="92"/>
        <w:jc w:val="left"/>
      </w:pPr>
      <w:r>
        <w:rPr/>
        <w:t>本公司根据在合营安排中享有的权利和承担的义务确定合营安排的分类。合营安排分为共同经营和合营企业。 共同经营，是指合营方享有该安排相关资产且承担该安排相关负债的合营安排。本公司确认其与共同经营中利益份额</w:t>
      </w:r>
    </w:p>
    <w:p>
      <w:pPr>
        <w:pStyle w:val="BodyText"/>
        <w:spacing w:line="439" w:lineRule="auto" w:before="15"/>
        <w:ind w:right="4593"/>
        <w:jc w:val="left"/>
      </w:pPr>
      <w:r>
        <w:rPr/>
        <w:t>相关的下列项目，并按照相关企业会计准则的规定进行会计处理： </w:t>
      </w:r>
      <w:r>
        <w:rPr>
          <w:rFonts w:ascii="宋体" w:hAnsi="宋体" w:cs="宋体" w:eastAsia="宋体" w:hint="default"/>
        </w:rPr>
        <w:t>1.  </w:t>
      </w:r>
      <w:r>
        <w:rPr/>
        <w:t>确认单独所持有的资产，以及按其份额确认共同持有的资产；</w:t>
      </w:r>
    </w:p>
    <w:p>
      <w:pPr>
        <w:pStyle w:val="BodyText"/>
        <w:spacing w:line="240" w:lineRule="auto" w:before="47"/>
        <w:ind w:right="92"/>
        <w:jc w:val="left"/>
      </w:pPr>
      <w:r>
        <w:rPr>
          <w:rFonts w:ascii="宋体" w:hAnsi="宋体" w:cs="宋体" w:eastAsia="宋体" w:hint="default"/>
        </w:rPr>
        <w:t>2.  </w:t>
      </w:r>
      <w:r>
        <w:rPr/>
        <w:t>确认单独所承担的负债，以及按其份额确认共同承担的负债；</w:t>
      </w:r>
    </w:p>
    <w:p>
      <w:pPr>
        <w:spacing w:line="240" w:lineRule="auto" w:before="0"/>
        <w:rPr>
          <w:rFonts w:ascii="宋体" w:hAnsi="宋体" w:cs="宋体" w:eastAsia="宋体" w:hint="default"/>
          <w:sz w:val="15"/>
          <w:szCs w:val="15"/>
        </w:rPr>
      </w:pPr>
    </w:p>
    <w:p>
      <w:pPr>
        <w:pStyle w:val="BodyText"/>
        <w:spacing w:line="240" w:lineRule="auto"/>
        <w:ind w:right="92"/>
        <w:jc w:val="left"/>
      </w:pPr>
      <w:r>
        <w:rPr>
          <w:rFonts w:ascii="宋体" w:hAnsi="宋体" w:cs="宋体" w:eastAsia="宋体" w:hint="default"/>
        </w:rPr>
        <w:t>3.  </w:t>
      </w:r>
      <w:r>
        <w:rPr/>
        <w:t>确认出售其享有的共同经营产出份额所产生的收入；</w:t>
      </w:r>
    </w:p>
    <w:p>
      <w:pPr>
        <w:spacing w:line="240" w:lineRule="auto" w:before="0"/>
        <w:rPr>
          <w:rFonts w:ascii="宋体" w:hAnsi="宋体" w:cs="宋体" w:eastAsia="宋体" w:hint="default"/>
          <w:sz w:val="15"/>
          <w:szCs w:val="15"/>
        </w:rPr>
      </w:pPr>
    </w:p>
    <w:p>
      <w:pPr>
        <w:pStyle w:val="BodyText"/>
        <w:spacing w:line="240" w:lineRule="auto"/>
        <w:ind w:left="154" w:right="92"/>
        <w:jc w:val="left"/>
      </w:pPr>
      <w:r>
        <w:rPr>
          <w:rFonts w:ascii="宋体" w:hAnsi="宋体" w:cs="宋体" w:eastAsia="宋体" w:hint="default"/>
        </w:rPr>
        <w:t>4.  </w:t>
      </w:r>
      <w:r>
        <w:rPr/>
        <w:t>按其份额确认共同经营因出售产出所产生的收入；</w:t>
      </w:r>
    </w:p>
    <w:p>
      <w:pPr>
        <w:spacing w:line="240" w:lineRule="auto" w:before="0"/>
        <w:rPr>
          <w:rFonts w:ascii="宋体" w:hAnsi="宋体" w:cs="宋体" w:eastAsia="宋体" w:hint="default"/>
          <w:sz w:val="15"/>
          <w:szCs w:val="15"/>
        </w:rPr>
      </w:pPr>
    </w:p>
    <w:p>
      <w:pPr>
        <w:pStyle w:val="BodyText"/>
        <w:spacing w:line="240" w:lineRule="auto"/>
        <w:ind w:left="154" w:right="92"/>
        <w:jc w:val="left"/>
      </w:pPr>
      <w:r>
        <w:rPr>
          <w:rFonts w:ascii="宋体" w:hAnsi="宋体" w:cs="宋体" w:eastAsia="宋体" w:hint="default"/>
        </w:rPr>
        <w:t>5.  </w:t>
      </w:r>
      <w:r>
        <w:rPr/>
        <w:t>确认单独所发生的费用，以及按其份额确认共同经营发生的费用。</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bookmarkStart w:name="8、现金及现金等价物的确定标准" w:id="131"/>
      <w:bookmarkEnd w:id="13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422"/>
        <w:jc w:val="both"/>
      </w:pPr>
      <w:r>
        <w:rPr/>
        <w:t>在编制现金流量表时，将库存现金以及可以随时用于支付的存款确认为现金。现金等价物是指持有的期限短（一般是 指从购买日起三个月内到期）、流动性强、易于转换为已知金额现金及价值变动风险很小的投资。</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外币业务和外币报表折算" w:id="132"/>
      <w:bookmarkEnd w:id="132"/>
      <w:r>
        <w:rPr>
          <w:b w:val="0"/>
          <w:bCs w:val="0"/>
        </w:rPr>
      </w:r>
      <w:r>
        <w:rPr>
          <w:rFonts w:ascii="Times New Roman" w:hAnsi="Times New Roman" w:cs="Times New Roman" w:eastAsia="Times New Roman" w:hint="default"/>
        </w:rPr>
        <w:t>9</w:t>
      </w:r>
      <w:r>
        <w:rPr/>
        <w:t>、</w:t>
      </w:r>
      <w:r>
        <w:rPr>
          <w:spacing w:val="-66"/>
        </w:rPr>
        <w:t> </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4"/>
        <w:spacing w:line="376" w:lineRule="auto"/>
        <w:ind w:left="936" w:right="182" w:hanging="42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）外币业务折算</w:t>
      </w:r>
      <w:r>
        <w:rPr>
          <w:rFonts w:ascii="宋体" w:hAnsi="宋体" w:cs="宋体" w:eastAsia="宋体" w:hint="default"/>
          <w:b/>
          <w:bCs/>
          <w:w w:val="99"/>
        </w:rPr>
        <w:t> </w:t>
      </w:r>
      <w:r>
        <w:rPr/>
        <w:t>外币业务采用交易发生日的即期汇率作为折算汇率将外币金额折合成人民币记账。 外币货币性项目余额按资产负债表日即期汇率折算，由此产生的汇兑差额，除属于与购建符合资</w:t>
      </w:r>
    </w:p>
    <w:p>
      <w:pPr>
        <w:spacing w:after="0" w:line="376"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4"/>
        <w:spacing w:line="273" w:lineRule="auto" w:before="35"/>
        <w:ind w:left="513" w:right="151"/>
        <w:jc w:val="both"/>
      </w:pPr>
      <w:r>
        <w:rPr/>
        <w:t>本化条件的资产相关的外币专门借款产生的汇兑差额按照借款费用资本化的原则处理外，均计入当期</w:t>
      </w:r>
      <w:r>
        <w:rPr>
          <w:spacing w:val="-72"/>
        </w:rPr>
        <w:t> </w:t>
      </w:r>
      <w:r>
        <w:rPr>
          <w:spacing w:val="-72"/>
        </w:rPr>
      </w:r>
      <w:r>
        <w:rPr/>
        <w:t>损益。以历史成本计量的外币非货币性项目，仍采用交易发生日的即期汇率折算，不改变其记账本位</w:t>
      </w:r>
      <w:r>
        <w:rPr>
          <w:spacing w:val="-69"/>
        </w:rPr>
        <w:t> </w:t>
      </w:r>
      <w:r>
        <w:rPr>
          <w:spacing w:val="-69"/>
        </w:rPr>
      </w:r>
      <w:r>
        <w:rPr/>
        <w:t>币金额。以公允价值计量的外币非货币性项目，采用公允价值确定日的即期汇率折算，由此产生的汇</w:t>
      </w:r>
      <w:r>
        <w:rPr>
          <w:spacing w:val="-72"/>
        </w:rPr>
        <w:t> </w:t>
      </w:r>
      <w:r>
        <w:rPr>
          <w:spacing w:val="-72"/>
        </w:rPr>
      </w:r>
      <w:r>
        <w:rPr/>
        <w:t>兑差额计入当期损益或其他综合收益。</w:t>
      </w:r>
    </w:p>
    <w:p>
      <w:pPr>
        <w:pStyle w:val="Heading4"/>
        <w:spacing w:line="432" w:lineRule="exact" w:before="28"/>
        <w:ind w:left="576" w:right="151" w:hanging="63"/>
        <w:jc w:val="both"/>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）外币报表折算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Heading4"/>
        <w:spacing w:line="271" w:lineRule="exact"/>
        <w:ind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p>
    <w:p>
      <w:pPr>
        <w:pStyle w:val="Heading4"/>
        <w:spacing w:line="256" w:lineRule="auto" w:before="21"/>
        <w:ind w:right="0"/>
        <w:jc w:val="left"/>
      </w:pPr>
      <w:r>
        <w:rPr/>
        <w:t>汇率折算。按照上述折算产生的外币财务报表折算差额，在其他综合收益项目下单独列示</w:t>
      </w:r>
      <w:r>
        <w:rPr>
          <w:rFonts w:ascii="Times New Roman" w:hAnsi="Times New Roman" w:cs="Times New Roman" w:eastAsia="Times New Roman" w:hint="default"/>
        </w:rPr>
        <w:t>“</w:t>
      </w:r>
      <w:r>
        <w:rPr/>
        <w:t>外币报表折算</w:t>
      </w:r>
      <w:r>
        <w:rPr>
          <w:spacing w:val="-14"/>
        </w:rPr>
        <w:t> </w:t>
      </w:r>
      <w:r>
        <w:rPr>
          <w:spacing w:val="-14"/>
        </w:rPr>
      </w:r>
      <w:r>
        <w:rPr/>
        <w:t>差额</w:t>
      </w:r>
      <w:r>
        <w:rPr>
          <w:rFonts w:ascii="Times New Roman" w:hAnsi="Times New Roman" w:cs="Times New Roman" w:eastAsia="Times New Roman" w:hint="default"/>
        </w:rPr>
        <w:t>”</w:t>
      </w:r>
      <w:r>
        <w:rPr/>
        <w:t>项目。</w:t>
      </w:r>
    </w:p>
    <w:p>
      <w:pPr>
        <w:pStyle w:val="Heading4"/>
        <w:spacing w:line="273" w:lineRule="auto" w:before="125"/>
        <w:ind w:left="154" w:right="151" w:firstLine="422"/>
        <w:jc w:val="both"/>
      </w:pPr>
      <w:r>
        <w:rPr>
          <w:spacing w:val="-1"/>
        </w:rPr>
        <w:t>处置境外经营时，将资产负债表中其他综合收益项目下列示的、与该境外经营相关的外币财务报表折</w:t>
      </w:r>
      <w:r>
        <w:rPr/>
        <w:t> </w:t>
      </w:r>
      <w:r>
        <w:rPr>
          <w:spacing w:val="-1"/>
        </w:rPr>
        <w:t>算差额，自其他综合收益项目转入处置当期损益；部分处置境外经营的，按处置的比例计算处置部分的外</w:t>
      </w:r>
      <w:r>
        <w:rPr>
          <w:spacing w:val="-83"/>
        </w:rPr>
        <w:t> </w:t>
      </w:r>
      <w:r>
        <w:rPr>
          <w:spacing w:val="-83"/>
        </w:rPr>
      </w:r>
      <w:r>
        <w:rPr/>
        <w:t>币财务报表折算差额，转入处置当期损益。</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10、金融工具" w:id="133"/>
      <w:bookmarkEnd w:id="13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6" w:right="0"/>
        <w:jc w:val="both"/>
      </w:pPr>
      <w:r>
        <w:rPr/>
        <w:t>金融工具包括金融资产、金融负债和权益工具。</w:t>
      </w:r>
    </w:p>
    <w:p>
      <w:pPr>
        <w:pStyle w:val="BodyText"/>
        <w:spacing w:line="420" w:lineRule="atLeast" w:before="25"/>
        <w:ind w:left="576" w:right="0" w:hanging="42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t>管理层按照取得持有金融资产和承担金融负债的目的，将其划分为：以公允价值计量且其变动计入当期损益的金融资</w:t>
      </w:r>
    </w:p>
    <w:p>
      <w:pPr>
        <w:pStyle w:val="BodyText"/>
        <w:spacing w:line="316" w:lineRule="auto" w:before="76"/>
        <w:ind w:left="154" w:right="0"/>
        <w:jc w:val="left"/>
      </w:pPr>
      <w:r>
        <w:rPr/>
        <w:t>产或金融负债，包括交易性金融资产或金融负债和直接指定为以公允价值计量且其变动计入当期损益的金融资产或金融负</w:t>
      </w:r>
      <w:r>
        <w:rPr>
          <w:spacing w:val="-9"/>
        </w:rPr>
        <w:t> </w:t>
      </w:r>
      <w:r>
        <w:rPr>
          <w:spacing w:val="-9"/>
        </w:rPr>
      </w:r>
      <w:r>
        <w:rPr/>
        <w:t>债；持有至到期投资；应收款项；可供出售金融资产；其他金融负债等。</w:t>
      </w:r>
    </w:p>
    <w:p>
      <w:pPr>
        <w:pStyle w:val="Heading5"/>
        <w:spacing w:line="240" w:lineRule="auto" w:before="139"/>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420" w:lineRule="atLeast" w:before="12"/>
        <w:ind w:left="576" w:right="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&lt;1&gt;</w:t>
      </w:r>
      <w:r>
        <w:rPr>
          <w:rFonts w:ascii="宋体" w:hAnsi="宋体" w:cs="宋体" w:eastAsia="宋体" w:hint="default"/>
          <w:b/>
          <w:bCs/>
          <w:sz w:val="18"/>
          <w:szCs w:val="18"/>
        </w:rPr>
        <w:t>以公允价值计量且其变动计入当期损益的金融资产（金融负债）</w:t>
      </w:r>
      <w:r>
        <w:rPr>
          <w:rFonts w:ascii="宋体" w:hAnsi="宋体" w:cs="宋体" w:eastAsia="宋体" w:hint="default"/>
          <w:b/>
          <w:bCs/>
          <w:w w:val="99"/>
          <w:sz w:val="18"/>
          <w:szCs w:val="18"/>
        </w:rPr>
        <w:t> </w:t>
      </w:r>
      <w:r>
        <w:rPr>
          <w:rFonts w:ascii="宋体" w:hAnsi="宋体" w:cs="宋体" w:eastAsia="宋体" w:hint="default"/>
          <w:sz w:val="18"/>
          <w:szCs w:val="18"/>
        </w:rPr>
        <w:t>取得时以公允价值（扣除已宣告但尚未发放的现金股利或已到付息期但尚未领取的债券利息）作为初始确认金额，相</w:t>
      </w:r>
    </w:p>
    <w:p>
      <w:pPr>
        <w:pStyle w:val="BodyText"/>
        <w:spacing w:line="439" w:lineRule="auto" w:before="76"/>
        <w:ind w:left="576" w:right="1790" w:hanging="423"/>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15" w:lineRule="auto" w:before="47"/>
        <w:ind w:left="576" w:right="1183" w:hanging="423"/>
        <w:jc w:val="left"/>
      </w:pPr>
      <w:r>
        <w:rPr>
          <w:rFonts w:ascii="Times New Roman" w:hAnsi="Times New Roman" w:cs="Times New Roman" w:eastAsia="Times New Roman" w:hint="default"/>
          <w:b/>
          <w:bCs/>
        </w:rPr>
        <w:t>&lt;2&gt;</w:t>
      </w:r>
      <w:r>
        <w:rPr>
          <w:rFonts w:ascii="宋体" w:hAnsi="宋体" w:cs="宋体" w:eastAsia="宋体" w:hint="default"/>
          <w:b/>
          <w:bCs/>
        </w:rPr>
        <w:t>持有至到期投资</w:t>
      </w:r>
      <w:r>
        <w:rPr>
          <w:rFonts w:ascii="宋体" w:hAnsi="宋体" w:cs="宋体" w:eastAsia="宋体" w:hint="default"/>
          <w:b/>
          <w:bCs/>
          <w:w w:val="99"/>
        </w:rPr>
        <w:t> </w:t>
      </w:r>
      <w:r>
        <w:rPr/>
        <w:t>取得时按公允价值（扣除已到付息期但尚未领取的债券利息）和相关交易费用之和作为初始确认金额。</w:t>
      </w:r>
    </w:p>
    <w:p>
      <w:pPr>
        <w:pStyle w:val="BodyText"/>
        <w:spacing w:line="316" w:lineRule="auto" w:before="65"/>
        <w:ind w:right="153" w:firstLine="422"/>
        <w:jc w:val="both"/>
      </w:pPr>
      <w:r>
        <w:rPr/>
        <w:t>持有期间按照摊余成本和实际利率计算确认利息收入，计入投资收益。实际利率在取得时确定，在该预期存续期间或 适用的更短期间内保持不变。</w:t>
      </w:r>
    </w:p>
    <w:p>
      <w:pPr>
        <w:pStyle w:val="BodyText"/>
        <w:spacing w:line="240" w:lineRule="auto" w:before="139"/>
        <w:ind w:left="576" w:right="0"/>
        <w:jc w:val="both"/>
      </w:pPr>
      <w:r>
        <w:rPr/>
        <w:t>处置时，将所取得价款与该投资账面价值之间的差额计入投资收益。</w:t>
      </w:r>
    </w:p>
    <w:p>
      <w:pPr>
        <w:spacing w:line="240" w:lineRule="auto" w:before="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&lt;3&gt;</w:t>
      </w:r>
      <w:r>
        <w:rPr/>
        <w:t>应收款项</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51" w:firstLine="422"/>
        <w:jc w:val="both"/>
      </w:pPr>
      <w:r>
        <w:rPr/>
        <w:t>对外销售商品或提供劳务形成的应收债权，以及持有的其他企业的不包括在活跃市场上有报价的债务工具的债权，包 </w:t>
      </w:r>
      <w:r>
        <w:rPr>
          <w:spacing w:val="-2"/>
        </w:rPr>
        <w:t>括应收账款、其他应收款等，以向购货方应收的合同或协议价款作为初始确认金额；具有融资性质的，按其现值进行初始确</w:t>
      </w:r>
      <w:r>
        <w:rPr>
          <w:spacing w:val="-66"/>
        </w:rPr>
        <w:t> </w:t>
      </w:r>
      <w:r>
        <w:rPr>
          <w:spacing w:val="-66"/>
        </w:rPr>
      </w:r>
      <w:r>
        <w:rPr/>
        <w:t>认。</w:t>
      </w:r>
    </w:p>
    <w:p>
      <w:pPr>
        <w:pStyle w:val="BodyText"/>
        <w:spacing w:line="240" w:lineRule="auto" w:before="137"/>
        <w:ind w:left="576" w:right="0"/>
        <w:jc w:val="both"/>
      </w:pPr>
      <w:r>
        <w:rPr/>
        <w:t>收回或处置时，将取得的价款与该应收款项账面价值之间的差额计入当期损益。</w:t>
      </w:r>
    </w:p>
    <w:p>
      <w:pPr>
        <w:spacing w:line="240" w:lineRule="auto" w:before="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&lt;4&gt;</w:t>
      </w:r>
      <w:r>
        <w:rPr/>
        <w:t>可供出售金融资产</w:t>
      </w:r>
      <w:r>
        <w:rPr>
          <w:b w:val="0"/>
          <w:bCs w:val="0"/>
        </w:rPr>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b/>
          <w:bCs/>
          <w:sz w:val="25"/>
          <w:szCs w:val="25"/>
        </w:rPr>
      </w:pPr>
    </w:p>
    <w:p>
      <w:pPr>
        <w:pStyle w:val="BodyText"/>
        <w:spacing w:line="316" w:lineRule="auto" w:before="44"/>
        <w:ind w:right="193" w:firstLine="422"/>
        <w:jc w:val="both"/>
      </w:pPr>
      <w:r>
        <w:rPr/>
        <w:t>取得时按公允价值（扣除已宣告但尚未发放的现金股利或已到付息期但尚未领取的债券利息）和相关交易费用之和作 为初始确认金额。</w:t>
      </w:r>
    </w:p>
    <w:p>
      <w:pPr>
        <w:pStyle w:val="BodyText"/>
        <w:spacing w:line="319" w:lineRule="auto" w:before="139"/>
        <w:ind w:right="193" w:firstLine="422"/>
        <w:jc w:val="both"/>
      </w:pPr>
      <w:r>
        <w:rPr/>
        <w:t>持有期间将取得的利息或现金股利确认为投资收益。期末以公允价值计量且将公允价值变动计入其他综合收益。对被 </w:t>
      </w:r>
      <w:r>
        <w:rPr>
          <w:spacing w:val="-2"/>
        </w:rPr>
        <w:t>投资单位不具有控制、共同控制或重大影响并且在活跃市场中没有报价、公允价值不能可靠计量的股权投资，作为可供出售</w:t>
      </w:r>
      <w:r>
        <w:rPr>
          <w:spacing w:val="-66"/>
        </w:rPr>
        <w:t> </w:t>
      </w:r>
      <w:r>
        <w:rPr>
          <w:spacing w:val="-66"/>
        </w:rPr>
      </w:r>
      <w:r>
        <w:rPr/>
        <w:t>金融资产列报，按成本进行后续计量。</w:t>
      </w:r>
    </w:p>
    <w:p>
      <w:pPr>
        <w:pStyle w:val="BodyText"/>
        <w:spacing w:line="316" w:lineRule="auto" w:before="137"/>
        <w:ind w:right="193" w:firstLine="422"/>
        <w:jc w:val="both"/>
      </w:pPr>
      <w:r>
        <w:rPr/>
        <w:t>处置时，将取得的价款与该金融资产账面价值之间的差额，计入投资损益；同时，将原其他综合收益的公允价值变动 累计额对应处置部分的金额转出，计入投资损益。</w:t>
      </w:r>
    </w:p>
    <w:p>
      <w:pPr>
        <w:pStyle w:val="Heading5"/>
        <w:spacing w:line="240" w:lineRule="auto" w:before="139"/>
        <w:ind w:left="154" w:right="92"/>
        <w:jc w:val="left"/>
        <w:rPr>
          <w:b w:val="0"/>
          <w:bCs w:val="0"/>
        </w:rPr>
      </w:pPr>
      <w:r>
        <w:rPr>
          <w:rFonts w:ascii="Times New Roman" w:hAnsi="Times New Roman" w:cs="Times New Roman" w:eastAsia="Times New Roman" w:hint="default"/>
        </w:rPr>
        <w:t>&lt;5&gt;</w:t>
      </w:r>
      <w:r>
        <w:rPr/>
        <w:t>其他金融负债</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6" w:right="92"/>
        <w:jc w:val="left"/>
      </w:pPr>
      <w:r>
        <w:rPr/>
        <w:t>按其公允价值和相关交易费用之和作为初始确认金额。采用摊余成本进行后续计量。</w:t>
      </w:r>
    </w:p>
    <w:p>
      <w:pPr>
        <w:spacing w:line="420" w:lineRule="atLeast" w:before="25"/>
        <w:ind w:left="576" w:right="92"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发生金融资产转移时，如已将金融资产所有权上几乎所有的风险和报酬转移给转入方，则终止确认该金融资产；如保</w:t>
      </w:r>
    </w:p>
    <w:p>
      <w:pPr>
        <w:pStyle w:val="BodyText"/>
        <w:spacing w:line="240" w:lineRule="auto" w:before="76"/>
        <w:ind w:right="92"/>
        <w:jc w:val="left"/>
      </w:pPr>
      <w:r>
        <w:rPr/>
        <w:t>留了金融资产所有权上几乎所有的风险和报酬的，则不终止确认该金融资产。</w:t>
      </w:r>
    </w:p>
    <w:p>
      <w:pPr>
        <w:spacing w:line="240" w:lineRule="auto" w:before="0"/>
        <w:rPr>
          <w:rFonts w:ascii="宋体" w:hAnsi="宋体" w:cs="宋体" w:eastAsia="宋体" w:hint="default"/>
          <w:sz w:val="15"/>
          <w:szCs w:val="15"/>
        </w:rPr>
      </w:pPr>
    </w:p>
    <w:p>
      <w:pPr>
        <w:pStyle w:val="BodyText"/>
        <w:spacing w:line="316" w:lineRule="auto"/>
        <w:ind w:right="193" w:firstLine="422"/>
        <w:jc w:val="both"/>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432" w:lineRule="exact" w:before="3"/>
        <w:ind w:left="576" w:right="92"/>
        <w:jc w:val="left"/>
      </w:pP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、因转移而收到的对价，与原直接计入所有者权益的公允价值变动累计额（涉及转移的金融资产为可供出售金融资产</w:t>
      </w:r>
    </w:p>
    <w:p>
      <w:pPr>
        <w:pStyle w:val="BodyText"/>
        <w:spacing w:line="240" w:lineRule="auto" w:before="15"/>
        <w:ind w:right="92"/>
        <w:jc w:val="left"/>
      </w:pPr>
      <w:r>
        <w:rPr/>
        <w:t>的情形）之和。</w:t>
      </w:r>
    </w:p>
    <w:p>
      <w:pPr>
        <w:spacing w:line="240" w:lineRule="auto" w:before="0"/>
        <w:rPr>
          <w:rFonts w:ascii="宋体" w:hAnsi="宋体" w:cs="宋体" w:eastAsia="宋体" w:hint="default"/>
          <w:sz w:val="15"/>
          <w:szCs w:val="15"/>
        </w:rPr>
      </w:pPr>
    </w:p>
    <w:p>
      <w:pPr>
        <w:pStyle w:val="BodyText"/>
        <w:spacing w:line="319" w:lineRule="auto"/>
        <w:ind w:right="103" w:firstLine="422"/>
        <w:jc w:val="both"/>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432" w:lineRule="exact" w:before="1"/>
        <w:ind w:left="576" w:right="92"/>
        <w:jc w:val="left"/>
      </w:pPr>
      <w:r>
        <w:rPr>
          <w:rFonts w:ascii="Times New Roman" w:hAnsi="Times New Roman" w:cs="Times New Roman" w:eastAsia="Times New Roman" w:hint="default"/>
        </w:rPr>
        <w:t>C</w:t>
      </w:r>
      <w:r>
        <w:rPr/>
        <w:t>、终止确认部分的账面价值； </w:t>
      </w:r>
      <w:r>
        <w:rPr>
          <w:rFonts w:ascii="Times New Roman" w:hAnsi="Times New Roman" w:cs="Times New Roman" w:eastAsia="Times New Roman" w:hint="default"/>
        </w:rPr>
        <w:t>D</w:t>
      </w:r>
      <w:r>
        <w:rPr/>
        <w:t>、终止确认部分的对价，与原直接计入所有者权益的公允价值变动累计额中对应终止确认部分的金额（涉及转移的</w:t>
      </w:r>
    </w:p>
    <w:p>
      <w:pPr>
        <w:pStyle w:val="BodyText"/>
        <w:spacing w:line="439" w:lineRule="auto" w:before="15"/>
        <w:ind w:left="576" w:right="1650" w:hanging="423"/>
        <w:jc w:val="left"/>
      </w:pPr>
      <w:r>
        <w:rPr/>
        <w:t>金融资产为可供出售金融资产的情形）之和。 金融资产转移不满足终止确认条件的，继续确认该金融资产，所收到的对价确认为一项金融负债。</w:t>
      </w:r>
    </w:p>
    <w:p>
      <w:pPr>
        <w:pStyle w:val="Heading5"/>
        <w:spacing w:line="240" w:lineRule="auto" w:before="47"/>
        <w:ind w:right="92"/>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93" w:firstLine="422"/>
        <w:jc w:val="left"/>
      </w:pPr>
      <w:r>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BodyText"/>
        <w:spacing w:line="316" w:lineRule="auto" w:before="139"/>
        <w:ind w:right="193" w:firstLine="422"/>
        <w:jc w:val="both"/>
      </w:pPr>
      <w:r>
        <w:rPr/>
        <w:t>对现存金融负债全部或部分合同条款作出实质性修改的，则终止确认现存金融负债或其一部分，同时将修改条款后的 金融负债确认为一项新金融负债。</w:t>
      </w:r>
    </w:p>
    <w:p>
      <w:pPr>
        <w:pStyle w:val="BodyText"/>
        <w:spacing w:line="316" w:lineRule="auto" w:before="139"/>
        <w:ind w:right="193" w:firstLine="422"/>
        <w:jc w:val="both"/>
      </w:pPr>
      <w:r>
        <w:rPr/>
        <w:t>金融负债全部或部分终止确认时，终止确认的金融负债账面价值与支付对价（包括转出的非现金资产或承担的新金融 负债）之间的差额，计入当期损益。</w:t>
      </w:r>
    </w:p>
    <w:p>
      <w:pPr>
        <w:pStyle w:val="BodyText"/>
        <w:spacing w:line="319" w:lineRule="auto" w:before="139"/>
        <w:ind w:right="191" w:firstLine="422"/>
        <w:jc w:val="both"/>
      </w:pPr>
      <w:r>
        <w:rPr/>
        <w:t>若回购部分金融负债的，在回购日按照继续确认部分与终止确认部分的相对公允价值，将该金融负债整体的账面价值 </w:t>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pStyle w:val="BodyText"/>
        <w:spacing w:line="415" w:lineRule="auto" w:before="137"/>
        <w:ind w:left="576" w:right="3450" w:hanging="423"/>
        <w:jc w:val="left"/>
      </w:pPr>
      <w:r>
        <w:rPr/>
        <w:t>（</w:t>
      </w:r>
      <w:r>
        <w:rPr>
          <w:rFonts w:ascii="Times New Roman" w:hAnsi="Times New Roman" w:cs="Times New Roman" w:eastAsia="Times New Roman" w:hint="default"/>
        </w:rPr>
        <w:t>5</w:t>
      </w:r>
      <w:r>
        <w:rPr/>
        <w:t>）金融资产和金融负债公允价值的确定方法 采用公允价值计量的金融资产和金融负债全部直接参考活跃市场中的报价。</w:t>
      </w:r>
    </w:p>
    <w:p>
      <w:pPr>
        <w:spacing w:after="0" w:line="415"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Heading5"/>
        <w:spacing w:line="240" w:lineRule="auto" w:before="44"/>
        <w:ind w:right="0"/>
        <w:jc w:val="left"/>
        <w:rPr>
          <w:b w:val="0"/>
          <w:bCs w:val="0"/>
        </w:rPr>
      </w:pPr>
      <w:r>
        <w:rPr/>
        <w:t>（</w:t>
      </w:r>
      <w:r>
        <w:rPr>
          <w:rFonts w:ascii="Times New Roman" w:hAnsi="Times New Roman" w:cs="Times New Roman" w:eastAsia="Times New Roman" w:hint="default"/>
        </w:rPr>
        <w:t>6</w:t>
      </w:r>
      <w:r>
        <w:rPr/>
        <w:t>）金融资产（不含应收款项）减值</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0" w:firstLine="422"/>
        <w:jc w:val="left"/>
      </w:pPr>
      <w:r>
        <w:rPr/>
        <w:t>除以公允价值计量且其变动计入当期损益的金融资产外，于资产负债表日对金融资产的账面价值进行检查，如果有客 观证据表明某项金融资产发生减值的，计提减值准备。</w:t>
      </w:r>
    </w:p>
    <w:p>
      <w:pPr>
        <w:spacing w:line="432" w:lineRule="exact" w:before="4"/>
        <w:ind w:left="576" w:right="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、可供出售金融资产的减值</w:t>
      </w:r>
      <w:r>
        <w:rPr>
          <w:rFonts w:ascii="宋体" w:hAnsi="宋体" w:cs="宋体" w:eastAsia="宋体" w:hint="default"/>
          <w:b/>
          <w:bCs/>
          <w:w w:val="99"/>
          <w:sz w:val="18"/>
          <w:szCs w:val="18"/>
        </w:rPr>
        <w:t> </w:t>
      </w:r>
      <w:r>
        <w:rPr>
          <w:rFonts w:ascii="宋体" w:hAnsi="宋体" w:cs="宋体" w:eastAsia="宋体" w:hint="default"/>
          <w:sz w:val="18"/>
          <w:szCs w:val="18"/>
        </w:rPr>
        <w:t>期末如果可供出售金融资产的公允价值发生较大幅度下降，或在综合考虑各种相关因素后，预期这种下降趋势属于非</w:t>
      </w:r>
    </w:p>
    <w:p>
      <w:pPr>
        <w:pStyle w:val="BodyText"/>
        <w:spacing w:line="439" w:lineRule="auto" w:before="15"/>
        <w:ind w:left="576" w:right="233" w:hanging="423"/>
        <w:jc w:val="left"/>
      </w:pPr>
      <w:r>
        <w:rPr/>
        <w:t>暂时性的，就认定其已发生减值，将原直接计入其他综合收益的公允价值下降形成的累计损失一并转出，确认减值损失。 对于可供出售金融资产由于下列损失事项影响其预计未来现金流量减少</w:t>
      </w:r>
      <w:r>
        <w:rPr>
          <w:rFonts w:ascii="Times New Roman" w:hAnsi="Times New Roman" w:cs="Times New Roman" w:eastAsia="Times New Roman" w:hint="default"/>
        </w:rPr>
        <w:t>,</w:t>
      </w:r>
      <w:r>
        <w:rPr/>
        <w:t>并且能够可靠计量，将认定其发生减值：</w:t>
      </w:r>
    </w:p>
    <w:p>
      <w:pPr>
        <w:pStyle w:val="BodyText"/>
        <w:spacing w:line="240" w:lineRule="auto" w:before="17"/>
        <w:ind w:left="154" w:right="0"/>
        <w:jc w:val="left"/>
      </w:pPr>
      <w:r>
        <w:rPr>
          <w:rFonts w:ascii="宋体" w:hAnsi="宋体" w:cs="宋体" w:eastAsia="宋体" w:hint="default"/>
        </w:rPr>
        <w:t>1.  </w:t>
      </w:r>
      <w:r>
        <w:rPr/>
        <w:t>债务人发生严重财务困难；</w:t>
      </w:r>
    </w:p>
    <w:p>
      <w:pPr>
        <w:spacing w:line="240" w:lineRule="auto" w:before="0"/>
        <w:rPr>
          <w:rFonts w:ascii="宋体" w:hAnsi="宋体" w:cs="宋体" w:eastAsia="宋体" w:hint="default"/>
          <w:sz w:val="15"/>
          <w:szCs w:val="15"/>
        </w:rPr>
      </w:pPr>
    </w:p>
    <w:p>
      <w:pPr>
        <w:pStyle w:val="BodyText"/>
        <w:spacing w:line="240" w:lineRule="auto"/>
        <w:ind w:left="154" w:right="0"/>
        <w:jc w:val="left"/>
      </w:pPr>
      <w:r>
        <w:rPr>
          <w:rFonts w:ascii="宋体" w:hAnsi="宋体" w:cs="宋体" w:eastAsia="宋体" w:hint="default"/>
        </w:rPr>
        <w:t>2.</w:t>
      </w:r>
      <w:r>
        <w:rPr>
          <w:rFonts w:ascii="宋体" w:hAnsi="宋体" w:cs="宋体" w:eastAsia="宋体" w:hint="default"/>
          <w:spacing w:val="88"/>
        </w:rPr>
        <w:t> </w:t>
      </w:r>
      <w:r>
        <w:rPr/>
        <w:t>债务人违反了合同条款</w:t>
      </w:r>
      <w:r>
        <w:rPr>
          <w:rFonts w:ascii="Times New Roman" w:hAnsi="Times New Roman" w:cs="Times New Roman" w:eastAsia="Times New Roman" w:hint="default"/>
        </w:rPr>
        <w:t>,</w:t>
      </w:r>
      <w:r>
        <w:rPr/>
        <w:t>如偿付利息或本金发生违约或逾期；</w:t>
      </w:r>
    </w:p>
    <w:p>
      <w:pPr>
        <w:spacing w:line="240" w:lineRule="auto" w:before="13"/>
        <w:rPr>
          <w:rFonts w:ascii="宋体" w:hAnsi="宋体" w:cs="宋体" w:eastAsia="宋体" w:hint="default"/>
          <w:sz w:val="13"/>
          <w:szCs w:val="13"/>
        </w:rPr>
      </w:pPr>
    </w:p>
    <w:p>
      <w:pPr>
        <w:pStyle w:val="BodyText"/>
        <w:spacing w:line="240" w:lineRule="auto"/>
        <w:ind w:left="154" w:right="0"/>
        <w:jc w:val="left"/>
      </w:pPr>
      <w:r>
        <w:rPr>
          <w:rFonts w:ascii="宋体" w:hAnsi="宋体" w:cs="宋体" w:eastAsia="宋体" w:hint="default"/>
        </w:rPr>
        <w:t>3.</w:t>
      </w:r>
      <w:r>
        <w:rPr>
          <w:rFonts w:ascii="宋体" w:hAnsi="宋体" w:cs="宋体" w:eastAsia="宋体" w:hint="default"/>
          <w:spacing w:val="89"/>
        </w:rPr>
        <w:t> </w:t>
      </w:r>
      <w:r>
        <w:rPr/>
        <w:t>本公司出于经济或法律等方面因素的考虑</w:t>
      </w:r>
      <w:r>
        <w:rPr>
          <w:rFonts w:ascii="Times New Roman" w:hAnsi="Times New Roman" w:cs="Times New Roman" w:eastAsia="Times New Roman" w:hint="default"/>
        </w:rPr>
        <w:t>,</w:t>
      </w:r>
      <w:r>
        <w:rPr/>
        <w:t>对发生财务困难的债务人做出让步；</w:t>
      </w:r>
    </w:p>
    <w:p>
      <w:pPr>
        <w:spacing w:line="240" w:lineRule="auto" w:before="13"/>
        <w:rPr>
          <w:rFonts w:ascii="宋体" w:hAnsi="宋体" w:cs="宋体" w:eastAsia="宋体" w:hint="default"/>
          <w:sz w:val="13"/>
          <w:szCs w:val="13"/>
        </w:rPr>
      </w:pPr>
    </w:p>
    <w:p>
      <w:pPr>
        <w:pStyle w:val="BodyText"/>
        <w:spacing w:line="240" w:lineRule="auto"/>
        <w:ind w:left="154" w:right="0"/>
        <w:jc w:val="left"/>
      </w:pPr>
      <w:r>
        <w:rPr>
          <w:rFonts w:ascii="宋体" w:hAnsi="宋体" w:cs="宋体" w:eastAsia="宋体" w:hint="default"/>
        </w:rPr>
        <w:t>4.  </w:t>
      </w:r>
      <w:r>
        <w:rPr/>
        <w:t>债务人很可能倒闭或进行其他财务重组；</w:t>
      </w:r>
    </w:p>
    <w:p>
      <w:pPr>
        <w:spacing w:line="240" w:lineRule="auto" w:before="0"/>
        <w:rPr>
          <w:rFonts w:ascii="宋体" w:hAnsi="宋体" w:cs="宋体" w:eastAsia="宋体" w:hint="default"/>
          <w:sz w:val="15"/>
          <w:szCs w:val="15"/>
        </w:rPr>
      </w:pPr>
    </w:p>
    <w:p>
      <w:pPr>
        <w:pStyle w:val="BodyText"/>
        <w:spacing w:line="240" w:lineRule="auto"/>
        <w:ind w:left="154" w:right="0"/>
        <w:jc w:val="left"/>
      </w:pPr>
      <w:r>
        <w:rPr>
          <w:rFonts w:ascii="宋体" w:hAnsi="宋体" w:cs="宋体" w:eastAsia="宋体" w:hint="default"/>
        </w:rPr>
        <w:t>5.</w:t>
      </w:r>
      <w:r>
        <w:rPr>
          <w:rFonts w:ascii="宋体" w:hAnsi="宋体" w:cs="宋体" w:eastAsia="宋体" w:hint="default"/>
          <w:spacing w:val="89"/>
        </w:rPr>
        <w:t> </w:t>
      </w:r>
      <w:r>
        <w:rPr/>
        <w:t>因发行方发生重大财务困难</w:t>
      </w:r>
      <w:r>
        <w:rPr>
          <w:rFonts w:ascii="Times New Roman" w:hAnsi="Times New Roman" w:cs="Times New Roman" w:eastAsia="Times New Roman" w:hint="default"/>
        </w:rPr>
        <w:t>,</w:t>
      </w:r>
      <w:r>
        <w:rPr/>
        <w:t>该金融资产无法在活跃市场继续交易；</w:t>
      </w:r>
    </w:p>
    <w:p>
      <w:pPr>
        <w:spacing w:line="240" w:lineRule="auto" w:before="13"/>
        <w:rPr>
          <w:rFonts w:ascii="宋体" w:hAnsi="宋体" w:cs="宋体" w:eastAsia="宋体" w:hint="default"/>
          <w:sz w:val="13"/>
          <w:szCs w:val="13"/>
        </w:rPr>
      </w:pPr>
    </w:p>
    <w:p>
      <w:pPr>
        <w:pStyle w:val="BodyText"/>
        <w:spacing w:line="316" w:lineRule="auto"/>
        <w:ind w:left="514" w:right="133" w:hanging="360"/>
        <w:jc w:val="left"/>
      </w:pPr>
      <w:r>
        <w:rPr>
          <w:rFonts w:ascii="宋体" w:hAnsi="宋体" w:cs="宋体" w:eastAsia="宋体" w:hint="default"/>
        </w:rPr>
        <w:t>6.</w:t>
      </w:r>
      <w:r>
        <w:rPr>
          <w:rFonts w:ascii="宋体" w:hAnsi="宋体" w:cs="宋体" w:eastAsia="宋体" w:hint="default"/>
          <w:spacing w:val="9"/>
        </w:rPr>
        <w:t> </w:t>
      </w:r>
      <w:r>
        <w:rPr/>
        <w:t>权益工具发行方经营所处的技术、市场、经济或法律环境等发生重大不利变化，使权益工具投资人可能无法收回投资成 本；</w:t>
      </w:r>
    </w:p>
    <w:p>
      <w:pPr>
        <w:pStyle w:val="BodyText"/>
        <w:spacing w:line="432" w:lineRule="exact" w:before="3"/>
        <w:ind w:left="576" w:right="0" w:hanging="423"/>
        <w:jc w:val="left"/>
      </w:pPr>
      <w:r>
        <w:rPr>
          <w:rFonts w:ascii="宋体" w:hAnsi="宋体" w:cs="宋体" w:eastAsia="宋体" w:hint="default"/>
        </w:rPr>
        <w:t>7. </w:t>
      </w:r>
      <w:r>
        <w:rPr/>
        <w:t>权益工具投资的公允价值发生严重或非暂时性下跌。 认定其已发生减值，将原直接计入所有者权益的公允价值下降形成的累计损失一并转出，确认减值损失。对于已确认</w:t>
      </w:r>
    </w:p>
    <w:p>
      <w:pPr>
        <w:pStyle w:val="BodyText"/>
        <w:spacing w:line="316" w:lineRule="auto" w:before="15"/>
        <w:ind w:right="0"/>
        <w:jc w:val="left"/>
      </w:pPr>
      <w:r>
        <w:rPr>
          <w:spacing w:val="-2"/>
        </w:rPr>
        <w:t>减值损失的可供出售债务工具，在随后的会计期间公允价值已上升且客观上与确认原减值损失确认后发生的事项有关的，原</w:t>
      </w:r>
      <w:r>
        <w:rPr>
          <w:spacing w:val="-64"/>
        </w:rPr>
        <w:t> </w:t>
      </w:r>
      <w:r>
        <w:rPr>
          <w:spacing w:val="-64"/>
        </w:rPr>
      </w:r>
      <w:r>
        <w:rPr/>
        <w:t>确认的减值损失予以转回，计入当期损益。可供出售权益工具投资发生的减值损失，不得通过损益转回。</w:t>
      </w:r>
    </w:p>
    <w:p>
      <w:pPr>
        <w:spacing w:line="415" w:lineRule="auto" w:before="139"/>
        <w:ind w:left="576" w:right="377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、持有至到期投资的减值准备</w:t>
      </w:r>
      <w:r>
        <w:rPr>
          <w:rFonts w:ascii="宋体" w:hAnsi="宋体" w:cs="宋体" w:eastAsia="宋体" w:hint="default"/>
          <w:b/>
          <w:bCs/>
          <w:w w:val="99"/>
          <w:sz w:val="18"/>
          <w:szCs w:val="18"/>
        </w:rPr>
        <w:t> </w:t>
      </w:r>
      <w:r>
        <w:rPr>
          <w:rFonts w:ascii="宋体" w:hAnsi="宋体" w:cs="宋体" w:eastAsia="宋体" w:hint="default"/>
          <w:sz w:val="18"/>
          <w:szCs w:val="18"/>
        </w:rPr>
        <w:t>持有至到期投资减值损失的计量比照应收款项减值损失计量方法处理。</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bookmarkStart w:name="11、应收款项" w:id="134"/>
      <w:bookmarkEnd w:id="13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35"/>
      <w:bookmarkEnd w:id="13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36"/>
      <w:bookmarkEnd w:id="13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对于单项金额非重大的应收款项，与经单独测试后未减值的 应收款项一起按信用风险特征划分为若干组合，根据以前年 度与之相同或相类似的、具有类似信用风险特征的应收账款 组合的实际损失率为基础，结合现时情况确定本期各项组合 计提坏账准备的比例，据此计算本期应计提的坏账准备。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上重大但单独计提坏账准备的应收款项" w:id="137"/>
      <w:bookmarkEnd w:id="13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2、存货" w:id="138"/>
      <w:bookmarkEnd w:id="13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54"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6" w:right="0"/>
        <w:jc w:val="left"/>
      </w:pPr>
      <w:r>
        <w:rPr/>
        <w:t>存货分类为：原材料、库存商品、劳务成本、低值易耗品等。</w:t>
      </w:r>
    </w:p>
    <w:p>
      <w:pPr>
        <w:spacing w:line="240" w:lineRule="auto" w:before="0"/>
        <w:rPr>
          <w:rFonts w:ascii="宋体" w:hAnsi="宋体" w:cs="宋体" w:eastAsia="宋体" w:hint="default"/>
          <w:sz w:val="15"/>
          <w:szCs w:val="15"/>
        </w:rPr>
      </w:pPr>
    </w:p>
    <w:p>
      <w:pPr>
        <w:spacing w:line="417" w:lineRule="auto" w:before="0"/>
        <w:ind w:left="576" w:right="3410" w:hanging="42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原材料、库存商品、劳务成本、低值易耗品等发出时采用先进先出法计价。</w:t>
      </w:r>
    </w:p>
    <w:p>
      <w:pPr>
        <w:spacing w:line="415" w:lineRule="auto" w:before="63"/>
        <w:ind w:left="576" w:right="0" w:hanging="42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期末对存货进行全面清查后，按存货的成本与可变现净值孰低提取或调整存货跌价准备。</w:t>
      </w:r>
    </w:p>
    <w:p>
      <w:pPr>
        <w:pStyle w:val="BodyText"/>
        <w:spacing w:line="316" w:lineRule="auto" w:before="65"/>
        <w:ind w:right="151" w:firstLine="422"/>
        <w:jc w:val="both"/>
      </w:pPr>
      <w:r>
        <w:rPr/>
        <w:t>产成品、库存商品和用于出售的材料等直接用于出售的商品存货，在正常生产经营过程中，以该存货的估计售价减去 </w:t>
      </w:r>
      <w:r>
        <w:rPr>
          <w:spacing w:val="-2"/>
        </w:rPr>
        <w:t>估计的销售费用和相关税费后的金额，确定其可变现净值；需要经过加工的材料存货，在正常生产经营过程中，以所生产的</w:t>
      </w:r>
      <w:r>
        <w:rPr>
          <w:spacing w:val="-66"/>
        </w:rPr>
        <w:t> </w:t>
      </w:r>
      <w:r>
        <w:rPr>
          <w:spacing w:val="-66"/>
        </w:rPr>
      </w:r>
      <w:r>
        <w:rPr>
          <w:spacing w:val="-2"/>
        </w:rPr>
        <w:t>产成品的估计售价减去至完工时估计将要发生的成本、估计的销售费用和相关税费后的金额，确定其可变现净值；为执行销</w:t>
      </w:r>
      <w:r>
        <w:rPr>
          <w:spacing w:val="-66"/>
        </w:rPr>
        <w:t> </w:t>
      </w:r>
      <w:r>
        <w:rPr>
          <w:spacing w:val="-66"/>
        </w:rPr>
      </w:r>
      <w:r>
        <w:rPr>
          <w:spacing w:val="-2"/>
        </w:rPr>
        <w:t>售合同或者劳务合同而持有的存货，其可变现净值以合同价格为基础计算，若持有存货的数量多于销售合同订购数量的，超</w:t>
      </w:r>
      <w:r>
        <w:rPr>
          <w:spacing w:val="-65"/>
        </w:rPr>
        <w:t> </w:t>
      </w:r>
      <w:r>
        <w:rPr>
          <w:spacing w:val="-65"/>
        </w:rPr>
      </w:r>
      <w:r>
        <w:rPr/>
        <w:t>出部分的存货的可变现净值以一般销售价格为基础计算。</w:t>
      </w:r>
    </w:p>
    <w:p>
      <w:pPr>
        <w:pStyle w:val="BodyText"/>
        <w:spacing w:line="316" w:lineRule="auto" w:before="139"/>
        <w:ind w:left="154" w:right="153" w:firstLine="422"/>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16" w:lineRule="auto" w:before="139"/>
        <w:ind w:left="154" w:right="153" w:firstLine="422"/>
        <w:jc w:val="both"/>
      </w:pPr>
      <w:r>
        <w:rPr/>
        <w:t>以前减记存货价值的影响因素已经消失的，减记的金额予以恢复，并在原已计提的存货跌价准备金额内转回，转回的 金额计入当期损益。</w:t>
      </w:r>
    </w:p>
    <w:p>
      <w:pPr>
        <w:spacing w:line="415" w:lineRule="auto" w:before="139"/>
        <w:ind w:left="576" w:right="7910" w:hanging="42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5"/>
        <w:spacing w:line="240" w:lineRule="auto" w:before="65"/>
        <w:ind w:left="154"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6" w:right="0"/>
        <w:jc w:val="left"/>
      </w:pPr>
      <w:r>
        <w:rPr/>
        <w:t>（</w:t>
      </w:r>
      <w:r>
        <w:rPr>
          <w:rFonts w:ascii="Times New Roman" w:hAnsi="Times New Roman" w:cs="Times New Roman" w:eastAsia="Times New Roman" w:hint="default"/>
        </w:rPr>
        <w:t>1</w:t>
      </w:r>
      <w:r>
        <w:rPr/>
        <w:t>）低值易耗品采用一次转销。</w:t>
      </w:r>
    </w:p>
    <w:p>
      <w:pPr>
        <w:spacing w:line="240" w:lineRule="auto" w:before="13"/>
        <w:rPr>
          <w:rFonts w:ascii="宋体" w:hAnsi="宋体" w:cs="宋体" w:eastAsia="宋体" w:hint="default"/>
          <w:sz w:val="13"/>
          <w:szCs w:val="13"/>
        </w:rPr>
      </w:pPr>
    </w:p>
    <w:p>
      <w:pPr>
        <w:pStyle w:val="BodyText"/>
        <w:spacing w:line="240" w:lineRule="auto"/>
        <w:ind w:left="576" w:right="0"/>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3、划分为持有待售资产" w:id="139"/>
      <w:bookmarkEnd w:id="13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3" w:firstLine="422"/>
        <w:jc w:val="both"/>
      </w:pPr>
      <w:r>
        <w:rPr/>
        <w:t>同时满足下列条件的企业组成部分（或非流动资产，下同）确认为持有待售：该组成部分必须在其当前状况下仅根据 </w:t>
      </w:r>
      <w:r>
        <w:rPr>
          <w:spacing w:val="-2"/>
        </w:rPr>
        <w:t>出售此类组成部分的惯常条款即可立即出售；企业已经就处置该组成部分作出决议，如按规定需得到股东批准的，已经取得</w:t>
      </w:r>
      <w:r>
        <w:rPr>
          <w:spacing w:val="-66"/>
        </w:rPr>
        <w:t> </w:t>
      </w:r>
      <w:r>
        <w:rPr>
          <w:spacing w:val="-66"/>
        </w:rPr>
      </w:r>
      <w:r>
        <w:rPr/>
        <w:t>股东大会或相应权力机构的批准；企业已经与受让方签订了不可撤销的转让协议；该项转让将在一年内完成。</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4、长期股权投资" w:id="140"/>
      <w:bookmarkEnd w:id="14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54" w:right="0"/>
        <w:jc w:val="left"/>
        <w:rPr>
          <w:b w:val="0"/>
          <w:bCs w:val="0"/>
        </w:rPr>
      </w:pPr>
      <w:r>
        <w:rPr/>
        <w:t>（</w:t>
      </w:r>
      <w:r>
        <w:rPr>
          <w:rFonts w:ascii="Times New Roman" w:hAnsi="Times New Roman" w:cs="Times New Roman" w:eastAsia="Times New Roman" w:hint="default"/>
        </w:rPr>
        <w:t>1</w:t>
      </w:r>
      <w:r>
        <w:rPr/>
        <w:t>）长期股权投资的分类及其判断依据</w:t>
      </w:r>
      <w:r>
        <w:rPr>
          <w:b w:val="0"/>
          <w:bCs w:val="0"/>
        </w:rPr>
      </w:r>
    </w:p>
    <w:p>
      <w:pPr>
        <w:spacing w:line="420" w:lineRule="atLeast" w:before="12"/>
        <w:ind w:left="576" w:right="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&lt;1&gt;</w:t>
      </w:r>
      <w:r>
        <w:rPr>
          <w:rFonts w:ascii="宋体" w:hAnsi="宋体" w:cs="宋体" w:eastAsia="宋体" w:hint="default"/>
          <w:b/>
          <w:bCs/>
          <w:sz w:val="18"/>
          <w:szCs w:val="18"/>
        </w:rPr>
        <w:t>长期股权投资的分类</w:t>
      </w:r>
      <w:r>
        <w:rPr>
          <w:rFonts w:ascii="宋体" w:hAnsi="宋体" w:cs="宋体" w:eastAsia="宋体" w:hint="default"/>
          <w:b/>
          <w:bCs/>
          <w:w w:val="99"/>
          <w:sz w:val="18"/>
          <w:szCs w:val="18"/>
        </w:rPr>
        <w:t> </w:t>
      </w:r>
      <w:r>
        <w:rPr>
          <w:rFonts w:ascii="宋体" w:hAnsi="宋体" w:cs="宋体" w:eastAsia="宋体" w:hint="default"/>
          <w:sz w:val="18"/>
          <w:szCs w:val="18"/>
        </w:rPr>
        <w:t>长期股权投资分为三类，即是指投资方对被投资单位实施控制、重大影响的权益性投资，以及对其合营企业的权益性</w:t>
      </w:r>
    </w:p>
    <w:p>
      <w:pPr>
        <w:pStyle w:val="BodyText"/>
        <w:spacing w:line="240" w:lineRule="auto" w:before="76"/>
        <w:ind w:right="0"/>
        <w:jc w:val="left"/>
      </w:pPr>
      <w:r>
        <w:rPr/>
        <w:t>投资。</w:t>
      </w:r>
    </w:p>
    <w:p>
      <w:pPr>
        <w:spacing w:line="240" w:lineRule="auto" w:before="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&lt;2&gt;</w:t>
      </w:r>
      <w:r>
        <w:rPr/>
        <w:t>长期股权投资类别的判断依据</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right="0"/>
        <w:jc w:val="left"/>
      </w:pPr>
      <w:r>
        <w:rPr>
          <w:rFonts w:ascii="宋体" w:hAnsi="宋体" w:cs="宋体" w:eastAsia="宋体" w:hint="default"/>
        </w:rPr>
        <w:t>1.  </w:t>
      </w:r>
      <w:r>
        <w:rPr/>
        <w:t>确定对被投资单位控制的依据详见本附注四、（六）；</w:t>
      </w:r>
    </w:p>
    <w:p>
      <w:pPr>
        <w:pStyle w:val="BodyText"/>
        <w:spacing w:line="430" w:lineRule="atLeast" w:before="2"/>
        <w:ind w:left="936" w:right="0" w:hanging="783"/>
        <w:jc w:val="left"/>
      </w:pPr>
      <w:r>
        <w:rPr>
          <w:rFonts w:ascii="宋体" w:hAnsi="宋体" w:cs="宋体" w:eastAsia="宋体" w:hint="default"/>
        </w:rPr>
        <w:t>2. </w:t>
      </w:r>
      <w:r>
        <w:rPr/>
        <w:t>确定对被投资单位具有重大影响的依据： 重大影响，是指对一个企业的财务和经营决策有参与决策的权力，但并不能够控制或者与其他方一起共同控制这</w:t>
      </w:r>
    </w:p>
    <w:p>
      <w:pPr>
        <w:pStyle w:val="BodyText"/>
        <w:spacing w:line="240" w:lineRule="auto" w:before="76"/>
        <w:ind w:left="514" w:right="0"/>
        <w:jc w:val="left"/>
      </w:pPr>
      <w:r>
        <w:rPr/>
        <w:t>些政策的制定。</w:t>
      </w:r>
    </w:p>
    <w:p>
      <w:pPr>
        <w:spacing w:line="240" w:lineRule="auto" w:before="0"/>
        <w:rPr>
          <w:rFonts w:ascii="宋体" w:hAnsi="宋体" w:cs="宋体" w:eastAsia="宋体" w:hint="default"/>
          <w:sz w:val="15"/>
          <w:szCs w:val="15"/>
        </w:rPr>
      </w:pPr>
    </w:p>
    <w:p>
      <w:pPr>
        <w:pStyle w:val="BodyText"/>
        <w:spacing w:line="240" w:lineRule="auto"/>
        <w:ind w:left="936" w:right="0"/>
        <w:jc w:val="left"/>
      </w:pPr>
      <w:r>
        <w:rPr/>
        <w:t>公司通常通过以下一种或几种情形判断是否对被投资单位具有重大影响：</w:t>
      </w:r>
    </w:p>
    <w:p>
      <w:pPr>
        <w:spacing w:line="240" w:lineRule="auto" w:before="0"/>
        <w:rPr>
          <w:rFonts w:ascii="宋体" w:hAnsi="宋体" w:cs="宋体" w:eastAsia="宋体" w:hint="default"/>
          <w:sz w:val="15"/>
          <w:szCs w:val="15"/>
        </w:rPr>
      </w:pPr>
    </w:p>
    <w:p>
      <w:pPr>
        <w:pStyle w:val="BodyText"/>
        <w:spacing w:line="319" w:lineRule="auto"/>
        <w:ind w:left="514" w:right="152" w:hanging="360"/>
        <w:jc w:val="both"/>
      </w:pPr>
      <w:r>
        <w:rPr>
          <w:rFonts w:ascii="宋体" w:hAnsi="宋体" w:cs="宋体" w:eastAsia="宋体" w:hint="default"/>
        </w:rPr>
        <w:t>3.</w:t>
      </w:r>
      <w:r>
        <w:rPr>
          <w:rFonts w:ascii="宋体" w:hAnsi="宋体" w:cs="宋体" w:eastAsia="宋体" w:hint="default"/>
          <w:spacing w:val="10"/>
        </w:rPr>
        <w:t> </w:t>
      </w:r>
      <w:r>
        <w:rPr/>
        <w:t>在被投资单位的董事会或类似权力机构中派有代表。在这种情况下，由于在被投资单位的董事会或类似权力机构中派有 </w:t>
      </w:r>
      <w:r>
        <w:rPr>
          <w:spacing w:val="-2"/>
        </w:rPr>
        <w:t>代表，并相应享有实质性的参与决策权，投资方可以通过该代表参与被投资单位财务和经营政策的制定，达到对被投资</w:t>
      </w:r>
      <w:r>
        <w:rPr/>
        <w:t> 单位施加重大影响。</w:t>
      </w:r>
    </w:p>
    <w:p>
      <w:pPr>
        <w:pStyle w:val="BodyText"/>
        <w:spacing w:line="316" w:lineRule="auto" w:before="137"/>
        <w:ind w:left="514" w:right="133" w:hanging="360"/>
        <w:jc w:val="left"/>
      </w:pPr>
      <w:r>
        <w:rPr>
          <w:rFonts w:ascii="宋体" w:hAnsi="宋体" w:cs="宋体" w:eastAsia="宋体" w:hint="default"/>
        </w:rPr>
        <w:t>4.</w:t>
      </w:r>
      <w:r>
        <w:rPr>
          <w:rFonts w:ascii="宋体" w:hAnsi="宋体" w:cs="宋体" w:eastAsia="宋体" w:hint="default"/>
          <w:spacing w:val="9"/>
        </w:rPr>
        <w:t> </w:t>
      </w:r>
      <w:r>
        <w:rPr/>
        <w:t>参与被投资单位财务和经营政策制定过程。这种情况下，在制定政策过程中可以为其自身利益提出建议和意见，从而可 以对被投资单位施加重大影响。</w:t>
      </w:r>
    </w:p>
    <w:p>
      <w:pPr>
        <w:pStyle w:val="BodyText"/>
        <w:spacing w:line="316" w:lineRule="auto" w:before="139"/>
        <w:ind w:left="514" w:right="132" w:hanging="360"/>
        <w:jc w:val="left"/>
      </w:pPr>
      <w:r>
        <w:rPr>
          <w:rFonts w:ascii="宋体" w:hAnsi="宋体" w:cs="宋体" w:eastAsia="宋体" w:hint="default"/>
        </w:rPr>
        <w:t>5.</w:t>
      </w:r>
      <w:r>
        <w:rPr>
          <w:rFonts w:ascii="宋体" w:hAnsi="宋体" w:cs="宋体" w:eastAsia="宋体" w:hint="default"/>
          <w:spacing w:val="10"/>
        </w:rPr>
        <w:t> </w:t>
      </w:r>
      <w:r>
        <w:rPr/>
        <w:t>与被投资单位之间发生重要交易。有关的交易因对被投资单位的日常经营具有重要性，进而一定程度上可以影响到被投 资单位的生产经营决策。</w:t>
      </w:r>
    </w:p>
    <w:p>
      <w:pPr>
        <w:pStyle w:val="BodyText"/>
        <w:spacing w:line="316" w:lineRule="auto" w:before="139"/>
        <w:ind w:left="514" w:right="133" w:hanging="360"/>
        <w:jc w:val="left"/>
      </w:pPr>
      <w:r>
        <w:rPr>
          <w:rFonts w:ascii="宋体" w:hAnsi="宋体" w:cs="宋体" w:eastAsia="宋体" w:hint="default"/>
        </w:rPr>
        <w:t>6.</w:t>
      </w:r>
      <w:r>
        <w:rPr>
          <w:rFonts w:ascii="宋体" w:hAnsi="宋体" w:cs="宋体" w:eastAsia="宋体" w:hint="default"/>
          <w:spacing w:val="9"/>
        </w:rPr>
        <w:t> </w:t>
      </w:r>
      <w:r>
        <w:rPr/>
        <w:t>向被投资单位派出管理人员。在这种情况下，管理人员有权力主导被投资单位的相关活动，从而能够对被投资单位施加 重大影响。</w:t>
      </w:r>
    </w:p>
    <w:p>
      <w:pPr>
        <w:pStyle w:val="BodyText"/>
        <w:spacing w:line="316" w:lineRule="auto" w:before="139"/>
        <w:ind w:left="514" w:right="132" w:hanging="360"/>
        <w:jc w:val="left"/>
      </w:pPr>
      <w:r>
        <w:rPr>
          <w:rFonts w:ascii="宋体" w:hAnsi="宋体" w:cs="宋体" w:eastAsia="宋体" w:hint="default"/>
        </w:rPr>
        <w:t>7.</w:t>
      </w:r>
      <w:r>
        <w:rPr>
          <w:rFonts w:ascii="宋体" w:hAnsi="宋体" w:cs="宋体" w:eastAsia="宋体" w:hint="default"/>
          <w:spacing w:val="10"/>
        </w:rPr>
        <w:t> </w:t>
      </w:r>
      <w:r>
        <w:rPr/>
        <w:t>向被投资单位提供关键技术资料。因被投资单位的生产经营需要依赖投资方的技术或技术资料，表明投资方对被投资单 位具有重大影响。</w:t>
      </w:r>
    </w:p>
    <w:p>
      <w:pPr>
        <w:pStyle w:val="BodyText"/>
        <w:spacing w:line="316" w:lineRule="auto" w:before="139"/>
        <w:ind w:left="514" w:right="170" w:firstLine="422"/>
        <w:jc w:val="left"/>
      </w:pPr>
      <w:r>
        <w:rPr/>
        <w:t>公司在判断是否对被投资方具有重大影响时，不限于是否存在上述一种或多种情形，还需要综合考虑所有事实和 情况来做出综合的判断。</w:t>
      </w:r>
    </w:p>
    <w:p>
      <w:pPr>
        <w:pStyle w:val="BodyText"/>
        <w:spacing w:line="439" w:lineRule="auto" w:before="139"/>
        <w:ind w:right="3411" w:firstLine="782"/>
        <w:jc w:val="left"/>
      </w:pPr>
      <w:r>
        <w:rPr/>
        <w:t>投资方对被投资单位具有重大影响的权益性投资，即对联营企业投资。 </w:t>
      </w:r>
      <w:r>
        <w:rPr>
          <w:rFonts w:ascii="宋体" w:hAnsi="宋体" w:cs="宋体" w:eastAsia="宋体" w:hint="default"/>
        </w:rPr>
        <w:t>8.  </w:t>
      </w:r>
      <w:r>
        <w:rPr/>
        <w:t>确定被投资单位是否为合营企业的依据：</w:t>
      </w:r>
    </w:p>
    <w:p>
      <w:pPr>
        <w:pStyle w:val="BodyText"/>
        <w:spacing w:line="441" w:lineRule="auto" w:before="47"/>
        <w:ind w:left="576" w:right="3590"/>
        <w:jc w:val="left"/>
      </w:pPr>
      <w:r>
        <w:rPr/>
        <w:t>本公司的合营企业是指本公司仅对合营安排的净资产享有权利。 合营安排的定义、分类以及共同控制的判断标准详见本附注四、（七）。</w:t>
      </w:r>
    </w:p>
    <w:p>
      <w:pPr>
        <w:pStyle w:val="Heading5"/>
        <w:spacing w:line="240" w:lineRule="auto" w:before="45"/>
        <w:ind w:right="0"/>
        <w:jc w:val="left"/>
        <w:rPr>
          <w:b w:val="0"/>
          <w:bCs w:val="0"/>
        </w:rPr>
      </w:pPr>
      <w:r>
        <w:rPr/>
        <w:t>（</w:t>
      </w:r>
      <w:r>
        <w:rPr>
          <w:rFonts w:ascii="Times New Roman" w:hAnsi="Times New Roman" w:cs="Times New Roman" w:eastAsia="Times New Roman" w:hint="default"/>
        </w:rPr>
        <w:t>2</w:t>
      </w:r>
      <w:r>
        <w:rPr/>
        <w:t>）长期股权投资初始成本的确定</w:t>
      </w:r>
      <w:r>
        <w:rPr>
          <w:b w:val="0"/>
          <w:bCs w:val="0"/>
        </w:rPr>
      </w:r>
    </w:p>
    <w:p>
      <w:pPr>
        <w:spacing w:line="240" w:lineRule="auto" w:before="13"/>
        <w:rPr>
          <w:rFonts w:ascii="宋体" w:hAnsi="宋体" w:cs="宋体" w:eastAsia="宋体"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A</w:t>
      </w:r>
      <w:r>
        <w:rPr/>
        <w:t>、企业合并形成的长期股权投资</w:t>
      </w:r>
      <w:r>
        <w:rPr>
          <w:b w:val="0"/>
          <w:bCs w:val="0"/>
        </w:rPr>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b/>
          <w:bCs/>
          <w:sz w:val="25"/>
          <w:szCs w:val="25"/>
        </w:rPr>
      </w:pPr>
    </w:p>
    <w:p>
      <w:pPr>
        <w:pStyle w:val="BodyText"/>
        <w:spacing w:line="316" w:lineRule="auto" w:before="44"/>
        <w:ind w:right="93" w:firstLine="422"/>
        <w:jc w:val="left"/>
      </w:pPr>
      <w:r>
        <w:rPr/>
        <w:t>同一控制下的企业合并：公司以支付现金、转让非现金资产或承担债务方式以及以发行权益性证券作为合并对价的， 在合并日按照取得被合并方所有者权益在最终控制方合并财务报表中的账面价值的份额作为长期股权投资的初始投资成本。 </w:t>
      </w:r>
      <w:r>
        <w:rPr>
          <w:spacing w:val="-2"/>
        </w:rPr>
        <w:t>长期股权投资初始投资成本与支付合并对价之间的差额，调整资本公积（资本溢价或股本溢价）；资本公积（资本溢价或股</w:t>
      </w:r>
      <w:r>
        <w:rPr>
          <w:spacing w:val="-66"/>
        </w:rPr>
        <w:t> </w:t>
      </w:r>
      <w:r>
        <w:rPr>
          <w:spacing w:val="-66"/>
        </w:rPr>
      </w:r>
      <w:r>
        <w:rPr>
          <w:spacing w:val="-2"/>
        </w:rPr>
        <w:t>本溢价）不足冲减的，调整留存收益。合并方以发行权益性证券作为合并对价的，按照发行股份的面值总额作为股本，长期</w:t>
      </w:r>
      <w:r>
        <w:rPr>
          <w:spacing w:val="-66"/>
        </w:rPr>
        <w:t> </w:t>
      </w:r>
      <w:r>
        <w:rPr>
          <w:spacing w:val="-66"/>
        </w:rPr>
      </w:r>
      <w:r>
        <w:rPr>
          <w:spacing w:val="-2"/>
        </w:rPr>
        <w:t>股权投资初始投资成本与所发行股份面值总额之间的差额，调整资本公（资本溢价或股本溢价）；资本公积（资本溢价或股</w:t>
      </w:r>
      <w:r>
        <w:rPr>
          <w:spacing w:val="-66"/>
        </w:rPr>
        <w:t> </w:t>
      </w:r>
      <w:r>
        <w:rPr>
          <w:spacing w:val="-66"/>
        </w:rPr>
      </w:r>
      <w:r>
        <w:rPr/>
        <w:t>本溢价）不足冲减的，调整留存收益。</w:t>
      </w:r>
    </w:p>
    <w:p>
      <w:pPr>
        <w:pStyle w:val="BodyText"/>
        <w:spacing w:line="316" w:lineRule="auto" w:before="139"/>
        <w:ind w:right="103" w:firstLine="422"/>
        <w:jc w:val="both"/>
      </w:pPr>
      <w:r>
        <w:rPr/>
        <w:t>非同一控制下的企业合并：公司按照购买日确定的合并成本作为长期股权投资的初始投资成本。合并成本为购买日购 </w:t>
      </w:r>
      <w:r>
        <w:rPr>
          <w:spacing w:val="-2"/>
        </w:rPr>
        <w:t>买方为取得对被购买方的控制权而付出的资产、发生或承担的负债以及发行的权益性证券的公允价值。购买方作为合并对价</w:t>
      </w:r>
      <w:r>
        <w:rPr>
          <w:spacing w:val="-64"/>
        </w:rPr>
        <w:t> </w:t>
      </w:r>
      <w:r>
        <w:rPr>
          <w:spacing w:val="-64"/>
        </w:rPr>
      </w:r>
      <w:r>
        <w:rPr>
          <w:spacing w:val="-2"/>
        </w:rPr>
        <w:t>发行的权益性证券或债务性证券的交易费用，计入权益性证券或债务性证券的初始确认金额。通过多次交易分步实现的非同</w:t>
      </w:r>
      <w:r>
        <w:rPr>
          <w:spacing w:val="-64"/>
        </w:rPr>
        <w:t> </w:t>
      </w:r>
      <w:r>
        <w:rPr>
          <w:spacing w:val="-64"/>
        </w:rPr>
      </w:r>
      <w:r>
        <w:rPr>
          <w:spacing w:val="-2"/>
        </w:rPr>
        <w:t>一控制下企业合并，以购买日之前所持被购买方的股权投资的账面价值与购买日新增投资成本之和，作为该项投资的初始投</w:t>
      </w:r>
      <w:r>
        <w:rPr>
          <w:spacing w:val="-63"/>
        </w:rPr>
        <w:t> </w:t>
      </w:r>
      <w:r>
        <w:rPr>
          <w:spacing w:val="-63"/>
        </w:rPr>
      </w:r>
      <w:r>
        <w:rPr>
          <w:spacing w:val="-4"/>
        </w:rPr>
        <w:t>资成本。本公司将合并协议约定的或有对价作为企业合并转移对价的一部分，按照其在购买日的公允价值计入企业合并成本。</w:t>
      </w:r>
    </w:p>
    <w:p>
      <w:pPr>
        <w:pStyle w:val="BodyText"/>
        <w:spacing w:line="316" w:lineRule="auto" w:before="139"/>
        <w:ind w:right="193" w:firstLine="422"/>
        <w:jc w:val="both"/>
      </w:pPr>
      <w:r>
        <w:rPr/>
        <w:t>合并方或购买方为企业合并而发生的审计、法律服务、评估咨询等中介费用以及其他相关管理费用于发生时计入当期 损益。</w:t>
      </w:r>
    </w:p>
    <w:p>
      <w:pPr>
        <w:spacing w:line="432" w:lineRule="exact" w:before="3"/>
        <w:ind w:left="576" w:right="92"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、其他方式取得的长期股权投资</w:t>
      </w:r>
      <w:r>
        <w:rPr>
          <w:rFonts w:ascii="宋体" w:hAnsi="宋体" w:cs="宋体" w:eastAsia="宋体" w:hint="default"/>
          <w:b/>
          <w:bCs/>
          <w:w w:val="99"/>
          <w:sz w:val="18"/>
          <w:szCs w:val="18"/>
        </w:rPr>
        <w:t> </w:t>
      </w:r>
      <w:r>
        <w:rPr>
          <w:rFonts w:ascii="宋体" w:hAnsi="宋体" w:cs="宋体" w:eastAsia="宋体" w:hint="default"/>
          <w:sz w:val="18"/>
          <w:szCs w:val="18"/>
        </w:rPr>
        <w:t>以支付现金方式取得的长期股权投资，按照实际支付的购买价款作为初始投资成本。初始投资成本包括与取得长期股</w:t>
      </w:r>
    </w:p>
    <w:p>
      <w:pPr>
        <w:pStyle w:val="BodyText"/>
        <w:spacing w:line="439" w:lineRule="auto" w:before="15"/>
        <w:ind w:left="576" w:right="92" w:hanging="423"/>
        <w:jc w:val="left"/>
      </w:pPr>
      <w:r>
        <w:rPr/>
        <w:t>权投资直接相关的费用、税金及其他必要支出。 以发行权益性证券取得的长期股权投资，按照发行权益性证券的公允价值作为初始投资成本。</w:t>
      </w:r>
    </w:p>
    <w:p>
      <w:pPr>
        <w:pStyle w:val="BodyText"/>
        <w:spacing w:line="316" w:lineRule="auto" w:before="47"/>
        <w:ind w:right="192" w:firstLine="422"/>
        <w:jc w:val="both"/>
      </w:pPr>
      <w:r>
        <w:rPr/>
        <w:t>在非货币性资产交换具备商业实质和换入资产或换出资产的公允价值能够可靠计量的前提下，非货币性资产交换换入 </w:t>
      </w: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p>
    <w:p>
      <w:pPr>
        <w:pStyle w:val="BodyText"/>
        <w:spacing w:line="240" w:lineRule="auto" w:before="139"/>
        <w:ind w:left="576" w:right="92"/>
        <w:jc w:val="left"/>
      </w:pPr>
      <w:r>
        <w:rPr/>
        <w:t>通过债务重组取得的长期股权投资，其初始投资成本按照公允价值为基础确定。</w:t>
      </w:r>
    </w:p>
    <w:p>
      <w:pPr>
        <w:spacing w:line="240" w:lineRule="auto" w:before="0"/>
        <w:rPr>
          <w:rFonts w:ascii="宋体" w:hAnsi="宋体" w:cs="宋体" w:eastAsia="宋体" w:hint="default"/>
          <w:sz w:val="15"/>
          <w:szCs w:val="15"/>
        </w:rPr>
      </w:pPr>
    </w:p>
    <w:p>
      <w:pPr>
        <w:spacing w:line="415" w:lineRule="auto" w:before="0"/>
        <w:ind w:left="576" w:right="3990" w:hanging="42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）长期股权投资的后续计量及损益确认方法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本公司能够对被投资单位实施控制的长期股权投资采用成本法核算。</w:t>
      </w:r>
    </w:p>
    <w:p>
      <w:pPr>
        <w:pStyle w:val="BodyText"/>
        <w:spacing w:line="316" w:lineRule="auto" w:before="65"/>
        <w:ind w:right="191" w:firstLine="422"/>
        <w:jc w:val="both"/>
      </w:pPr>
      <w:r>
        <w:rPr/>
        <w:t>采用成本法核算的长期股权投资按照初始投资成本计价。追加或收回投资调整长期股权投资的成本。被投资单位宣告 分派的现金股利或利润，确认为当期投资收益。</w:t>
      </w:r>
    </w:p>
    <w:p>
      <w:pPr>
        <w:pStyle w:val="BodyText"/>
        <w:spacing w:line="316" w:lineRule="auto" w:before="139"/>
        <w:ind w:right="192" w:firstLine="422"/>
        <w:jc w:val="both"/>
      </w:pPr>
      <w:r>
        <w:rPr/>
        <w:t>对合营企业和联营企业的长期股权投资，采用权益法核算。初始投资成本大于投资时应享有被投资单位可辨认净资产 </w:t>
      </w:r>
      <w:r>
        <w:rPr>
          <w:spacing w:val="-2"/>
        </w:rPr>
        <w:t>公允价值份额的差额，不调整长期股权投资的初始投资成本；初始投资成本小于投资时应享有被投资单位可辨认净资产公允</w:t>
      </w:r>
      <w:r>
        <w:rPr>
          <w:spacing w:val="-64"/>
        </w:rPr>
        <w:t> </w:t>
      </w:r>
      <w:r>
        <w:rPr>
          <w:spacing w:val="-64"/>
        </w:rPr>
      </w:r>
      <w:r>
        <w:rPr/>
        <w:t>价值份额的差额，计入当期损益，同时调整长期股权投资的成本。</w:t>
      </w:r>
    </w:p>
    <w:p>
      <w:pPr>
        <w:pStyle w:val="BodyText"/>
        <w:spacing w:line="316" w:lineRule="auto" w:before="139"/>
        <w:ind w:left="154" w:right="191" w:firstLine="422"/>
        <w:jc w:val="both"/>
      </w:pPr>
      <w:r>
        <w:rPr/>
        <w:t>本公司取得长期股权投资后，按照应享有或应分担的被投资单位实现的净损益和其他综合收益的份额，分别确认投资 </w:t>
      </w:r>
      <w:r>
        <w:rPr>
          <w:spacing w:val="-2"/>
        </w:rPr>
        <w:t>收益和其他综合收益，同时调整长期股权投资的账面价值；本公司按照被投资单位宣告分派的利润或现金股利计算应享有的</w:t>
      </w:r>
      <w:r>
        <w:rPr>
          <w:spacing w:val="-64"/>
        </w:rPr>
        <w:t> </w:t>
      </w:r>
      <w:r>
        <w:rPr>
          <w:spacing w:val="-64"/>
        </w:rPr>
      </w:r>
      <w:r>
        <w:rPr/>
        <w:t>部分，相应减少长期股权投资的账面价值；</w:t>
      </w:r>
      <w:r>
        <w:rPr>
          <w:spacing w:val="7"/>
        </w:rPr>
        <w:t> </w:t>
      </w:r>
      <w:r>
        <w:rPr/>
        <w:t>本公司对于被投资单位除净损益、其他综合收益和利润分配以外所有者权益</w:t>
      </w:r>
      <w:r>
        <w:rPr/>
        <w:t> 的其他变动，调整长期股权投资的账面价值并计入所有者权益。</w:t>
      </w:r>
    </w:p>
    <w:p>
      <w:pPr>
        <w:pStyle w:val="BodyText"/>
        <w:spacing w:line="316" w:lineRule="auto" w:before="139"/>
        <w:ind w:left="154" w:right="193" w:firstLine="422"/>
        <w:jc w:val="both"/>
      </w:pPr>
      <w:r>
        <w:rPr/>
        <w:t>本公司在确认应享有被投资单位净损益的份额时，以取得投资时被投资单位可辨认净资产的公允价值为基础，对被投 资单位的净利润进行调整后确认。</w:t>
      </w:r>
    </w:p>
    <w:p>
      <w:pPr>
        <w:pStyle w:val="BodyText"/>
        <w:spacing w:line="319" w:lineRule="auto" w:before="139"/>
        <w:ind w:left="154" w:right="193" w:firstLine="422"/>
        <w:jc w:val="both"/>
      </w:pPr>
      <w:r>
        <w:rPr/>
        <w:t>被投资单位采用的会计政策及会计期间与本公司不一致的，按照本公司的会计政策及会计期间对被投资单位的财务报 表进行调整，并据以确认投资收益和其他综合收益等。</w:t>
      </w:r>
    </w:p>
    <w:p>
      <w:pPr>
        <w:pStyle w:val="BodyText"/>
        <w:spacing w:line="316" w:lineRule="auto" w:before="137"/>
        <w:ind w:left="154" w:right="193" w:firstLine="422"/>
        <w:jc w:val="both"/>
      </w:pPr>
      <w:r>
        <w:rPr/>
        <w:t>本公司确认被投资单位发生的净亏损，以长期股权投资的账面价值以及其他实质上构成对被投资单位净投资的长期权 益减记至零为限，本公司负有承担额外损失义务的除外。</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76" w:right="92"/>
        <w:jc w:val="left"/>
      </w:pPr>
      <w:r>
        <w:rPr/>
        <w:t>被投资单位以后实现净利润的，本公司在其收益分享额弥补未确认的亏损分担额后，恢复确认收益分享额。</w:t>
      </w:r>
    </w:p>
    <w:p>
      <w:pPr>
        <w:spacing w:line="240" w:lineRule="auto" w:before="0"/>
        <w:rPr>
          <w:rFonts w:ascii="宋体" w:hAnsi="宋体" w:cs="宋体" w:eastAsia="宋体" w:hint="default"/>
          <w:sz w:val="15"/>
          <w:szCs w:val="15"/>
        </w:rPr>
      </w:pPr>
    </w:p>
    <w:p>
      <w:pPr>
        <w:pStyle w:val="BodyText"/>
        <w:spacing w:line="316" w:lineRule="auto"/>
        <w:ind w:right="193" w:firstLine="422"/>
        <w:jc w:val="both"/>
      </w:pPr>
      <w:r>
        <w:rPr/>
        <w:t>本公司计算确认应享有或应分担被投资单位的净损益时，与联营企业、合营企业之间发生的未实现内部交易损益按照 应享有的比例计算归属于本公司的部分，予以抵销，在此基础上确认投资收益。</w:t>
      </w:r>
    </w:p>
    <w:p>
      <w:pPr>
        <w:pStyle w:val="BodyText"/>
        <w:spacing w:line="300" w:lineRule="auto" w:before="139"/>
        <w:ind w:right="191" w:firstLine="422"/>
        <w:jc w:val="both"/>
      </w:pPr>
      <w:r>
        <w:rPr>
          <w:spacing w:val="-2"/>
        </w:rPr>
        <w:t>本公司与被投资单位发生的未实现内部交易损失，按照《企业会计准则第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资产减值》等的有关规定属于资产减</w:t>
      </w:r>
      <w:r>
        <w:rPr/>
        <w:t> 值损失的，全额确认交易损失。</w:t>
      </w:r>
    </w:p>
    <w:p>
      <w:pPr>
        <w:pStyle w:val="BodyText"/>
        <w:spacing w:line="307" w:lineRule="auto" w:before="151"/>
        <w:ind w:right="189" w:firstLine="422"/>
        <w:jc w:val="both"/>
      </w:pPr>
      <w:r>
        <w:rPr/>
        <w:t>本公司因追加投资等原因能够对被投资单位施加重大影响或实施共同控制但不构成控制的，按照《企业会计准则第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6"/>
        </w:rPr>
        <w:t> </w:t>
      </w:r>
      <w:r>
        <w:rPr>
          <w:spacing w:val="-66"/>
        </w:rPr>
      </w:r>
      <w:r>
        <w:rPr/>
        <w:t>公允价值变动转入改按权益法核算的当期损益。</w:t>
      </w:r>
    </w:p>
    <w:p>
      <w:pPr>
        <w:pStyle w:val="BodyText"/>
        <w:spacing w:line="312" w:lineRule="auto" w:before="146"/>
        <w:ind w:right="189" w:firstLine="422"/>
        <w:jc w:val="both"/>
      </w:pPr>
      <w:r>
        <w:rPr/>
        <w:t>本公司因处置部分股权投资等原因丧失了对被投资单位的共同控制或重大影响的，处置后的剩余股权改按《企业会计 </w:t>
      </w:r>
      <w:r>
        <w:rPr>
          <w:spacing w:val="-2"/>
        </w:rPr>
        <w:t>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w:t>
      </w:r>
      <w:r>
        <w:rPr>
          <w:spacing w:val="-62"/>
        </w:rPr>
        <w:t> </w:t>
      </w:r>
      <w:r>
        <w:rPr>
          <w:spacing w:val="-62"/>
        </w:rPr>
      </w:r>
      <w:r>
        <w:rPr>
          <w:spacing w:val="-2"/>
        </w:rPr>
        <w:t>损益。原股权投资因采用权益法核算而确认的其他综合收益，在终止采用权益法核算时采用与被投资单位直接处置相关资产</w:t>
      </w:r>
      <w:r>
        <w:rPr>
          <w:spacing w:val="-64"/>
        </w:rPr>
        <w:t> </w:t>
      </w:r>
      <w:r>
        <w:rPr>
          <w:spacing w:val="-64"/>
        </w:rPr>
      </w:r>
      <w:r>
        <w:rPr/>
        <w:t>或负债相同的基础进行会计处理。</w:t>
      </w:r>
    </w:p>
    <w:p>
      <w:pPr>
        <w:pStyle w:val="BodyText"/>
        <w:spacing w:line="312" w:lineRule="auto" w:before="142"/>
        <w:ind w:right="92" w:firstLine="422"/>
        <w:jc w:val="left"/>
      </w:pPr>
      <w:r>
        <w:rPr/>
        <w:t>本公司因处置部分权益性投资等原因丧失了对被投资单位的控制的，在编制个别财务报表时，处置后的剩余股权能够 </w:t>
      </w:r>
      <w:r>
        <w:rPr>
          <w:spacing w:val="-4"/>
        </w:rPr>
        <w:t>对被投资单位实施共同控制或施加重大影响的，改按权益法核算，并对该剩余股权视同自取得时即采用权益法核算进行调整；</w:t>
      </w:r>
      <w:r>
        <w:rPr>
          <w:spacing w:val="-44"/>
        </w:rPr>
        <w:t> </w:t>
      </w:r>
      <w:r>
        <w:rPr>
          <w:spacing w:val="-44"/>
        </w:rPr>
      </w:r>
      <w:r>
        <w:rPr>
          <w:spacing w:val="-4"/>
        </w:rPr>
        <w:t>处置后的剩余股权不能对被投资单位实施共同控制或施加重大影响的，改按《企业会计准则第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spacing w:val="-40"/>
        </w:rPr>
        <w:t> </w:t>
      </w:r>
      <w:r>
        <w:rPr/>
        <w:t>的有关规定进行会计处理。</w:t>
      </w:r>
    </w:p>
    <w:p>
      <w:pPr>
        <w:pStyle w:val="BodyText"/>
        <w:spacing w:line="316" w:lineRule="auto" w:before="142"/>
        <w:ind w:right="192" w:firstLine="422"/>
        <w:jc w:val="both"/>
      </w:pPr>
      <w:r>
        <w:rPr/>
        <w:t>处置长期股权投资，其账面价值与实际取得价款之间的差额，计入当期损益。采用权益法核算的长期股权投资，在处 </w:t>
      </w:r>
      <w:r>
        <w:rPr>
          <w:spacing w:val="-2"/>
        </w:rPr>
        <w:t>置该项投资时，采用与被投资单位直接处置相关资产或负债相同的基础，按相应比例对原计入其他综合收益的部分进行会计</w:t>
      </w:r>
      <w:r>
        <w:rPr>
          <w:spacing w:val="-64"/>
        </w:rPr>
        <w:t> </w:t>
      </w:r>
      <w:r>
        <w:rPr>
          <w:spacing w:val="-64"/>
        </w:rPr>
      </w:r>
      <w:r>
        <w:rPr/>
        <w:t>处理。</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15、投资性房地产" w:id="141"/>
      <w:bookmarkEnd w:id="14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01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54" w:right="92"/>
        <w:jc w:val="left"/>
        <w:rPr>
          <w:b w:val="0"/>
          <w:bCs w:val="0"/>
        </w:rPr>
      </w:pPr>
      <w:bookmarkStart w:name="16、固定资产" w:id="142"/>
      <w:bookmarkEnd w:id="14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92"/>
        <w:jc w:val="left"/>
        <w:rPr>
          <w:b w:val="0"/>
          <w:bCs w:val="0"/>
        </w:rPr>
      </w:pPr>
      <w:bookmarkStart w:name="（1）确认条件" w:id="143"/>
      <w:bookmarkEnd w:id="14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92" w:firstLine="360"/>
        <w:jc w:val="left"/>
      </w:pPr>
      <w:r>
        <w:rPr>
          <w:spacing w:val="-2"/>
        </w:rPr>
        <w:t>固定资产指为生产商品、提供劳务、出租或经营管理而持有，并且使用寿命超过一个会计年度的有形资产。固定资产分</w:t>
      </w:r>
      <w:r>
        <w:rPr/>
        <w:t> </w:t>
      </w:r>
      <w:r>
        <w:rPr>
          <w:spacing w:val="-2"/>
        </w:rPr>
        <w:t>类为：房屋及建筑物、机器设备、运输设备、电子设备、办公设备及其他。固定资产在同时满足下列条件时予以确认：（</w:t>
      </w:r>
      <w:r>
        <w:rPr>
          <w:rFonts w:ascii="Times New Roman" w:hAnsi="Times New Roman" w:cs="Times New Roman" w:eastAsia="Times New Roman" w:hint="default"/>
          <w:spacing w:val="-2"/>
        </w:rPr>
        <w:t>1</w:t>
      </w:r>
      <w:r>
        <w:rPr>
          <w:spacing w:val="-2"/>
        </w:rPr>
        <w:t>）</w:t>
      </w:r>
      <w:r>
        <w:rPr>
          <w:spacing w:val="-69"/>
        </w:rPr>
        <w:t> </w:t>
      </w:r>
      <w:r>
        <w:rPr>
          <w:spacing w:val="-3"/>
        </w:rPr>
        <w:t>与该固定资产有关的经济利益很可能流入企业；（</w:t>
      </w:r>
      <w:r>
        <w:rPr>
          <w:rFonts w:ascii="Times New Roman" w:hAnsi="Times New Roman" w:cs="Times New Roman" w:eastAsia="Times New Roman" w:hint="default"/>
          <w:spacing w:val="-3"/>
        </w:rPr>
        <w:t>2</w:t>
      </w:r>
      <w:r>
        <w:rPr>
          <w:spacing w:val="-3"/>
        </w:rPr>
        <w:t>）该固定资产的成本能够可靠地计量。</w:t>
      </w:r>
    </w:p>
    <w:p>
      <w:pPr>
        <w:spacing w:line="240" w:lineRule="auto" w:before="4"/>
        <w:rPr>
          <w:rFonts w:ascii="宋体" w:hAnsi="宋体" w:cs="宋体" w:eastAsia="宋体" w:hint="default"/>
          <w:sz w:val="21"/>
          <w:szCs w:val="21"/>
        </w:rPr>
      </w:pPr>
    </w:p>
    <w:p>
      <w:pPr>
        <w:pStyle w:val="Heading3"/>
        <w:spacing w:line="240" w:lineRule="auto"/>
        <w:ind w:right="92"/>
        <w:jc w:val="left"/>
        <w:rPr>
          <w:b w:val="0"/>
          <w:bCs w:val="0"/>
        </w:rPr>
      </w:pPr>
      <w:bookmarkStart w:name="（2）折旧方法" w:id="144"/>
      <w:bookmarkEnd w:id="14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3.88-1.94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917"/>
        <w:gridCol w:w="1914"/>
        <w:gridCol w:w="1914"/>
        <w:gridCol w:w="1914"/>
        <w:gridCol w:w="1914"/>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both"/>
        <w:rPr>
          <w:b w:val="0"/>
          <w:bCs w:val="0"/>
        </w:rPr>
      </w:pPr>
      <w:bookmarkStart w:name="（3）融资租入固定资产的认定依据、计价和折旧方法" w:id="145"/>
      <w:bookmarkEnd w:id="14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92" w:firstLine="36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3"/>
        </w:rPr>
        <w:t> </w:t>
      </w:r>
      <w:r>
        <w:rPr>
          <w:spacing w:val="-73"/>
        </w:rPr>
      </w:r>
      <w:r>
        <w:rPr>
          <w:spacing w:val="-2"/>
        </w:rPr>
        <w:t>资产使用寿命的大部分；（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）租赁开始日的最低租赁付款额现值，与该资产的公允价值不存在较大的差异。在承租开始日，</w:t>
      </w:r>
      <w:r>
        <w:rPr>
          <w:spacing w:val="-70"/>
        </w:rPr>
        <w:t> </w:t>
      </w:r>
      <w:r>
        <w:rPr>
          <w:spacing w:val="-2"/>
        </w:rPr>
        <w:t>将租赁资产公允价值与最低租赁付款额现值两者中较低者作为租入资产的入账价值，将最低租赁付款额作为长期应付款的入</w:t>
      </w:r>
      <w:r>
        <w:rPr>
          <w:spacing w:val="-63"/>
        </w:rPr>
        <w:t> </w:t>
      </w:r>
      <w:r>
        <w:rPr>
          <w:spacing w:val="-63"/>
        </w:rPr>
      </w:r>
      <w:r>
        <w:rPr>
          <w:spacing w:val="-4"/>
        </w:rPr>
        <w:t>账价值，其差额作为未确认的融资费。融资租赁方式租入的固定资产，能合理确定租赁期届满时将会取得租赁资产所有权的，</w:t>
      </w:r>
      <w:r>
        <w:rPr>
          <w:spacing w:val="-44"/>
        </w:rPr>
        <w:t> </w:t>
      </w:r>
      <w:r>
        <w:rPr>
          <w:spacing w:val="-44"/>
        </w:rPr>
      </w:r>
      <w:r>
        <w:rPr>
          <w:spacing w:val="-2"/>
        </w:rPr>
        <w:t>在租赁资产尚可使用年限内计提折旧；无法合理确定租赁期届满时能够取得租赁资产所有权的，在租赁期与租赁资产尚可使</w:t>
      </w:r>
      <w:r>
        <w:rPr>
          <w:spacing w:val="-64"/>
        </w:rPr>
        <w:t> </w:t>
      </w:r>
      <w:r>
        <w:rPr>
          <w:spacing w:val="-64"/>
        </w:rPr>
      </w:r>
      <w:r>
        <w:rPr/>
        <w:t>用年限两者中较短的期间内计提折旧。</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7、在建工程" w:id="146"/>
      <w:bookmarkEnd w:id="146"/>
      <w:r>
        <w:rPr>
          <w:b w:val="0"/>
          <w:bCs w:val="0"/>
        </w:rPr>
      </w:r>
      <w:r>
        <w:rPr>
          <w:rFonts w:ascii="Times New Roman" w:hAnsi="Times New Roman" w:cs="Times New Roman" w:eastAsia="Times New Roman" w:hint="default"/>
        </w:rPr>
        <w:t>17</w:t>
      </w:r>
      <w:r>
        <w:rPr/>
        <w:t>、在建工程</w:t>
      </w:r>
      <w:r>
        <w:rPr>
          <w:b w:val="0"/>
          <w:bCs w:val="0"/>
        </w:rPr>
      </w:r>
    </w:p>
    <w:p>
      <w:pPr>
        <w:pStyle w:val="BodyText"/>
        <w:spacing w:line="430" w:lineRule="atLeast" w:before="152"/>
        <w:ind w:left="576" w:right="92"/>
        <w:jc w:val="left"/>
      </w:pPr>
      <w:r>
        <w:rPr/>
        <w:t>在建工程以立项项目分类核算。 在建工程项目按建造该项资产达到预定可使用状态前所发生的全部支出，作为固定资产的入账价值。所建造的固定资</w:t>
      </w:r>
    </w:p>
    <w:p>
      <w:pPr>
        <w:pStyle w:val="BodyText"/>
        <w:spacing w:line="316" w:lineRule="auto" w:before="76"/>
        <w:ind w:left="154" w:right="190"/>
        <w:jc w:val="both"/>
      </w:pPr>
      <w:r>
        <w:rPr>
          <w:spacing w:val="-2"/>
        </w:rPr>
        <w:t>产在建工程已达到预定可使用状态，但尚未办理竣工决算的，自达到预定可使用状态之日起，根据工程预算、造价或者工程</w:t>
      </w:r>
      <w:r>
        <w:rPr>
          <w:spacing w:val="-65"/>
        </w:rPr>
        <w:t> </w:t>
      </w:r>
      <w:r>
        <w:rPr>
          <w:spacing w:val="-65"/>
        </w:rPr>
      </w:r>
      <w:r>
        <w:rPr>
          <w:spacing w:val="-2"/>
        </w:rPr>
        <w:t>实际成本等，按估计的价值转入固定资产，并按本公司固定资产折旧政策计提固定资产的折旧，待办理竣工决算后，再按实</w:t>
      </w:r>
      <w:r>
        <w:rPr>
          <w:spacing w:val="-66"/>
        </w:rPr>
        <w:t> </w:t>
      </w:r>
      <w:r>
        <w:rPr>
          <w:spacing w:val="-66"/>
        </w:rPr>
      </w:r>
      <w:r>
        <w:rPr/>
        <w:t>际成本调整原来的暂估价值，但不调整原已计提的折旧额。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借款费用" w:id="147"/>
      <w:bookmarkEnd w:id="147"/>
      <w:r>
        <w:rPr>
          <w:b w:val="0"/>
          <w:bCs w:val="0"/>
        </w:rPr>
      </w:r>
      <w:r>
        <w:rPr>
          <w:rFonts w:ascii="Times New Roman" w:hAnsi="Times New Roman" w:cs="Times New Roman" w:eastAsia="Times New Roman" w:hint="default"/>
          <w:spacing w:val="2"/>
        </w:rPr>
        <w:t>18</w:t>
      </w:r>
      <w:r>
        <w:rPr>
          <w:spacing w:val="2"/>
        </w:rPr>
        <w:t>、借款费用</w:t>
      </w:r>
      <w:r>
        <w:rPr>
          <w:b w:val="0"/>
          <w:bCs w:val="0"/>
        </w:rPr>
      </w:r>
    </w:p>
    <w:p>
      <w:pPr>
        <w:pStyle w:val="BodyText"/>
        <w:spacing w:line="430" w:lineRule="atLeast" w:before="154"/>
        <w:ind w:left="936" w:right="92" w:hanging="423"/>
        <w:jc w:val="left"/>
      </w:pPr>
      <w:r>
        <w:rPr>
          <w:rFonts w:ascii="宋体" w:hAnsi="宋体" w:cs="宋体" w:eastAsia="宋体" w:hint="default"/>
          <w:b/>
          <w:bCs/>
        </w:rPr>
        <w:t>A</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w:t>
      </w:r>
    </w:p>
    <w:p>
      <w:pPr>
        <w:pStyle w:val="BodyText"/>
        <w:spacing w:line="240" w:lineRule="auto" w:before="76"/>
        <w:ind w:left="514" w:right="92"/>
        <w:jc w:val="left"/>
      </w:pPr>
      <w:r>
        <w:rPr/>
        <w:t>其他借款费用，在发生时根据其发生额确认为费用，计入当期损益。</w:t>
      </w:r>
    </w:p>
    <w:p>
      <w:pPr>
        <w:spacing w:line="240" w:lineRule="auto" w:before="0"/>
        <w:rPr>
          <w:rFonts w:ascii="宋体" w:hAnsi="宋体" w:cs="宋体" w:eastAsia="宋体" w:hint="default"/>
          <w:sz w:val="15"/>
          <w:szCs w:val="15"/>
        </w:rPr>
      </w:pPr>
    </w:p>
    <w:p>
      <w:pPr>
        <w:pStyle w:val="BodyText"/>
        <w:spacing w:line="316" w:lineRule="auto"/>
        <w:ind w:left="514" w:right="92" w:firstLine="422"/>
        <w:jc w:val="left"/>
      </w:pPr>
      <w:r>
        <w:rPr/>
        <w:t>符合资本化条件的资产，是指需要经过相当长时间的购建或者生产活动才能达到预定可使用或者可销售状态的固 定资产、投资性房地产和存货等资产。</w:t>
      </w:r>
    </w:p>
    <w:p>
      <w:pPr>
        <w:pStyle w:val="BodyText"/>
        <w:spacing w:line="240" w:lineRule="auto" w:before="139"/>
        <w:ind w:left="936" w:right="92"/>
        <w:jc w:val="left"/>
      </w:pPr>
      <w:r>
        <w:rPr/>
        <w:t>借款费用同时满足下列条件时开始资本化：</w:t>
      </w:r>
    </w:p>
    <w:p>
      <w:pPr>
        <w:spacing w:line="240" w:lineRule="auto" w:before="0"/>
        <w:rPr>
          <w:rFonts w:ascii="宋体" w:hAnsi="宋体" w:cs="宋体" w:eastAsia="宋体" w:hint="default"/>
          <w:sz w:val="15"/>
          <w:szCs w:val="15"/>
        </w:rPr>
      </w:pPr>
    </w:p>
    <w:p>
      <w:pPr>
        <w:pStyle w:val="BodyText"/>
        <w:spacing w:line="300" w:lineRule="auto"/>
        <w:ind w:left="514" w:right="92" w:firstLine="422"/>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）资产支出已经发生，资产支出包括为购建或者生产符合资本化条件的资产而以支付现金、转移非现金资产或</w:t>
      </w:r>
      <w:r>
        <w:rPr/>
        <w:t> 者承担带息债务形式发生的支出；</w:t>
      </w:r>
    </w:p>
    <w:p>
      <w:pPr>
        <w:pStyle w:val="BodyText"/>
        <w:spacing w:line="240" w:lineRule="auto" w:before="151"/>
        <w:ind w:left="936" w:right="92"/>
        <w:jc w:val="left"/>
      </w:pPr>
      <w:r>
        <w:rPr/>
        <w:t>（</w:t>
      </w:r>
      <w:r>
        <w:rPr>
          <w:rFonts w:ascii="Times New Roman" w:hAnsi="Times New Roman" w:cs="Times New Roman" w:eastAsia="Times New Roman" w:hint="default"/>
        </w:rPr>
        <w:t>2</w:t>
      </w:r>
      <w:r>
        <w:rPr/>
        <w:t>）借款费用已经发生；</w:t>
      </w:r>
    </w:p>
    <w:p>
      <w:pPr>
        <w:spacing w:line="240" w:lineRule="auto" w:before="13"/>
        <w:rPr>
          <w:rFonts w:ascii="宋体" w:hAnsi="宋体" w:cs="宋体" w:eastAsia="宋体" w:hint="default"/>
          <w:sz w:val="13"/>
          <w:szCs w:val="13"/>
        </w:rPr>
      </w:pPr>
    </w:p>
    <w:p>
      <w:pPr>
        <w:spacing w:line="415" w:lineRule="auto" w:before="0"/>
        <w:ind w:left="513" w:right="2254" w:firstLine="4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为使资产达到预定可使用或者可销售状态所必要的购建或者生产活动已经开始。</w:t>
      </w:r>
      <w:r>
        <w:rPr>
          <w:rFonts w:ascii="宋体" w:hAnsi="宋体" w:cs="宋体" w:eastAsia="宋体" w:hint="default"/>
          <w:sz w:val="18"/>
          <w:szCs w:val="18"/>
        </w:rPr>
        <w:t> </w:t>
      </w:r>
      <w:r>
        <w:rPr>
          <w:rFonts w:ascii="宋体" w:hAnsi="宋体" w:cs="宋体" w:eastAsia="宋体" w:hint="default"/>
          <w:b/>
          <w:bCs/>
          <w:sz w:val="18"/>
          <w:szCs w:val="18"/>
        </w:rPr>
        <w:t>B</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pStyle w:val="BodyText"/>
        <w:spacing w:line="439" w:lineRule="auto" w:before="65"/>
        <w:ind w:left="936" w:right="92"/>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pStyle w:val="BodyText"/>
        <w:spacing w:line="316" w:lineRule="auto" w:before="47"/>
        <w:ind w:left="513" w:right="92" w:firstLine="422"/>
        <w:jc w:val="left"/>
      </w:pPr>
      <w:r>
        <w:rPr/>
        <w:t>购建或者生产的资产的各部分分别完工，但必须等到整体完工后才可使用或可对外销售的，在该资产整体完工时 停止借款费用资本化。</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Heading5"/>
        <w:spacing w:line="240" w:lineRule="auto" w:before="44"/>
        <w:ind w:left="513" w:right="0"/>
        <w:jc w:val="left"/>
        <w:rPr>
          <w:b w:val="0"/>
          <w:bCs w:val="0"/>
        </w:rPr>
      </w:pPr>
      <w:r>
        <w:rPr>
          <w:rFonts w:ascii="宋体" w:hAnsi="宋体" w:cs="宋体" w:eastAsia="宋体" w:hint="default"/>
        </w:rPr>
        <w:t>C</w:t>
      </w:r>
      <w:r>
        <w:rPr/>
        <w:t>、</w:t>
      </w:r>
      <w:r>
        <w:rPr>
          <w:spacing w:val="-5"/>
        </w:rPr>
        <w:t> </w:t>
      </w:r>
      <w:r>
        <w:rPr/>
        <w:t>借款费用暂停资本化期间</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left="513" w:right="151" w:firstLine="422"/>
        <w:jc w:val="both"/>
      </w:pP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w:t>
      </w:r>
      <w:r>
        <w:rPr/>
        <w:t> </w:t>
      </w:r>
      <w:r>
        <w:rPr>
          <w:spacing w:val="-2"/>
        </w:rPr>
        <w:t>本化；该项中断如是所购建或生产的符合资本化条件的资产达到预定可使用状态或者可销售状态必要的程序，则借款费</w:t>
      </w:r>
      <w:r>
        <w:rPr>
          <w:spacing w:val="-68"/>
        </w:rPr>
        <w:t> </w:t>
      </w:r>
      <w:r>
        <w:rPr>
          <w:spacing w:val="-68"/>
        </w:rPr>
      </w:r>
      <w:r>
        <w:rPr>
          <w:spacing w:val="-2"/>
        </w:rPr>
        <w:t>用继续资本化。在中断期间发生的借款费用确认为当期损益，直至资产的购建或者生产活动重新开始后借款费用继续资</w:t>
      </w:r>
      <w:r>
        <w:rPr>
          <w:spacing w:val="-68"/>
        </w:rPr>
        <w:t> </w:t>
      </w:r>
      <w:r>
        <w:rPr>
          <w:spacing w:val="-68"/>
        </w:rPr>
      </w:r>
      <w:r>
        <w:rPr/>
        <w:t>本化。</w:t>
      </w:r>
    </w:p>
    <w:p>
      <w:pPr>
        <w:spacing w:line="432" w:lineRule="exact" w:before="7"/>
        <w:ind w:left="576" w:right="0" w:hanging="63"/>
        <w:jc w:val="left"/>
        <w:rPr>
          <w:rFonts w:ascii="宋体" w:hAnsi="宋体" w:cs="宋体" w:eastAsia="宋体" w:hint="default"/>
          <w:sz w:val="18"/>
          <w:szCs w:val="18"/>
        </w:rPr>
      </w:pPr>
      <w:r>
        <w:rPr>
          <w:rFonts w:ascii="宋体" w:hAnsi="宋体" w:cs="宋体" w:eastAsia="宋体" w:hint="default"/>
          <w:b/>
          <w:bCs/>
          <w:sz w:val="18"/>
          <w:szCs w:val="18"/>
        </w:rPr>
        <w:t>D</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对于为购建或者生产符合资本化条件的资产而借入的专门借款，以专门借款当期实际发生的借款费用及其辅助费，减</w:t>
      </w:r>
    </w:p>
    <w:p>
      <w:pPr>
        <w:pStyle w:val="BodyText"/>
        <w:spacing w:line="316" w:lineRule="auto" w:before="15"/>
        <w:ind w:right="0"/>
        <w:jc w:val="left"/>
      </w:pPr>
      <w:r>
        <w:rPr/>
        <w:t>去尚未动用的借款资金存入银行取得的利息收入或进行暂时性投资取得的投资收益后的金额，来确定借款费用的资本化金</w:t>
      </w:r>
      <w:r>
        <w:rPr>
          <w:spacing w:val="-9"/>
        </w:rPr>
        <w:t> </w:t>
      </w:r>
      <w:r>
        <w:rPr>
          <w:spacing w:val="-9"/>
        </w:rPr>
      </w:r>
      <w:r>
        <w:rPr/>
        <w:t>额。</w:t>
      </w:r>
    </w:p>
    <w:p>
      <w:pPr>
        <w:pStyle w:val="BodyText"/>
        <w:spacing w:line="316" w:lineRule="auto" w:before="139"/>
        <w:ind w:left="154" w:right="151" w:firstLine="422"/>
        <w:jc w:val="both"/>
      </w:pPr>
      <w:r>
        <w:rPr/>
        <w:t>对于为购建或者生产符合资本化条件的资产而占用的一般借款，根据累计资产支出超过专门借款部分的资产支出加权 </w:t>
      </w:r>
      <w:r>
        <w:rPr>
          <w:spacing w:val="-2"/>
        </w:rPr>
        <w:t>平均数乘以所占用一般借款的资本化率，计算确定一般借款应予资本化的利息金额。资本化率根据一般借款加权平均利率计</w:t>
      </w:r>
      <w:r>
        <w:rPr>
          <w:spacing w:val="-64"/>
        </w:rPr>
        <w:t> </w:t>
      </w:r>
      <w:r>
        <w:rPr>
          <w:spacing w:val="-64"/>
        </w:rPr>
      </w:r>
      <w:r>
        <w:rPr/>
        <w:t>算确定。</w:t>
      </w:r>
    </w:p>
    <w:p>
      <w:pPr>
        <w:pStyle w:val="BodyText"/>
        <w:spacing w:line="240" w:lineRule="auto" w:before="139"/>
        <w:ind w:left="576" w:right="0"/>
        <w:jc w:val="left"/>
      </w:pPr>
      <w:r>
        <w:rPr/>
        <w:t>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生物资产" w:id="148"/>
      <w:bookmarkEnd w:id="148"/>
      <w:r>
        <w:rPr>
          <w:b w:val="0"/>
          <w:bCs w:val="0"/>
        </w:rPr>
      </w:r>
      <w:r>
        <w:rPr>
          <w:rFonts w:ascii="Times New Roman" w:hAnsi="Times New Roman" w:cs="Times New Roman" w:eastAsia="Times New Roman" w:hint="default"/>
          <w:spacing w:val="2"/>
        </w:rPr>
        <w:t>19</w:t>
      </w:r>
      <w:r>
        <w:rPr>
          <w:spacing w:val="2"/>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0、油气资产" w:id="149"/>
      <w:bookmarkEnd w:id="14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1、无形资产" w:id="150"/>
      <w:bookmarkEnd w:id="15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154" w:right="0"/>
        <w:jc w:val="left"/>
        <w:rPr>
          <w:b w:val="0"/>
          <w:bCs w:val="0"/>
        </w:rPr>
      </w:pPr>
      <w:bookmarkStart w:name="（1）计价方法、使用寿命、减值测试" w:id="151"/>
      <w:bookmarkEnd w:id="15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14"/>
          <w:szCs w:val="14"/>
        </w:rPr>
      </w:pPr>
    </w:p>
    <w:p>
      <w:pPr>
        <w:spacing w:line="420" w:lineRule="atLeast" w:before="0"/>
        <w:ind w:left="576" w:right="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&lt;1&gt;</w:t>
      </w:r>
      <w:r>
        <w:rPr>
          <w:rFonts w:ascii="宋体" w:hAnsi="宋体" w:cs="宋体" w:eastAsia="宋体" w:hint="default"/>
          <w:b/>
          <w:bCs/>
          <w:sz w:val="18"/>
          <w:szCs w:val="18"/>
        </w:rPr>
        <w:t>取得无形资产时按成本进行初始计量</w:t>
      </w:r>
      <w:r>
        <w:rPr>
          <w:rFonts w:ascii="宋体" w:hAnsi="宋体" w:cs="宋体" w:eastAsia="宋体" w:hint="default"/>
          <w:b/>
          <w:bCs/>
          <w:w w:val="99"/>
          <w:sz w:val="18"/>
          <w:szCs w:val="18"/>
        </w:rPr>
        <w:t> </w:t>
      </w:r>
      <w:r>
        <w:rPr>
          <w:rFonts w:ascii="宋体" w:hAnsi="宋体" w:cs="宋体" w:eastAsia="宋体" w:hint="default"/>
          <w:sz w:val="18"/>
          <w:szCs w:val="18"/>
        </w:rPr>
        <w:t>外购无形资产的成本，包括购买价款、相关税费以及直接归属于使该项资产达到预定用途所发生的其他支出。购买无</w:t>
      </w:r>
    </w:p>
    <w:p>
      <w:pPr>
        <w:pStyle w:val="BodyText"/>
        <w:spacing w:line="240" w:lineRule="auto" w:before="76"/>
        <w:ind w:right="0"/>
        <w:jc w:val="left"/>
      </w:pPr>
      <w:r>
        <w:rPr/>
        <w:t>形资产的价款超过正常信用条件延期支付，实质上具有融资性质的，无形资产的成本以购买价款的现值为基础确定。</w:t>
      </w:r>
    </w:p>
    <w:p>
      <w:pPr>
        <w:spacing w:line="240" w:lineRule="auto" w:before="0"/>
        <w:rPr>
          <w:rFonts w:ascii="宋体" w:hAnsi="宋体" w:cs="宋体" w:eastAsia="宋体" w:hint="default"/>
          <w:sz w:val="15"/>
          <w:szCs w:val="15"/>
        </w:rPr>
      </w:pPr>
    </w:p>
    <w:p>
      <w:pPr>
        <w:pStyle w:val="BodyText"/>
        <w:spacing w:line="316" w:lineRule="auto"/>
        <w:ind w:right="153" w:firstLine="422"/>
        <w:jc w:val="both"/>
      </w:pPr>
      <w:r>
        <w:rPr/>
        <w:t>债务重组取得债务人用以抵债的无形资产，以该无形资产的公允价值为基础确定其入账价值，并将重组债务的账面价 值与该用以抵债的无形资产公允价值之间的差额，计入当期损益；</w:t>
      </w:r>
    </w:p>
    <w:p>
      <w:pPr>
        <w:pStyle w:val="BodyText"/>
        <w:spacing w:line="316" w:lineRule="auto" w:before="139"/>
        <w:ind w:left="154" w:right="152" w:firstLine="422"/>
        <w:jc w:val="both"/>
      </w:pPr>
      <w:r>
        <w:rPr/>
        <w:t>在非货币性资产交换具备商业实质且换入资产或换出资产的公允价值能够可靠计量的前提下，非货币性资产交换换入 </w:t>
      </w:r>
      <w:r>
        <w:rPr>
          <w:spacing w:val="-2"/>
        </w:rPr>
        <w:t>的无形资产以换出资产的公允价值为基础确定其入账价值，除非有确凿证据表明换入资产的公允价值更加可靠；不满足上述</w:t>
      </w:r>
      <w:r>
        <w:rPr>
          <w:spacing w:val="-64"/>
        </w:rPr>
        <w:t> </w:t>
      </w:r>
      <w:r>
        <w:rPr>
          <w:spacing w:val="-64"/>
        </w:rPr>
      </w:r>
      <w:r>
        <w:rPr/>
        <w:t>前提的非货币性资产交换，以换出资产的账面价值和应支付的相关税费作为换入无形资产的成本，不确认损益。</w:t>
      </w:r>
    </w:p>
    <w:p>
      <w:pPr>
        <w:pStyle w:val="BodyText"/>
        <w:spacing w:line="316" w:lineRule="auto" w:before="139"/>
        <w:ind w:right="152" w:firstLine="422"/>
        <w:jc w:val="both"/>
      </w:pPr>
      <w:r>
        <w:rPr/>
        <w:t>以同一控制下的企业吸收合并方式取得的无形资产按被合并方的账面价值确定其入账价值；以非同一控制下的企业吸 收合并方式取得的无形资产按公允价值确定其入账价值。</w:t>
      </w:r>
    </w:p>
    <w:p>
      <w:pPr>
        <w:pStyle w:val="BodyText"/>
        <w:spacing w:line="319" w:lineRule="auto" w:before="139"/>
        <w:ind w:left="154" w:right="153" w:firstLine="422"/>
        <w:jc w:val="both"/>
      </w:pPr>
      <w:r>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Heading5"/>
        <w:spacing w:line="240" w:lineRule="auto" w:before="137"/>
        <w:ind w:right="0"/>
        <w:jc w:val="left"/>
        <w:rPr>
          <w:b w:val="0"/>
          <w:bCs w:val="0"/>
        </w:rPr>
      </w:pPr>
      <w:r>
        <w:rPr>
          <w:rFonts w:ascii="Times New Roman" w:hAnsi="Times New Roman" w:cs="Times New Roman" w:eastAsia="Times New Roman" w:hint="default"/>
        </w:rPr>
        <w:t>&lt;2&gt;</w:t>
      </w:r>
      <w:r>
        <w:rPr/>
        <w:t>后续计量</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6" w:right="0"/>
        <w:jc w:val="left"/>
      </w:pPr>
      <w:r>
        <w:rPr/>
        <w:t>在取得无形资产时分析判断其使用寿命。</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53" w:firstLine="422"/>
        <w:jc w:val="both"/>
      </w:pPr>
      <w:r>
        <w:rPr/>
        <w:t>对于使用寿命有限的无形资产，在为企业带来经济利益的期限内按直线法摊销；无法预见无形资产为企业带来经济利 益期限的，视为使用寿命不确定的无形资产，不予摊销。</w:t>
      </w:r>
    </w:p>
    <w:p>
      <w:pPr>
        <w:spacing w:line="432" w:lineRule="exact" w:before="3"/>
        <w:ind w:left="576" w:right="15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&lt;3&gt;</w:t>
      </w:r>
      <w:r>
        <w:rPr>
          <w:rFonts w:ascii="宋体" w:hAnsi="宋体" w:cs="宋体" w:eastAsia="宋体" w:hint="default"/>
          <w:b/>
          <w:bCs/>
          <w:sz w:val="18"/>
          <w:szCs w:val="18"/>
        </w:rPr>
        <w:t>使用寿命有限的无形资产的使用寿命估计情况</w:t>
      </w:r>
      <w:r>
        <w:rPr>
          <w:rFonts w:ascii="宋体" w:hAnsi="宋体" w:cs="宋体" w:eastAsia="宋体" w:hint="default"/>
          <w:b/>
          <w:bCs/>
          <w:w w:val="99"/>
          <w:sz w:val="18"/>
          <w:szCs w:val="18"/>
        </w:rPr>
        <w:t> </w:t>
      </w:r>
      <w:r>
        <w:rPr>
          <w:rFonts w:ascii="宋体" w:hAnsi="宋体" w:cs="宋体" w:eastAsia="宋体" w:hint="default"/>
          <w:spacing w:val="-2"/>
          <w:sz w:val="18"/>
          <w:szCs w:val="18"/>
        </w:rPr>
        <w:t>本公司计算机软件著作权以该项权力通常寿命周期和类似资产使用寿命为基础，估计其使用寿命为</w:t>
      </w:r>
      <w:r>
        <w:rPr>
          <w:rFonts w:ascii="Times New Roman" w:hAnsi="Times New Roman" w:cs="Times New Roman" w:eastAsia="Times New Roman" w:hint="default"/>
          <w:spacing w:val="-2"/>
          <w:sz w:val="18"/>
          <w:szCs w:val="18"/>
        </w:rPr>
        <w:t>5-10</w:t>
      </w:r>
      <w:r>
        <w:rPr>
          <w:rFonts w:ascii="宋体" w:hAnsi="宋体" w:cs="宋体" w:eastAsia="宋体" w:hint="default"/>
          <w:spacing w:val="-2"/>
          <w:sz w:val="18"/>
          <w:szCs w:val="18"/>
        </w:rPr>
        <w:t>年，在</w:t>
      </w:r>
      <w:r>
        <w:rPr>
          <w:rFonts w:ascii="Times New Roman" w:hAnsi="Times New Roman" w:cs="Times New Roman" w:eastAsia="Times New Roman" w:hint="default"/>
          <w:spacing w:val="-2"/>
          <w:sz w:val="18"/>
          <w:szCs w:val="18"/>
        </w:rPr>
        <w:t>5-10</w:t>
      </w:r>
      <w:r>
        <w:rPr>
          <w:rFonts w:ascii="宋体" w:hAnsi="宋体" w:cs="宋体" w:eastAsia="宋体" w:hint="default"/>
          <w:spacing w:val="-2"/>
          <w:sz w:val="18"/>
          <w:szCs w:val="18"/>
        </w:rPr>
        <w:t>年内</w:t>
      </w:r>
    </w:p>
    <w:p>
      <w:pPr>
        <w:pStyle w:val="BodyText"/>
        <w:spacing w:line="439" w:lineRule="auto" w:before="15"/>
        <w:ind w:left="576" w:right="2150" w:hanging="423"/>
        <w:jc w:val="left"/>
      </w:pPr>
      <w:r>
        <w:rPr/>
        <w:t>采用直线法摊销。 本公司取得的土地使用权，通常作为无形资产核算，摊销年限为土地使用权剩余使用年限。 每期末，对使用寿命有限的无形资产的使用寿命及摊销方法进行复核。 经复核，本年期末无形资产的使用寿命及摊销方法与以前估计未有不同。</w:t>
      </w:r>
    </w:p>
    <w:p>
      <w:pPr>
        <w:spacing w:line="415" w:lineRule="auto" w:before="47"/>
        <w:ind w:left="573" w:right="4628"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&lt;4&gt;</w:t>
      </w:r>
      <w:r>
        <w:rPr>
          <w:rFonts w:ascii="宋体" w:hAnsi="宋体" w:cs="宋体" w:eastAsia="宋体" w:hint="default"/>
          <w:b/>
          <w:bCs/>
          <w:sz w:val="18"/>
          <w:szCs w:val="18"/>
        </w:rPr>
        <w:t>使用寿命不确定的无形资产的判断依据</w:t>
      </w:r>
      <w:r>
        <w:rPr>
          <w:rFonts w:ascii="宋体" w:hAnsi="宋体" w:cs="宋体" w:eastAsia="宋体" w:hint="default"/>
          <w:b/>
          <w:bCs/>
          <w:w w:val="99"/>
          <w:sz w:val="18"/>
          <w:szCs w:val="18"/>
        </w:rPr>
        <w:t> </w:t>
      </w:r>
      <w:r>
        <w:rPr>
          <w:rFonts w:ascii="宋体" w:hAnsi="宋体" w:cs="宋体" w:eastAsia="宋体" w:hint="default"/>
          <w:sz w:val="18"/>
          <w:szCs w:val="18"/>
        </w:rPr>
        <w:t>截至资产负债表日</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本公司没有使用寿命不确定的无形资产。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5"/>
        <w:spacing w:line="240" w:lineRule="auto"/>
        <w:ind w:right="0"/>
        <w:jc w:val="left"/>
        <w:rPr>
          <w:b w:val="0"/>
          <w:bCs w:val="0"/>
        </w:rPr>
      </w:pPr>
      <w:bookmarkStart w:name="（2）内部研究开发支出会计政策" w:id="152"/>
      <w:bookmarkEnd w:id="15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spacing w:line="427" w:lineRule="auto" w:before="127"/>
        <w:ind w:left="576" w:right="161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&lt;1&gt;</w:t>
      </w:r>
      <w:r>
        <w:rPr>
          <w:rFonts w:ascii="宋体" w:hAnsi="宋体" w:cs="宋体" w:eastAsia="宋体" w:hint="default"/>
          <w:b/>
          <w:bCs/>
          <w:sz w:val="18"/>
          <w:szCs w:val="18"/>
        </w:rPr>
        <w:t>划分内部研究开发项目的研究阶段和开发阶段具体标准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内部研究开发项目的支出分为研究阶段支出和开发阶段支出。 研究阶段：为获取并理解新的科学或技术知识等而进行的独创性的有计划调查、研究活动的阶段。</w:t>
      </w:r>
    </w:p>
    <w:p>
      <w:pPr>
        <w:pStyle w:val="BodyText"/>
        <w:spacing w:line="319" w:lineRule="auto" w:before="56"/>
        <w:ind w:right="153" w:firstLine="422"/>
        <w:jc w:val="both"/>
      </w:pPr>
      <w:r>
        <w:rPr/>
        <w:t>开发阶段：在进行商业性生产或使用前，将研究成果或其他知识应用于某项计划或设计，以生产出新的或具有实质性 改进的材料、装置、产品等活动的阶段。</w:t>
      </w:r>
    </w:p>
    <w:p>
      <w:pPr>
        <w:spacing w:line="415" w:lineRule="auto" w:before="137"/>
        <w:ind w:left="576" w:right="341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&lt;2&gt;</w:t>
      </w:r>
      <w:r>
        <w:rPr>
          <w:rFonts w:ascii="宋体" w:hAnsi="宋体" w:cs="宋体" w:eastAsia="宋体" w:hint="default"/>
          <w:b/>
          <w:bCs/>
          <w:sz w:val="18"/>
          <w:szCs w:val="18"/>
        </w:rPr>
        <w:t>开发阶段支出符合资本化的具体标准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415" w:lineRule="auto" w:before="65"/>
        <w:ind w:right="4603"/>
        <w:jc w:val="left"/>
      </w:pP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37"/>
        <w:ind w:right="0"/>
        <w:jc w:val="left"/>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、无形资产产生经济利益的方式，包括能够证明运用该无形资产生产的产品存在市场或无形资产自身存在市场，无形资产</w:t>
      </w:r>
      <w:r>
        <w:rPr>
          <w:spacing w:val="-60"/>
        </w:rPr>
        <w:t> </w:t>
      </w:r>
      <w:r>
        <w:rPr>
          <w:spacing w:val="-60"/>
        </w:rPr>
      </w:r>
      <w:r>
        <w:rPr/>
        <w:t>将在内部使用的，能够证明其有用性；</w:t>
      </w:r>
    </w:p>
    <w:p>
      <w:pPr>
        <w:pStyle w:val="BodyText"/>
        <w:spacing w:line="415" w:lineRule="auto" w:before="151"/>
        <w:ind w:right="1183"/>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pStyle w:val="BodyText"/>
        <w:spacing w:line="240" w:lineRule="auto" w:before="37"/>
        <w:ind w:left="576" w:right="0"/>
        <w:jc w:val="left"/>
      </w:pPr>
      <w:r>
        <w:rPr/>
        <w:t>开发阶段的支出，若不满足上列条件的，于发生时计入当期损益。研究阶段的支出，在发生时计入当期损益。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2、长期资产减值" w:id="153"/>
      <w:bookmarkEnd w:id="15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51" w:firstLine="422"/>
        <w:jc w:val="both"/>
      </w:pPr>
      <w:r>
        <w:rPr/>
        <w:t>在每个资产负债表日判断长期股权投资、采用成本模式计量的投资性房地产、固定资产、在建工程、采用成本模式计 </w:t>
      </w:r>
      <w:r>
        <w:rPr>
          <w:spacing w:val="-2"/>
        </w:rPr>
        <w:t>量的生物性资产、油气资产使用寿命确定的无形资产等是否存在减值迹象，对存在减值迹象的，估计其可收回金额，可收回</w:t>
      </w:r>
      <w:r>
        <w:rPr>
          <w:spacing w:val="-66"/>
        </w:rPr>
        <w:t> </w:t>
      </w:r>
      <w:r>
        <w:rPr>
          <w:spacing w:val="-66"/>
        </w:rPr>
      </w:r>
      <w:r>
        <w:rPr>
          <w:spacing w:val="-2"/>
        </w:rPr>
        <w:t>金额低于其账面价值的，将资产的账面价值减记至可收回金额，减记的金额确认相应的减值损失，计入当期损益，同时计提</w:t>
      </w:r>
      <w:r>
        <w:rPr>
          <w:spacing w:val="-66"/>
        </w:rPr>
        <w:t> </w:t>
      </w:r>
      <w:r>
        <w:rPr>
          <w:spacing w:val="-66"/>
        </w:rPr>
      </w:r>
      <w:r>
        <w:rPr/>
        <w:t>相应的减值准备。</w:t>
      </w:r>
    </w:p>
    <w:p>
      <w:pPr>
        <w:pStyle w:val="BodyText"/>
        <w:spacing w:line="316" w:lineRule="auto" w:before="137"/>
        <w:ind w:right="151" w:firstLine="422"/>
        <w:jc w:val="both"/>
      </w:pPr>
      <w:r>
        <w:rPr/>
        <w:t>资产可收回金额的估计，根据其公允价值减去处置费用后的净额与其预计未来现金流量的现值两者之间较高者确定。 </w:t>
      </w:r>
      <w:r>
        <w:rPr>
          <w:spacing w:val="-2"/>
        </w:rPr>
        <w:t>企业以单项资产为基础估计其可收回金额，在难以对单项资产可回收金额进行估计的情况下，以资产所属的资产组为基础确</w:t>
      </w:r>
    </w:p>
    <w:p>
      <w:pPr>
        <w:spacing w:after="0" w:line="316"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定资产组的可收回金额。</w:t>
      </w:r>
    </w:p>
    <w:p>
      <w:pPr>
        <w:spacing w:line="240" w:lineRule="auto" w:before="0"/>
        <w:rPr>
          <w:rFonts w:ascii="宋体" w:hAnsi="宋体" w:cs="宋体" w:eastAsia="宋体" w:hint="default"/>
          <w:sz w:val="15"/>
          <w:szCs w:val="15"/>
        </w:rPr>
      </w:pPr>
    </w:p>
    <w:p>
      <w:pPr>
        <w:pStyle w:val="BodyText"/>
        <w:spacing w:line="316" w:lineRule="auto"/>
        <w:ind w:right="193" w:firstLine="422"/>
        <w:jc w:val="both"/>
      </w:pPr>
      <w:r>
        <w:rPr/>
        <w:t>资产减值损失确认后，减值资产的折旧或者摊销费用在未来期间做相应调整，使资产在剩余寿命内，系统地分摊调整 后的资产账面价值。</w:t>
      </w:r>
    </w:p>
    <w:p>
      <w:pPr>
        <w:pStyle w:val="BodyText"/>
        <w:spacing w:line="432" w:lineRule="exact" w:before="4"/>
        <w:ind w:left="576" w:right="92"/>
        <w:jc w:val="left"/>
      </w:pPr>
      <w:r>
        <w:rPr/>
        <w:t>对于使用寿命不确定的无形资产、尚未达到使用状态的无形资以及合并所形成的商誉每年年度终了进行减值测试。 关于商誉减值测试，对于因企业合并形成的商誉的账面价值，自购买日起按照合理的方法分摊至相关的资产组；难以</w:t>
      </w:r>
    </w:p>
    <w:p>
      <w:pPr>
        <w:pStyle w:val="BodyText"/>
        <w:spacing w:line="316" w:lineRule="auto" w:before="15"/>
        <w:ind w:right="193"/>
        <w:jc w:val="both"/>
      </w:pPr>
      <w:r>
        <w:rPr>
          <w:spacing w:val="-2"/>
        </w:rPr>
        <w:t>分摊至相关的资产组的，将其分摊至相关的资产组组合。在将商誉的账面价值分摊至相关的资产组或者资产组组合时，按照</w:t>
      </w:r>
      <w:r>
        <w:rPr>
          <w:spacing w:val="-66"/>
        </w:rPr>
        <w:t> </w:t>
      </w:r>
      <w:r>
        <w:rPr>
          <w:spacing w:val="-66"/>
        </w:rPr>
      </w:r>
      <w:r>
        <w:rPr/>
        <w:t>各资产组或者资产组组合的公允价值占相关资产组或者资产组组合公允价值总额的比例进行分摊。公允价值难以可靠计量</w:t>
      </w:r>
      <w:r>
        <w:rPr>
          <w:spacing w:val="-7"/>
        </w:rPr>
        <w:t> </w:t>
      </w:r>
      <w:r>
        <w:rPr>
          <w:spacing w:val="-7"/>
        </w:rPr>
      </w:r>
      <w:r>
        <w:rPr/>
        <w:t>的，按照各资产组或者资产组组合的账面价值占相关资产组或者资产组组合账面价值总额的比例进行分摊。</w:t>
      </w:r>
    </w:p>
    <w:p>
      <w:pPr>
        <w:pStyle w:val="BodyText"/>
        <w:spacing w:line="316" w:lineRule="auto" w:before="139"/>
        <w:ind w:right="93" w:firstLine="422"/>
        <w:jc w:val="left"/>
      </w:pPr>
      <w:r>
        <w:rPr>
          <w:spacing w:val="-2"/>
        </w:rPr>
        <w:t>在对包含商誉的相关资产组或者资产组组合进行减值测试时，如与商誉相关的资产组或者资产组组合存在减值迹象的，</w:t>
      </w:r>
      <w:r>
        <w:rPr/>
        <w:t>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3、长期待摊费用" w:id="154"/>
      <w:bookmarkEnd w:id="15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92" w:firstLine="422"/>
        <w:jc w:val="both"/>
      </w:pPr>
      <w:r>
        <w:rPr>
          <w:spacing w:val="-2"/>
        </w:rPr>
        <w:t>对于已经发生但应由本期和以后各期负担的分摊期限在</w:t>
      </w:r>
      <w:r>
        <w:rPr>
          <w:rFonts w:ascii="Times New Roman" w:hAnsi="Times New Roman" w:cs="Times New Roman" w:eastAsia="Times New Roman" w:hint="default"/>
          <w:spacing w:val="-2"/>
        </w:rPr>
        <w:t>1</w:t>
      </w:r>
      <w:r>
        <w:rPr>
          <w:spacing w:val="-2"/>
        </w:rPr>
        <w:t>年以上的各项费用，包括经营租入固定资产改良支出，作为长</w:t>
      </w:r>
      <w:r>
        <w:rPr/>
        <w:t> </w:t>
      </w:r>
      <w:r>
        <w:rPr>
          <w:spacing w:val="-2"/>
        </w:rPr>
        <w:t>期待摊费用按预计受益年限分期摊销。如果长期待摊费用项目不能使以后会计期间受益的，则将其尚未摊销的摊余价值全部</w:t>
      </w:r>
      <w:r>
        <w:rPr>
          <w:spacing w:val="-64"/>
        </w:rPr>
        <w:t> </w:t>
      </w:r>
      <w:r>
        <w:rPr>
          <w:spacing w:val="-64"/>
        </w:rPr>
      </w:r>
      <w:r>
        <w:rPr/>
        <w:t>转入当期损益。</w:t>
      </w:r>
    </w:p>
    <w:p>
      <w:pPr>
        <w:spacing w:line="240" w:lineRule="auto" w:before="12"/>
        <w:rPr>
          <w:rFonts w:ascii="宋体" w:hAnsi="宋体" w:cs="宋体" w:eastAsia="宋体" w:hint="default"/>
          <w:sz w:val="22"/>
          <w:szCs w:val="22"/>
        </w:rPr>
      </w:pPr>
    </w:p>
    <w:p>
      <w:pPr>
        <w:pStyle w:val="Heading3"/>
        <w:spacing w:line="240" w:lineRule="auto"/>
        <w:ind w:left="154" w:right="0"/>
        <w:jc w:val="both"/>
        <w:rPr>
          <w:b w:val="0"/>
          <w:bCs w:val="0"/>
        </w:rPr>
      </w:pPr>
      <w:bookmarkStart w:name="24、职工薪酬" w:id="155"/>
      <w:bookmarkEnd w:id="15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6"/>
          <w:szCs w:val="26"/>
        </w:rPr>
      </w:pPr>
    </w:p>
    <w:p>
      <w:pPr>
        <w:spacing w:line="590" w:lineRule="auto" w:before="0"/>
        <w:ind w:left="576" w:right="930" w:hanging="423"/>
        <w:jc w:val="left"/>
        <w:rPr>
          <w:rFonts w:ascii="宋体" w:hAnsi="宋体" w:cs="宋体" w:eastAsia="宋体" w:hint="default"/>
          <w:sz w:val="18"/>
          <w:szCs w:val="18"/>
        </w:rPr>
      </w:pPr>
      <w:bookmarkStart w:name="（1）短期薪酬的会计处理方法" w:id="156"/>
      <w:bookmarkEnd w:id="15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z w:val="18"/>
          <w:szCs w:val="18"/>
        </w:rPr>
        <w:t>在职工为公司提供服务的会计期间，将实际发生的短期薪酬确认为负债，并计入当期损益或相关资产成本。</w:t>
      </w:r>
    </w:p>
    <w:p>
      <w:pPr>
        <w:pStyle w:val="Heading5"/>
        <w:spacing w:line="240" w:lineRule="auto" w:before="115"/>
        <w:ind w:right="0"/>
        <w:jc w:val="both"/>
        <w:rPr>
          <w:b w:val="0"/>
          <w:bCs w:val="0"/>
        </w:rPr>
      </w:pPr>
      <w:bookmarkStart w:name="（2）离职后福利的会计处理方法" w:id="157"/>
      <w:bookmarkEnd w:id="15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1"/>
        <w:rPr>
          <w:rFonts w:ascii="宋体" w:hAnsi="宋体" w:cs="宋体" w:eastAsia="宋体" w:hint="default"/>
          <w:b/>
          <w:bCs/>
          <w:sz w:val="12"/>
          <w:szCs w:val="12"/>
        </w:rPr>
      </w:pPr>
    </w:p>
    <w:p>
      <w:pPr>
        <w:pStyle w:val="BodyText"/>
        <w:spacing w:line="430" w:lineRule="atLeast"/>
        <w:ind w:left="576" w:right="92"/>
        <w:jc w:val="left"/>
      </w:pPr>
      <w:r>
        <w:rPr/>
        <w:t>离职后福利计划分类为设定提存计划和设定受益计划。 在职工为公司提供服务的会计期间，将根据设定提存计划计算的应缴存金额确认为负债，并计入当期损益或相关资产</w:t>
      </w:r>
    </w:p>
    <w:p>
      <w:pPr>
        <w:pStyle w:val="BodyText"/>
        <w:spacing w:line="316" w:lineRule="auto" w:before="76"/>
        <w:ind w:left="154" w:right="191"/>
        <w:jc w:val="both"/>
      </w:pPr>
      <w:r>
        <w:rPr>
          <w:spacing w:val="-2"/>
        </w:rPr>
        <w:t>成本。根据设定提存计划，预期不会在职工提供相关服务的年度报告期结束后十二个月内支付全部应缴存金额的，根据资产</w:t>
      </w:r>
      <w:r>
        <w:rPr>
          <w:spacing w:val="-66"/>
        </w:rPr>
        <w:t> </w:t>
      </w:r>
      <w:r>
        <w:rPr>
          <w:spacing w:val="-66"/>
        </w:rPr>
      </w:r>
      <w:r>
        <w:rPr>
          <w:spacing w:val="-2"/>
        </w:rPr>
        <w:t>负债表日与设定受益计划义务期限和币种相匹配的国债或活跃市场上的高质量公司债券的市场收益率，将全部应缴存金额以</w:t>
      </w:r>
      <w:r>
        <w:rPr>
          <w:spacing w:val="-64"/>
        </w:rPr>
        <w:t> </w:t>
      </w:r>
      <w:r>
        <w:rPr>
          <w:spacing w:val="-64"/>
        </w:rPr>
      </w:r>
      <w:r>
        <w:rPr/>
        <w:t>折现后的金额计量应付职工薪酬。</w:t>
      </w:r>
    </w:p>
    <w:p>
      <w:pPr>
        <w:pStyle w:val="BodyText"/>
        <w:spacing w:line="316" w:lineRule="auto" w:before="139"/>
        <w:ind w:left="154" w:right="188" w:firstLine="422"/>
        <w:jc w:val="both"/>
      </w:pPr>
      <w:r>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BodyText"/>
        <w:spacing w:line="316" w:lineRule="auto" w:before="139"/>
        <w:ind w:right="192" w:firstLine="422"/>
        <w:jc w:val="both"/>
      </w:pPr>
      <w:r>
        <w:rPr/>
        <w:t>设定受益计划存在资产的，将设定受益计划义务现值减去设定受益计划资产公允价值所形成的赤字或盈余确认为一项 </w:t>
      </w:r>
      <w:r>
        <w:rPr>
          <w:spacing w:val="-2"/>
        </w:rPr>
        <w:t>设定受益计划净负债或净资产。设定受益计划存在盈余的，企业以设定受益计划的盈余和资产上限两项的孰低者计量设定受</w:t>
      </w:r>
      <w:r>
        <w:rPr>
          <w:spacing w:val="-64"/>
        </w:rPr>
        <w:t> </w:t>
      </w:r>
      <w:r>
        <w:rPr>
          <w:spacing w:val="-64"/>
        </w:rPr>
      </w:r>
      <w:r>
        <w:rPr>
          <w:spacing w:val="-2"/>
        </w:rPr>
        <w:t>益计划净资产。其中，资产上限，是指企业可从设定受益计划退款或减少未来对设定受益计划缴存资金而获得的经济利益的</w:t>
      </w:r>
      <w:r>
        <w:rPr>
          <w:spacing w:val="-66"/>
        </w:rPr>
        <w:t> </w:t>
      </w:r>
      <w:r>
        <w:rPr>
          <w:spacing w:val="-66"/>
        </w:rPr>
      </w:r>
      <w:r>
        <w:rPr/>
        <w:t>现值。</w:t>
      </w:r>
    </w:p>
    <w:p>
      <w:pPr>
        <w:pStyle w:val="BodyText"/>
        <w:spacing w:line="316" w:lineRule="auto" w:before="139"/>
        <w:ind w:right="188" w:firstLine="422"/>
        <w:jc w:val="both"/>
      </w:pPr>
      <w:r>
        <w:rPr/>
        <w:t>报告期末，将设定受益计划产生的职工薪酬成本中的服务成本和设定受益计划净负债或净资产的利息净额部分计入当 </w:t>
      </w:r>
      <w:r>
        <w:rPr>
          <w:spacing w:val="-2"/>
        </w:rPr>
        <w:t>期损益或资产成本；重新计量设定受益计划净负债或净资产所产生的变动。计入其他综合收益，并且在后续会计期间不允许</w:t>
      </w:r>
      <w:r>
        <w:rPr>
          <w:spacing w:val="-66"/>
        </w:rPr>
        <w:t> </w:t>
      </w:r>
      <w:r>
        <w:rPr>
          <w:spacing w:val="-66"/>
        </w:rPr>
      </w:r>
      <w:r>
        <w:rPr/>
        <w:t>转回至损益，可以在权益范围内转移。</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76" w:right="0"/>
        <w:jc w:val="left"/>
      </w:pPr>
      <w:r>
        <w:rPr/>
        <w:t>在设定受益计划下，在修改设定受益计划与确认相关重组费用或辞退福利孰早日将过去服务成本确认为当期费用。</w:t>
      </w:r>
    </w:p>
    <w:p>
      <w:pPr>
        <w:spacing w:line="240" w:lineRule="auto" w:before="0"/>
        <w:rPr>
          <w:rFonts w:ascii="宋体" w:hAnsi="宋体" w:cs="宋体" w:eastAsia="宋体" w:hint="default"/>
          <w:sz w:val="15"/>
          <w:szCs w:val="15"/>
        </w:rPr>
      </w:pPr>
    </w:p>
    <w:p>
      <w:pPr>
        <w:pStyle w:val="BodyText"/>
        <w:spacing w:line="316" w:lineRule="auto"/>
        <w:ind w:right="153" w:firstLine="422"/>
        <w:jc w:val="both"/>
      </w:pPr>
      <w:r>
        <w:rPr/>
        <w:t>企业在设定受益计划结算时，确认结算利得或损失。该利得或损失是在结算日确定的设定受益计划义务现值与结算价 格的差。</w:t>
      </w:r>
    </w:p>
    <w:p>
      <w:pPr>
        <w:spacing w:line="612" w:lineRule="exact" w:before="41"/>
        <w:ind w:left="576" w:right="3590" w:hanging="423"/>
        <w:jc w:val="left"/>
        <w:rPr>
          <w:rFonts w:ascii="宋体" w:hAnsi="宋体" w:cs="宋体" w:eastAsia="宋体" w:hint="default"/>
          <w:sz w:val="18"/>
          <w:szCs w:val="18"/>
        </w:rPr>
      </w:pPr>
      <w:bookmarkStart w:name="（3）辞退福利的会计处理方法" w:id="158"/>
      <w:bookmarkEnd w:id="15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在下列两者孰早日确认辞退福利产生的职工薪酬负债，并计入当期损益：</w:t>
      </w:r>
    </w:p>
    <w:p>
      <w:pPr>
        <w:pStyle w:val="BodyText"/>
        <w:spacing w:line="415" w:lineRule="auto" w:before="99"/>
        <w:ind w:left="154" w:right="3522"/>
        <w:jc w:val="left"/>
      </w:pPr>
      <w:r>
        <w:rPr>
          <w:rFonts w:ascii="Times New Roman" w:hAnsi="Times New Roman" w:cs="Times New Roman" w:eastAsia="Times New Roman" w:hint="default"/>
        </w:rPr>
        <w:t>A</w:t>
      </w:r>
      <w:r>
        <w:rPr/>
        <w:t>、企业不能单方面撤回因解除劳动关系计划或裁减建议所提供的辞退福利时； </w:t>
      </w:r>
      <w:r>
        <w:rPr>
          <w:rFonts w:ascii="Times New Roman" w:hAnsi="Times New Roman" w:cs="Times New Roman" w:eastAsia="Times New Roman" w:hint="default"/>
        </w:rPr>
        <w:t>B</w:t>
      </w:r>
      <w:r>
        <w:rPr/>
        <w:t>、企业确认与涉及支付辞退福利的重组相关的成本或费用时。</w:t>
      </w:r>
    </w:p>
    <w:p>
      <w:pPr>
        <w:pStyle w:val="BodyText"/>
        <w:spacing w:line="316" w:lineRule="auto" w:before="37"/>
        <w:ind w:left="154" w:right="153" w:firstLine="422"/>
        <w:jc w:val="both"/>
      </w:pPr>
      <w:r>
        <w:rPr/>
        <w:t>辞退福利预期在其确认的年度报告期结束后十二个月内完全支付的，适用短期薪酬的相关规定；辞退福利预期在年度 报告期结束后十二个月内不能完全支付的，适用其他长期职工福利的有关规定。</w:t>
      </w:r>
    </w:p>
    <w:p>
      <w:pPr>
        <w:spacing w:line="612" w:lineRule="exact" w:before="40"/>
        <w:ind w:left="576" w:right="0" w:hanging="423"/>
        <w:jc w:val="left"/>
        <w:rPr>
          <w:rFonts w:ascii="宋体" w:hAnsi="宋体" w:cs="宋体" w:eastAsia="宋体" w:hint="default"/>
          <w:sz w:val="18"/>
          <w:szCs w:val="18"/>
        </w:rPr>
      </w:pPr>
      <w:bookmarkStart w:name="（4）其他长期职工福利的会计处理方法" w:id="159"/>
      <w:bookmarkEnd w:id="159"/>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）其他长期职工福利的会计处理方法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其他长期职工福利，符合设定提存计划条件的，根据上述</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、处理。不符合设定提存计划的，适用关于设定受益计划的</w:t>
      </w:r>
    </w:p>
    <w:p>
      <w:pPr>
        <w:pStyle w:val="BodyText"/>
        <w:spacing w:line="215" w:lineRule="exact"/>
        <w:ind w:right="0"/>
        <w:jc w:val="left"/>
      </w:pPr>
      <w:r>
        <w:rPr/>
        <w:t>有关规定，确认和计量其他长期职工福利净负债或净资产。在报告期末，将其他长期职工福利中的服务成本、净负债或净资</w:t>
      </w:r>
    </w:p>
    <w:p>
      <w:pPr>
        <w:pStyle w:val="BodyText"/>
        <w:spacing w:line="240" w:lineRule="auto" w:before="76"/>
        <w:ind w:right="0"/>
        <w:jc w:val="left"/>
      </w:pPr>
      <w:r>
        <w:rPr/>
        <w:t>产的利息净额、重新计量其他长期职工福利净负债或净资产所产生的变动的总净额计入当期损益或相关资产成本。</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预计负债" w:id="160"/>
      <w:bookmarkEnd w:id="16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53" w:firstLine="422"/>
        <w:jc w:val="both"/>
      </w:pPr>
      <w:r>
        <w:rPr/>
        <w:t>涉及诉讼、债务担保、亏损合同、重组事项时，如该等事项很可能需要未来以交付资产或提供劳务、其金额能够可靠 计量的，确认为预计负债。</w:t>
      </w:r>
    </w:p>
    <w:p>
      <w:pPr>
        <w:pStyle w:val="BodyText"/>
        <w:spacing w:line="316" w:lineRule="auto" w:before="137"/>
        <w:ind w:right="153" w:firstLine="422"/>
        <w:jc w:val="both"/>
      </w:pPr>
      <w:r>
        <w:rPr/>
        <w:t>预计负债按照履行相关现时义务所需支出的最佳估计数进行初始计量，并综合考虑与或有事项有关的风险、不确定性 </w:t>
      </w:r>
      <w:r>
        <w:rPr>
          <w:spacing w:val="-2"/>
        </w:rPr>
        <w:t>和货币时间价值等因素。货币时间价值影响重大的，通过对相关未来现金流出进行折现后确定最佳估计数；因随着时间推移</w:t>
      </w:r>
      <w:r>
        <w:rPr>
          <w:spacing w:val="-66"/>
        </w:rPr>
        <w:t> </w:t>
      </w:r>
      <w:r>
        <w:rPr>
          <w:spacing w:val="-66"/>
        </w:rPr>
      </w:r>
      <w:r>
        <w:rPr/>
        <w:t>所进行的折现还原而导致的预计负债账面价值的增加金额，确认为利息费用。</w:t>
      </w:r>
    </w:p>
    <w:p>
      <w:pPr>
        <w:pStyle w:val="BodyText"/>
        <w:spacing w:line="240" w:lineRule="auto" w:before="139"/>
        <w:ind w:left="576" w:right="0"/>
        <w:jc w:val="left"/>
      </w:pPr>
      <w:r>
        <w:rPr/>
        <w:t>于资产负债表日，对预计负债的账面价值进行复核并作适当调整，以反映当前的最佳估计数。</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6、股份支付" w:id="161"/>
      <w:bookmarkEnd w:id="161"/>
      <w:r>
        <w:rPr>
          <w:b w:val="0"/>
          <w:bCs w:val="0"/>
        </w:rPr>
      </w:r>
      <w:r>
        <w:rPr>
          <w:rFonts w:ascii="Times New Roman" w:hAnsi="Times New Roman" w:cs="Times New Roman" w:eastAsia="Times New Roman" w:hint="default"/>
        </w:rPr>
        <w:t>26</w:t>
      </w:r>
      <w:r>
        <w:rPr/>
        <w:t>、股份支付</w:t>
      </w:r>
      <w:r>
        <w:rPr>
          <w:b w:val="0"/>
          <w:bCs w:val="0"/>
        </w:rPr>
      </w:r>
    </w:p>
    <w:p>
      <w:pPr>
        <w:spacing w:line="420" w:lineRule="atLeast" w:before="176"/>
        <w:ind w:left="576" w:right="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&lt;1&gt;</w:t>
      </w:r>
      <w:r>
        <w:rPr>
          <w:rFonts w:ascii="宋体" w:hAnsi="宋体" w:cs="宋体" w:eastAsia="宋体" w:hint="default"/>
          <w:b/>
          <w:bCs/>
          <w:sz w:val="18"/>
          <w:szCs w:val="18"/>
        </w:rPr>
        <w:t>股份支付的种类及会计处理</w:t>
      </w:r>
      <w:r>
        <w:rPr>
          <w:rFonts w:ascii="宋体" w:hAnsi="宋体" w:cs="宋体" w:eastAsia="宋体" w:hint="default"/>
          <w:b/>
          <w:bCs/>
          <w:w w:val="99"/>
          <w:sz w:val="18"/>
          <w:szCs w:val="18"/>
        </w:rPr>
        <w:t> </w:t>
      </w:r>
      <w:r>
        <w:rPr>
          <w:rFonts w:ascii="宋体" w:hAnsi="宋体" w:cs="宋体" w:eastAsia="宋体" w:hint="default"/>
          <w:sz w:val="18"/>
          <w:szCs w:val="18"/>
        </w:rPr>
        <w:t>股份支付是公司为了获取职工提供服务而授予权益工具或者承担以权益工具为基础确定的负债的交易。股份支付分为</w:t>
      </w:r>
    </w:p>
    <w:p>
      <w:pPr>
        <w:pStyle w:val="BodyText"/>
        <w:spacing w:line="240" w:lineRule="auto" w:before="76"/>
        <w:ind w:left="154" w:right="0"/>
        <w:jc w:val="left"/>
      </w:pPr>
      <w:r>
        <w:rPr/>
        <w:t>以权益结算的股份支付和以现金结算的股份支付。</w:t>
      </w:r>
    </w:p>
    <w:p>
      <w:pPr>
        <w:spacing w:line="420" w:lineRule="atLeast" w:before="25"/>
        <w:ind w:left="576" w:right="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&lt;2&gt;</w:t>
      </w:r>
      <w:r>
        <w:rPr>
          <w:rFonts w:ascii="宋体" w:hAnsi="宋体" w:cs="宋体" w:eastAsia="宋体" w:hint="default"/>
          <w:b/>
          <w:bCs/>
          <w:sz w:val="18"/>
          <w:szCs w:val="18"/>
        </w:rPr>
        <w:t>以权益结算的股份支付</w:t>
      </w:r>
      <w:r>
        <w:rPr>
          <w:rFonts w:ascii="宋体" w:hAnsi="宋体" w:cs="宋体" w:eastAsia="宋体" w:hint="default"/>
          <w:b/>
          <w:bCs/>
          <w:w w:val="99"/>
          <w:sz w:val="18"/>
          <w:szCs w:val="18"/>
        </w:rPr>
        <w:t> </w:t>
      </w:r>
      <w:r>
        <w:rPr>
          <w:rFonts w:ascii="宋体" w:hAnsi="宋体" w:cs="宋体" w:eastAsia="宋体" w:hint="default"/>
          <w:sz w:val="18"/>
          <w:szCs w:val="18"/>
        </w:rPr>
        <w:t>股票期权计划为用以换取职工提供服务的权益结算的股份支付，以授予职工的权益工具在授予日的公允价值计量。在</w:t>
      </w:r>
    </w:p>
    <w:p>
      <w:pPr>
        <w:pStyle w:val="BodyText"/>
        <w:spacing w:line="316" w:lineRule="auto" w:before="76"/>
        <w:ind w:left="154" w:right="0"/>
        <w:jc w:val="left"/>
      </w:pPr>
      <w:r>
        <w:rPr>
          <w:spacing w:val="-2"/>
        </w:rPr>
        <w:t>完成等待期内的服务或达到规定业绩条件才可行权，在等待期内以对可行权权益工具数量的最佳估计为基础，按照权益工具</w:t>
      </w:r>
      <w:r>
        <w:rPr>
          <w:spacing w:val="-63"/>
        </w:rPr>
        <w:t> </w:t>
      </w:r>
      <w:r>
        <w:rPr>
          <w:spacing w:val="-63"/>
        </w:rPr>
      </w:r>
      <w:r>
        <w:rPr/>
        <w:t>授予日的公允价值，将当期取得的服务计入相关成本或费用，相应增加资本公积。</w:t>
      </w:r>
    </w:p>
    <w:p>
      <w:pPr>
        <w:spacing w:line="432" w:lineRule="exact" w:before="3"/>
        <w:ind w:left="576" w:right="0"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&lt;3&gt;</w:t>
      </w:r>
      <w:r>
        <w:rPr>
          <w:rFonts w:ascii="宋体" w:hAnsi="宋体" w:cs="宋体" w:eastAsia="宋体" w:hint="default"/>
          <w:b/>
          <w:bCs/>
          <w:sz w:val="18"/>
          <w:szCs w:val="18"/>
        </w:rPr>
        <w:t>以现金结算的股份支付</w:t>
      </w:r>
      <w:r>
        <w:rPr>
          <w:rFonts w:ascii="宋体" w:hAnsi="宋体" w:cs="宋体" w:eastAsia="宋体" w:hint="default"/>
          <w:b/>
          <w:bCs/>
          <w:w w:val="99"/>
          <w:sz w:val="18"/>
          <w:szCs w:val="18"/>
        </w:rPr>
        <w:t> </w:t>
      </w:r>
      <w:r>
        <w:rPr>
          <w:rFonts w:ascii="宋体" w:hAnsi="宋体" w:cs="宋体" w:eastAsia="宋体" w:hint="default"/>
          <w:sz w:val="18"/>
          <w:szCs w:val="18"/>
        </w:rPr>
        <w:t>股票增值权计划为以现金结算的股份支付，按照公司承担的以本公司股份数量为基础确定的负债的公允价值计量。该</w:t>
      </w:r>
    </w:p>
    <w:p>
      <w:pPr>
        <w:pStyle w:val="BodyText"/>
        <w:spacing w:line="316" w:lineRule="auto" w:before="15"/>
        <w:ind w:left="154" w:right="0"/>
        <w:jc w:val="left"/>
      </w:pPr>
      <w:r>
        <w:rPr>
          <w:spacing w:val="-2"/>
        </w:rPr>
        <w:t>以现金结算的股份支付须完成等待期内的服务或达到规定业绩条件以后才可行权，在等待期的每个资产负债表日以对可行权</w:t>
      </w:r>
      <w:r>
        <w:rPr>
          <w:spacing w:val="-64"/>
        </w:rPr>
        <w:t> </w:t>
      </w:r>
      <w:r>
        <w:rPr>
          <w:spacing w:val="-64"/>
        </w:rPr>
      </w:r>
      <w:r>
        <w:rPr>
          <w:spacing w:val="-2"/>
        </w:rPr>
        <w:t>情况的最佳估计为基础，按照公司承担负债的公允价值金额，将当期取得的服务计入成本或费用，相应增加负债。在相关负</w:t>
      </w:r>
    </w:p>
    <w:p>
      <w:pPr>
        <w:spacing w:after="0" w:line="316"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债结算前的每个资产负债表日以及结算日，对负债的公允价值重新计量，其变动计入当期损益。</w:t>
      </w:r>
    </w:p>
    <w:p>
      <w:pPr>
        <w:spacing w:line="420" w:lineRule="atLeast" w:before="25"/>
        <w:ind w:left="576" w:right="92"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&lt;4&gt;</w:t>
      </w:r>
      <w:r>
        <w:rPr>
          <w:rFonts w:ascii="宋体" w:hAnsi="宋体" w:cs="宋体" w:eastAsia="宋体" w:hint="default"/>
          <w:b/>
          <w:bCs/>
          <w:sz w:val="18"/>
          <w:szCs w:val="18"/>
        </w:rPr>
        <w:t>权益工具公允价值的确定方法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对于授予职工的股份，其公允价值按公司股份的市场价格计量，同时考虑授予股份所依据的条款和条件（不包括市场</w:t>
      </w:r>
    </w:p>
    <w:p>
      <w:pPr>
        <w:pStyle w:val="BodyText"/>
        <w:spacing w:line="439" w:lineRule="auto" w:before="77"/>
        <w:ind w:left="576" w:right="3270" w:hanging="423"/>
        <w:jc w:val="left"/>
      </w:pPr>
      <w:r>
        <w:rPr/>
        <w:t>条件之外的可行权条件）进行调整。 对于授予职工的股票期权，通过期权定价模型估计所授予的期权的公允价值。</w:t>
      </w:r>
    </w:p>
    <w:p>
      <w:pPr>
        <w:pStyle w:val="Heading5"/>
        <w:spacing w:line="240" w:lineRule="auto" w:before="47"/>
        <w:ind w:right="92"/>
        <w:jc w:val="left"/>
        <w:rPr>
          <w:b w:val="0"/>
          <w:bCs w:val="0"/>
        </w:rPr>
      </w:pPr>
      <w:r>
        <w:rPr>
          <w:rFonts w:ascii="Times New Roman" w:hAnsi="Times New Roman" w:cs="Times New Roman" w:eastAsia="Times New Roman" w:hint="default"/>
        </w:rPr>
        <w:t>&lt;5&gt;</w:t>
      </w:r>
      <w:r>
        <w:rPr/>
        <w:t>确认可行权权益工具最佳估计的依据</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3" w:firstLine="422"/>
        <w:jc w:val="both"/>
      </w:pPr>
      <w:r>
        <w:rPr/>
        <w:t>在等待期内每个资产负债表日，根据最新取得的可行权职工人数变动等后续信息做出最佳估计，修正预计可行权的权 益工具数量。</w:t>
      </w:r>
    </w:p>
    <w:p>
      <w:pPr>
        <w:spacing w:line="432" w:lineRule="exact" w:before="3"/>
        <w:ind w:left="576" w:right="92"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&lt;6&gt;</w:t>
      </w:r>
      <w:r>
        <w:rPr>
          <w:rFonts w:ascii="宋体" w:hAnsi="宋体" w:cs="宋体" w:eastAsia="宋体" w:hint="default"/>
          <w:b/>
          <w:bCs/>
          <w:sz w:val="18"/>
          <w:szCs w:val="18"/>
        </w:rPr>
        <w:t>修改和终止股份支付计划的处理</w:t>
      </w:r>
      <w:r>
        <w:rPr>
          <w:rFonts w:ascii="宋体" w:hAnsi="宋体" w:cs="宋体" w:eastAsia="宋体" w:hint="default"/>
          <w:b/>
          <w:bCs/>
          <w:w w:val="99"/>
          <w:sz w:val="18"/>
          <w:szCs w:val="18"/>
        </w:rPr>
        <w:t> </w:t>
      </w:r>
      <w:r>
        <w:rPr>
          <w:rFonts w:ascii="宋体" w:hAnsi="宋体" w:cs="宋体" w:eastAsia="宋体" w:hint="default"/>
          <w:sz w:val="18"/>
          <w:szCs w:val="18"/>
        </w:rPr>
        <w:t>如果股份支付计划的修改增加了所授予的权益工具的公允价值，应按照权益工具公允价值的增加相应地确认取得服务</w:t>
      </w:r>
    </w:p>
    <w:p>
      <w:pPr>
        <w:pStyle w:val="BodyText"/>
        <w:spacing w:line="240" w:lineRule="auto" w:before="15"/>
        <w:ind w:right="92"/>
        <w:jc w:val="left"/>
      </w:pPr>
      <w:r>
        <w:rPr/>
        <w:t>的增加。</w:t>
      </w:r>
    </w:p>
    <w:p>
      <w:pPr>
        <w:spacing w:line="240" w:lineRule="auto" w:before="0"/>
        <w:rPr>
          <w:rFonts w:ascii="宋体" w:hAnsi="宋体" w:cs="宋体" w:eastAsia="宋体" w:hint="default"/>
          <w:sz w:val="15"/>
          <w:szCs w:val="15"/>
        </w:rPr>
      </w:pPr>
    </w:p>
    <w:p>
      <w:pPr>
        <w:pStyle w:val="BodyText"/>
        <w:spacing w:line="316" w:lineRule="auto"/>
        <w:ind w:right="193" w:firstLine="422"/>
        <w:jc w:val="both"/>
      </w:pPr>
      <w:r>
        <w:rPr/>
        <w:t>如果股份支付计划的修改增加了所授予的权益工具的数量，应将增加的权益工具的公允价值相应地确认为取得服务的 增加。</w:t>
      </w:r>
    </w:p>
    <w:p>
      <w:pPr>
        <w:pStyle w:val="BodyText"/>
        <w:spacing w:line="316" w:lineRule="auto" w:before="139"/>
        <w:ind w:right="193" w:firstLine="422"/>
        <w:jc w:val="both"/>
      </w:pPr>
      <w:r>
        <w:rPr/>
        <w:t>如果按照有利于职工的方式修改可行权条件，如缩短等待期、变更或取消业绩条件（而非市场条件），公司在处理可 行权条件时，考虑修改后的可行权条件。</w:t>
      </w:r>
    </w:p>
    <w:p>
      <w:pPr>
        <w:pStyle w:val="BodyText"/>
        <w:spacing w:line="316" w:lineRule="auto" w:before="139"/>
        <w:ind w:right="193" w:firstLine="422"/>
        <w:jc w:val="both"/>
      </w:pPr>
      <w:r>
        <w:rPr/>
        <w:t>如果以减少股份支付公允价值总额的方式或其他不利于职工的方式修改条款和条件，仍应继续对取得的服务进行会计 处理，如同该变更从未发生，除非取消了部分或全部已授予的权益工具。</w:t>
      </w:r>
    </w:p>
    <w:p>
      <w:pPr>
        <w:pStyle w:val="BodyText"/>
        <w:spacing w:line="319" w:lineRule="auto" w:before="139"/>
        <w:ind w:right="190" w:firstLine="422"/>
        <w:jc w:val="both"/>
      </w:pPr>
      <w:r>
        <w:rPr/>
        <w:t>在等待期内如果取消了授予的权益工具，对取消所授予的权益性工具作为加速行权处理，剩余等待期内应确认的金额 </w:t>
      </w:r>
      <w:r>
        <w:rPr>
          <w:spacing w:val="-2"/>
        </w:rPr>
        <w:t>立即计入当期损益，同时确认资本公积。职工或其他方能够选择满足非可行权条件但在等待期内未满足的，将其作为授予权</w:t>
      </w:r>
      <w:r>
        <w:rPr>
          <w:spacing w:val="-66"/>
        </w:rPr>
        <w:t> </w:t>
      </w:r>
      <w:r>
        <w:rPr>
          <w:spacing w:val="-66"/>
        </w:rPr>
      </w:r>
      <w:r>
        <w:rPr/>
        <w:t>益工具的取消处理。</w:t>
      </w:r>
    </w:p>
    <w:p>
      <w:pPr>
        <w:spacing w:line="240" w:lineRule="auto" w:before="5"/>
        <w:rPr>
          <w:rFonts w:ascii="宋体" w:hAnsi="宋体" w:cs="宋体" w:eastAsia="宋体" w:hint="default"/>
          <w:sz w:val="22"/>
          <w:szCs w:val="22"/>
        </w:rPr>
      </w:pPr>
    </w:p>
    <w:p>
      <w:pPr>
        <w:pStyle w:val="Heading3"/>
        <w:spacing w:line="240" w:lineRule="auto"/>
        <w:ind w:right="92"/>
        <w:jc w:val="left"/>
        <w:rPr>
          <w:b w:val="0"/>
          <w:bCs w:val="0"/>
        </w:rPr>
      </w:pPr>
      <w:bookmarkStart w:name="27、优先股、永续债等其他金融工具" w:id="162"/>
      <w:bookmarkEnd w:id="16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 w:firstLine="422"/>
        <w:jc w:val="both"/>
      </w:pPr>
      <w:r>
        <w:rPr>
          <w:spacing w:val="-2"/>
        </w:rPr>
        <w:t>公司发行的优先股或永续债根据所发行金融工具的合同条款及其所反映的经济实质，结合金融负债和权益工具的定义，</w:t>
      </w:r>
      <w:r>
        <w:rPr/>
        <w:t> 在初始确认时将其分类为金融负债或权益工具。</w:t>
      </w:r>
    </w:p>
    <w:p>
      <w:pPr>
        <w:pStyle w:val="BodyText"/>
        <w:spacing w:line="316" w:lineRule="auto" w:before="139"/>
        <w:ind w:right="103" w:firstLine="422"/>
        <w:jc w:val="both"/>
      </w:pPr>
      <w:r>
        <w:rPr>
          <w:spacing w:val="-2"/>
        </w:rPr>
        <w:t>优先股或永续债属于金融负债的，相关利息、股利（或股息）、利得或损失，以及赎回或再融资产生的利得或损失等，</w:t>
      </w:r>
      <w:r>
        <w:rPr/>
        <w:t> 计入当期损益。</w:t>
      </w:r>
    </w:p>
    <w:p>
      <w:pPr>
        <w:pStyle w:val="BodyText"/>
        <w:spacing w:line="316" w:lineRule="auto" w:before="139"/>
        <w:ind w:right="193" w:firstLine="422"/>
        <w:jc w:val="both"/>
      </w:pPr>
      <w:r>
        <w:rPr/>
        <w:t>优先股或永续债属于权益工具的，其发行（含再融资）、回购、出售或注销时，作为权益的变动处理。对权益工具持 有方的分配应作利润分配处理，发放的股票股利不影响所有者权益总额。</w:t>
      </w:r>
    </w:p>
    <w:p>
      <w:pPr>
        <w:pStyle w:val="BodyText"/>
        <w:spacing w:line="316" w:lineRule="auto" w:before="139"/>
        <w:ind w:right="193" w:firstLine="422"/>
        <w:jc w:val="both"/>
      </w:pPr>
      <w:r>
        <w:rPr/>
        <w:t>与权益性交易相关的交易费用从权益中扣减。交易费用，是指可直接归属于购买、发行或处置优先股或永续债的增量 费用。增量费用，是指企业不购买、发行或处置金融工具就不会发生的费用。</w:t>
      </w:r>
    </w:p>
    <w:p>
      <w:pPr>
        <w:pStyle w:val="BodyText"/>
        <w:spacing w:line="316" w:lineRule="auto" w:before="139"/>
        <w:ind w:right="109" w:firstLine="422"/>
        <w:jc w:val="both"/>
      </w:pPr>
      <w:r>
        <w:rPr/>
        <w:t>发行或取得自身权益工具时发生的交易费用（例如登记费，承销费，法律、会计、评估及其他专业服务费用，印刷成 本和印花税等），可直接归属于权益性交易的，从权益中扣减。终止的未完成权益性交易所发生的交易费用计入当期损益。</w:t>
      </w:r>
    </w:p>
    <w:p>
      <w:pPr>
        <w:spacing w:line="240" w:lineRule="auto" w:before="7"/>
        <w:rPr>
          <w:rFonts w:ascii="宋体" w:hAnsi="宋体" w:cs="宋体" w:eastAsia="宋体" w:hint="default"/>
          <w:sz w:val="22"/>
          <w:szCs w:val="22"/>
        </w:rPr>
      </w:pPr>
    </w:p>
    <w:p>
      <w:pPr>
        <w:pStyle w:val="Heading3"/>
        <w:spacing w:line="240" w:lineRule="auto"/>
        <w:ind w:left="154" w:right="92"/>
        <w:jc w:val="left"/>
        <w:rPr>
          <w:b w:val="0"/>
          <w:bCs w:val="0"/>
        </w:rPr>
      </w:pPr>
      <w:bookmarkStart w:name="28、收入" w:id="163"/>
      <w:bookmarkEnd w:id="16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spacing w:line="415" w:lineRule="auto" w:before="0"/>
        <w:ind w:left="576" w:right="92"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&lt;1&gt;</w:t>
      </w:r>
      <w:r>
        <w:rPr>
          <w:rFonts w:ascii="宋体" w:hAnsi="宋体" w:cs="宋体" w:eastAsia="宋体" w:hint="default"/>
          <w:b/>
          <w:bCs/>
          <w:sz w:val="18"/>
          <w:szCs w:val="18"/>
        </w:rPr>
        <w:t>销售商品收入的确认</w:t>
      </w:r>
      <w:r>
        <w:rPr>
          <w:rFonts w:ascii="宋体" w:hAnsi="宋体" w:cs="宋体" w:eastAsia="宋体" w:hint="default"/>
          <w:b/>
          <w:bCs/>
          <w:w w:val="99"/>
          <w:sz w:val="18"/>
          <w:szCs w:val="18"/>
        </w:rPr>
        <w:t> </w:t>
      </w:r>
      <w:r>
        <w:rPr>
          <w:rFonts w:ascii="宋体" w:hAnsi="宋体" w:cs="宋体" w:eastAsia="宋体" w:hint="default"/>
          <w:sz w:val="18"/>
          <w:szCs w:val="18"/>
        </w:rPr>
        <w:t>公司已将商品所有权上的主要风险和报酬转移给购买方；既没有保留与所有权相联系的继续管理权，也没有对已售出</w:t>
      </w:r>
    </w:p>
    <w:p>
      <w:pPr>
        <w:spacing w:after="0" w:line="415"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2"/>
        <w:jc w:val="left"/>
      </w:pPr>
      <w:r>
        <w:rPr>
          <w:spacing w:val="-2"/>
        </w:rPr>
        <w:t>的商品实施有效控制；收入的金额能够可靠地计量；相关的经济利益很可能流入企业；相关的已发生或将发生的成本能够可</w:t>
      </w:r>
      <w:r>
        <w:rPr>
          <w:spacing w:val="-66"/>
        </w:rPr>
        <w:t> </w:t>
      </w:r>
      <w:r>
        <w:rPr>
          <w:spacing w:val="-66"/>
        </w:rPr>
      </w:r>
      <w:r>
        <w:rPr/>
        <w:t>靠地计量时，确认商品销售收入实现。</w:t>
      </w:r>
    </w:p>
    <w:p>
      <w:pPr>
        <w:spacing w:line="432" w:lineRule="exact" w:before="3"/>
        <w:ind w:left="576" w:right="92"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&lt;2&gt;</w:t>
      </w:r>
      <w:r>
        <w:rPr>
          <w:rFonts w:ascii="宋体" w:hAnsi="宋体" w:cs="宋体" w:eastAsia="宋体" w:hint="default"/>
          <w:b/>
          <w:bCs/>
          <w:sz w:val="18"/>
          <w:szCs w:val="18"/>
        </w:rPr>
        <w:t>提供劳务收入的确认</w:t>
      </w:r>
      <w:r>
        <w:rPr>
          <w:rFonts w:ascii="宋体" w:hAnsi="宋体" w:cs="宋体" w:eastAsia="宋体" w:hint="default"/>
          <w:b/>
          <w:bCs/>
          <w:w w:val="99"/>
          <w:sz w:val="18"/>
          <w:szCs w:val="18"/>
        </w:rPr>
        <w:t> </w:t>
      </w:r>
      <w:r>
        <w:rPr>
          <w:rFonts w:ascii="宋体" w:hAnsi="宋体" w:cs="宋体" w:eastAsia="宋体" w:hint="default"/>
          <w:sz w:val="18"/>
          <w:szCs w:val="18"/>
        </w:rPr>
        <w:t>在资产负债表日提供劳务交易的结果能够可靠估计的，采用完工百分比法确认提供劳务收入。提供劳务交易的完工进</w:t>
      </w:r>
    </w:p>
    <w:p>
      <w:pPr>
        <w:pStyle w:val="BodyText"/>
        <w:spacing w:line="439" w:lineRule="auto" w:before="15"/>
        <w:ind w:left="576" w:right="3450" w:hanging="423"/>
        <w:jc w:val="left"/>
      </w:pPr>
      <w:r>
        <w:rPr/>
        <w:t>度，依据已完工作的测量确定。 在资产负债表日提供劳务交易结果不能够可靠估计的，分别下列情况处理：</w:t>
      </w:r>
    </w:p>
    <w:p>
      <w:pPr>
        <w:pStyle w:val="BodyText"/>
        <w:spacing w:line="415" w:lineRule="auto" w:before="47"/>
        <w:ind w:right="278"/>
        <w:jc w:val="left"/>
      </w:pPr>
      <w:r>
        <w:rPr>
          <w:rFonts w:ascii="Times New Roman" w:hAnsi="Times New Roman" w:cs="Times New Roman" w:eastAsia="Times New Roman" w:hint="default"/>
        </w:rPr>
        <w:t>A.</w:t>
      </w:r>
      <w:r>
        <w:rPr/>
        <w:t>已发生的劳务成本预计能够得到补偿，应按已经发生的劳务成本金额确认提供劳务收入，并按相同金额结转劳务成本。 </w:t>
      </w:r>
      <w:r>
        <w:rPr>
          <w:rFonts w:ascii="Times New Roman" w:hAnsi="Times New Roman" w:cs="Times New Roman" w:eastAsia="Times New Roman" w:hint="default"/>
        </w:rPr>
        <w:t>B.</w:t>
      </w:r>
      <w:r>
        <w:rPr/>
        <w:t>已经发生的劳务成本预计不能够得到补偿的，将已经发生的劳务成本计入当期损益，不确认提供劳务收入。</w:t>
      </w:r>
    </w:p>
    <w:p>
      <w:pPr>
        <w:spacing w:line="415" w:lineRule="auto" w:before="37"/>
        <w:ind w:left="576" w:right="92" w:hanging="4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&lt;3&gt;</w:t>
      </w:r>
      <w:r>
        <w:rPr>
          <w:rFonts w:ascii="宋体" w:hAnsi="宋体" w:cs="宋体" w:eastAsia="宋体" w:hint="default"/>
          <w:b/>
          <w:bCs/>
          <w:sz w:val="18"/>
          <w:szCs w:val="18"/>
        </w:rPr>
        <w:t>让渡资产使用权收入的确认</w:t>
      </w:r>
      <w:r>
        <w:rPr>
          <w:rFonts w:ascii="宋体" w:hAnsi="宋体" w:cs="宋体" w:eastAsia="宋体" w:hint="default"/>
          <w:b/>
          <w:bCs/>
          <w:w w:val="99"/>
          <w:sz w:val="18"/>
          <w:szCs w:val="18"/>
        </w:rPr>
        <w:t> </w:t>
      </w:r>
      <w:r>
        <w:rPr>
          <w:rFonts w:ascii="宋体" w:hAnsi="宋体" w:cs="宋体" w:eastAsia="宋体" w:hint="default"/>
          <w:spacing w:val="-2"/>
          <w:sz w:val="18"/>
          <w:szCs w:val="18"/>
        </w:rPr>
        <w:t>与交易相关的经济利益很可能流入企业，收入的金额能够可靠地计量时。分别下列情况确定让渡资产使用权收入金额：</w:t>
      </w:r>
    </w:p>
    <w:p>
      <w:pPr>
        <w:pStyle w:val="BodyText"/>
        <w:spacing w:line="415" w:lineRule="auto" w:before="65"/>
        <w:ind w:right="3698"/>
        <w:jc w:val="left"/>
      </w:pPr>
      <w:r>
        <w:rPr>
          <w:rFonts w:ascii="Times New Roman" w:hAnsi="Times New Roman" w:cs="Times New Roman" w:eastAsia="Times New Roman" w:hint="default"/>
        </w:rPr>
        <w:t>A.</w:t>
      </w:r>
      <w:r>
        <w:rPr/>
        <w:t>利息收入金额，按照他人使用本企业货币资金的时间和实际利率计算确定。 </w:t>
      </w:r>
      <w:r>
        <w:rPr>
          <w:rFonts w:ascii="Times New Roman" w:hAnsi="Times New Roman" w:cs="Times New Roman" w:eastAsia="Times New Roman" w:hint="default"/>
        </w:rPr>
        <w:t>B.</w:t>
      </w:r>
      <w:r>
        <w:rPr/>
        <w:t>使用费收入金额，按照有关合同或协议约定的收费时间和方法计算确定。</w:t>
      </w:r>
    </w:p>
    <w:p>
      <w:pPr>
        <w:spacing w:line="240" w:lineRule="auto" w:before="10"/>
        <w:rPr>
          <w:rFonts w:ascii="宋体" w:hAnsi="宋体" w:cs="宋体" w:eastAsia="宋体" w:hint="default"/>
          <w:sz w:val="14"/>
          <w:szCs w:val="14"/>
        </w:rPr>
      </w:pPr>
    </w:p>
    <w:p>
      <w:pPr>
        <w:pStyle w:val="Heading3"/>
        <w:spacing w:line="240" w:lineRule="auto"/>
        <w:ind w:right="92"/>
        <w:jc w:val="left"/>
        <w:rPr>
          <w:b w:val="0"/>
          <w:bCs w:val="0"/>
        </w:rPr>
      </w:pPr>
      <w:bookmarkStart w:name="29、政府补助" w:id="164"/>
      <w:bookmarkEnd w:id="16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left="154" w:right="92"/>
        <w:jc w:val="left"/>
        <w:rPr>
          <w:b w:val="0"/>
          <w:bCs w:val="0"/>
        </w:rPr>
      </w:pPr>
      <w:bookmarkStart w:name="（1）与资产相关的政府补助判断依据及会计处理方法" w:id="165"/>
      <w:bookmarkEnd w:id="16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pStyle w:val="BodyText"/>
        <w:spacing w:line="441" w:lineRule="auto" w:before="127"/>
        <w:ind w:left="576" w:right="1830"/>
        <w:jc w:val="left"/>
      </w:pPr>
      <w:r>
        <w:rPr/>
        <w:t>公司取得的、用于购建或以其他方式形成长期资产的政府补助属于与资产相关的政府补助。 与资产相关的政府补助，确认为递延收益，并在相关资产使用寿命内平均分配，计入当期损益。</w:t>
      </w:r>
    </w:p>
    <w:p>
      <w:pPr>
        <w:spacing w:line="240" w:lineRule="auto" w:before="7"/>
        <w:rPr>
          <w:rFonts w:ascii="宋体" w:hAnsi="宋体" w:cs="宋体" w:eastAsia="宋体" w:hint="default"/>
          <w:sz w:val="23"/>
          <w:szCs w:val="23"/>
        </w:rPr>
      </w:pPr>
    </w:p>
    <w:p>
      <w:pPr>
        <w:spacing w:line="600" w:lineRule="atLeast" w:before="0"/>
        <w:ind w:left="576" w:right="390" w:hanging="423"/>
        <w:jc w:val="left"/>
        <w:rPr>
          <w:rFonts w:ascii="宋体" w:hAnsi="宋体" w:cs="宋体" w:eastAsia="宋体" w:hint="default"/>
          <w:sz w:val="18"/>
          <w:szCs w:val="18"/>
        </w:rPr>
      </w:pPr>
      <w:bookmarkStart w:name="（2）与收益相关的政府补助判断依据及会计处理方法" w:id="166"/>
      <w:bookmarkEnd w:id="16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）与收益相关的政府补助判断依据及会计处理方法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z w:val="18"/>
          <w:szCs w:val="18"/>
        </w:rPr>
        <w:t>除与资产相关的政府补助之外的政府补助为与收益相关的政府补助。与收益相关的政府补助，分别下列情况处理：</w:t>
      </w:r>
    </w:p>
    <w:p>
      <w:pPr>
        <w:spacing w:line="240" w:lineRule="auto" w:before="0"/>
        <w:rPr>
          <w:rFonts w:ascii="宋体" w:hAnsi="宋体" w:cs="宋体" w:eastAsia="宋体" w:hint="default"/>
          <w:sz w:val="15"/>
          <w:szCs w:val="15"/>
        </w:rPr>
      </w:pPr>
    </w:p>
    <w:p>
      <w:pPr>
        <w:pStyle w:val="BodyText"/>
        <w:spacing w:line="415" w:lineRule="auto"/>
        <w:ind w:right="1178"/>
        <w:jc w:val="left"/>
      </w:pPr>
      <w:r>
        <w:rPr>
          <w:rFonts w:ascii="Times New Roman" w:hAnsi="Times New Roman" w:cs="Times New Roman" w:eastAsia="Times New Roman" w:hint="default"/>
        </w:rPr>
        <w:t>A.</w:t>
      </w:r>
      <w:r>
        <w:rPr/>
        <w:t>用于补偿公司以后期间的相关费用或损失的，确认为递延收益，并在确认相关费用的期间，计入当期损益。 </w:t>
      </w:r>
      <w:r>
        <w:rPr>
          <w:rFonts w:ascii="Times New Roman" w:hAnsi="Times New Roman" w:cs="Times New Roman" w:eastAsia="Times New Roman" w:hint="default"/>
        </w:rPr>
        <w:t>B.</w:t>
      </w:r>
      <w:r>
        <w:rPr/>
        <w:t>用于补偿公司已发生的相关费用或损失的，直接计入当期损益。</w:t>
      </w:r>
    </w:p>
    <w:p>
      <w:pPr>
        <w:pStyle w:val="BodyText"/>
        <w:spacing w:line="316" w:lineRule="auto" w:before="37"/>
        <w:ind w:right="191" w:firstLine="422"/>
        <w:jc w:val="both"/>
      </w:pPr>
      <w:r>
        <w:rPr/>
        <w:t>政府补助在实际收到款项时按照到账的实际金额确认和计量。只有存在确凿证据表明该项补助是按照固定的定额标准 </w:t>
      </w:r>
      <w:r>
        <w:rPr>
          <w:spacing w:val="-2"/>
        </w:rPr>
        <w:t>拨付的以及有确凿证据表明能够符合财政扶持政策规定的相关条件且预计能够收到财政扶持资金时，可以按应收金额予以确</w:t>
      </w:r>
      <w:r>
        <w:rPr>
          <w:spacing w:val="-64"/>
        </w:rPr>
        <w:t> </w:t>
      </w:r>
      <w:r>
        <w:rPr>
          <w:spacing w:val="-64"/>
        </w:rPr>
      </w:r>
      <w:r>
        <w:rPr/>
        <w:t>认和计量。</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30、递延所得税资产/递延所得税负债" w:id="167"/>
      <w:bookmarkEnd w:id="16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422"/>
        <w:jc w:val="both"/>
      </w:pPr>
      <w:r>
        <w:rPr/>
        <w:t>对于某些资产、负债项目的账面价值与其计税基础之间的差额，以及未作为资产和负债确认但按照税法规定可以确定 </w:t>
      </w:r>
      <w:r>
        <w:rPr>
          <w:spacing w:val="-2"/>
        </w:rPr>
        <w:t>其计税基础的项目的账面价值与计税基础之间的差额产生的暂时性差异，采用资产负债表债务法确认递延所得税资产及递延</w:t>
      </w:r>
      <w:r>
        <w:rPr>
          <w:spacing w:val="-64"/>
        </w:rPr>
        <w:t> </w:t>
      </w:r>
      <w:r>
        <w:rPr>
          <w:spacing w:val="-64"/>
        </w:rPr>
      </w:r>
      <w:r>
        <w:rPr/>
        <w:t>所得税负债。</w:t>
      </w:r>
    </w:p>
    <w:p>
      <w:pPr>
        <w:pStyle w:val="BodyText"/>
        <w:spacing w:line="312" w:lineRule="auto" w:before="139"/>
        <w:ind w:right="191" w:firstLine="422"/>
        <w:jc w:val="both"/>
      </w:pPr>
      <w:r>
        <w:rPr/>
        <w:t>一般情况下所有暂时性差异均确认相关的递延所得税。但对于可抵扣暂时性差异，以很可能取得用来抵扣可抵扣暂时 </w:t>
      </w:r>
      <w:r>
        <w:rPr>
          <w:spacing w:val="-2"/>
        </w:rPr>
        <w:t>性差异的应纳税所得额为限，确认相关的递延所得税资产。此外，与商誉的初始确认相关的，以及与既不是企业合并、发生</w:t>
      </w:r>
      <w:r>
        <w:rPr>
          <w:spacing w:val="-66"/>
        </w:rPr>
        <w:t> </w:t>
      </w:r>
      <w:r>
        <w:rPr>
          <w:spacing w:val="-66"/>
        </w:rPr>
      </w:r>
      <w:r>
        <w:rPr>
          <w:spacing w:val="-1"/>
        </w:rPr>
        <w:t>时也不影响会计利润和应纳税所得额</w:t>
      </w:r>
      <w:r>
        <w:rPr>
          <w:rFonts w:ascii="Times New Roman" w:hAnsi="Times New Roman" w:cs="Times New Roman" w:eastAsia="Times New Roman" w:hint="default"/>
          <w:spacing w:val="-1"/>
        </w:rPr>
        <w:t>(</w:t>
      </w:r>
      <w:r>
        <w:rPr>
          <w:spacing w:val="-1"/>
        </w:rPr>
        <w:t>或可抵扣亏损</w:t>
      </w:r>
      <w:r>
        <w:rPr>
          <w:rFonts w:ascii="Times New Roman" w:hAnsi="Times New Roman" w:cs="Times New Roman" w:eastAsia="Times New Roman" w:hint="default"/>
          <w:spacing w:val="-1"/>
        </w:rPr>
        <w:t>)</w:t>
      </w:r>
      <w:r>
        <w:rPr>
          <w:spacing w:val="-1"/>
        </w:rPr>
        <w:t>的交易中产生的资产或负债的初始确认有关的暂时性差异，不予确认有</w:t>
      </w:r>
      <w:r>
        <w:rPr>
          <w:spacing w:val="-57"/>
        </w:rPr>
        <w:t> </w:t>
      </w:r>
      <w:r>
        <w:rPr>
          <w:spacing w:val="-57"/>
        </w:rPr>
      </w:r>
      <w:r>
        <w:rPr/>
        <w:t>关的递延所得税资产或负债。</w:t>
      </w:r>
    </w:p>
    <w:p>
      <w:pPr>
        <w:spacing w:after="0" w:line="312"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3" w:firstLine="422"/>
        <w:jc w:val="both"/>
      </w:pPr>
      <w:r>
        <w:rPr/>
        <w:t>对于能够结转以后年度的可抵扣亏损及税款抵减，以很可能获得用来抵扣可抵扣亏损和税款抵减的未来应纳税所得额 为限，确认相应的递延所得税资产。</w:t>
      </w:r>
    </w:p>
    <w:p>
      <w:pPr>
        <w:pStyle w:val="BodyText"/>
        <w:spacing w:line="319" w:lineRule="auto" w:before="139"/>
        <w:ind w:right="193" w:firstLine="422"/>
        <w:jc w:val="both"/>
      </w:pPr>
      <w:r>
        <w:rPr/>
        <w:t>确认与子公司、联营企业及合营企业投资相关的应纳税暂时性差异产生的递延所得税负债，除非本公司能够控制暂时 </w:t>
      </w:r>
      <w:r>
        <w:rPr>
          <w:spacing w:val="-2"/>
        </w:rPr>
        <w:t>性差异转回的时间，而且该暂时性差异在可预见的未来很可能不会转回。对于与子公司、联营企业及合营企业投资相关的可</w:t>
      </w:r>
      <w:r>
        <w:rPr>
          <w:spacing w:val="-66"/>
        </w:rPr>
        <w:t> </w:t>
      </w:r>
      <w:r>
        <w:rPr>
          <w:spacing w:val="-66"/>
        </w:rPr>
      </w:r>
      <w:r>
        <w:rPr>
          <w:spacing w:val="-2"/>
        </w:rPr>
        <w:t>抵扣暂时性差异，只有当暂时性差异在可预见的未来很可能转回，且未来很可能获得用来抵扣可抵扣暂时性差异的应纳税所</w:t>
      </w:r>
      <w:r>
        <w:rPr>
          <w:spacing w:val="-64"/>
        </w:rPr>
        <w:t> </w:t>
      </w:r>
      <w:r>
        <w:rPr>
          <w:spacing w:val="-64"/>
        </w:rPr>
      </w:r>
      <w:r>
        <w:rPr>
          <w:spacing w:val="-2"/>
        </w:rPr>
        <w:t>得额时，才确认递延所得税资产。资产负债表日，对于递延所得税资产和递延所得税负债，根据税法规定，按照预期收回相</w:t>
      </w:r>
      <w:r>
        <w:rPr>
          <w:spacing w:val="-66"/>
        </w:rPr>
        <w:t> </w:t>
      </w:r>
      <w:r>
        <w:rPr>
          <w:spacing w:val="-66"/>
        </w:rPr>
      </w:r>
      <w:r>
        <w:rPr/>
        <w:t>关资产或清偿相关负债期间的适用税率计量。</w:t>
      </w:r>
    </w:p>
    <w:p>
      <w:pPr>
        <w:pStyle w:val="BodyText"/>
        <w:spacing w:line="316" w:lineRule="auto" w:before="137"/>
        <w:ind w:right="189" w:firstLine="422"/>
        <w:jc w:val="both"/>
      </w:pPr>
      <w:r>
        <w:rPr/>
        <w:t>除与直接计入其他综合收益或股东权益的交易和事项相关的当期所得税和递延所得税计入其他综合收益或股东权益， 以及企业合并产生的递延所得税调整商誉的账面价值外，其余当期所得税和递延所得税费用或收益计入当期损益。</w:t>
      </w:r>
    </w:p>
    <w:p>
      <w:pPr>
        <w:pStyle w:val="BodyText"/>
        <w:spacing w:line="316" w:lineRule="auto" w:before="139"/>
        <w:ind w:right="193" w:firstLine="422"/>
        <w:jc w:val="both"/>
      </w:pPr>
      <w:r>
        <w:rPr/>
        <w:t>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BodyText"/>
        <w:spacing w:line="316" w:lineRule="auto" w:before="139"/>
        <w:ind w:right="193" w:firstLine="422"/>
        <w:jc w:val="both"/>
      </w:pPr>
      <w:r>
        <w:rPr/>
        <w:t>当拥有以净额结算的法定权利，且意图以净额结算或取得资产、清偿负债同时进行时，本公司当期所得税资产及当期 所得税负债以抵销后的净额列报。</w:t>
      </w:r>
    </w:p>
    <w:p>
      <w:pPr>
        <w:pStyle w:val="BodyText"/>
        <w:spacing w:line="316" w:lineRule="auto" w:before="139"/>
        <w:ind w:right="191" w:firstLine="422"/>
        <w:jc w:val="both"/>
      </w:pPr>
      <w:r>
        <w:rPr/>
        <w:t>当拥有以净额结算当期所得税资产及当期所得税负债的法定权利，且递延所得税资产及递延所得税负债是与同一税收 </w:t>
      </w: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债转回的期间内，涉及的纳税主体意图以净额结算当期所得税资产和负债或是同时取得资产、清偿负债时，递延所得税资产</w:t>
      </w:r>
      <w:r>
        <w:rPr>
          <w:spacing w:val="-66"/>
        </w:rPr>
        <w:t> </w:t>
      </w:r>
      <w:r>
        <w:rPr>
          <w:spacing w:val="-66"/>
        </w:rPr>
      </w:r>
      <w:r>
        <w:rPr/>
        <w:t>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31、租赁" w:id="168"/>
      <w:bookmarkEnd w:id="168"/>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92"/>
        <w:jc w:val="left"/>
        <w:rPr>
          <w:b w:val="0"/>
          <w:bCs w:val="0"/>
        </w:rPr>
      </w:pPr>
      <w:bookmarkStart w:name="（1）经营租赁的会计处理方法" w:id="169"/>
      <w:bookmarkEnd w:id="16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2"/>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92"/>
        <w:jc w:val="left"/>
        <w:rPr>
          <w:b w:val="0"/>
          <w:bCs w:val="0"/>
        </w:rPr>
      </w:pPr>
      <w:bookmarkStart w:name="（2）融资租赁的会计处理方法" w:id="170"/>
      <w:bookmarkEnd w:id="17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2"/>
        <w:jc w:val="left"/>
      </w:pPr>
      <w:r>
        <w:rPr/>
        <w:t>无。</w:t>
      </w:r>
    </w:p>
    <w:p>
      <w:pPr>
        <w:pStyle w:val="Heading3"/>
        <w:spacing w:line="610" w:lineRule="atLeast" w:before="31"/>
        <w:ind w:right="6441"/>
        <w:jc w:val="left"/>
        <w:rPr>
          <w:rFonts w:ascii="Times New Roman" w:hAnsi="Times New Roman" w:cs="Times New Roman" w:eastAsia="Times New Roman" w:hint="default"/>
          <w:b w:val="0"/>
          <w:bCs w:val="0"/>
        </w:rPr>
      </w:pPr>
      <w:bookmarkStart w:name="32、其他重要的会计政策和会计估计" w:id="171"/>
      <w:bookmarkEnd w:id="171"/>
      <w:r>
        <w:rPr>
          <w:b w:val="0"/>
          <w:bCs w:val="0"/>
        </w:rPr>
      </w:r>
      <w:r>
        <w:rPr>
          <w:rFonts w:ascii="Times New Roman" w:hAnsi="Times New Roman" w:cs="Times New Roman" w:eastAsia="Times New Roman" w:hint="default"/>
        </w:rPr>
        <w:t>32</w:t>
      </w:r>
      <w:r>
        <w:rPr/>
        <w:t>、其他重要的会计政策和会计估计</w:t>
      </w:r>
      <w:r>
        <w:rPr>
          <w:w w:val="99"/>
        </w:rPr>
        <w:t> </w:t>
      </w:r>
      <w:r>
        <w:rPr/>
        <w:t>关联方</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316" w:lineRule="auto" w:before="166"/>
        <w:ind w:right="99" w:firstLine="422"/>
        <w:jc w:val="both"/>
      </w:pPr>
      <w:r>
        <w:rPr>
          <w:spacing w:val="-2"/>
        </w:rPr>
        <w:t>一方控制、共同控制另一方或对另一方施加重大影响，以及两方或两方以上同受一方控制、共同控制的，构成关联方。</w:t>
      </w:r>
      <w:r>
        <w:rPr/>
        <w:t> 关联方可为个人或企业。仅仅同受国家控制而不存在其他关联方关系的企业，不构成的关联方。</w:t>
      </w:r>
    </w:p>
    <w:p>
      <w:pPr>
        <w:pStyle w:val="BodyText"/>
        <w:spacing w:line="439" w:lineRule="auto" w:before="139"/>
        <w:ind w:right="7051" w:firstLine="422"/>
        <w:jc w:val="left"/>
      </w:pPr>
      <w:r>
        <w:rPr/>
        <w:t>本公司关联方包括但不限于： </w:t>
      </w:r>
      <w:r>
        <w:rPr>
          <w:rFonts w:ascii="宋体" w:hAnsi="宋体" w:cs="宋体" w:eastAsia="宋体" w:hint="default"/>
        </w:rPr>
        <w:t>1.  </w:t>
      </w:r>
      <w:r>
        <w:rPr/>
        <w:t>母公司；</w:t>
      </w:r>
    </w:p>
    <w:p>
      <w:pPr>
        <w:pStyle w:val="BodyText"/>
        <w:spacing w:line="240" w:lineRule="auto" w:before="47"/>
        <w:ind w:right="92"/>
        <w:jc w:val="left"/>
      </w:pPr>
      <w:r>
        <w:rPr>
          <w:rFonts w:ascii="宋体" w:hAnsi="宋体" w:cs="宋体" w:eastAsia="宋体" w:hint="default"/>
        </w:rPr>
        <w:t>2.  </w:t>
      </w:r>
      <w:r>
        <w:rPr/>
        <w:t>子公司；</w:t>
      </w:r>
    </w:p>
    <w:p>
      <w:pPr>
        <w:spacing w:line="240" w:lineRule="auto" w:before="0"/>
        <w:rPr>
          <w:rFonts w:ascii="宋体" w:hAnsi="宋体" w:cs="宋体" w:eastAsia="宋体" w:hint="default"/>
          <w:sz w:val="15"/>
          <w:szCs w:val="15"/>
        </w:rPr>
      </w:pPr>
    </w:p>
    <w:p>
      <w:pPr>
        <w:pStyle w:val="BodyText"/>
        <w:spacing w:line="240" w:lineRule="auto"/>
        <w:ind w:right="92"/>
        <w:jc w:val="left"/>
      </w:pPr>
      <w:r>
        <w:rPr>
          <w:rFonts w:ascii="宋体" w:hAnsi="宋体" w:cs="宋体" w:eastAsia="宋体" w:hint="default"/>
        </w:rPr>
        <w:t>3.  </w:t>
      </w:r>
      <w:r>
        <w:rPr/>
        <w:t>受同一母公司控制的其他企业；</w:t>
      </w:r>
    </w:p>
    <w:p>
      <w:pPr>
        <w:spacing w:line="240" w:lineRule="auto" w:before="1"/>
        <w:rPr>
          <w:rFonts w:ascii="宋体" w:hAnsi="宋体" w:cs="宋体" w:eastAsia="宋体" w:hint="default"/>
          <w:sz w:val="15"/>
          <w:szCs w:val="15"/>
        </w:rPr>
      </w:pPr>
    </w:p>
    <w:p>
      <w:pPr>
        <w:pStyle w:val="BodyText"/>
        <w:spacing w:line="240" w:lineRule="auto"/>
        <w:ind w:right="92"/>
        <w:jc w:val="left"/>
      </w:pPr>
      <w:r>
        <w:rPr>
          <w:rFonts w:ascii="宋体" w:hAnsi="宋体" w:cs="宋体" w:eastAsia="宋体" w:hint="default"/>
        </w:rPr>
        <w:t>4.  </w:t>
      </w:r>
      <w:r>
        <w:rPr/>
        <w:t>实施共同控制的投资方；</w:t>
      </w:r>
    </w:p>
    <w:p>
      <w:pPr>
        <w:spacing w:line="240" w:lineRule="auto" w:before="0"/>
        <w:rPr>
          <w:rFonts w:ascii="宋体" w:hAnsi="宋体" w:cs="宋体" w:eastAsia="宋体" w:hint="default"/>
          <w:sz w:val="15"/>
          <w:szCs w:val="15"/>
        </w:rPr>
      </w:pPr>
    </w:p>
    <w:p>
      <w:pPr>
        <w:pStyle w:val="BodyText"/>
        <w:spacing w:line="240" w:lineRule="auto"/>
        <w:ind w:left="154" w:right="92"/>
        <w:jc w:val="left"/>
      </w:pPr>
      <w:r>
        <w:rPr>
          <w:rFonts w:ascii="宋体" w:hAnsi="宋体" w:cs="宋体" w:eastAsia="宋体" w:hint="default"/>
        </w:rPr>
        <w:t>5.  </w:t>
      </w:r>
      <w:r>
        <w:rPr/>
        <w:t>施加重大影响的投资方；</w:t>
      </w:r>
    </w:p>
    <w:p>
      <w:pPr>
        <w:spacing w:line="240" w:lineRule="auto" w:before="0"/>
        <w:rPr>
          <w:rFonts w:ascii="宋体" w:hAnsi="宋体" w:cs="宋体" w:eastAsia="宋体" w:hint="default"/>
          <w:sz w:val="15"/>
          <w:szCs w:val="15"/>
        </w:rPr>
      </w:pPr>
    </w:p>
    <w:p>
      <w:pPr>
        <w:pStyle w:val="BodyText"/>
        <w:spacing w:line="240" w:lineRule="auto"/>
        <w:ind w:left="154" w:right="92"/>
        <w:jc w:val="left"/>
      </w:pPr>
      <w:r>
        <w:rPr>
          <w:rFonts w:ascii="宋体" w:hAnsi="宋体" w:cs="宋体" w:eastAsia="宋体" w:hint="default"/>
        </w:rPr>
        <w:t>6.  </w:t>
      </w:r>
      <w:r>
        <w:rPr/>
        <w:t>合营企业，包括合营企业的子公司；</w:t>
      </w:r>
    </w:p>
    <w:p>
      <w:pPr>
        <w:spacing w:after="0" w:line="240" w:lineRule="auto"/>
        <w:jc w:val="left"/>
        <w:sectPr>
          <w:footerReference w:type="default" r:id="rId23"/>
          <w:pgSz w:w="11910" w:h="16840"/>
          <w:pgMar w:footer="979" w:header="747" w:top="1060" w:bottom="1160" w:left="980" w:right="940"/>
          <w:pgNumType w:start="118"/>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宋体" w:hAnsi="宋体" w:cs="宋体" w:eastAsia="宋体" w:hint="default"/>
        </w:rPr>
        <w:t>7.  </w:t>
      </w:r>
      <w:r>
        <w:rPr/>
        <w:t>联营企业，包括联营企业的子公司；</w:t>
      </w:r>
    </w:p>
    <w:p>
      <w:pPr>
        <w:spacing w:line="240" w:lineRule="auto" w:before="0"/>
        <w:rPr>
          <w:rFonts w:ascii="宋体" w:hAnsi="宋体" w:cs="宋体" w:eastAsia="宋体" w:hint="default"/>
          <w:sz w:val="15"/>
          <w:szCs w:val="15"/>
        </w:rPr>
      </w:pPr>
    </w:p>
    <w:p>
      <w:pPr>
        <w:pStyle w:val="BodyText"/>
        <w:spacing w:line="240" w:lineRule="auto"/>
        <w:ind w:left="154" w:right="0"/>
        <w:jc w:val="left"/>
      </w:pPr>
      <w:r>
        <w:rPr>
          <w:rFonts w:ascii="宋体" w:hAnsi="宋体" w:cs="宋体" w:eastAsia="宋体" w:hint="default"/>
        </w:rPr>
        <w:t>8.  </w:t>
      </w:r>
      <w:r>
        <w:rPr/>
        <w:t>主要投资者个人及与其关系密切的家庭成员</w:t>
      </w:r>
      <w:r>
        <w:rPr>
          <w:spacing w:val="-16"/>
        </w:rPr>
        <w:t> </w:t>
      </w:r>
      <w:r>
        <w:rPr/>
        <w:t>；</w:t>
      </w:r>
    </w:p>
    <w:p>
      <w:pPr>
        <w:spacing w:line="240" w:lineRule="auto" w:before="0"/>
        <w:rPr>
          <w:rFonts w:ascii="宋体" w:hAnsi="宋体" w:cs="宋体" w:eastAsia="宋体" w:hint="default"/>
          <w:sz w:val="15"/>
          <w:szCs w:val="15"/>
        </w:rPr>
      </w:pPr>
    </w:p>
    <w:p>
      <w:pPr>
        <w:pStyle w:val="BodyText"/>
        <w:spacing w:line="240" w:lineRule="auto"/>
        <w:ind w:left="154" w:right="0"/>
        <w:jc w:val="left"/>
      </w:pPr>
      <w:r>
        <w:rPr>
          <w:rFonts w:ascii="宋体" w:hAnsi="宋体" w:cs="宋体" w:eastAsia="宋体" w:hint="default"/>
        </w:rPr>
        <w:t>9.  </w:t>
      </w:r>
      <w:r>
        <w:rPr/>
        <w:t>本公司或其母公司的关键管理人员及与其关系密切的家庭成员；</w:t>
      </w:r>
    </w:p>
    <w:p>
      <w:pPr>
        <w:pStyle w:val="BodyText"/>
        <w:spacing w:line="430" w:lineRule="atLeast" w:before="2"/>
        <w:ind w:left="936" w:right="0" w:hanging="783"/>
        <w:jc w:val="left"/>
      </w:pPr>
      <w:r>
        <w:rPr>
          <w:rFonts w:ascii="宋体" w:hAnsi="宋体" w:cs="宋体" w:eastAsia="宋体" w:hint="default"/>
        </w:rPr>
        <w:t>10. </w:t>
      </w:r>
      <w:r>
        <w:rPr/>
        <w:t>本公司主要投资者个人、关键管理人员或与其关系密切的家庭成员控制、共同控制的其他企业。 除上述按照企业会计准则的有关要求被确定为本公司的关联方以外，根据证监会颁布的《上市公司信息披露管理</w:t>
      </w:r>
    </w:p>
    <w:p>
      <w:pPr>
        <w:pStyle w:val="BodyText"/>
        <w:spacing w:line="415" w:lineRule="auto" w:before="76"/>
        <w:ind w:right="3627" w:firstLine="360"/>
        <w:jc w:val="left"/>
      </w:pPr>
      <w:r>
        <w:rPr/>
        <w:t>办法》的要求，以下企业或个人</w:t>
      </w:r>
      <w:r>
        <w:rPr>
          <w:spacing w:val="-47"/>
        </w:rPr>
        <w:t> </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也属于本公司的关联方： </w:t>
      </w:r>
      <w:r>
        <w:rPr>
          <w:rFonts w:ascii="宋体" w:hAnsi="宋体" w:cs="宋体" w:eastAsia="宋体" w:hint="default"/>
        </w:rPr>
        <w:t>1.  </w:t>
      </w:r>
      <w:r>
        <w:rPr/>
        <w:t>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以上股份的企业或者一致行动人；</w:t>
      </w:r>
    </w:p>
    <w:p>
      <w:pPr>
        <w:pStyle w:val="BodyText"/>
        <w:spacing w:line="240" w:lineRule="auto" w:before="37"/>
        <w:ind w:left="154" w:right="0"/>
        <w:jc w:val="left"/>
      </w:pPr>
      <w:r>
        <w:rPr>
          <w:rFonts w:ascii="宋体" w:hAnsi="宋体" w:cs="宋体" w:eastAsia="宋体" w:hint="default"/>
        </w:rPr>
        <w:t>2.  </w:t>
      </w:r>
      <w:r>
        <w:rPr/>
        <w:t>直接或者间接持有本公司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以上股份的个人及与其关系密切的家庭成员，上市公司监事及与其关系密切的家庭成员；</w:t>
      </w:r>
    </w:p>
    <w:p>
      <w:pPr>
        <w:spacing w:line="240" w:lineRule="auto" w:before="13"/>
        <w:rPr>
          <w:rFonts w:ascii="宋体" w:hAnsi="宋体" w:cs="宋体" w:eastAsia="宋体" w:hint="default"/>
          <w:sz w:val="13"/>
          <w:szCs w:val="13"/>
        </w:rPr>
      </w:pPr>
    </w:p>
    <w:p>
      <w:pPr>
        <w:pStyle w:val="BodyText"/>
        <w:spacing w:line="240" w:lineRule="auto"/>
        <w:ind w:left="154" w:right="0"/>
        <w:jc w:val="left"/>
      </w:pPr>
      <w:r>
        <w:rPr>
          <w:rFonts w:ascii="宋体" w:hAnsi="宋体" w:cs="宋体" w:eastAsia="宋体" w:hint="default"/>
        </w:rPr>
        <w:t>3.  </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11</w:t>
      </w:r>
      <w:r>
        <w:rPr/>
        <w:t>项情形之一的企业；</w:t>
      </w:r>
    </w:p>
    <w:p>
      <w:pPr>
        <w:spacing w:line="240" w:lineRule="auto" w:before="13"/>
        <w:rPr>
          <w:rFonts w:ascii="宋体" w:hAnsi="宋体" w:cs="宋体" w:eastAsia="宋体" w:hint="default"/>
          <w:sz w:val="13"/>
          <w:szCs w:val="13"/>
        </w:rPr>
      </w:pPr>
    </w:p>
    <w:p>
      <w:pPr>
        <w:pStyle w:val="BodyText"/>
        <w:spacing w:line="240" w:lineRule="auto"/>
        <w:ind w:right="0"/>
        <w:jc w:val="left"/>
      </w:pPr>
      <w:r>
        <w:rPr>
          <w:rFonts w:ascii="宋体" w:hAnsi="宋体" w:cs="宋体" w:eastAsia="宋体" w:hint="default"/>
        </w:rPr>
        <w:t>4.  </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项情形之一的个人；</w:t>
      </w:r>
    </w:p>
    <w:p>
      <w:pPr>
        <w:spacing w:line="240" w:lineRule="auto" w:before="13"/>
        <w:rPr>
          <w:rFonts w:ascii="宋体" w:hAnsi="宋体" w:cs="宋体" w:eastAsia="宋体" w:hint="default"/>
          <w:sz w:val="13"/>
          <w:szCs w:val="13"/>
        </w:rPr>
      </w:pPr>
    </w:p>
    <w:p>
      <w:pPr>
        <w:pStyle w:val="BodyText"/>
        <w:spacing w:line="240" w:lineRule="auto"/>
        <w:ind w:right="0"/>
        <w:jc w:val="left"/>
      </w:pPr>
      <w:r>
        <w:rPr>
          <w:rFonts w:ascii="宋体" w:hAnsi="宋体" w:cs="宋体" w:eastAsia="宋体" w:hint="default"/>
        </w:rPr>
        <w:t>5.  </w:t>
      </w:r>
      <w:r>
        <w:rPr/>
        <w:t>由上述第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和</w:t>
      </w:r>
      <w:r>
        <w:rPr>
          <w:rFonts w:ascii="Times New Roman" w:hAnsi="Times New Roman" w:cs="Times New Roman" w:eastAsia="Times New Roman" w:hint="default"/>
        </w:rPr>
        <w:t>14</w:t>
      </w:r>
      <w:r>
        <w:rPr/>
        <w:t>项直接或者间接控制的、或者担任董事、高级管理人员的，除本公司及其控股子公司以外的企业。</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3、重要会计政策和会计估计变更" w:id="172"/>
      <w:bookmarkEnd w:id="17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173"/>
      <w:bookmarkEnd w:id="17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日起执行财政部</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年修订及新颁布的《企业会计准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t>（修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订</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《企业</w:t>
            </w:r>
            <w:r>
              <w:rPr>
                <w:rFonts w:ascii="宋体" w:hAnsi="宋体" w:cs="宋体" w:eastAsia="宋体" w:hint="default"/>
                <w:spacing w:val="-2"/>
                <w:sz w:val="18"/>
                <w:szCs w:val="18"/>
              </w:rPr>
              <w:t>会</w:t>
            </w: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表列报</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8"/>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98"/>
                <w:sz w:val="18"/>
                <w:szCs w:val="18"/>
              </w:rPr>
              <w:t>、</w:t>
            </w:r>
            <w:r>
              <w:rPr>
                <w:rFonts w:ascii="宋体" w:hAnsi="宋体" w:cs="宋体" w:eastAsia="宋体" w:hint="default"/>
                <w:sz w:val="18"/>
                <w:szCs w:val="18"/>
              </w:rPr>
              <w:t>《企业会</w:t>
            </w:r>
            <w:r>
              <w:rPr>
                <w:rFonts w:ascii="宋体" w:hAnsi="宋体" w:cs="宋体" w:eastAsia="宋体" w:hint="default"/>
                <w:sz w:val="18"/>
                <w:szCs w:val="18"/>
              </w:rPr>
              <w:t> 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企</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 益的披露》等</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94"/>
              <w:jc w:val="both"/>
              <w:rPr>
                <w:rFonts w:ascii="宋体" w:hAnsi="宋体" w:cs="宋体" w:eastAsia="宋体" w:hint="default"/>
                <w:sz w:val="18"/>
                <w:szCs w:val="18"/>
              </w:rPr>
            </w:pPr>
            <w:r>
              <w:rPr>
                <w:rFonts w:ascii="宋体" w:hAnsi="宋体" w:cs="宋体" w:eastAsia="宋体" w:hint="default"/>
                <w:sz w:val="18"/>
                <w:szCs w:val="18"/>
              </w:rPr>
              <w:t>按照相关准则中的衔接规定，除应付职 工薪酬重分类外无需要进行追溯调整的 事项，因此不影响公司披露的以往年度 财务状况和经营成果。</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会计估计变更" w:id="174"/>
      <w:bookmarkEnd w:id="17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487" w:lineRule="auto" w:before="35"/>
        <w:ind w:left="154" w:right="7986" w:firstLine="0"/>
        <w:jc w:val="left"/>
        <w:rPr>
          <w:rFonts w:ascii="宋体" w:hAnsi="宋体" w:cs="宋体" w:eastAsia="宋体" w:hint="default"/>
          <w:sz w:val="21"/>
          <w:szCs w:val="21"/>
        </w:rPr>
      </w:pPr>
      <w:bookmarkStart w:name="34、其他" w:id="175"/>
      <w:bookmarkEnd w:id="17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176"/>
      <w:bookmarkEnd w:id="17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77"/>
      <w:bookmarkEnd w:id="17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实缴增值税、消费税、营业税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北京东华信通信息技术有限公司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东方国信（天津）有限公司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吉林省东方国信科技有限公司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成都东方国信科技有限公司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北京国信新世纪科技有限公司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大连东方国信科技有限公司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北京汉桥科创科技有限公司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178"/>
      <w:bookmarkEnd w:id="17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203"/>
        <w:jc w:val="left"/>
      </w:pPr>
      <w:r>
        <w:rPr>
          <w:rFonts w:ascii="Times New Roman" w:hAnsi="Times New Roman" w:cs="Times New Roman" w:eastAsia="Times New Roman" w:hint="default"/>
        </w:rPr>
        <w:t>1</w:t>
      </w:r>
      <w:r>
        <w:rPr/>
        <w:t>、增值税 根据《国务院关于印发进一步鼓励软件产业和集成电路产业发展若干政策的通知》（国发</w:t>
      </w:r>
      <w:r>
        <w:rPr>
          <w:rFonts w:ascii="Times New Roman" w:hAnsi="Times New Roman" w:cs="Times New Roman" w:eastAsia="Times New Roman" w:hint="default"/>
        </w:rPr>
        <w:t>[2011]4</w:t>
      </w:r>
      <w:r>
        <w:rPr/>
        <w:t>号）的规定，及财政部、 国家税务总局《关于软件产品增值税政策的通知》（财税</w:t>
      </w:r>
      <w:r>
        <w:rPr>
          <w:rFonts w:ascii="Times New Roman" w:hAnsi="Times New Roman" w:cs="Times New Roman" w:eastAsia="Times New Roman" w:hint="default"/>
        </w:rPr>
        <w:t>[2011]100</w:t>
      </w:r>
      <w:r>
        <w:rPr/>
        <w:t>号）的第一条的规定，自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日起，本公司自行 开发研制的软件产品按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451" w:lineRule="auto" w:before="43"/>
        <w:ind w:right="143"/>
        <w:jc w:val="left"/>
      </w:pPr>
      <w:r>
        <w:rPr>
          <w:rFonts w:ascii="Times New Roman" w:hAnsi="Times New Roman" w:cs="Times New Roman" w:eastAsia="Times New Roman" w:hint="default"/>
        </w:rPr>
        <w:t>2</w:t>
      </w:r>
      <w:r>
        <w:rPr/>
        <w:t>、营业税 根据《财政部、国家税务总局关于贯彻落实</w:t>
      </w:r>
      <w:r>
        <w:rPr>
          <w:rFonts w:ascii="Times New Roman" w:hAnsi="Times New Roman" w:cs="Times New Roman" w:eastAsia="Times New Roman" w:hint="default"/>
        </w:rPr>
        <w:t>&lt;</w:t>
      </w:r>
      <w:r>
        <w:rPr/>
        <w:t>中共中央国务院关于加强技术创新，发展高科技，实现产业化的决定</w:t>
      </w:r>
      <w:r>
        <w:rPr>
          <w:rFonts w:ascii="Times New Roman" w:hAnsi="Times New Roman" w:cs="Times New Roman" w:eastAsia="Times New Roman" w:hint="default"/>
        </w:rPr>
        <w:t>&gt;</w:t>
      </w:r>
      <w:r>
        <w:rPr/>
        <w:t>有关税 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号）规定，本公司技术转让收入、技术开发收入符合相关条件的报经当地税务机关批 复后可减免相应的营业税。</w:t>
      </w:r>
    </w:p>
    <w:p>
      <w:pPr>
        <w:spacing w:after="0" w:line="451"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97"/>
        <w:jc w:val="left"/>
      </w:pPr>
      <w:r>
        <w:rPr/>
        <w:t>根据《财政部、国家税务总局关于在北京等</w:t>
      </w:r>
      <w:r>
        <w:rPr>
          <w:rFonts w:ascii="Times New Roman" w:hAnsi="Times New Roman" w:cs="Times New Roman" w:eastAsia="Times New Roman" w:hint="default"/>
        </w:rPr>
        <w:t>8</w:t>
      </w:r>
      <w:r>
        <w:rPr/>
        <w:t>省市开展交通运输业和部分现代服务业营业税改征增值税试点的通知》（财税 </w:t>
      </w:r>
      <w:r>
        <w:rPr>
          <w:spacing w:val="-2"/>
        </w:rPr>
        <w:t>字</w:t>
      </w:r>
      <w:r>
        <w:rPr>
          <w:rFonts w:ascii="Times New Roman" w:hAnsi="Times New Roman" w:cs="Times New Roman" w:eastAsia="Times New Roman" w:hint="default"/>
          <w:spacing w:val="-2"/>
        </w:rPr>
        <w:t>[2012]71</w:t>
      </w:r>
      <w:r>
        <w:rPr>
          <w:spacing w:val="-2"/>
        </w:rPr>
        <w:t>号）规定，自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日起，本公司研发和技术服务收入、信息技术服务收入等由缴纳营业税改为缴纳增值税，</w:t>
      </w:r>
      <w:r>
        <w:rPr>
          <w:spacing w:val="-79"/>
        </w:rPr>
        <w:t> </w:t>
      </w:r>
      <w:r>
        <w:rPr>
          <w:spacing w:val="-79"/>
        </w:rPr>
      </w:r>
      <w:r>
        <w:rPr/>
        <w:t>适用税率为</w:t>
      </w:r>
      <w:r>
        <w:rPr>
          <w:rFonts w:ascii="Times New Roman" w:hAnsi="Times New Roman" w:cs="Times New Roman" w:eastAsia="Times New Roman" w:hint="default"/>
        </w:rPr>
        <w:t>6%</w:t>
      </w:r>
      <w:r>
        <w:rPr/>
        <w:t>，原享受的技术转让收入、技术开发收入等营业税减免税政策，调整为增值税减免税。</w:t>
      </w:r>
    </w:p>
    <w:p>
      <w:pPr>
        <w:pStyle w:val="BodyText"/>
        <w:spacing w:line="240" w:lineRule="auto" w:before="44"/>
        <w:ind w:left="154" w:right="92"/>
        <w:jc w:val="left"/>
      </w:pPr>
      <w:r>
        <w:rPr>
          <w:rFonts w:ascii="Times New Roman" w:hAnsi="Times New Roman" w:cs="Times New Roman" w:eastAsia="Times New Roman" w:hint="default"/>
        </w:rPr>
        <w:t>3</w:t>
      </w:r>
      <w:r>
        <w:rPr/>
        <w:t>、企业所得税</w:t>
      </w:r>
    </w:p>
    <w:p>
      <w:pPr>
        <w:spacing w:line="240" w:lineRule="auto" w:before="9"/>
        <w:rPr>
          <w:rFonts w:ascii="宋体" w:hAnsi="宋体" w:cs="宋体" w:eastAsia="宋体" w:hint="default"/>
          <w:sz w:val="16"/>
          <w:szCs w:val="16"/>
        </w:rPr>
      </w:pPr>
    </w:p>
    <w:p>
      <w:pPr>
        <w:pStyle w:val="BodyText"/>
        <w:spacing w:line="451" w:lineRule="auto"/>
        <w:ind w:right="190"/>
        <w:jc w:val="both"/>
      </w:pPr>
      <w:r>
        <w:rPr/>
        <w:t>（</w:t>
      </w:r>
      <w:r>
        <w:rPr>
          <w:rFonts w:ascii="Times New Roman" w:hAnsi="Times New Roman" w:cs="Times New Roman" w:eastAsia="Times New Roman" w:hint="default"/>
        </w:rPr>
        <w:t>1</w:t>
      </w:r>
      <w:r>
        <w:rPr/>
        <w:t>）经中华人民共和国国家发展和改革委员会、中华人民共和国工业和信息化部、中华人民共和国财政部、中华人民共和 国商务部、国家税务总局联合审核，本公司</w:t>
      </w:r>
      <w:r>
        <w:rPr>
          <w:rFonts w:ascii="Times New Roman" w:hAnsi="Times New Roman" w:cs="Times New Roman" w:eastAsia="Times New Roman" w:hint="default"/>
        </w:rPr>
        <w:t>2013-2014</w:t>
      </w:r>
      <w:r>
        <w:rPr/>
        <w:t>年度被认定为国家规划布局内重点软件企业，于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月取得《国 </w:t>
      </w:r>
      <w:r>
        <w:rPr>
          <w:spacing w:val="-3"/>
        </w:rPr>
        <w:t>家规划布局内重点软件企业》证书，证书编号为</w:t>
      </w:r>
      <w:r>
        <w:rPr>
          <w:rFonts w:ascii="Times New Roman" w:hAnsi="Times New Roman" w:cs="Times New Roman" w:eastAsia="Times New Roman" w:hint="default"/>
          <w:spacing w:val="-3"/>
        </w:rPr>
        <w:t>R-2013-030</w:t>
      </w:r>
      <w:r>
        <w:rPr>
          <w:spacing w:val="-3"/>
        </w:rPr>
        <w:t>号，有效期为</w:t>
      </w:r>
      <w:r>
        <w:rPr>
          <w:rFonts w:ascii="Times New Roman" w:hAnsi="Times New Roman" w:cs="Times New Roman" w:eastAsia="Times New Roman" w:hint="default"/>
          <w:spacing w:val="-3"/>
        </w:rPr>
        <w:t>2</w:t>
      </w:r>
      <w:r>
        <w:rPr>
          <w:spacing w:val="-3"/>
        </w:rPr>
        <w:t>年。根据《中华人民共和国企业所得税法》（</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日第十届全国人民代表大会第五次会议通过）、《中华人民共和国企业所得税法实施条例》、国务院关于印发《鼓 </w:t>
      </w:r>
      <w:r>
        <w:rPr>
          <w:spacing w:val="-2"/>
        </w:rPr>
        <w:t>励软件产业和集成电路产业发展若干政策》的通知（国发</w:t>
      </w:r>
      <w:r>
        <w:rPr>
          <w:rFonts w:ascii="Times New Roman" w:hAnsi="Times New Roman" w:cs="Times New Roman" w:eastAsia="Times New Roman" w:hint="default"/>
          <w:spacing w:val="-2"/>
        </w:rPr>
        <w:t>[2000]18</w:t>
      </w:r>
      <w:r>
        <w:rPr>
          <w:spacing w:val="-2"/>
        </w:rPr>
        <w:t>号</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日），公司</w:t>
      </w:r>
      <w:r>
        <w:rPr>
          <w:rFonts w:ascii="Times New Roman" w:hAnsi="Times New Roman" w:cs="Times New Roman" w:eastAsia="Times New Roman" w:hint="default"/>
          <w:spacing w:val="-2"/>
        </w:rPr>
        <w:t>2014</w:t>
      </w:r>
      <w:r>
        <w:rPr>
          <w:spacing w:val="-2"/>
        </w:rPr>
        <w:t>年按</w:t>
      </w:r>
      <w:r>
        <w:rPr>
          <w:rFonts w:ascii="Times New Roman" w:hAnsi="Times New Roman" w:cs="Times New Roman" w:eastAsia="Times New Roman" w:hint="default"/>
          <w:spacing w:val="-2"/>
        </w:rPr>
        <w:t>10%</w:t>
      </w:r>
      <w:r>
        <w:rPr>
          <w:spacing w:val="-2"/>
        </w:rPr>
        <w:t>的税率计缴企业所</w:t>
      </w:r>
      <w:r>
        <w:rPr>
          <w:spacing w:val="-45"/>
        </w:rPr>
        <w:t> </w:t>
      </w:r>
      <w:r>
        <w:rPr/>
        <w:t>得税。</w:t>
      </w:r>
    </w:p>
    <w:p>
      <w:pPr>
        <w:pStyle w:val="BodyText"/>
        <w:spacing w:line="451" w:lineRule="auto" w:before="74"/>
        <w:ind w:right="192"/>
        <w:jc w:val="both"/>
      </w:pPr>
      <w:r>
        <w:rPr/>
        <w:t>（</w:t>
      </w:r>
      <w:r>
        <w:rPr>
          <w:rFonts w:ascii="Times New Roman" w:hAnsi="Times New Roman" w:cs="Times New Roman" w:eastAsia="Times New Roman" w:hint="default"/>
        </w:rPr>
        <w:t>2</w:t>
      </w:r>
      <w:r>
        <w:rPr/>
        <w:t>）本公司的子公司北京东华信通信息技术有限公司为新办软件生产企业，于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日取得北京市科学技术委员会颁 发的软件企业认定证书，证书编号：京</w:t>
      </w:r>
      <w:r>
        <w:rPr>
          <w:rFonts w:ascii="Times New Roman" w:hAnsi="Times New Roman" w:cs="Times New Roman" w:eastAsia="Times New Roman" w:hint="default"/>
        </w:rPr>
        <w:t>R-2008-0509</w:t>
      </w:r>
      <w:r>
        <w:rPr/>
        <w:t>。通过高新技术企业审核，取得了《高新技术企业证书》，证书编号： </w:t>
      </w:r>
      <w:r>
        <w:rPr>
          <w:rFonts w:ascii="Times New Roman" w:hAnsi="Times New Roman" w:cs="Times New Roman" w:eastAsia="Times New Roman" w:hint="default"/>
        </w:rPr>
        <w:t>GF201411000230</w:t>
      </w:r>
      <w:r>
        <w:rPr/>
        <w:t>，发证日期：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日，有效期</w:t>
      </w:r>
      <w:r>
        <w:rPr>
          <w:rFonts w:ascii="Times New Roman" w:hAnsi="Times New Roman" w:cs="Times New Roman" w:eastAsia="Times New Roman" w:hint="default"/>
        </w:rPr>
        <w:t>3</w:t>
      </w:r>
      <w:r>
        <w:rPr/>
        <w:t>年。根据《中华人民共和国企业所得税法》、《中华人民共和国企 </w:t>
      </w:r>
      <w:r>
        <w:rPr>
          <w:spacing w:val="-1"/>
        </w:rPr>
        <w:t>业所得税法实施条例》等规定，认定合格的高新技术企业自认定当年起三年内，减按</w:t>
      </w:r>
      <w:r>
        <w:rPr>
          <w:rFonts w:ascii="Times New Roman" w:hAnsi="Times New Roman" w:cs="Times New Roman" w:eastAsia="Times New Roman" w:hint="default"/>
          <w:spacing w:val="-1"/>
        </w:rPr>
        <w:t>15%</w:t>
      </w:r>
      <w:r>
        <w:rPr>
          <w:spacing w:val="-1"/>
        </w:rPr>
        <w:t>的税率征收企业所得税。东华信通</w:t>
      </w:r>
      <w:r>
        <w:rPr/>
        <w:t> </w:t>
      </w:r>
      <w:r>
        <w:rPr>
          <w:rFonts w:ascii="Times New Roman" w:hAnsi="Times New Roman" w:cs="Times New Roman" w:eastAsia="Times New Roman" w:hint="default"/>
        </w:rPr>
        <w:t>2014</w:t>
      </w:r>
      <w:r>
        <w:rPr/>
        <w:t>年按照</w:t>
      </w:r>
      <w:r>
        <w:rPr>
          <w:rFonts w:ascii="Times New Roman" w:hAnsi="Times New Roman" w:cs="Times New Roman" w:eastAsia="Times New Roman" w:hint="default"/>
        </w:rPr>
        <w:t>15%</w:t>
      </w:r>
      <w:r>
        <w:rPr/>
        <w:t>的税率计缴企业所得税。</w:t>
      </w:r>
    </w:p>
    <w:p>
      <w:pPr>
        <w:pStyle w:val="BodyText"/>
        <w:spacing w:line="458" w:lineRule="auto" w:before="44"/>
        <w:ind w:right="88"/>
        <w:jc w:val="left"/>
      </w:pPr>
      <w:r>
        <w:rPr/>
        <w:t>（</w:t>
      </w:r>
      <w:r>
        <w:rPr>
          <w:rFonts w:ascii="Times New Roman" w:hAnsi="Times New Roman" w:cs="Times New Roman" w:eastAsia="Times New Roman" w:hint="default"/>
        </w:rPr>
        <w:t>3</w:t>
      </w:r>
      <w:r>
        <w:rPr/>
        <w:t>）本公司的子公司东方国信（天津）科技有限公司取得天津市科学技术委员会、天津市财政厅、天津市国家税务局和天 </w:t>
      </w:r>
      <w:r>
        <w:rPr>
          <w:spacing w:val="-1"/>
        </w:rPr>
        <w:t>津市地方税务局联合下发的《高新技术企业证书》，证书编号：</w:t>
      </w:r>
      <w:r>
        <w:rPr>
          <w:rFonts w:ascii="Times New Roman" w:hAnsi="Times New Roman" w:cs="Times New Roman" w:eastAsia="Times New Roman" w:hint="default"/>
          <w:spacing w:val="-1"/>
        </w:rPr>
        <w:t>GR201212000189</w:t>
      </w:r>
      <w:r>
        <w:rPr>
          <w:spacing w:val="-1"/>
        </w:rPr>
        <w:t>，发证日期：</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8</w:t>
      </w:r>
      <w:r>
        <w:rPr>
          <w:spacing w:val="-1"/>
        </w:rPr>
        <w:t>日，有效期</w:t>
      </w:r>
      <w:r>
        <w:rPr>
          <w:rFonts w:ascii="Times New Roman" w:hAnsi="Times New Roman" w:cs="Times New Roman" w:eastAsia="Times New Roman" w:hint="default"/>
          <w:spacing w:val="-1"/>
        </w:rPr>
        <w:t>3</w:t>
      </w:r>
      <w:r>
        <w:rPr>
          <w:spacing w:val="-1"/>
        </w:rPr>
        <w:t>年。</w:t>
      </w:r>
      <w:r>
        <w:rPr/>
        <w:t> </w:t>
      </w:r>
      <w:r>
        <w:rPr>
          <w:spacing w:val="-2"/>
        </w:rPr>
        <w:t>根据《中华人民共和国企业所得税法》、《中华人民共和国企业所得税法实施条例》等规定，认定合格的高新技术企业自认</w:t>
      </w:r>
      <w:r>
        <w:rPr>
          <w:spacing w:val="-67"/>
        </w:rPr>
        <w:t> </w:t>
      </w:r>
      <w:r>
        <w:rPr>
          <w:spacing w:val="-67"/>
        </w:rPr>
      </w:r>
      <w:r>
        <w:rPr/>
        <w:t>定当年起三年内，减按</w:t>
      </w:r>
      <w:r>
        <w:rPr>
          <w:rFonts w:ascii="Times New Roman" w:hAnsi="Times New Roman" w:cs="Times New Roman" w:eastAsia="Times New Roman" w:hint="default"/>
        </w:rPr>
        <w:t>15%</w:t>
      </w:r>
      <w:r>
        <w:rPr/>
        <w:t>的税率征收企业所得税。国信天津</w:t>
      </w:r>
      <w:r>
        <w:rPr>
          <w:rFonts w:ascii="Times New Roman" w:hAnsi="Times New Roman" w:cs="Times New Roman" w:eastAsia="Times New Roman" w:hint="default"/>
        </w:rPr>
        <w:t>2014</w:t>
      </w:r>
      <w:r>
        <w:rPr/>
        <w:t>年按</w:t>
      </w:r>
      <w:r>
        <w:rPr>
          <w:rFonts w:ascii="Times New Roman" w:hAnsi="Times New Roman" w:cs="Times New Roman" w:eastAsia="Times New Roman" w:hint="default"/>
        </w:rPr>
        <w:t>15%</w:t>
      </w:r>
      <w:r>
        <w:rPr/>
        <w:t>的税率计缴企业所得税。</w:t>
      </w:r>
    </w:p>
    <w:p>
      <w:pPr>
        <w:pStyle w:val="BodyText"/>
        <w:spacing w:line="451" w:lineRule="auto" w:before="37"/>
        <w:ind w:left="154" w:right="182"/>
        <w:jc w:val="left"/>
      </w:pPr>
      <w:r>
        <w:rPr/>
        <w:t>（</w:t>
      </w:r>
      <w:r>
        <w:rPr>
          <w:rFonts w:ascii="Times New Roman" w:hAnsi="Times New Roman" w:cs="Times New Roman" w:eastAsia="Times New Roman" w:hint="default"/>
        </w:rPr>
        <w:t>4</w:t>
      </w:r>
      <w:r>
        <w:rPr/>
        <w:t>）本公司的子公司北京科瑞明软件有限公司取得北京市科学技术委员会、北京市财政局、北京市国家税务局、北京市地 </w:t>
      </w:r>
      <w:r>
        <w:rPr>
          <w:spacing w:val="-2"/>
        </w:rPr>
        <w:t>方税务局联合下发的《高新技术企业证书》，证书编号：</w:t>
      </w:r>
      <w:r>
        <w:rPr>
          <w:rFonts w:ascii="Times New Roman" w:hAnsi="Times New Roman" w:cs="Times New Roman" w:eastAsia="Times New Roman" w:hint="default"/>
          <w:spacing w:val="-2"/>
        </w:rPr>
        <w:t>GR201411000934</w:t>
      </w:r>
      <w:r>
        <w:rPr>
          <w:spacing w:val="-2"/>
        </w:rPr>
        <w:t>，发证日期：</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日，有效期</w:t>
      </w:r>
      <w:r>
        <w:rPr>
          <w:rFonts w:ascii="Times New Roman" w:hAnsi="Times New Roman" w:cs="Times New Roman" w:eastAsia="Times New Roman" w:hint="default"/>
          <w:spacing w:val="-2"/>
        </w:rPr>
        <w:t>3</w:t>
      </w:r>
      <w:r>
        <w:rPr>
          <w:spacing w:val="-2"/>
        </w:rPr>
        <w:t>年。根据</w:t>
      </w:r>
    </w:p>
    <w:p>
      <w:pPr>
        <w:pStyle w:val="BodyText"/>
        <w:spacing w:line="477" w:lineRule="auto" w:before="43"/>
        <w:ind w:left="154" w:right="92"/>
        <w:jc w:val="left"/>
      </w:pPr>
      <w:r>
        <w:rPr>
          <w:spacing w:val="-2"/>
        </w:rPr>
        <w:t>《中华人民共和国企业所得税法》、《中华人民共和国企业所得税法实施条例》等规定，认定合格的高新技术企业自认定当</w:t>
      </w:r>
      <w:r>
        <w:rPr>
          <w:spacing w:val="-66"/>
        </w:rPr>
        <w:t> </w:t>
      </w:r>
      <w:r>
        <w:rPr>
          <w:spacing w:val="-66"/>
        </w:rPr>
      </w:r>
      <w:r>
        <w:rPr/>
        <w:t>年起三年内，减按</w:t>
      </w:r>
      <w:r>
        <w:rPr>
          <w:rFonts w:ascii="Times New Roman" w:hAnsi="Times New Roman" w:cs="Times New Roman" w:eastAsia="Times New Roman" w:hint="default"/>
        </w:rPr>
        <w:t>15%</w:t>
      </w:r>
      <w:r>
        <w:rPr/>
        <w:t>的税率征收企业所得税。科瑞明</w:t>
      </w:r>
      <w:r>
        <w:rPr>
          <w:rFonts w:ascii="Times New Roman" w:hAnsi="Times New Roman" w:cs="Times New Roman" w:eastAsia="Times New Roman" w:hint="default"/>
        </w:rPr>
        <w:t>2014</w:t>
      </w:r>
      <w:r>
        <w:rPr/>
        <w:t>年按</w:t>
      </w:r>
      <w:r>
        <w:rPr>
          <w:rFonts w:ascii="Times New Roman" w:hAnsi="Times New Roman" w:cs="Times New Roman" w:eastAsia="Times New Roman" w:hint="default"/>
        </w:rPr>
        <w:t>15%</w:t>
      </w:r>
      <w:r>
        <w:rPr/>
        <w:t>的税率计缴企业所得税。</w:t>
      </w:r>
    </w:p>
    <w:p>
      <w:pPr>
        <w:pStyle w:val="BodyText"/>
        <w:spacing w:line="451" w:lineRule="auto" w:before="21"/>
        <w:ind w:right="183"/>
        <w:jc w:val="left"/>
      </w:pPr>
      <w:r>
        <w:rPr/>
        <w:t>（</w:t>
      </w:r>
      <w:r>
        <w:rPr>
          <w:rFonts w:ascii="Times New Roman" w:hAnsi="Times New Roman" w:cs="Times New Roman" w:eastAsia="Times New Roman" w:hint="default"/>
        </w:rPr>
        <w:t>5</w:t>
      </w:r>
      <w:r>
        <w:rPr/>
        <w:t>）本公司的子公司北京北科亿力科技有限公司于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30</w:t>
      </w:r>
      <w:r>
        <w:rPr/>
        <w:t>日取得北京市石景山区国家税务局关于国家需要重点扶持 的高新技术企业的备案批复，</w:t>
      </w:r>
      <w:r>
        <w:rPr>
          <w:rFonts w:ascii="Times New Roman" w:hAnsi="Times New Roman" w:cs="Times New Roman" w:eastAsia="Times New Roman" w:hint="default"/>
        </w:rPr>
        <w:t>2014</w:t>
      </w:r>
      <w:r>
        <w:rPr/>
        <w:t>年按照</w:t>
      </w:r>
      <w:r>
        <w:rPr>
          <w:rFonts w:ascii="Times New Roman" w:hAnsi="Times New Roman" w:cs="Times New Roman" w:eastAsia="Times New Roman" w:hint="default"/>
        </w:rPr>
        <w:t>15%</w:t>
      </w:r>
      <w:r>
        <w:rPr/>
        <w:t>的税率计缴企业所得税。</w:t>
      </w:r>
    </w:p>
    <w:p>
      <w:pPr>
        <w:pStyle w:val="BodyText"/>
        <w:spacing w:line="458" w:lineRule="auto" w:before="43"/>
        <w:ind w:right="113"/>
        <w:jc w:val="left"/>
      </w:pPr>
      <w:r>
        <w:rPr/>
        <w:t>（</w:t>
      </w:r>
      <w:r>
        <w:rPr>
          <w:rFonts w:ascii="Times New Roman" w:hAnsi="Times New Roman" w:cs="Times New Roman" w:eastAsia="Times New Roman" w:hint="default"/>
        </w:rPr>
        <w:t>6</w:t>
      </w:r>
      <w:r>
        <w:rPr/>
        <w:t>）本公司的子公司上海屹通信息科技发展有限公司取得上海市科学技术委员会、上海市财政局、上海市国家税务局、上 海市地方税务局联合下发的《高新技术企业证书》，证书编号：</w:t>
      </w:r>
      <w:r>
        <w:rPr>
          <w:rFonts w:ascii="Times New Roman" w:hAnsi="Times New Roman" w:cs="Times New Roman" w:eastAsia="Times New Roman" w:hint="default"/>
        </w:rPr>
        <w:t>GR201431000791</w:t>
      </w:r>
      <w:r>
        <w:rPr/>
        <w:t>，发证日期：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日，有效期</w:t>
      </w:r>
      <w:r>
        <w:rPr>
          <w:rFonts w:ascii="Times New Roman" w:hAnsi="Times New Roman" w:cs="Times New Roman" w:eastAsia="Times New Roman" w:hint="default"/>
        </w:rPr>
        <w:t>3</w:t>
      </w:r>
      <w:r>
        <w:rPr/>
        <w:t>年。 </w:t>
      </w:r>
      <w:r>
        <w:rPr>
          <w:spacing w:val="-2"/>
        </w:rPr>
        <w:t>根据《中华人民共和国企业所得税法》、《中华人民共和国企业所得税法实施条例》等规定，认定合格的高新技术企业自认</w:t>
      </w:r>
      <w:r>
        <w:rPr>
          <w:spacing w:val="-66"/>
        </w:rPr>
        <w:t> </w:t>
      </w:r>
      <w:r>
        <w:rPr>
          <w:spacing w:val="-66"/>
        </w:rPr>
      </w:r>
      <w:r>
        <w:rPr/>
        <w:t>定当年起三年内，减按</w:t>
      </w:r>
      <w:r>
        <w:rPr>
          <w:rFonts w:ascii="Times New Roman" w:hAnsi="Times New Roman" w:cs="Times New Roman" w:eastAsia="Times New Roman" w:hint="default"/>
        </w:rPr>
        <w:t>15%</w:t>
      </w:r>
      <w:r>
        <w:rPr/>
        <w:t>的税率征收企业所得税。屹通信息</w:t>
      </w:r>
      <w:r>
        <w:rPr>
          <w:rFonts w:ascii="Times New Roman" w:hAnsi="Times New Roman" w:cs="Times New Roman" w:eastAsia="Times New Roman" w:hint="default"/>
        </w:rPr>
        <w:t>2014</w:t>
      </w:r>
      <w:r>
        <w:rPr/>
        <w:t>年按</w:t>
      </w:r>
      <w:r>
        <w:rPr>
          <w:rFonts w:ascii="Times New Roman" w:hAnsi="Times New Roman" w:cs="Times New Roman" w:eastAsia="Times New Roman" w:hint="default"/>
        </w:rPr>
        <w:t>15%</w:t>
      </w:r>
      <w:r>
        <w:rPr/>
        <w:t>的税率计缴企业所得税。</w:t>
      </w:r>
    </w:p>
    <w:p>
      <w:pPr>
        <w:spacing w:after="0" w:line="458"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spacing w:line="487" w:lineRule="auto" w:before="35"/>
        <w:ind w:left="153" w:right="6893" w:firstLine="0"/>
        <w:jc w:val="left"/>
        <w:rPr>
          <w:rFonts w:ascii="宋体" w:hAnsi="宋体" w:cs="宋体" w:eastAsia="宋体" w:hint="default"/>
          <w:sz w:val="21"/>
          <w:szCs w:val="21"/>
        </w:rPr>
      </w:pPr>
      <w:bookmarkStart w:name="3、其他" w:id="179"/>
      <w:bookmarkEnd w:id="1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180"/>
      <w:bookmarkEnd w:id="180"/>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181"/>
      <w:bookmarkEnd w:id="18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32,728.78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24,096.77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239,671,453.89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271,631,472.66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1,642,122.46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10,071,474.34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241,346,305.13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281,727,043.77</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其中，受限制的货币资金明细如下：</w:t>
      </w:r>
    </w:p>
    <w:p>
      <w:pPr>
        <w:spacing w:line="240" w:lineRule="auto" w:before="1"/>
        <w:rPr>
          <w:rFonts w:ascii="宋体" w:hAnsi="宋体" w:cs="宋体" w:eastAsia="宋体" w:hint="default"/>
          <w:sz w:val="14"/>
          <w:szCs w:val="14"/>
        </w:rPr>
      </w:pPr>
    </w:p>
    <w:tbl>
      <w:tblPr>
        <w:tblW w:w="0" w:type="auto"/>
        <w:jc w:val="left"/>
        <w:tblInd w:w="137" w:type="dxa"/>
        <w:tblLayout w:type="fixed"/>
        <w:tblCellMar>
          <w:top w:w="0" w:type="dxa"/>
          <w:left w:w="0" w:type="dxa"/>
          <w:bottom w:w="0" w:type="dxa"/>
          <w:right w:w="0" w:type="dxa"/>
        </w:tblCellMar>
        <w:tblLook w:val="01E0"/>
      </w:tblPr>
      <w:tblGrid>
        <w:gridCol w:w="3775"/>
        <w:gridCol w:w="2944"/>
        <w:gridCol w:w="2940"/>
      </w:tblGrid>
      <w:tr>
        <w:trPr>
          <w:trHeight w:val="355" w:hRule="exact"/>
        </w:trPr>
        <w:tc>
          <w:tcPr>
            <w:tcW w:w="37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698"/>
              <w:jc w:val="right"/>
              <w:rPr>
                <w:rFonts w:ascii="宋体" w:hAnsi="宋体" w:cs="宋体" w:eastAsia="宋体" w:hint="default"/>
                <w:sz w:val="18"/>
                <w:szCs w:val="18"/>
              </w:rPr>
            </w:pPr>
            <w:r>
              <w:rPr>
                <w:rFonts w:ascii="宋体" w:hAnsi="宋体" w:cs="宋体" w:eastAsia="宋体" w:hint="default"/>
                <w:sz w:val="18"/>
                <w:szCs w:val="18"/>
              </w:rPr>
              <w:t>项目</w:t>
            </w:r>
          </w:p>
        </w:tc>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1,642,122.46</w:t>
            </w:r>
          </w:p>
        </w:tc>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10,071,474.34</w:t>
            </w:r>
          </w:p>
        </w:tc>
      </w:tr>
      <w:tr>
        <w:trPr>
          <w:trHeight w:val="36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698"/>
              <w:jc w:val="right"/>
              <w:rPr>
                <w:rFonts w:ascii="宋体" w:hAnsi="宋体" w:cs="宋体" w:eastAsia="宋体" w:hint="default"/>
                <w:sz w:val="18"/>
                <w:szCs w:val="18"/>
              </w:rPr>
            </w:pPr>
            <w:r>
              <w:rPr>
                <w:rFonts w:ascii="宋体" w:hAnsi="宋体" w:cs="宋体" w:eastAsia="宋体" w:hint="default"/>
                <w:sz w:val="18"/>
                <w:szCs w:val="18"/>
              </w:rPr>
              <w:t>合计</w:t>
            </w:r>
          </w:p>
        </w:tc>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1,642,122.46</w:t>
            </w:r>
          </w:p>
        </w:tc>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10,071,474.34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54" w:right="0"/>
        <w:jc w:val="left"/>
        <w:rPr>
          <w:b w:val="0"/>
          <w:bCs w:val="0"/>
        </w:rPr>
      </w:pPr>
      <w:bookmarkStart w:name="2、以公允价值计量且其变动计入当期损益的金融资产" w:id="182"/>
      <w:bookmarkEnd w:id="18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183"/>
      <w:bookmarkEnd w:id="18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184"/>
      <w:bookmarkEnd w:id="18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185"/>
      <w:bookmarkEnd w:id="18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11,043,700.00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11,043,700.00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期末公司已质押的应收票据" w:id="186"/>
      <w:bookmarkEnd w:id="18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187"/>
      <w:bookmarkEnd w:id="18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188"/>
      <w:bookmarkEnd w:id="18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账款" w:id="189"/>
      <w:bookmarkEnd w:id="18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190"/>
      <w:bookmarkEnd w:id="1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488,575,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315.99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10,606,0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477,969,2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17.99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309,822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,896.20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4,492,690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305,330,20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6.08</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488,575,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315.99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10,606,0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98.00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477,969,2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17.99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309,822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,896.20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4,492,690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305,330,20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6.08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407"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439,651,690.31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4,396,516.90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45,198,763.15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4,519,876.32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1,691,087.80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338,217.56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652,504.10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326,252.05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1,186,784.89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830,749.43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194,485.74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194,485.74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488,575,315.99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10,606,098.00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5452"/>
        <w:jc w:val="left"/>
      </w:pPr>
      <w:r>
        <w:rPr/>
        <w:t>确定该组合依据的说明： 组合中，采用余额百分比法计提坏账准备的应收账款：</w:t>
      </w:r>
    </w:p>
    <w:p>
      <w:pPr>
        <w:pStyle w:val="BodyText"/>
        <w:spacing w:line="340" w:lineRule="auto" w:before="2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191"/>
      <w:bookmarkEnd w:id="1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left="154" w:right="-12"/>
        <w:jc w:val="left"/>
      </w:pPr>
      <w:r>
        <w:rPr/>
        <w:t>本期计提坏账准备金额</w:t>
      </w:r>
      <w:r>
        <w:rPr>
          <w:spacing w:val="-47"/>
        </w:rPr>
        <w:t> </w:t>
      </w:r>
      <w:r>
        <w:rPr>
          <w:rFonts w:ascii="Times New Roman" w:hAnsi="Times New Roman" w:cs="Times New Roman" w:eastAsia="Times New Roman" w:hint="default"/>
        </w:rPr>
        <w:t>5,596,278.91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92,944.48</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980"/>
          <w:cols w:num="2" w:equalWidth="0">
            <w:col w:w="6860" w:space="1970"/>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注：说明转回或收回原因，确定原坏账准备计提比例的依据及其合理性。</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应收账款情况" w:id="192"/>
      <w:bookmarkEnd w:id="19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应收账款核销说明：</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按欠款方归集的期末余额前五吊的应收账款情况" w:id="193"/>
      <w:bookmarkEnd w:id="19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420"/>
        <w:jc w:val="left"/>
      </w:pPr>
      <w:r>
        <w:rPr>
          <w:spacing w:val="5"/>
        </w:rPr>
        <w:t>本报告期按欠款方归集的期末余额前五名应收账款汇总金额</w:t>
      </w:r>
      <w:r>
        <w:rPr>
          <w:rFonts w:ascii="Times New Roman" w:hAnsi="Times New Roman" w:cs="Times New Roman" w:eastAsia="Times New Roman" w:hint="default"/>
          <w:spacing w:val="5"/>
        </w:rPr>
        <w:t>137,208,762.00</w:t>
      </w:r>
      <w:r>
        <w:rPr>
          <w:spacing w:val="5"/>
        </w:rPr>
        <w:t>元，占应收账款期末余额合计数的比例</w:t>
      </w:r>
      <w:r>
        <w:rPr/>
        <w:t> </w:t>
      </w:r>
      <w:r>
        <w:rPr>
          <w:rFonts w:ascii="Times New Roman" w:hAnsi="Times New Roman" w:cs="Times New Roman" w:eastAsia="Times New Roman" w:hint="default"/>
        </w:rPr>
        <w:t>28.08%</w:t>
      </w:r>
      <w:r>
        <w:rPr/>
        <w:t>，相应计提的坏账准备期末余额汇总金额</w:t>
      </w:r>
      <w:r>
        <w:rPr>
          <w:rFonts w:ascii="Times New Roman" w:hAnsi="Times New Roman" w:cs="Times New Roman" w:eastAsia="Times New Roman" w:hint="default"/>
        </w:rPr>
        <w:t>2,866,399.19</w:t>
      </w:r>
      <w:r>
        <w:rPr/>
        <w:t>元。</w:t>
      </w:r>
    </w:p>
    <w:p>
      <w:pPr>
        <w:spacing w:line="240" w:lineRule="auto" w:before="5"/>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4112"/>
        <w:gridCol w:w="992"/>
        <w:gridCol w:w="1417"/>
        <w:gridCol w:w="1702"/>
        <w:gridCol w:w="1276"/>
      </w:tblGrid>
      <w:tr>
        <w:trPr>
          <w:trHeight w:val="65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8" w:right="37"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10" w:right="71" w:hanging="540"/>
              <w:jc w:val="left"/>
              <w:rPr>
                <w:rFonts w:ascii="宋体" w:hAnsi="宋体" w:cs="宋体" w:eastAsia="宋体" w:hint="default"/>
                <w:sz w:val="18"/>
                <w:szCs w:val="18"/>
              </w:rPr>
            </w:pPr>
            <w:r>
              <w:rPr>
                <w:rFonts w:ascii="宋体" w:hAnsi="宋体" w:cs="宋体" w:eastAsia="宋体" w:hint="default"/>
                <w:sz w:val="18"/>
                <w:szCs w:val="18"/>
              </w:rPr>
              <w:t>应收账款期末余 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50" w:right="89"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34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58,410,839.23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年以内及</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1,966,772.00</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25,509,000.00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275,700.00</w:t>
            </w:r>
          </w:p>
        </w:tc>
      </w:tr>
      <w:tr>
        <w:trPr>
          <w:trHeight w:val="34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中国联合网络通信有限公司辽宁省分公司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非关联</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19,198,815.01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191,988.15</w:t>
            </w:r>
          </w:p>
        </w:tc>
      </w:tr>
      <w:tr>
        <w:trPr>
          <w:trHeight w:val="34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中国联合网络通信有限公司黑龙江省分公司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17,269,594.46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172,695.94</w:t>
            </w:r>
          </w:p>
        </w:tc>
      </w:tr>
      <w:tr>
        <w:trPr>
          <w:trHeight w:val="34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中国联合网络通信有限公司河北省分公司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16,820,513.30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年以内及</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259,243.10</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137,208,762.00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2,866,399.19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因金融资产转移而终止确认的应收账款" w:id="194"/>
      <w:bookmarkEnd w:id="19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转移应收账款且继续涉入形成的资产、负债金额" w:id="195"/>
      <w:bookmarkEnd w:id="19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53"/>
        <w:jc w:val="left"/>
      </w:pPr>
      <w:r>
        <w:rPr/>
        <w:t>无。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6、预付款项" w:id="196"/>
      <w:bookmarkEnd w:id="19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付款项按账龄列示" w:id="197"/>
      <w:bookmarkEnd w:id="19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39,922,286.26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17,503,448.03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4,337,007.16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2,749,950.00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2,721,950.00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46,981,243.42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20,253,398.03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694"/>
        <w:gridCol w:w="4120"/>
        <w:gridCol w:w="1944"/>
        <w:gridCol w:w="2901"/>
      </w:tblGrid>
      <w:tr>
        <w:trPr>
          <w:trHeight w:val="349" w:hRule="exact"/>
        </w:trPr>
        <w:tc>
          <w:tcPr>
            <w:tcW w:w="69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12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债务人</w:t>
            </w:r>
          </w:p>
        </w:tc>
        <w:tc>
          <w:tcPr>
            <w:tcW w:w="19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352" w:hRule="exact"/>
        </w:trPr>
        <w:tc>
          <w:tcPr>
            <w:tcW w:w="6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41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佳杰科技（上海）有限公司北京分公司</w:t>
            </w:r>
          </w:p>
        </w:tc>
        <w:tc>
          <w:tcPr>
            <w:tcW w:w="19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2,962,192.31</w:t>
            </w:r>
          </w:p>
        </w:tc>
        <w:tc>
          <w:tcPr>
            <w:tcW w:w="29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3" w:hRule="exact"/>
        </w:trPr>
        <w:tc>
          <w:tcPr>
            <w:tcW w:w="6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41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天音通信有限公司北京分公司</w:t>
            </w:r>
          </w:p>
        </w:tc>
        <w:tc>
          <w:tcPr>
            <w:tcW w:w="19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1,701,715.00</w:t>
            </w:r>
          </w:p>
        </w:tc>
        <w:tc>
          <w:tcPr>
            <w:tcW w:w="29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2" w:hRule="exact"/>
        </w:trPr>
        <w:tc>
          <w:tcPr>
            <w:tcW w:w="6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41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张家口华业阳光新能源有限公司</w:t>
            </w:r>
          </w:p>
        </w:tc>
        <w:tc>
          <w:tcPr>
            <w:tcW w:w="19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963,500.00</w:t>
            </w:r>
          </w:p>
        </w:tc>
        <w:tc>
          <w:tcPr>
            <w:tcW w:w="29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2" w:hRule="exact"/>
        </w:trPr>
        <w:tc>
          <w:tcPr>
            <w:tcW w:w="6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41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天翼电信终端有限公司内蒙古分公司</w:t>
            </w:r>
          </w:p>
        </w:tc>
        <w:tc>
          <w:tcPr>
            <w:tcW w:w="19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266,977.14</w:t>
            </w:r>
          </w:p>
        </w:tc>
        <w:tc>
          <w:tcPr>
            <w:tcW w:w="29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3" w:hRule="exact"/>
        </w:trPr>
        <w:tc>
          <w:tcPr>
            <w:tcW w:w="6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41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北京酷人通讯科技有限公司</w:t>
            </w:r>
          </w:p>
        </w:tc>
        <w:tc>
          <w:tcPr>
            <w:tcW w:w="19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88,990.00</w:t>
            </w:r>
          </w:p>
        </w:tc>
        <w:tc>
          <w:tcPr>
            <w:tcW w:w="29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694"/>
        <w:gridCol w:w="4120"/>
        <w:gridCol w:w="1944"/>
        <w:gridCol w:w="2901"/>
      </w:tblGrid>
      <w:tr>
        <w:trPr>
          <w:trHeight w:val="350" w:hRule="exact"/>
        </w:trPr>
        <w:tc>
          <w:tcPr>
            <w:tcW w:w="694" w:type="dxa"/>
            <w:tcBorders>
              <w:top w:val="single" w:sz="6" w:space="0" w:color="000000"/>
              <w:left w:val="single" w:sz="6" w:space="0" w:color="000000"/>
              <w:bottom w:val="single" w:sz="8" w:space="0" w:color="000000"/>
              <w:right w:val="single" w:sz="6" w:space="0" w:color="000000"/>
            </w:tcBorders>
          </w:tcPr>
          <w:p>
            <w:pPr/>
          </w:p>
        </w:tc>
        <w:tc>
          <w:tcPr>
            <w:tcW w:w="412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1"/>
              <w:ind w:left="981" w:right="0"/>
              <w:jc w:val="left"/>
              <w:rPr>
                <w:rFonts w:ascii="Times New Roman" w:hAnsi="Times New Roman" w:cs="Times New Roman" w:eastAsia="Times New Roman" w:hint="default"/>
                <w:sz w:val="18"/>
                <w:szCs w:val="18"/>
              </w:rPr>
            </w:pPr>
            <w:r>
              <w:rPr>
                <w:rFonts w:ascii="Times New Roman"/>
                <w:sz w:val="18"/>
              </w:rPr>
              <w:t>5,983,374.45</w:t>
            </w:r>
          </w:p>
        </w:tc>
        <w:tc>
          <w:tcPr>
            <w:tcW w:w="2901" w:type="dxa"/>
            <w:tcBorders>
              <w:top w:val="single" w:sz="6" w:space="0" w:color="000000"/>
              <w:left w:val="single" w:sz="6" w:space="0" w:color="000000"/>
              <w:bottom w:val="single" w:sz="8"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2）按预付对象归集的期末余额前五吊的预付款情况" w:id="198"/>
      <w:bookmarkEnd w:id="19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130"/>
        <w:gridCol w:w="1212"/>
        <w:gridCol w:w="1436"/>
        <w:gridCol w:w="1467"/>
        <w:gridCol w:w="1414"/>
      </w:tblGrid>
      <w:tr>
        <w:trPr>
          <w:trHeight w:val="973" w:hRule="exact"/>
        </w:trPr>
        <w:tc>
          <w:tcPr>
            <w:tcW w:w="413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3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67"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4" w:right="5"/>
              <w:jc w:val="center"/>
              <w:rPr>
                <w:rFonts w:ascii="宋体" w:hAnsi="宋体" w:cs="宋体" w:eastAsia="宋体" w:hint="default"/>
                <w:sz w:val="18"/>
                <w:szCs w:val="18"/>
              </w:rPr>
            </w:pPr>
            <w:r>
              <w:rPr>
                <w:rFonts w:ascii="宋体" w:hAnsi="宋体" w:cs="宋体" w:eastAsia="宋体" w:hint="default"/>
                <w:sz w:val="18"/>
                <w:szCs w:val="18"/>
              </w:rPr>
              <w:t>占预付款项期末余 额合计数的比例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92" w:hRule="exact"/>
        </w:trPr>
        <w:tc>
          <w:tcPr>
            <w:tcW w:w="41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中国邮电器材集团公司</w:t>
            </w:r>
          </w:p>
        </w:tc>
        <w:tc>
          <w:tcPr>
            <w:tcW w:w="1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28,017,106.04</w:t>
            </w:r>
          </w:p>
        </w:tc>
        <w:tc>
          <w:tcPr>
            <w:tcW w:w="14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59.63</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93" w:hRule="exact"/>
        </w:trPr>
        <w:tc>
          <w:tcPr>
            <w:tcW w:w="41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贺晓峰</w:t>
            </w:r>
          </w:p>
        </w:tc>
        <w:tc>
          <w:tcPr>
            <w:tcW w:w="1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4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8.51</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592" w:hRule="exact"/>
        </w:trPr>
        <w:tc>
          <w:tcPr>
            <w:tcW w:w="41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佳杰科技（上海）有限公司北京分公司</w:t>
            </w:r>
          </w:p>
        </w:tc>
        <w:tc>
          <w:tcPr>
            <w:tcW w:w="1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3,406,636.75</w:t>
            </w:r>
          </w:p>
        </w:tc>
        <w:tc>
          <w:tcPr>
            <w:tcW w:w="14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7.25</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92" w:hRule="exact"/>
        </w:trPr>
        <w:tc>
          <w:tcPr>
            <w:tcW w:w="41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天音通信有限公司北京分公司</w:t>
            </w:r>
          </w:p>
        </w:tc>
        <w:tc>
          <w:tcPr>
            <w:tcW w:w="1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1,701,715.00</w:t>
            </w:r>
          </w:p>
        </w:tc>
        <w:tc>
          <w:tcPr>
            <w:tcW w:w="14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3.62</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93" w:hRule="exact"/>
        </w:trPr>
        <w:tc>
          <w:tcPr>
            <w:tcW w:w="41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北京中航嘉城科技股份有限公司</w:t>
            </w:r>
          </w:p>
        </w:tc>
        <w:tc>
          <w:tcPr>
            <w:tcW w:w="1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1,623,931.62</w:t>
            </w:r>
          </w:p>
        </w:tc>
        <w:tc>
          <w:tcPr>
            <w:tcW w:w="14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3.46</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93" w:hRule="exact"/>
        </w:trPr>
        <w:tc>
          <w:tcPr>
            <w:tcW w:w="41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8" w:space="0" w:color="000000"/>
              <w:left w:val="single" w:sz="6" w:space="0" w:color="000000"/>
              <w:bottom w:val="single" w:sz="8" w:space="0" w:color="000000"/>
              <w:right w:val="single" w:sz="6" w:space="0" w:color="000000"/>
            </w:tcBorders>
          </w:tcPr>
          <w:p>
            <w:pP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38,749,389.41</w:t>
            </w:r>
          </w:p>
        </w:tc>
        <w:tc>
          <w:tcPr>
            <w:tcW w:w="14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82.47</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应收利息" w:id="199"/>
      <w:bookmarkEnd w:id="19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利息分类" w:id="200"/>
      <w:bookmarkEnd w:id="20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331,172.08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774,763.60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331,172.08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774,763.60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逾期利息" w:id="201"/>
      <w:bookmarkEnd w:id="20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873"/>
        <w:jc w:val="left"/>
      </w:pPr>
      <w:r>
        <w:rPr/>
        <w:t>其他说明： 无。</w:t>
      </w:r>
    </w:p>
    <w:p>
      <w:pPr>
        <w:spacing w:after="0" w:line="35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8、应收股利" w:id="202"/>
      <w:bookmarkEnd w:id="20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03"/>
      <w:bookmarkEnd w:id="20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04"/>
      <w:bookmarkEnd w:id="20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9、其他应收款" w:id="205"/>
      <w:bookmarkEnd w:id="20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206"/>
      <w:bookmarkEnd w:id="20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25,384,7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42.82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1,618,61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23,766,12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25,862,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818.06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868,375.8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24,994,442.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613,313</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613,313.00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25,384,7</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42.82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1,618,61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6.38%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23,766,12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9.64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26,476,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131.06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868,375.8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25,607,755.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338" w:lineRule="auto" w:before="117"/>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15,335,799.03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153,357.99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6,135,335.59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613,533.56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3,683,608.20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736,721.63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25,384,742.82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1,618,613.18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5272"/>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07"/>
      <w:bookmarkEnd w:id="2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40" w:lineRule="auto" w:before="44"/>
        <w:ind w:right="-15"/>
        <w:jc w:val="left"/>
      </w:pPr>
      <w:r>
        <w:rPr/>
        <w:t>本期计提坏账准备金额</w:t>
      </w:r>
      <w:r>
        <w:rPr>
          <w:spacing w:val="-46"/>
        </w:rPr>
        <w:t> </w:t>
      </w:r>
      <w:r>
        <w:rPr>
          <w:rFonts w:ascii="Times New Roman" w:hAnsi="Times New Roman" w:cs="Times New Roman" w:eastAsia="Times New Roman" w:hint="default"/>
        </w:rPr>
        <w:t>756,176.19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8,349.65</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635" w:space="219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注：说明转回或收回原因，确定原坏账准备计提比例的依据及其合理性。</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其他应收款情况" w:id="208"/>
      <w:bookmarkEnd w:id="20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其中重要的其他应收款核销情况：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154" w:right="7972"/>
        <w:jc w:val="left"/>
      </w:pPr>
      <w:r>
        <w:rPr/>
        <w:t>其他应收款核销说明： 无。</w:t>
      </w:r>
    </w:p>
    <w:p>
      <w:pPr>
        <w:spacing w:after="0" w:line="36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应收款按款项性质分类情况" w:id="209"/>
      <w:bookmarkEnd w:id="20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927,431.12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754,029.98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11,260,468.15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13,331,553.91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5,624,131.40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7,256,555.21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6,724,132.64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3,142,300.40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800,810.63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1,960,571.06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47,768.88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31,120.50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25,384,742.82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26,476,131.06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210"/>
      <w:bookmarkEnd w:id="21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叶青大厦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租房保证金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3,006,275.00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601,255.00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中国联合网络通信 有限公司松原市分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1,238,036.00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127,909.60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中国电信股份有限 公司呼和浩特分公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747,881.00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58,725.80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中国联通天津市分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北京中关村电子城 建设有限公司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6,007,192.00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798,040.40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11"/>
      <w:bookmarkEnd w:id="21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因金融资产转移而终止确认的其他应收款" w:id="212"/>
      <w:bookmarkEnd w:id="21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8）转移其他应收款且继续涉入形成的资产、负债金额" w:id="213"/>
      <w:bookmarkEnd w:id="21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无。其他说明： 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10、存货" w:id="214"/>
      <w:bookmarkEnd w:id="214"/>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15"/>
      <w:bookmarkEnd w:id="21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181,412.85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181,412.85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388,294.38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388,294.38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3,796,477.62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3,796,477.62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7,458,707.19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7,458,707.19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26,697,911.87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26,697,911.87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9,233,612.40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9,233,612.40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30,675,802.34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30,675,802.34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17,080,613.97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17,080,613.97</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16"/>
      <w:bookmarkEnd w:id="21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17"/>
      <w:bookmarkEnd w:id="21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期末建造合同形成的已完工未结算资产情况" w:id="218"/>
      <w:bookmarkEnd w:id="21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19"/>
      <w:bookmarkEnd w:id="21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14"/>
        <w:gridCol w:w="1914"/>
        <w:gridCol w:w="1914"/>
        <w:gridCol w:w="1905"/>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20"/>
      <w:bookmarkEnd w:id="22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21"/>
      <w:bookmarkEnd w:id="22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22"/>
      <w:bookmarkEnd w:id="22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23"/>
      <w:bookmarkEnd w:id="22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24"/>
      <w:bookmarkEnd w:id="22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8"/>
        <w:gridCol w:w="1916"/>
        <w:gridCol w:w="1915"/>
        <w:gridCol w:w="1914"/>
        <w:gridCol w:w="1915"/>
      </w:tblGrid>
      <w:tr>
        <w:trPr>
          <w:trHeight w:val="161" w:hRule="exact"/>
        </w:trPr>
        <w:tc>
          <w:tcPr>
            <w:tcW w:w="1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412"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61" w:hRule="exact"/>
        </w:trPr>
        <w:tc>
          <w:tcPr>
            <w:tcW w:w="1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按成本计量的可供出售金融资产" w:id="225"/>
      <w:bookmarkEnd w:id="22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10"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报告期内可供出售金融资产减值的变动情况" w:id="226"/>
      <w:bookmarkEnd w:id="22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0"/>
        <w:gridCol w:w="1339"/>
        <w:gridCol w:w="1329"/>
        <w:gridCol w:w="1327"/>
        <w:gridCol w:w="1327"/>
        <w:gridCol w:w="1329"/>
        <w:gridCol w:w="1327"/>
      </w:tblGrid>
      <w:tr>
        <w:trPr>
          <w:trHeight w:val="16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04"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8"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2" w:hRule="exact"/>
        </w:trPr>
        <w:tc>
          <w:tcPr>
            <w:tcW w:w="1580" w:type="dxa"/>
            <w:vMerge/>
            <w:tcBorders>
              <w:left w:val="single" w:sz="4" w:space="0" w:color="000000"/>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9" w:type="dxa"/>
            <w:tcBorders>
              <w:top w:val="single" w:sz="4" w:space="0" w:color="000000"/>
              <w:left w:val="single" w:sz="13" w:space="0" w:color="D2D2D2"/>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39" w:type="dxa"/>
            <w:tcBorders>
              <w:top w:val="single" w:sz="4" w:space="0" w:color="000000"/>
              <w:left w:val="single" w:sz="13" w:space="0" w:color="D2D2D2"/>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可供出售权益工具期末公允价值严重下跌或非暂时性下跌但未计提减值准备的相关说" w:id="227"/>
      <w:bookmarkEnd w:id="22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未计提减值原因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28"/>
      <w:bookmarkEnd w:id="22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29"/>
      <w:bookmarkEnd w:id="22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期末重要的持有至到期投资" w:id="230"/>
      <w:bookmarkEnd w:id="23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重分类的持有至到期投资" w:id="231"/>
      <w:bookmarkEnd w:id="23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16、长期应收款" w:id="232"/>
      <w:bookmarkEnd w:id="23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33"/>
      <w:bookmarkEnd w:id="23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80"/>
        <w:gridCol w:w="1179"/>
        <w:gridCol w:w="1167"/>
        <w:gridCol w:w="1168"/>
        <w:gridCol w:w="1166"/>
        <w:gridCol w:w="1169"/>
        <w:gridCol w:w="1164"/>
        <w:gridCol w:w="1165"/>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3"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9"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97"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9"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7"/>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9"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7"/>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9"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因金融资产转移而终止确认的长期应收款" w:id="234"/>
      <w:bookmarkEnd w:id="23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转移长期应收款且继续涉入形成的资产、负债金额" w:id="235"/>
      <w:bookmarkEnd w:id="23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052"/>
        <w:jc w:val="left"/>
      </w:pPr>
      <w:r>
        <w:rPr/>
        <w:t>无。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17、长期股权投资" w:id="236"/>
      <w:bookmarkEnd w:id="23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6384"/>
        <w:gridCol w:w="798"/>
        <w:gridCol w:w="797"/>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2"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804"/>
        <w:gridCol w:w="792"/>
        <w:gridCol w:w="798"/>
        <w:gridCol w:w="798"/>
        <w:gridCol w:w="798"/>
        <w:gridCol w:w="793"/>
        <w:gridCol w:w="804"/>
        <w:gridCol w:w="798"/>
        <w:gridCol w:w="798"/>
      </w:tblGrid>
      <w:tr>
        <w:trPr>
          <w:trHeight w:val="16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79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3" w:right="27"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4"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372" w:hRule="exact"/>
        </w:trPr>
        <w:tc>
          <w:tcPr>
            <w:tcW w:w="796"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156" w:hRule="exact"/>
        </w:trPr>
        <w:tc>
          <w:tcPr>
            <w:tcW w:w="79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161"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北京千禾 颐养家苑 养老服务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9,934,895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-1,989,18</w:t>
            </w:r>
          </w:p>
          <w:p>
            <w:pPr>
              <w:pStyle w:val="TableParagraph"/>
              <w:spacing w:line="240" w:lineRule="auto" w:before="106"/>
              <w:ind w:left="444"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9,934,895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-1,989,18</w:t>
            </w:r>
          </w:p>
          <w:p>
            <w:pPr>
              <w:pStyle w:val="TableParagraph"/>
              <w:spacing w:line="240" w:lineRule="auto" w:before="106"/>
              <w:ind w:left="444"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9,934,895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-1,989,18</w:t>
            </w:r>
          </w:p>
          <w:p>
            <w:pPr>
              <w:pStyle w:val="TableParagraph"/>
              <w:spacing w:line="240" w:lineRule="auto" w:before="106"/>
              <w:ind w:left="444"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905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18、投资性房地产" w:id="237"/>
      <w:bookmarkEnd w:id="23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38"/>
      <w:bookmarkEnd w:id="23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39"/>
      <w:bookmarkEnd w:id="23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40"/>
      <w:bookmarkEnd w:id="24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41"/>
      <w:bookmarkEnd w:id="24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42"/>
      <w:bookmarkEnd w:id="24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19,278,396.06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9,819,556.87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3,545,690.76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32,643,643.69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11,969,104.60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139,753.88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12,108,858.48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10,646,720.37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139,753.88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10,786,474.25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1,322,384.23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1,322,384.23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1,868,074.78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486,727.29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2,356,802.07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1,868,074.78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486,727.29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2,356,802.07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29,379,425.88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9,817,556.87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3,198,717.35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42,395,700.10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8,939,067.79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3,825,157.12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1,000,734.00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13,764,958.91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3,965,724.48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899,169.00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704,335.55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5,569,229.03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3,536,612.39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899,169.00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704,335.55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5,140,116.94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391,536.94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391,536.94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37,575.15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37,575.15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961,214.08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175,608.58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1,137,210.62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961,214.08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138,033.43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1,099,635.47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37,575.15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11,943,578.19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4,723,938.16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1,529,460.97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18,196,977.32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17,435,847.69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5,093,618.71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1,669,256.38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24,198,722.78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10,339,328.27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5,994,399.75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2,544,956.76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18,878,684.78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43"/>
      <w:bookmarkEnd w:id="24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44"/>
      <w:bookmarkEnd w:id="24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45"/>
      <w:bookmarkEnd w:id="24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办妥产权证书的固定资产情况" w:id="246"/>
      <w:bookmarkEnd w:id="24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0、在建工程" w:id="247"/>
      <w:bookmarkEnd w:id="24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研发中心及办公 楼工程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65,832,983.13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65,832,983.13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5,146,780.45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5,146,780.45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65,832,983.13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65,832,983.13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5,146,780.45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5,146,780.45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研发中 心及办 公楼工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5,146,78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60,686,2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65,832,9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931,845.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931,845.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5,146,78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60,686,2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65,832,9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83.13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931,845.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931,845.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50"/>
      <w:bookmarkEnd w:id="25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工程物资" w:id="251"/>
      <w:bookmarkEnd w:id="25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52"/>
      <w:bookmarkEnd w:id="25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53"/>
      <w:bookmarkEnd w:id="25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54"/>
      <w:bookmarkEnd w:id="25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55"/>
      <w:bookmarkEnd w:id="25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256"/>
      <w:bookmarkEnd w:id="25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无形资产" w:id="257"/>
      <w:bookmarkEnd w:id="25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58"/>
      <w:bookmarkEnd w:id="25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98,775,322.92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91,294,807.84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190,070,130.76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50,141,516.74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50,141,516.74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27,948.72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27,948.72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31,762,406.35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31,762,406.35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18,351,161.67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18,351,161.67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98,775,322.92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141,436,324.58</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240,211,647.50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170,302.28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9,627,829.17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9,798,131.45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2,043,627.36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12,047,254.20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14,090,881.56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2,043,627.36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12,047,254.20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14,090,881.56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2,213,929.64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21,675,083.37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23,889,013.01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96,561,393.28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119,761,241.21</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216,322,634.49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98,605,020.64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81,666,978.67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180,271,999.31</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58.86%</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59"/>
      <w:bookmarkEnd w:id="25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6、开发支出" w:id="260"/>
      <w:bookmarkEnd w:id="26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企业数据仓库 构建系统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17,363,948.87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1,257,659.09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18,621,607.96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全业务营销及 维系挽留系统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11,274,256.01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1,866,542.38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13,140,798.39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大数据平台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15,234,244.80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 w:right="0"/>
              <w:jc w:val="center"/>
              <w:rPr>
                <w:rFonts w:ascii="Times New Roman" w:hAnsi="Times New Roman" w:cs="Times New Roman" w:eastAsia="Times New Roman" w:hint="default"/>
                <w:sz w:val="18"/>
                <w:szCs w:val="18"/>
              </w:rPr>
            </w:pPr>
            <w:r>
              <w:rPr>
                <w:rFonts w:ascii="Times New Roman"/>
                <w:sz w:val="18"/>
              </w:rPr>
              <w:t>11,642,072.18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26,876,316.98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iMobileBI</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12,899,936.33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13,464,027.25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26,363,963.58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数据服务平台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11,124,893.40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7" w:right="0"/>
              <w:jc w:val="center"/>
              <w:rPr>
                <w:rFonts w:ascii="Times New Roman" w:hAnsi="Times New Roman" w:cs="Times New Roman" w:eastAsia="Times New Roman" w:hint="default"/>
                <w:sz w:val="18"/>
                <w:szCs w:val="18"/>
              </w:rPr>
            </w:pPr>
            <w:r>
              <w:rPr>
                <w:rFonts w:ascii="Times New Roman"/>
                <w:sz w:val="18"/>
              </w:rPr>
              <w:t>8,822,676.16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19,947,569.56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型数据库</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7" w:right="0"/>
              <w:jc w:val="center"/>
              <w:rPr>
                <w:rFonts w:ascii="Times New Roman" w:hAnsi="Times New Roman" w:cs="Times New Roman" w:eastAsia="Times New Roman" w:hint="default"/>
                <w:sz w:val="18"/>
                <w:szCs w:val="18"/>
              </w:rPr>
            </w:pPr>
            <w:r>
              <w:rPr>
                <w:rFonts w:ascii="Times New Roman"/>
                <w:sz w:val="18"/>
              </w:rPr>
              <w:t>6,678,795.65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6,678,795.65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67,897,279.41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43,731,772.71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31,762,406.35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79,866,645.77</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商誉" w:id="261"/>
      <w:bookmarkEnd w:id="261"/>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62"/>
      <w:bookmarkEnd w:id="26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35,300,223.21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35,300,223.21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北科亿力收购麒 盛瑞智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546,488.46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546,488.46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117,239,515.72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117,239,515.72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30,726,748.07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30,726,748.07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377,144,148.92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377,144,148.92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北京汉桥科创科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29,974,735.41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29,974,735.41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183,812,975.46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407,118,884.33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590,931,859.79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63"/>
      <w:bookmarkEnd w:id="26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439" w:lineRule="auto" w:before="51"/>
        <w:ind w:left="574" w:right="5092" w:hanging="420"/>
        <w:jc w:val="left"/>
      </w:pPr>
      <w:r>
        <w:rPr/>
        <w:t>说明商誉减值测试过程、参数及商誉减值损失的确认方法： 本期未发现减值迹象，未计提减值准备。</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8、长期待摊费用" w:id="264"/>
      <w:bookmarkEnd w:id="26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叶青大厦装修费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1,517,925.26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1,301,078.76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216,846.50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中关村营业厅装修 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174,168.95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174,168.95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叶青办公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层装修 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419,234.13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359,343.48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59,890.65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河南联通办公用房 房租及装修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205,692.00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90,543.56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296,235.56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116,682.57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85,328.52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31,354.05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2,433,702.91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90,543.56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2,216,155.27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308,091.20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265"/>
      <w:bookmarkEnd w:id="26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6"/>
      <w:bookmarkEnd w:id="26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10,600,165.95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1,275,381.34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4,492,690.12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508,606.46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1,294,968.37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165,269.55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868,375.83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121,814.75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1,306,655.48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131,493.56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1,382,856.52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3,579,393.24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股权激励全额纳税调增</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2,733,888.70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273,388.87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138,330.17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可抵扣亏损及税款抵减 及其他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16,930,919.95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4,085,936.97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19,997,342.32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655,890.46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37,776,598.45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6,422,470.29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31,235,064.79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5,004,035.08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67"/>
      <w:bookmarkEnd w:id="26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68"/>
      <w:bookmarkEnd w:id="26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6,422,470.29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5,004,035.08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269"/>
      <w:bookmarkEnd w:id="26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270"/>
      <w:bookmarkEnd w:id="27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271"/>
      <w:bookmarkEnd w:id="27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短期借款" w:id="272"/>
      <w:bookmarkEnd w:id="27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273"/>
      <w:bookmarkEnd w:id="27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51"/>
        <w:ind w:left="154" w:right="0"/>
        <w:jc w:val="left"/>
      </w:pPr>
      <w:r>
        <w:rPr/>
        <w:t>短期借款分类的说明：</w:t>
      </w:r>
    </w:p>
    <w:p>
      <w:pPr>
        <w:spacing w:line="240" w:lineRule="auto" w:before="0"/>
        <w:rPr>
          <w:rFonts w:ascii="宋体" w:hAnsi="宋体" w:cs="宋体" w:eastAsia="宋体" w:hint="default"/>
          <w:sz w:val="15"/>
          <w:szCs w:val="15"/>
        </w:rPr>
      </w:pPr>
    </w:p>
    <w:p>
      <w:pPr>
        <w:pStyle w:val="BodyText"/>
        <w:spacing w:line="300" w:lineRule="auto"/>
        <w:ind w:right="150" w:firstLine="420"/>
        <w:jc w:val="both"/>
      </w:pPr>
      <w:r>
        <w:rPr/>
        <w:t>（</w:t>
      </w:r>
      <w:r>
        <w:rPr>
          <w:rFonts w:ascii="Times New Roman" w:hAnsi="Times New Roman" w:cs="Times New Roman" w:eastAsia="Times New Roman" w:hint="default"/>
        </w:rPr>
        <w:t>1</w:t>
      </w:r>
      <w:r>
        <w:rPr/>
        <w:t>）抵押借款：</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日，本公司与上海浦东发展银行股份有限公司北京分行签订融资额度协议，协议编号为 </w:t>
      </w:r>
      <w:r>
        <w:rPr>
          <w:rFonts w:ascii="Times New Roman" w:hAnsi="Times New Roman" w:cs="Times New Roman" w:eastAsia="Times New Roman" w:hint="default"/>
          <w:spacing w:val="-1"/>
        </w:rPr>
        <w:t>BC2014031900001325</w:t>
      </w:r>
      <w:r>
        <w:rPr>
          <w:spacing w:val="-1"/>
        </w:rPr>
        <w:t>号，融资额度为</w:t>
      </w:r>
      <w:r>
        <w:rPr>
          <w:rFonts w:ascii="Times New Roman" w:hAnsi="Times New Roman" w:cs="Times New Roman" w:eastAsia="Times New Roman" w:hint="default"/>
          <w:spacing w:val="-1"/>
        </w:rPr>
        <w:t>25,000.00</w:t>
      </w:r>
      <w:r>
        <w:rPr>
          <w:spacing w:val="-1"/>
        </w:rPr>
        <w:t>万元；其中：固定资产借款额度为</w:t>
      </w:r>
      <w:r>
        <w:rPr>
          <w:rFonts w:ascii="Times New Roman" w:hAnsi="Times New Roman" w:cs="Times New Roman" w:eastAsia="Times New Roman" w:hint="default"/>
          <w:spacing w:val="-1"/>
        </w:rPr>
        <w:t>10,000.00</w:t>
      </w:r>
      <w:r>
        <w:rPr>
          <w:spacing w:val="-1"/>
        </w:rPr>
        <w:t>万元，期限</w:t>
      </w:r>
      <w:r>
        <w:rPr>
          <w:rFonts w:ascii="Times New Roman" w:hAnsi="Times New Roman" w:cs="Times New Roman" w:eastAsia="Times New Roman" w:hint="default"/>
          <w:spacing w:val="-1"/>
        </w:rPr>
        <w:t>5</w:t>
      </w:r>
      <w:r>
        <w:rPr>
          <w:spacing w:val="-1"/>
        </w:rPr>
        <w:t>年；其他混用借款额</w:t>
      </w:r>
      <w:r>
        <w:rPr/>
        <w:t> 度</w:t>
      </w:r>
      <w:r>
        <w:rPr>
          <w:rFonts w:ascii="Times New Roman" w:hAnsi="Times New Roman" w:cs="Times New Roman" w:eastAsia="Times New Roman" w:hint="default"/>
        </w:rPr>
        <w:t>15,000.00</w:t>
      </w:r>
      <w:r>
        <w:rPr/>
        <w:t>万元（包括流动资金借款额度不超过</w:t>
      </w:r>
      <w:r>
        <w:rPr>
          <w:rFonts w:ascii="Times New Roman" w:hAnsi="Times New Roman" w:cs="Times New Roman" w:eastAsia="Times New Roman" w:hint="default"/>
        </w:rPr>
        <w:t>5000</w:t>
      </w:r>
      <w:r>
        <w:rPr/>
        <w:t>万元）；公司将座落于朝阳区中关村科技园电子城西区</w:t>
      </w:r>
      <w:r>
        <w:rPr>
          <w:rFonts w:ascii="Times New Roman" w:hAnsi="Times New Roman" w:cs="Times New Roman" w:eastAsia="Times New Roman" w:hint="default"/>
        </w:rPr>
        <w:t>A10-2</w:t>
      </w:r>
      <w:r>
        <w:rPr/>
        <w:t>地块，权 </w:t>
      </w:r>
      <w:r>
        <w:rPr>
          <w:spacing w:val="-1"/>
        </w:rPr>
        <w:t>证号为京朝国用（</w:t>
      </w:r>
      <w:r>
        <w:rPr>
          <w:rFonts w:ascii="Times New Roman" w:hAnsi="Times New Roman" w:cs="Times New Roman" w:eastAsia="Times New Roman" w:hint="default"/>
          <w:spacing w:val="-1"/>
        </w:rPr>
        <w:t>2013</w:t>
      </w:r>
      <w:r>
        <w:rPr>
          <w:spacing w:val="-1"/>
        </w:rPr>
        <w:t>出）第</w:t>
      </w:r>
      <w:r>
        <w:rPr>
          <w:rFonts w:ascii="Times New Roman" w:hAnsi="Times New Roman" w:cs="Times New Roman" w:eastAsia="Times New Roman" w:hint="default"/>
          <w:spacing w:val="-1"/>
        </w:rPr>
        <w:t>00471</w:t>
      </w:r>
      <w:r>
        <w:rPr>
          <w:spacing w:val="-1"/>
        </w:rPr>
        <w:t>号进行了抵押，抵押合同编号为</w:t>
      </w:r>
      <w:r>
        <w:rPr>
          <w:rFonts w:ascii="Times New Roman" w:hAnsi="Times New Roman" w:cs="Times New Roman" w:eastAsia="Times New Roman" w:hint="default"/>
          <w:spacing w:val="-1"/>
        </w:rPr>
        <w:t>ZD9142201400000001</w:t>
      </w:r>
      <w:r>
        <w:rPr>
          <w:spacing w:val="-1"/>
        </w:rPr>
        <w:t>；截止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日，公司已动</w:t>
      </w:r>
      <w:r>
        <w:rPr>
          <w:spacing w:val="-75"/>
        </w:rPr>
        <w:t> </w:t>
      </w:r>
      <w:r>
        <w:rPr>
          <w:spacing w:val="-75"/>
        </w:rPr>
      </w:r>
      <w:r>
        <w:rPr/>
        <w:t>用借款额度</w:t>
      </w:r>
      <w:r>
        <w:rPr>
          <w:rFonts w:ascii="Times New Roman" w:hAnsi="Times New Roman" w:cs="Times New Roman" w:eastAsia="Times New Roman" w:hint="default"/>
        </w:rPr>
        <w:t>3,800.00</w:t>
      </w:r>
      <w:r>
        <w:rPr/>
        <w:t>万元；</w:t>
      </w:r>
    </w:p>
    <w:p>
      <w:pPr>
        <w:pStyle w:val="BodyText"/>
        <w:spacing w:line="300" w:lineRule="auto" w:before="133"/>
        <w:ind w:right="151" w:firstLine="420"/>
        <w:jc w:val="both"/>
      </w:pPr>
      <w:r>
        <w:rPr>
          <w:spacing w:val="-1"/>
        </w:rPr>
        <w:t>（</w:t>
      </w:r>
      <w:r>
        <w:rPr>
          <w:rFonts w:ascii="Times New Roman" w:hAnsi="Times New Roman" w:cs="Times New Roman" w:eastAsia="Times New Roman" w:hint="default"/>
          <w:spacing w:val="-1"/>
        </w:rPr>
        <w:t>2</w:t>
      </w:r>
      <w:r>
        <w:rPr>
          <w:spacing w:val="-1"/>
        </w:rPr>
        <w:t>）保证借款：</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w:t>
      </w:r>
      <w:r>
        <w:rPr>
          <w:spacing w:val="-1"/>
        </w:rPr>
        <w:t>日，本公司与北京银行股份有限公司酒仙桥支行签订综合授信合同，合同编号为</w:t>
      </w:r>
      <w:r>
        <w:rPr>
          <w:rFonts w:ascii="Times New Roman" w:hAnsi="Times New Roman" w:cs="Times New Roman" w:eastAsia="Times New Roman" w:hint="default"/>
          <w:spacing w:val="-1"/>
        </w:rPr>
        <w:t>0198381</w:t>
      </w:r>
      <w:r>
        <w:rPr>
          <w:rFonts w:ascii="Times New Roman" w:hAnsi="Times New Roman" w:cs="Times New Roman" w:eastAsia="Times New Roman" w:hint="default"/>
        </w:rPr>
        <w:t> </w:t>
      </w:r>
      <w:r>
        <w:rPr>
          <w:spacing w:val="2"/>
        </w:rPr>
        <w:t>号，授信额度为</w:t>
      </w:r>
      <w:r>
        <w:rPr>
          <w:rFonts w:ascii="Times New Roman" w:hAnsi="Times New Roman" w:cs="Times New Roman" w:eastAsia="Times New Roman" w:hint="default"/>
          <w:spacing w:val="2"/>
        </w:rPr>
        <w:t>5,000.00</w:t>
      </w:r>
      <w:r>
        <w:rPr>
          <w:spacing w:val="2"/>
        </w:rPr>
        <w:t>万元；该借款由本公司子公司北京国信新世纪科技有限公司提供连带责任担保，担保合同编号为</w:t>
      </w:r>
      <w:r>
        <w:rPr>
          <w:spacing w:val="-45"/>
        </w:rPr>
        <w:t> </w:t>
      </w:r>
      <w:r>
        <w:rPr>
          <w:spacing w:val="-45"/>
        </w:rPr>
      </w:r>
      <w:r>
        <w:rPr>
          <w:rFonts w:ascii="Times New Roman" w:hAnsi="Times New Roman" w:cs="Times New Roman" w:eastAsia="Times New Roman" w:hint="default"/>
        </w:rPr>
        <w:t>0198381-001</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日，公司已动用借款额度</w:t>
      </w:r>
      <w:r>
        <w:rPr>
          <w:rFonts w:ascii="Times New Roman" w:hAnsi="Times New Roman" w:cs="Times New Roman" w:eastAsia="Times New Roman" w:hint="default"/>
        </w:rPr>
        <w:t>2,200.00</w:t>
      </w:r>
      <w:r>
        <w:rPr/>
        <w:t>万元；</w:t>
      </w:r>
    </w:p>
    <w:p>
      <w:pPr>
        <w:pStyle w:val="BodyText"/>
        <w:spacing w:line="300" w:lineRule="auto" w:before="133"/>
        <w:ind w:left="154" w:right="150" w:firstLine="420"/>
        <w:jc w:val="both"/>
      </w:pPr>
      <w:r>
        <w:rPr/>
        <w:t>（</w:t>
      </w:r>
      <w:r>
        <w:rPr>
          <w:rFonts w:ascii="Times New Roman" w:hAnsi="Times New Roman" w:cs="Times New Roman" w:eastAsia="Times New Roman" w:hint="default"/>
        </w:rPr>
        <w:t>3</w:t>
      </w:r>
      <w:r>
        <w:rPr/>
        <w:t>）保证借款：</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日，屹通信息与招商银行股份有限公司上海田林支行签署授信合同，编号：</w:t>
      </w:r>
      <w:r>
        <w:rPr>
          <w:rFonts w:ascii="Times New Roman" w:hAnsi="Times New Roman" w:cs="Times New Roman" w:eastAsia="Times New Roman" w:hint="default"/>
        </w:rPr>
        <w:t>5702131216 </w:t>
      </w:r>
      <w:r>
        <w:rPr/>
        <w:t>号，授信额度为</w:t>
      </w:r>
      <w:r>
        <w:rPr>
          <w:rFonts w:ascii="Times New Roman" w:hAnsi="Times New Roman" w:cs="Times New Roman" w:eastAsia="Times New Roman" w:hint="default"/>
        </w:rPr>
        <w:t>500.00</w:t>
      </w:r>
      <w:r>
        <w:rPr/>
        <w:t>万，该借款由陈益玲个人提供保证，截止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日，公司已动用借款额度</w:t>
      </w:r>
      <w:r>
        <w:rPr>
          <w:rFonts w:ascii="Times New Roman" w:hAnsi="Times New Roman" w:cs="Times New Roman" w:eastAsia="Times New Roman" w:hint="default"/>
        </w:rPr>
        <w:t>500.00</w:t>
      </w:r>
      <w:r>
        <w:rPr/>
        <w:t>万。</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已逾期未偿还的短期借款情况" w:id="274"/>
      <w:bookmarkEnd w:id="27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275"/>
      <w:bookmarkEnd w:id="27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276"/>
      <w:bookmarkEnd w:id="27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4、应付票据" w:id="277"/>
      <w:bookmarkEnd w:id="27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本期末已到期未支付的应付票据总额为元。</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5、应付账款" w:id="278"/>
      <w:bookmarkEnd w:id="27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79"/>
      <w:bookmarkEnd w:id="27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13,974,640.75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6,046,382.80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1,880,955.00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16,455,595.75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6,241,382.80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重庆川仪自动化股份有限公司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天音通信有限公司吉林分公司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1,038,066.00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预收款项" w:id="281"/>
      <w:bookmarkEnd w:id="28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82"/>
      <w:bookmarkEnd w:id="28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9,580,742.30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1,597,649.59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9,580,742.30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1,597,649.59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江西省农村信用社联合社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江西萍乡湘东黄海村镇银行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普天和平科技有限公司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406,400.00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建造合同形成的已结算未完工项目情况" w:id="284"/>
      <w:bookmarkEnd w:id="28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285"/>
      <w:bookmarkEnd w:id="28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86"/>
      <w:bookmarkEnd w:id="28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26,878,928.55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228,159,181.00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227,376,046.43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27,662,063.12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1,567,833.51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16,664,662.01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16,673,061.25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1,559,434.27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1,125,641.60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1,125,641.60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28,446,762.06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245,949,484.61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245,174,749.28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29,221,497.39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87"/>
      <w:bookmarkEnd w:id="28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26,481,289.27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206,507,841.89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205,722,491.71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27,266,639.45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2,547,505.94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2,547,505.94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277,629.75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8,714,717.51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8,717,247.55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275,099.71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238,832.94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7,764,490.10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7,766,699.09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236,623.95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45,589.12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325,382.97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325,507.11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45,464.98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-6,792.31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624,844.44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625,041.35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-6,989.22</w:t>
            </w:r>
            <w:r>
              <w:rPr>
                <w:rFonts w:ascii="Times New Roman"/>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90,030.22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8,999,492.07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9,005,327.07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84,195.22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29,979.31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1,389,623.59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1,383,474.16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36,128.74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26,878,928.55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228,159,181.00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227,376,046.43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27,662,063.12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88"/>
      <w:bookmarkEnd w:id="28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455,377.14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15,670,138.70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15,678,317.58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447,198.26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49,311.11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994,077.53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994,297.89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49,090.75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补充养老保险费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1,063,145.26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1,063,145.26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1,567,833.51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16,664,662.01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16,673,061.25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1,559,434.27</w:t>
            </w:r>
          </w:p>
        </w:tc>
      </w:tr>
    </w:tbl>
    <w:p>
      <w:pPr>
        <w:pStyle w:val="BodyText"/>
        <w:spacing w:line="240" w:lineRule="auto" w:before="51"/>
        <w:ind w:left="154" w:right="0"/>
        <w:jc w:val="left"/>
      </w:pPr>
      <w:r>
        <w:rPr/>
        <w:t>其他说明：</w:t>
      </w:r>
    </w:p>
    <w:p>
      <w:pPr>
        <w:pStyle w:val="Heading4"/>
        <w:spacing w:line="240" w:lineRule="auto" w:before="90"/>
        <w:ind w:right="0"/>
        <w:jc w:val="left"/>
      </w:pPr>
      <w:r>
        <w:rPr/>
        <w:t>期末无拖欠性质职工薪酬。</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38、应交税费" w:id="289"/>
      <w:bookmarkEnd w:id="28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18,749,000.57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5,624,699.28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-8,235.66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20,277.13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12,914,987.24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9,240,684.20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1,321,424.64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814,258.15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622,312.54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396,836.21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1,414,400.43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133,657.73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383,528.10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149,774.32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其它地方性附加税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46,855.39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2,472.22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35,444,273.25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16,382,659.24</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应付利息" w:id="290"/>
      <w:bookmarkEnd w:id="29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155,426.48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91,670.00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155,426.48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91,670.00</w:t>
            </w:r>
          </w:p>
        </w:tc>
      </w:tr>
    </w:tbl>
    <w:p>
      <w:pPr>
        <w:pStyle w:val="BodyText"/>
        <w:spacing w:line="240" w:lineRule="auto" w:before="51"/>
        <w:ind w:left="154" w:right="0"/>
        <w:jc w:val="left"/>
      </w:pPr>
      <w:r>
        <w:rPr/>
        <w:t>重要的已逾期未支付的利息情况：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应付股利" w:id="291"/>
      <w:bookmarkEnd w:id="29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股权激励股份</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87,473.13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120,919.10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87,473.13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120,919.10</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1、其他应付款" w:id="292"/>
      <w:bookmarkEnd w:id="29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93"/>
      <w:bookmarkEnd w:id="29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21,146,102.20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5,651,729.35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108,331.75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151,684,433.95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16,162,980.35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340,772.80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罗淳</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王阳</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孟浩然</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19,226.98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409,999.78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划分为持有待售的负债" w:id="295"/>
      <w:bookmarkEnd w:id="29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296"/>
      <w:bookmarkEnd w:id="29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297"/>
      <w:bookmarkEnd w:id="29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短期应付债券的增减变动：</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长期借款" w:id="298"/>
      <w:bookmarkEnd w:id="29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299"/>
      <w:bookmarkEnd w:id="29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4" w:right="7612"/>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46、应付债券" w:id="300"/>
      <w:bookmarkEnd w:id="30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债券" w:id="301"/>
      <w:bookmarkEnd w:id="30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债券的增减变动（上包括划分为金融负债的优先股、永续债等其他金融工具）" w:id="302"/>
      <w:bookmarkEnd w:id="30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可转换公司债券的转股条件、转股时间说明" w:id="303"/>
      <w:bookmarkEnd w:id="30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划分为金融负债的其他金融工具说明" w:id="304"/>
      <w:bookmarkEnd w:id="30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60" w:lineRule="auto" w:before="44"/>
        <w:ind w:left="154" w:right="-20"/>
        <w:jc w:val="left"/>
      </w:pPr>
      <w:r>
        <w:rPr/>
        <w:t>期末发行在外的优先股、永续债等其他金融工具基本情况 无。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980"/>
          <w:cols w:num="2" w:equalWidth="0">
            <w:col w:w="4655" w:space="417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6532"/>
        <w:jc w:val="left"/>
      </w:pPr>
      <w:r>
        <w:rPr/>
        <w:t>其他金融工具划分为金融负债的依据说明 其他说明</w:t>
      </w:r>
    </w:p>
    <w:p>
      <w:pPr>
        <w:spacing w:after="0" w:line="36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7、长期应付款" w:id="305"/>
      <w:bookmarkEnd w:id="30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06"/>
      <w:bookmarkEnd w:id="30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07"/>
      <w:bookmarkEnd w:id="30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08"/>
      <w:bookmarkEnd w:id="30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09"/>
      <w:bookmarkEnd w:id="30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257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9、专项应付款" w:id="310"/>
      <w:bookmarkEnd w:id="31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11"/>
      <w:bookmarkEnd w:id="31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企业所得税、增值税调整</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1、递延收益" w:id="312"/>
      <w:bookmarkEnd w:id="31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实验室补助</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13"/>
      <w:bookmarkEnd w:id="31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3、股本" w:id="314"/>
      <w:bookmarkEnd w:id="314"/>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135,720,988.00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19,396,854.00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123,967,496.00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-67,500.00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143,296,850.00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279,017,838.00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其他权益工具" w:id="315"/>
      <w:bookmarkEnd w:id="31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期末发行在外的优先股、永续债等其他金融工具基本情况" w:id="316"/>
      <w:bookmarkEnd w:id="31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期末发行在外的优先股、永续债等金融工具变动情况表" w:id="317"/>
      <w:bookmarkEnd w:id="31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3653"/>
        <w:jc w:val="left"/>
      </w:pPr>
      <w:r>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55、资本公积" w:id="318"/>
      <w:bookmarkEnd w:id="31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613,380,974.47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327,758,702.42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123,967,496.00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817,172,180.89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4,786,364.86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2,347,490.63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6,119,574.23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618,167,339.33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331,439,402.42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126,314,986.63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823,291,755.12</w:t>
            </w:r>
          </w:p>
        </w:tc>
      </w:tr>
    </w:tbl>
    <w:p>
      <w:pPr>
        <w:pStyle w:val="BodyText"/>
        <w:spacing w:line="240" w:lineRule="auto" w:before="51"/>
        <w:ind w:left="154" w:right="0"/>
        <w:jc w:val="left"/>
      </w:pPr>
      <w:r>
        <w:rPr/>
        <w:t>其他说明，包括本期增减变动情况、变动原因说明：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54" w:right="0"/>
        <w:jc w:val="left"/>
        <w:rPr>
          <w:b w:val="0"/>
          <w:bCs w:val="0"/>
        </w:rPr>
      </w:pPr>
      <w:bookmarkStart w:name="56、库存股" w:id="319"/>
      <w:bookmarkEnd w:id="31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7、其他综合收益" w:id="320"/>
      <w:bookmarkEnd w:id="32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9"/>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5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321"/>
      <w:bookmarkEnd w:id="32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9、盈余公积" w:id="322"/>
      <w:bookmarkEnd w:id="32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28,179,290.36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11,390,662.40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39,569,952.76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28,179,290.36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11,390,662.40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39,569,952.76</w:t>
            </w:r>
          </w:p>
        </w:tc>
      </w:tr>
    </w:tbl>
    <w:p>
      <w:pPr>
        <w:pStyle w:val="BodyText"/>
        <w:spacing w:line="240" w:lineRule="auto" w:before="51"/>
        <w:ind w:left="15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0、未分配利润" w:id="323"/>
      <w:bookmarkEnd w:id="32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231,579,050.35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156,398,414.50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231,579,050.35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156,398,414.50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135,628,693.07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90,236,363.71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11,390,662.40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8,980,736.48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6,074,991.38</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355,817,081.02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231,579,050.35</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54"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61、营业收入和营业成本" w:id="324"/>
      <w:bookmarkEnd w:id="32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615,266,383.37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317,815,234.89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468,161,375.81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259,276,069.47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615,266,383.37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317,815,234.89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468,161,375.81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259,276,069.47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营业税金及附加" w:id="325"/>
      <w:bookmarkEnd w:id="32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74,997.66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457,400.34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2,381,107.35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681,622.51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1,021,957.67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288,930.72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677,569.84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198,229.66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其他地方性税费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4,155,977.57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1,626,189.45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26"/>
      <w:bookmarkEnd w:id="32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8,852,638.32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7,061,668.44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8,461,931.38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6,812,297.00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6,485,285.76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3,283,263.57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9,407,309.09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6,910,284.13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5,521,430.87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5,169,257.32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38,728,595.42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29,236,770.46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27"/>
      <w:bookmarkEnd w:id="32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20,386,932.14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17,308,940.99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2,027,407.95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1,567,542.03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1,162,234.59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1,357,306.00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14,088,086.70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5,627,161.20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3,335,809.69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3,289,288.06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48,832,881.49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40,827,731.81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18,785,055.36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20,483,891.19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108,618,407.92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90,461,861.28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28"/>
      <w:bookmarkEnd w:id="32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4,860,077.65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302,511.00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5,509,004.61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5,984,954.56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-648,926.96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-5,682,443.56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269,460.19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322,968.31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-379,466.77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-5,359,475.25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29"/>
      <w:bookmarkEnd w:id="32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6,251,160.97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2,204,984.15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6,251,160.97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2,204,984.15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30"/>
      <w:bookmarkEnd w:id="33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投资收益" w:id="331"/>
      <w:bookmarkEnd w:id="33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-1,989,183.79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-2,065,104.59</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-1,989,183.79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-2,065,104.59</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9、营业外收入" w:id="332"/>
      <w:bookmarkEnd w:id="33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7,571,992.97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3,835,525.67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1,072,096.99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2,626.39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2,626.39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10,348,152.06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8,644,089.96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6,512,626.39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计入当期损益的政府补助：</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朝阳区财政局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高新技术 产业发展基金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北京市国有文化资产监督管 理办公室文化创意产业资金 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北京市科学技术委员会北京 高新技术成果转化专项资金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文化创意产业发展引导资金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北京市科委员数字内容用户 消费数据交换标准技术开发 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中关村科技园区管委会补贴 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天津经济技术开发区管理委 员会促进服务外包发展补贴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2,885,992.97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天津市科学技术委员会技术 研发补贴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天津市技术开发区财政局科 技型中小企业补贴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天津财政补贴</w:t>
            </w:r>
            <w:r>
              <w:rPr>
                <w:rFonts w:ascii="Times New Roman" w:hAnsi="Times New Roman" w:cs="Times New Roman" w:eastAsia="Times New Roman" w:hint="default"/>
                <w:sz w:val="18"/>
                <w:szCs w:val="18"/>
              </w:rPr>
              <w:t>-</w:t>
            </w:r>
            <w:r>
              <w:rPr>
                <w:rFonts w:ascii="宋体" w:hAnsi="宋体" w:cs="宋体" w:eastAsia="宋体" w:hint="default"/>
                <w:sz w:val="18"/>
                <w:szCs w:val="18"/>
              </w:rPr>
              <w:t>孵化资金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年度中关村产业技术联 盟重大应用示范项目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7,571,992.97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0、营业外支出" w:id="333"/>
      <w:bookmarkEnd w:id="33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873,518.85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17,350.29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873,518.85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108,873.39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108,873.39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709.04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985,801.28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82,450.29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985,801.28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1、所得税费用" w:id="334"/>
      <w:bookmarkEnd w:id="33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35"/>
      <w:bookmarkEnd w:id="33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13,870,040.82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10,775,135.05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-1,273,676.35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-3,481,629.74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12,596,364.47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7,293,505.31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36"/>
      <w:bookmarkEnd w:id="33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147,449,640.36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12,596,364.47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其他综合收益" w:id="337"/>
      <w:bookmarkEnd w:id="337"/>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73、现金流量表项目" w:id="338"/>
      <w:bookmarkEnd w:id="338"/>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39"/>
      <w:bookmarkEnd w:id="33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募集资金及存款利息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5,910,971.05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5,984,954.56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往来款及履约保函变动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13,860,919.20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7,571,992.97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1,934,147.02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1,665,299.59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33,126,037.27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15,222,247.12</w:t>
            </w:r>
          </w:p>
        </w:tc>
      </w:tr>
    </w:tbl>
    <w:p>
      <w:pPr>
        <w:pStyle w:val="BodyText"/>
        <w:spacing w:line="240" w:lineRule="auto" w:before="51"/>
        <w:ind w:left="154" w:right="0"/>
        <w:jc w:val="left"/>
      </w:pPr>
      <w:r>
        <w:rPr/>
        <w:t>收到的其他与经营活动有关的现金说明：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支付的其他与经营活动有关的现金" w:id="340"/>
      <w:bookmarkEnd w:id="34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管理费用及销售费用付现支出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46,025,082.42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51,904,833.00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往来款及履约保函变动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2,354,220.52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10,140,453.58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48,379,302.94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62,045,286.58</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41"/>
      <w:bookmarkEnd w:id="34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42"/>
      <w:bookmarkEnd w:id="34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43"/>
      <w:bookmarkEnd w:id="34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44"/>
      <w:bookmarkEnd w:id="34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7,260,000.00</w:t>
            </w:r>
          </w:p>
        </w:tc>
      </w:tr>
    </w:tbl>
    <w:p>
      <w:pPr>
        <w:pStyle w:val="BodyText"/>
        <w:spacing w:line="240" w:lineRule="auto" w:before="51"/>
        <w:ind w:left="154" w:right="0"/>
        <w:jc w:val="left"/>
      </w:pPr>
      <w:r>
        <w:rPr/>
        <w:t>支付的其他与筹资活动有关的现金说明：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r>
        <w:rPr/>
        <w:pict>
          <v:group style="position:absolute;margin-left:223.339996pt;margin-top:383.089996pt;width:151.25pt;height:20.7pt;mso-position-horizontal-relative:page;mso-position-vertical-relative:page;z-index:-954688" coordorigin="4467,7662" coordsize="3025,414">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w10:wrap type="none"/>
          </v:group>
        </w:pict>
      </w:r>
    </w:p>
    <w:p>
      <w:pPr>
        <w:pStyle w:val="Heading3"/>
        <w:spacing w:line="240" w:lineRule="auto" w:before="35"/>
        <w:ind w:right="0"/>
        <w:jc w:val="left"/>
        <w:rPr>
          <w:b w:val="0"/>
          <w:bCs w:val="0"/>
        </w:rPr>
      </w:pPr>
      <w:bookmarkStart w:name="74、现金流量表补充资料" w:id="345"/>
      <w:bookmarkEnd w:id="34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46"/>
      <w:bookmarkEnd w:id="34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134,853,275.89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89,918,006.02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6,251,160.97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2,204,984.15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5,140,116.94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4,580,637.10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14,090,881.56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5,631,434.76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2,216,155.27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1,619,057.90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871,070.13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17,350.29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4,860,077.65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302,511.00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1,989,183.79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2,065,104.59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-1,273,676.35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-3,481,629.74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-2,769,471.23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292,067.14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-126,881,779.90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-162,911,548.78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46,439,676.51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10,562,081.31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7,125,824.06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85,786,671.23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-42,074,120.20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239,704,182.67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271,655,569.43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271,655,569.43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339,607,063.86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-31,951,386.76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-67,951,494.43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47"/>
      <w:bookmarkEnd w:id="34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48"/>
      <w:bookmarkEnd w:id="34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49"/>
      <w:bookmarkEnd w:id="34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239,704,182.67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271,655,569.43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32,728.78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24,096.77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239,671,453.89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271,631,472.66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239,704,182.67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271,655,569.43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4393" w:firstLine="0"/>
        <w:jc w:val="left"/>
        <w:rPr>
          <w:rFonts w:ascii="宋体" w:hAnsi="宋体" w:cs="宋体" w:eastAsia="宋体" w:hint="default"/>
          <w:sz w:val="21"/>
          <w:szCs w:val="21"/>
        </w:rPr>
      </w:pPr>
      <w:bookmarkStart w:name="75、所有者权益变动表项目注释" w:id="350"/>
      <w:bookmarkEnd w:id="35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51"/>
      <w:bookmarkEnd w:id="351"/>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7、外币货币性项目" w:id="352"/>
      <w:bookmarkEnd w:id="35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53"/>
      <w:bookmarkEnd w:id="35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59" w:lineRule="auto" w:before="35"/>
        <w:ind w:right="0"/>
        <w:jc w:val="left"/>
        <w:rPr>
          <w:b w:val="0"/>
          <w:bCs w:val="0"/>
        </w:rPr>
      </w:pPr>
      <w:bookmarkStart w:name="（2）境外经营实体说明，包括对于重要的境外经营实体，应披露其境外主要经营地、记账" w:id="354"/>
      <w:bookmarkEnd w:id="35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8、套期" w:id="355"/>
      <w:bookmarkEnd w:id="355"/>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3" w:right="7349" w:firstLine="0"/>
        <w:jc w:val="left"/>
        <w:rPr>
          <w:rFonts w:ascii="宋体" w:hAnsi="宋体" w:cs="宋体" w:eastAsia="宋体" w:hint="default"/>
          <w:sz w:val="21"/>
          <w:szCs w:val="21"/>
        </w:rPr>
      </w:pPr>
      <w:bookmarkStart w:name="79、其他" w:id="356"/>
      <w:bookmarkEnd w:id="35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7"/>
      <w:bookmarkEnd w:id="35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8"/>
      <w:bookmarkEnd w:id="3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59"/>
      <w:bookmarkEnd w:id="35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上海屹通信 息科技发展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股权变更完 成</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北京汉桥科 创科技有限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股权变更完 成</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-973,019.04</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60"/>
      <w:bookmarkEnd w:id="36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687"/>
        <w:gridCol w:w="2486"/>
        <w:gridCol w:w="2486"/>
      </w:tblGrid>
      <w:tr>
        <w:trPr>
          <w:trHeight w:val="349" w:hRule="exact"/>
        </w:trPr>
        <w:tc>
          <w:tcPr>
            <w:tcW w:w="46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4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屹通信息</w:t>
            </w:r>
          </w:p>
        </w:tc>
        <w:tc>
          <w:tcPr>
            <w:tcW w:w="24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汉桥科创</w:t>
            </w:r>
          </w:p>
        </w:tc>
      </w:tr>
      <w:tr>
        <w:trPr>
          <w:trHeight w:val="352"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112,700,000.00</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352"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338,100,000.00</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450,800,000.00</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4687"/>
        <w:gridCol w:w="2486"/>
        <w:gridCol w:w="2486"/>
      </w:tblGrid>
      <w:tr>
        <w:trPr>
          <w:trHeight w:val="349" w:hRule="exact"/>
        </w:trPr>
        <w:tc>
          <w:tcPr>
            <w:tcW w:w="46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4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73,655,851.08</w:t>
            </w:r>
          </w:p>
        </w:tc>
        <w:tc>
          <w:tcPr>
            <w:tcW w:w="24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5,025,264.59</w:t>
            </w:r>
          </w:p>
        </w:tc>
      </w:tr>
      <w:tr>
        <w:trPr>
          <w:trHeight w:val="665" w:hRule="exact"/>
        </w:trPr>
        <w:tc>
          <w:tcPr>
            <w:tcW w:w="4687" w:type="dxa"/>
            <w:tcBorders>
              <w:top w:val="single" w:sz="8" w:space="0" w:color="000000"/>
              <w:left w:val="single" w:sz="6" w:space="0" w:color="000000"/>
              <w:bottom w:val="single" w:sz="8" w:space="0" w:color="000000"/>
              <w:right w:val="single" w:sz="6" w:space="0" w:color="000000"/>
            </w:tcBorders>
          </w:tcPr>
          <w:p>
            <w:pPr>
              <w:pStyle w:val="TableParagraph"/>
              <w:spacing w:line="300" w:lineRule="auto" w:before="21"/>
              <w:ind w:left="2" w:right="5"/>
              <w:jc w:val="left"/>
              <w:rPr>
                <w:rFonts w:ascii="宋体" w:hAnsi="宋体" w:cs="宋体" w:eastAsia="宋体" w:hint="default"/>
                <w:sz w:val="18"/>
                <w:szCs w:val="18"/>
              </w:rPr>
            </w:pPr>
            <w:r>
              <w:rPr>
                <w:rFonts w:ascii="宋体" w:hAnsi="宋体" w:cs="宋体" w:eastAsia="宋体" w:hint="default"/>
                <w:spacing w:val="3"/>
                <w:sz w:val="18"/>
                <w:szCs w:val="18"/>
              </w:rPr>
              <w:t>商誉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合并成本小于取得的可辨认净资产公允价值份额的金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额</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377,144,148.92</w:t>
            </w:r>
          </w:p>
        </w:tc>
        <w:tc>
          <w:tcPr>
            <w:tcW w:w="24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29,974,735.41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360" w:lineRule="auto" w:before="44"/>
        <w:ind w:left="154" w:right="5092"/>
        <w:jc w:val="left"/>
      </w:pPr>
      <w:r>
        <w:rPr/>
        <w:t>合并成本公允价值的确定方法、或有对价及其变动的说明： 大额商誉形成的主要原因：</w:t>
      </w:r>
    </w:p>
    <w:p>
      <w:pPr>
        <w:pStyle w:val="BodyText"/>
        <w:spacing w:line="300" w:lineRule="auto" w:before="105"/>
        <w:ind w:right="0" w:firstLine="420"/>
        <w:jc w:val="left"/>
      </w:pPr>
      <w:r>
        <w:rPr/>
        <w:t>（</w:t>
      </w:r>
      <w:r>
        <w:rPr>
          <w:rFonts w:ascii="Times New Roman" w:hAnsi="Times New Roman" w:cs="Times New Roman" w:eastAsia="Times New Roman" w:hint="default"/>
        </w:rPr>
        <w:t>1</w:t>
      </w:r>
      <w:r>
        <w:rPr/>
        <w:t>）屹通信息：本公司的合并成本为人民币</w:t>
      </w:r>
      <w:r>
        <w:rPr>
          <w:rFonts w:ascii="Times New Roman" w:hAnsi="Times New Roman" w:cs="Times New Roman" w:eastAsia="Times New Roman" w:hint="default"/>
        </w:rPr>
        <w:t>450,800,000.00</w:t>
      </w:r>
      <w:r>
        <w:rPr/>
        <w:t>元，合并中取得屹通信息</w:t>
      </w:r>
      <w:r>
        <w:rPr>
          <w:rFonts w:ascii="Times New Roman" w:hAnsi="Times New Roman" w:cs="Times New Roman" w:eastAsia="Times New Roman" w:hint="default"/>
        </w:rPr>
        <w:t>100%</w:t>
      </w:r>
      <w:r>
        <w:rPr/>
        <w:t>权益在购买日的公允价值为 人民币</w:t>
      </w:r>
      <w:r>
        <w:rPr>
          <w:rFonts w:ascii="Times New Roman" w:hAnsi="Times New Roman" w:cs="Times New Roman" w:eastAsia="Times New Roman" w:hint="default"/>
        </w:rPr>
        <w:t>73,655,851.08</w:t>
      </w:r>
      <w:r>
        <w:rPr/>
        <w:t>元，两者的差额人民币</w:t>
      </w:r>
      <w:r>
        <w:rPr>
          <w:rFonts w:ascii="Times New Roman" w:hAnsi="Times New Roman" w:cs="Times New Roman" w:eastAsia="Times New Roman" w:hint="default"/>
        </w:rPr>
        <w:t>377,144,148.92</w:t>
      </w:r>
      <w:r>
        <w:rPr/>
        <w:t>元确认为商誉。</w:t>
      </w:r>
    </w:p>
    <w:p>
      <w:pPr>
        <w:pStyle w:val="BodyText"/>
        <w:spacing w:line="300" w:lineRule="auto" w:before="133"/>
        <w:ind w:right="0" w:firstLine="423"/>
        <w:jc w:val="left"/>
      </w:pPr>
      <w:r>
        <w:rPr/>
        <w:t>（</w:t>
      </w:r>
      <w:r>
        <w:rPr>
          <w:rFonts w:ascii="Times New Roman" w:hAnsi="Times New Roman" w:cs="Times New Roman" w:eastAsia="Times New Roman" w:hint="default"/>
        </w:rPr>
        <w:t>2</w:t>
      </w:r>
      <w:r>
        <w:rPr/>
        <w:t>）汉桥科创：本公司的合并成本为人民币</w:t>
      </w:r>
      <w:r>
        <w:rPr>
          <w:rFonts w:ascii="Times New Roman" w:hAnsi="Times New Roman" w:cs="Times New Roman" w:eastAsia="Times New Roman" w:hint="default"/>
        </w:rPr>
        <w:t>35,000,000.00</w:t>
      </w:r>
      <w:r>
        <w:rPr/>
        <w:t>元，合并中取得汉桥科创</w:t>
      </w:r>
      <w:r>
        <w:rPr>
          <w:rFonts w:ascii="Times New Roman" w:hAnsi="Times New Roman" w:cs="Times New Roman" w:eastAsia="Times New Roman" w:hint="default"/>
        </w:rPr>
        <w:t>51%</w:t>
      </w:r>
      <w:r>
        <w:rPr/>
        <w:t>权益在购买日的公允价值为人 民币</w:t>
      </w:r>
      <w:r>
        <w:rPr>
          <w:rFonts w:ascii="Times New Roman" w:hAnsi="Times New Roman" w:cs="Times New Roman" w:eastAsia="Times New Roman" w:hint="default"/>
        </w:rPr>
        <w:t>5,025,264.59</w:t>
      </w:r>
      <w:r>
        <w:rPr/>
        <w:t>元，两者的差额人民币</w:t>
      </w:r>
      <w:r>
        <w:rPr>
          <w:rFonts w:ascii="Times New Roman" w:hAnsi="Times New Roman" w:cs="Times New Roman" w:eastAsia="Times New Roman" w:hint="default"/>
        </w:rPr>
        <w:t>29,974,735.41</w:t>
      </w:r>
      <w:r>
        <w:rPr/>
        <w:t>元确认为商誉。</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被购买方于购买日可辨认资产、负债" w:id="361"/>
      <w:bookmarkEnd w:id="36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2460"/>
        <w:gridCol w:w="1810"/>
        <w:gridCol w:w="1810"/>
        <w:gridCol w:w="1792"/>
        <w:gridCol w:w="1787"/>
      </w:tblGrid>
      <w:tr>
        <w:trPr>
          <w:trHeight w:val="349" w:hRule="exact"/>
        </w:trPr>
        <w:tc>
          <w:tcPr>
            <w:tcW w:w="246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20"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屹通信息</w:t>
            </w:r>
          </w:p>
        </w:tc>
        <w:tc>
          <w:tcPr>
            <w:tcW w:w="3579"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汉桥科创</w:t>
            </w:r>
          </w:p>
        </w:tc>
      </w:tr>
      <w:tr>
        <w:trPr>
          <w:trHeight w:val="348" w:hRule="exact"/>
        </w:trPr>
        <w:tc>
          <w:tcPr>
            <w:tcW w:w="2460" w:type="dxa"/>
            <w:vMerge/>
            <w:tcBorders>
              <w:left w:val="single" w:sz="6" w:space="0" w:color="000000"/>
              <w:bottom w:val="single" w:sz="8" w:space="0" w:color="000000"/>
              <w:right w:val="single" w:sz="6" w:space="0" w:color="000000"/>
            </w:tcBorders>
          </w:tcPr>
          <w:p>
            <w:pP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6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67"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5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55"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810" w:type="dxa"/>
            <w:tcBorders>
              <w:top w:val="single" w:sz="8" w:space="0" w:color="000000"/>
              <w:left w:val="single" w:sz="6" w:space="0" w:color="000000"/>
              <w:bottom w:val="single" w:sz="8" w:space="0" w:color="000000"/>
              <w:right w:val="single" w:sz="6" w:space="0" w:color="000000"/>
            </w:tcBorders>
          </w:tcPr>
          <w:p>
            <w:pPr/>
          </w:p>
        </w:tc>
        <w:tc>
          <w:tcPr>
            <w:tcW w:w="1810" w:type="dxa"/>
            <w:tcBorders>
              <w:top w:val="single" w:sz="8" w:space="0" w:color="000000"/>
              <w:left w:val="single" w:sz="6" w:space="0" w:color="000000"/>
              <w:bottom w:val="single" w:sz="8" w:space="0" w:color="000000"/>
              <w:right w:val="single" w:sz="6" w:space="0" w:color="000000"/>
            </w:tcBorders>
          </w:tcPr>
          <w:p>
            <w:pPr/>
          </w:p>
        </w:tc>
        <w:tc>
          <w:tcPr>
            <w:tcW w:w="1792" w:type="dxa"/>
            <w:tcBorders>
              <w:top w:val="single" w:sz="8" w:space="0" w:color="000000"/>
              <w:left w:val="single" w:sz="6" w:space="0" w:color="000000"/>
              <w:bottom w:val="single" w:sz="8" w:space="0" w:color="000000"/>
              <w:right w:val="single" w:sz="6" w:space="0" w:color="000000"/>
            </w:tcBorders>
          </w:tcPr>
          <w:p>
            <w:pPr/>
          </w:p>
        </w:tc>
        <w:tc>
          <w:tcPr>
            <w:tcW w:w="1787" w:type="dxa"/>
            <w:tcBorders>
              <w:top w:val="single" w:sz="8" w:space="0" w:color="000000"/>
              <w:left w:val="single" w:sz="6" w:space="0" w:color="000000"/>
              <w:bottom w:val="single" w:sz="8" w:space="0" w:color="000000"/>
              <w:right w:val="single" w:sz="6" w:space="0" w:color="000000"/>
            </w:tcBorders>
          </w:tcPr>
          <w:p>
            <w:pP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11,071,483.56</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11,071,483.56</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2,870,583.19</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2,870,583.19</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56,574,559.74</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56,574,559.74</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966,832.07</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966,832.07</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735,448.15</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735,448.15</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7,010,413.00</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7,010,413.00</w:t>
            </w:r>
          </w:p>
        </w:tc>
      </w:tr>
      <w:tr>
        <w:trPr>
          <w:trHeight w:val="348"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10,825,717.14</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10,825,717.14</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930,847.29</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930,847.29</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39,642.00</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39,642.00</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18,376,315.53</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25,153.86</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91,971.64</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91,971.64</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52,308.74</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52,308.74</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1810" w:type="dxa"/>
            <w:tcBorders>
              <w:top w:val="single" w:sz="8" w:space="0" w:color="000000"/>
              <w:left w:val="single" w:sz="6" w:space="0" w:color="000000"/>
              <w:bottom w:val="single" w:sz="8" w:space="0" w:color="000000"/>
              <w:right w:val="single" w:sz="6" w:space="0" w:color="000000"/>
            </w:tcBorders>
          </w:tcPr>
          <w:p>
            <w:pPr/>
          </w:p>
        </w:tc>
        <w:tc>
          <w:tcPr>
            <w:tcW w:w="1810" w:type="dxa"/>
            <w:tcBorders>
              <w:top w:val="single" w:sz="8" w:space="0" w:color="000000"/>
              <w:left w:val="single" w:sz="6" w:space="0" w:color="000000"/>
              <w:bottom w:val="single" w:sz="8" w:space="0" w:color="000000"/>
              <w:right w:val="single" w:sz="6" w:space="0" w:color="000000"/>
            </w:tcBorders>
          </w:tcPr>
          <w:p>
            <w:pPr/>
          </w:p>
        </w:tc>
        <w:tc>
          <w:tcPr>
            <w:tcW w:w="1792" w:type="dxa"/>
            <w:tcBorders>
              <w:top w:val="single" w:sz="8" w:space="0" w:color="000000"/>
              <w:left w:val="single" w:sz="6" w:space="0" w:color="000000"/>
              <w:bottom w:val="single" w:sz="8" w:space="0" w:color="000000"/>
              <w:right w:val="single" w:sz="6" w:space="0" w:color="000000"/>
            </w:tcBorders>
          </w:tcPr>
          <w:p>
            <w:pPr/>
          </w:p>
        </w:tc>
        <w:tc>
          <w:tcPr>
            <w:tcW w:w="1787" w:type="dxa"/>
            <w:tcBorders>
              <w:top w:val="single" w:sz="8" w:space="0" w:color="000000"/>
              <w:left w:val="single" w:sz="6" w:space="0" w:color="000000"/>
              <w:bottom w:val="single" w:sz="8" w:space="0" w:color="000000"/>
              <w:right w:val="single" w:sz="6" w:space="0" w:color="000000"/>
            </w:tcBorders>
          </w:tcPr>
          <w:p>
            <w:pP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1,475,128.40</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1,475,128.40</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4,686,450.00</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4,686,450.00</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6,032.53</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6,032.53</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67,130.00</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67,130.00</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10,056,660.29</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10,056,660.29</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其他应付款项</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4,693,052.82</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4,693,052.82</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52,356.95</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52,356.95</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810" w:type="dxa"/>
            <w:tcBorders>
              <w:top w:val="single" w:sz="8" w:space="0" w:color="000000"/>
              <w:left w:val="single" w:sz="6" w:space="0" w:color="000000"/>
              <w:bottom w:val="single" w:sz="8" w:space="0" w:color="000000"/>
              <w:right w:val="single" w:sz="6" w:space="0" w:color="000000"/>
            </w:tcBorders>
          </w:tcPr>
          <w:p>
            <w:pPr/>
          </w:p>
        </w:tc>
        <w:tc>
          <w:tcPr>
            <w:tcW w:w="1810" w:type="dxa"/>
            <w:tcBorders>
              <w:top w:val="single" w:sz="8" w:space="0" w:color="000000"/>
              <w:left w:val="single" w:sz="6" w:space="0" w:color="000000"/>
              <w:bottom w:val="single" w:sz="8" w:space="0" w:color="000000"/>
              <w:right w:val="single" w:sz="6" w:space="0" w:color="000000"/>
            </w:tcBorders>
          </w:tcPr>
          <w:p>
            <w:pPr/>
          </w:p>
        </w:tc>
        <w:tc>
          <w:tcPr>
            <w:tcW w:w="1792" w:type="dxa"/>
            <w:tcBorders>
              <w:top w:val="single" w:sz="8" w:space="0" w:color="000000"/>
              <w:left w:val="single" w:sz="6" w:space="0" w:color="000000"/>
              <w:bottom w:val="single" w:sz="8" w:space="0" w:color="000000"/>
              <w:right w:val="single" w:sz="6" w:space="0" w:color="000000"/>
            </w:tcBorders>
          </w:tcPr>
          <w:p>
            <w:pPr/>
          </w:p>
        </w:tc>
        <w:tc>
          <w:tcPr>
            <w:tcW w:w="1787" w:type="dxa"/>
            <w:tcBorders>
              <w:top w:val="single" w:sz="8" w:space="0" w:color="000000"/>
              <w:left w:val="single" w:sz="6" w:space="0" w:color="000000"/>
              <w:bottom w:val="single" w:sz="8" w:space="0" w:color="000000"/>
              <w:right w:val="single" w:sz="6" w:space="0" w:color="000000"/>
            </w:tcBorders>
          </w:tcPr>
          <w:p>
            <w:pPr/>
          </w:p>
        </w:tc>
      </w:tr>
      <w:tr>
        <w:trPr>
          <w:trHeight w:val="348"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4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73,655,851.08</w:t>
            </w:r>
          </w:p>
        </w:tc>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55,304,689.41</w:t>
            </w:r>
          </w:p>
        </w:tc>
        <w:tc>
          <w:tcPr>
            <w:tcW w:w="17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9,853,459.98</w:t>
            </w:r>
          </w:p>
        </w:tc>
        <w:tc>
          <w:tcPr>
            <w:tcW w:w="17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9,853,459.98</w:t>
            </w:r>
          </w:p>
        </w:tc>
      </w:tr>
    </w:tbl>
    <w:p>
      <w:pPr>
        <w:spacing w:line="240" w:lineRule="auto" w:before="5"/>
        <w:rPr>
          <w:rFonts w:ascii="宋体" w:hAnsi="宋体" w:cs="宋体" w:eastAsia="宋体" w:hint="default"/>
          <w:b/>
          <w:bCs/>
          <w:sz w:val="24"/>
          <w:szCs w:val="24"/>
        </w:rPr>
      </w:pPr>
    </w:p>
    <w:p>
      <w:pPr>
        <w:pStyle w:val="BodyText"/>
        <w:spacing w:line="360" w:lineRule="auto" w:before="44"/>
        <w:ind w:left="154" w:right="6532"/>
        <w:jc w:val="left"/>
      </w:pPr>
      <w:r>
        <w:rPr/>
        <w:t>可辨认资产、负债公允价值的确定方法： 企业合并中承担的被购买方的或有负债：</w:t>
      </w:r>
    </w:p>
    <w:p>
      <w:pPr>
        <w:spacing w:after="0" w:line="36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453" w:right="0"/>
        <w:jc w:val="left"/>
      </w:pPr>
      <w:r>
        <w:rPr/>
        <w:t>企业合并中不存在承担的被购买方的或有负债。</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购买日之前持有的股权按照公允价值重新计量产生的利得或损失" w:id="362"/>
      <w:bookmarkEnd w:id="36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63"/>
      <w:bookmarkEnd w:id="36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64"/>
      <w:bookmarkEnd w:id="36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65"/>
      <w:bookmarkEnd w:id="36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66"/>
      <w:bookmarkEnd w:id="36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 w:id="367"/>
      <w:bookmarkEnd w:id="36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13"/>
        <w:jc w:val="left"/>
      </w:pPr>
      <w:r>
        <w:rPr/>
        <w:t>或有对价及其变动的说明：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368"/>
      <w:bookmarkEnd w:id="36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533"/>
        <w:jc w:val="left"/>
      </w:pPr>
      <w:r>
        <w:rPr/>
        <w:t>企业合并中承担的被合并方的或有负债：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反向购买" w:id="369"/>
      <w:bookmarkEnd w:id="36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4、处置子公司" w:id="370"/>
      <w:bookmarkEnd w:id="37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是否存在单次处置对子公司投资即丧失控制权的情形</w:t>
      </w:r>
    </w:p>
    <w:p>
      <w:pPr>
        <w:pStyle w:val="BodyText"/>
        <w:spacing w:line="240" w:lineRule="auto" w:before="11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71"/>
      <w:bookmarkEnd w:id="37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1"/>
        <w:rPr>
          <w:rFonts w:ascii="宋体" w:hAnsi="宋体" w:cs="宋体" w:eastAsia="宋体" w:hint="default"/>
          <w:sz w:val="26"/>
          <w:szCs w:val="26"/>
        </w:rPr>
      </w:pPr>
    </w:p>
    <w:p>
      <w:pPr>
        <w:spacing w:line="487" w:lineRule="auto" w:before="0"/>
        <w:ind w:left="153" w:right="6893" w:firstLine="0"/>
        <w:jc w:val="left"/>
        <w:rPr>
          <w:rFonts w:ascii="宋体" w:hAnsi="宋体" w:cs="宋体" w:eastAsia="宋体" w:hint="default"/>
          <w:sz w:val="21"/>
          <w:szCs w:val="21"/>
        </w:rPr>
      </w:pPr>
      <w:bookmarkStart w:name="6、其他" w:id="372"/>
      <w:bookmarkEnd w:id="3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3"/>
      <w:bookmarkEnd w:id="37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4"/>
      <w:bookmarkEnd w:id="37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75"/>
      <w:bookmarkEnd w:id="37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12"/>
              <w:jc w:val="left"/>
              <w:rPr>
                <w:rFonts w:ascii="宋体" w:hAnsi="宋体" w:cs="宋体" w:eastAsia="宋体" w:hint="default"/>
                <w:sz w:val="18"/>
                <w:szCs w:val="18"/>
              </w:rPr>
            </w:pPr>
            <w:r>
              <w:rPr>
                <w:rFonts w:ascii="宋体" w:hAnsi="宋体" w:cs="宋体" w:eastAsia="宋体" w:hint="default"/>
                <w:spacing w:val="-5"/>
                <w:sz w:val="18"/>
                <w:szCs w:val="18"/>
              </w:rPr>
              <w:t>东方国信（天津</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天津市</w:t>
            </w:r>
          </w:p>
          <w:p>
            <w:pPr>
              <w:pStyle w:val="TableParagraph"/>
              <w:spacing w:line="871" w:lineRule="exact"/>
              <w:ind w:right="-38"/>
              <w:jc w:val="left"/>
              <w:rPr>
                <w:rFonts w:ascii="宋体" w:hAnsi="宋体" w:cs="宋体" w:eastAsia="宋体" w:hint="default"/>
                <w:sz w:val="20"/>
                <w:szCs w:val="20"/>
              </w:rPr>
            </w:pPr>
            <w:r>
              <w:rPr>
                <w:rFonts w:ascii="宋体" w:hAnsi="宋体" w:cs="宋体" w:eastAsia="宋体" w:hint="default"/>
                <w:position w:val="-16"/>
                <w:sz w:val="20"/>
                <w:szCs w:val="20"/>
              </w:rPr>
              <w:pict>
                <v:group style="width:67.9pt;height:43.6pt;mso-position-horizontal-relative:char;mso-position-vertical-relative:line" coordorigin="0,0" coordsize="1358,872">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1311;height:393" coordorigin="23,468" coordsize="1311,393">
                    <v:shape style="position:absolute;left:23;top:468;width:1311;height:393" coordorigin="23,468" coordsize="1311,393" path="m23,860l1333,860,1333,468,23,468,23,860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天津开发区第四 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号天大科 技园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4-410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北京市朝阳区延 静西里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1004B</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吉林省东方国信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长春市南关区平 阳小区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成都东方国信科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成都市高新区府 城大道西段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北京国信新世纪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北京市海淀区农 大南路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层办公</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B-210-283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大连东方国信科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辽宁省大连市甘 井子区软件园东 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号楼</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508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北京市石景山区 实兴东街</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号厂</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房综合楼</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号楼</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北京市海淀区上 地信息路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上海市嘉定区安 亭镇园区路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1218</w:t>
            </w:r>
          </w:p>
          <w:p>
            <w:pPr>
              <w:pStyle w:val="TableParagraph"/>
              <w:spacing w:line="247" w:lineRule="exact"/>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北京汉桥科创科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 地十街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pStyle w:val="BodyText"/>
        <w:spacing w:line="357" w:lineRule="auto" w:before="51"/>
        <w:ind w:left="154" w:right="5992"/>
        <w:jc w:val="left"/>
      </w:pPr>
      <w:r>
        <w:rPr/>
        <w:t>在子公司的持股比例不同于表决权比例的说明： 不适用。</w:t>
      </w:r>
    </w:p>
    <w:p>
      <w:pPr>
        <w:pStyle w:val="BodyText"/>
        <w:spacing w:line="357" w:lineRule="auto" w:before="29"/>
        <w:ind w:left="154" w:right="1852"/>
        <w:jc w:val="left"/>
      </w:pPr>
      <w:r>
        <w:rPr/>
        <w:t>持有半数或以下表决权但仍控制被投资单位、以及持有半数以上表决权但不控制被投资单位的依据： 不适用。</w:t>
      </w:r>
    </w:p>
    <w:p>
      <w:pPr>
        <w:pStyle w:val="BodyText"/>
        <w:spacing w:line="357" w:lineRule="auto" w:before="29"/>
        <w:ind w:left="154" w:right="5452"/>
        <w:jc w:val="left"/>
      </w:pPr>
      <w:r>
        <w:rPr/>
        <w:t>对于纳入合并范围的重要的结构化主体，控制的依据： 确定公司是代理人还是委托人的依据：</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重要的非全资子公司" w:id="376"/>
      <w:bookmarkEnd w:id="37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大连东方国信科技有限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-298,637.85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1,833,004.46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北京汉桥科创科技有限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-476,779.33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4,351,416.06</w:t>
            </w:r>
          </w:p>
        </w:tc>
      </w:tr>
    </w:tbl>
    <w:p>
      <w:pPr>
        <w:pStyle w:val="BodyText"/>
        <w:spacing w:line="357" w:lineRule="auto" w:before="51"/>
        <w:ind w:left="154" w:right="5452"/>
        <w:jc w:val="left"/>
      </w:pPr>
      <w:r>
        <w:rPr/>
        <w:t>子公司少数股东的持股比例不同于表决权比例的说明： 不适用。</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重要非全资子公司的主要财务信息" w:id="377"/>
      <w:bookmarkEnd w:id="37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大连东 方国信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4,617,99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609,904.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5,227,90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1,487,07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5.70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1,487,07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5,036,81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5,588,03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1,237,74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2.73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1,237,74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1338"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北京汉 桥科创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8,560,89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4.38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411,835.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8,972,73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92,289.1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92,289.1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大连东方国 信科技有限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4,981,079.53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-609,465.00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-611,311.68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3,165,111.08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-649,709.58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-2,735,650.01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北京汉桥科 创科技有限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-973,019.04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-1,337,170.11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378"/>
      <w:bookmarkEnd w:id="37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79"/>
      <w:bookmarkEnd w:id="37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80"/>
      <w:bookmarkEnd w:id="38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381"/>
      <w:bookmarkEnd w:id="38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交易对于少数股东权益及归属于母公司所有者权益的影响" w:id="382"/>
      <w:bookmarkEnd w:id="38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在合营安排或联营企业中的权益" w:id="383"/>
      <w:bookmarkEnd w:id="38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重要的合营企业或联营企业" w:id="384"/>
      <w:bookmarkEnd w:id="38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北京千禾颐养家 苑养老服务有限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北京市昌平区沙 河镇七里渠南村 </w:t>
            </w:r>
            <w:r>
              <w:rPr>
                <w:rFonts w:ascii="Times New Roman" w:hAnsi="Times New Roman" w:cs="Times New Roman" w:eastAsia="Times New Roman" w:hint="default"/>
                <w:sz w:val="18"/>
                <w:szCs w:val="18"/>
              </w:rPr>
              <w:t>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0"/>
        <w:jc w:val="left"/>
      </w:pPr>
      <w:r>
        <w:rPr/>
        <w:t>在合营企业或联营企业的持股比例不同于表决权比例的说明：</w:t>
      </w:r>
    </w:p>
    <w:p>
      <w:pPr>
        <w:pStyle w:val="BodyText"/>
        <w:spacing w:line="240" w:lineRule="auto" w:before="116"/>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重要合营企业的主要财务信息" w:id="385"/>
      <w:bookmarkEnd w:id="38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386"/>
      <w:bookmarkEnd w:id="38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059"/>
        <w:gridCol w:w="2801"/>
        <w:gridCol w:w="2644"/>
      </w:tblGrid>
      <w:tr>
        <w:trPr>
          <w:trHeight w:val="349" w:hRule="exact"/>
        </w:trPr>
        <w:tc>
          <w:tcPr>
            <w:tcW w:w="4059"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45"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1094"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r>
      <w:tr>
        <w:trPr>
          <w:trHeight w:val="347" w:hRule="exact"/>
        </w:trPr>
        <w:tc>
          <w:tcPr>
            <w:tcW w:w="4059" w:type="dxa"/>
            <w:vMerge/>
            <w:tcBorders>
              <w:left w:val="single" w:sz="6" w:space="0" w:color="000000"/>
              <w:bottom w:val="single" w:sz="8" w:space="0" w:color="000000"/>
              <w:right w:val="single" w:sz="6" w:space="0" w:color="000000"/>
            </w:tcBorders>
          </w:tcPr>
          <w:p>
            <w:pP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484"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本期发生额</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407" w:right="0"/>
              <w:jc w:val="left"/>
              <w:rPr>
                <w:rFonts w:ascii="宋体" w:hAnsi="宋体" w:cs="宋体" w:eastAsia="宋体"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上期发生额</w:t>
            </w:r>
          </w:p>
        </w:tc>
      </w:tr>
      <w:tr>
        <w:trPr>
          <w:trHeight w:val="348"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7,184,108.11</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5,388,936.18</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11,861,603.54</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10,582,350.75</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19,045,711.65</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15,971,286.93</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18,213,684.02</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8,508,646.68</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18,213,684.02</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8,508,646.68</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832,027.63</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7,462,640.25</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249,608.29</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2,238,792.08</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7,945,711.62</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9,934,895.41</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5,527,725.59</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1,710,173.99</w:t>
            </w:r>
          </w:p>
        </w:tc>
      </w:tr>
      <w:tr>
        <w:trPr>
          <w:trHeight w:val="348"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-6,630,612.62</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-6,883,681.96</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-6,630,612.62</w:t>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-6,883,681.96</w:t>
            </w:r>
          </w:p>
        </w:tc>
      </w:tr>
      <w:tr>
        <w:trPr>
          <w:trHeight w:val="348" w:hRule="exact"/>
        </w:trPr>
        <w:tc>
          <w:tcPr>
            <w:tcW w:w="40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8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上重要的合营企业和联营企业的汇总财务信息" w:id="387"/>
      <w:bookmarkEnd w:id="38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合营企业或联营企业向本公司转移资金的能力存在重大限制的说明" w:id="388"/>
      <w:bookmarkEnd w:id="38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89"/>
      <w:bookmarkEnd w:id="38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390"/>
      <w:bookmarkEnd w:id="39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391"/>
      <w:bookmarkEnd w:id="39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92"/>
      <w:bookmarkEnd w:id="39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4553"/>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393"/>
      <w:bookmarkEnd w:id="39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2"/>
        <w:spacing w:line="477" w:lineRule="auto"/>
        <w:ind w:left="154" w:right="6893"/>
        <w:jc w:val="left"/>
        <w:rPr>
          <w:b w:val="0"/>
          <w:bCs w:val="0"/>
        </w:rPr>
      </w:pPr>
      <w:bookmarkStart w:name="6、其他" w:id="394"/>
      <w:bookmarkEnd w:id="394"/>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395"/>
      <w:bookmarkEnd w:id="395"/>
      <w:r>
        <w:rPr>
          <w:spacing w:val="1"/>
          <w:w w:val="99"/>
          <w:sz w:val="21"/>
          <w:szCs w:val="21"/>
        </w:rPr>
      </w:r>
      <w:r>
        <w:rPr>
          <w:w w:val="95"/>
        </w:rPr>
        <w:t>十、与金融工具相关的风险</w:t>
      </w:r>
      <w:r>
        <w:rPr>
          <w:spacing w:val="18"/>
          <w:w w:val="95"/>
        </w:rPr>
        <w:t> </w:t>
      </w:r>
      <w:r>
        <w:rPr>
          <w:spacing w:val="18"/>
          <w:w w:val="95"/>
        </w:rPr>
      </w:r>
      <w:bookmarkStart w:name="十一、公允价值的披露" w:id="396"/>
      <w:bookmarkEnd w:id="396"/>
      <w:r>
        <w:rPr/>
        <w:t>十一、公允价值的披露</w:t>
      </w:r>
      <w:r>
        <w:rPr>
          <w:b w:val="0"/>
          <w:bCs w:val="0"/>
        </w:rPr>
      </w:r>
    </w:p>
    <w:p>
      <w:pPr>
        <w:pStyle w:val="Heading3"/>
        <w:spacing w:line="240" w:lineRule="auto" w:before="84"/>
        <w:ind w:left="154" w:right="0"/>
        <w:jc w:val="left"/>
        <w:rPr>
          <w:b w:val="0"/>
          <w:bCs w:val="0"/>
        </w:rPr>
      </w:pPr>
      <w:bookmarkStart w:name="1、以公允价值计量的资产和负债的期末公允价值" w:id="397"/>
      <w:bookmarkEnd w:id="39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398"/>
      <w:bookmarkEnd w:id="39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399"/>
      <w:bookmarkEnd w:id="39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00"/>
      <w:bookmarkEnd w:id="40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上可观察参数" w:id="401"/>
      <w:bookmarkEnd w:id="40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02"/>
      <w:bookmarkEnd w:id="40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03"/>
      <w:bookmarkEnd w:id="40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上以公允价值计量的金融资产和金融负债的公允价值情况" w:id="404"/>
      <w:bookmarkEnd w:id="40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6893" w:firstLine="0"/>
        <w:jc w:val="left"/>
        <w:rPr>
          <w:rFonts w:ascii="宋体" w:hAnsi="宋体" w:cs="宋体" w:eastAsia="宋体" w:hint="default"/>
          <w:sz w:val="21"/>
          <w:szCs w:val="21"/>
        </w:rPr>
      </w:pPr>
      <w:bookmarkStart w:name="9、其他" w:id="405"/>
      <w:bookmarkEnd w:id="40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06"/>
      <w:bookmarkEnd w:id="40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07"/>
      <w:bookmarkEnd w:id="40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left="154" w:right="6172"/>
        <w:jc w:val="left"/>
      </w:pPr>
      <w:r>
        <w:rPr/>
        <w:t>本企业的母公司情况的说明 本企业最终控制方是自然人管连平和霍卫平。 其他说明： 本公司实际控制人为自然人管连平和霍卫平。</w:t>
      </w:r>
    </w:p>
    <w:p>
      <w:pPr>
        <w:spacing w:line="240" w:lineRule="auto" w:before="2"/>
        <w:rPr>
          <w:rFonts w:ascii="宋体" w:hAnsi="宋体" w:cs="宋体" w:eastAsia="宋体" w:hint="default"/>
          <w:sz w:val="20"/>
          <w:szCs w:val="20"/>
        </w:rPr>
      </w:pPr>
    </w:p>
    <w:p>
      <w:pPr>
        <w:spacing w:line="547" w:lineRule="auto" w:before="0"/>
        <w:ind w:left="153" w:right="3188" w:firstLine="0"/>
        <w:jc w:val="left"/>
        <w:rPr>
          <w:rFonts w:ascii="宋体" w:hAnsi="宋体" w:cs="宋体" w:eastAsia="宋体" w:hint="default"/>
          <w:sz w:val="21"/>
          <w:szCs w:val="21"/>
        </w:rPr>
      </w:pPr>
      <w:bookmarkStart w:name="2、本企业的子公司情况" w:id="408"/>
      <w:bookmarkEnd w:id="40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09"/>
      <w:bookmarkEnd w:id="40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1313"/>
        <w:jc w:val="left"/>
      </w:pPr>
      <w:r>
        <w:rPr/>
        <w:t>本企业重要的合营或联营企业详见附注九、</w:t>
      </w:r>
      <w:r>
        <w:rPr>
          <w:rFonts w:ascii="Times New Roman" w:hAnsi="Times New Roman" w:cs="Times New Roman" w:eastAsia="Times New Roman" w:hint="default"/>
        </w:rPr>
        <w:t>3</w:t>
      </w:r>
      <w:r>
        <w:rPr/>
        <w:t>、在合营企业和联营企业中的收益。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被投资方</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10"/>
      <w:bookmarkEnd w:id="41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新余仁邦翰威投资管理有限公司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新余仁邦时代投资管理有限公司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关联公司股东、公司董事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关联公司股东、公司监事会主席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关联公司股东、公司监事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关联公司股东、公司监事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关联公司股东、公司监事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关联公司股东、公司副总经理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关联公司股东、公司总工程师</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关联公司股东、公司财务总监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11"/>
      <w:bookmarkEnd w:id="41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412"/>
      <w:bookmarkEnd w:id="41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屹通信息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82,657.83</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受托管理/承包及委托管理/出包情况" w:id="413"/>
      <w:bookmarkEnd w:id="41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7"/>
        <w:gridCol w:w="1367"/>
        <w:gridCol w:w="1355"/>
      </w:tblGrid>
      <w:tr>
        <w:trPr>
          <w:trHeight w:val="3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 w:right="0"/>
              <w:jc w:val="left"/>
              <w:rPr>
                <w:rFonts w:ascii="宋体" w:hAnsi="宋体" w:cs="宋体" w:eastAsia="宋体" w:hint="default"/>
                <w:sz w:val="18"/>
                <w:szCs w:val="18"/>
              </w:rPr>
            </w:pPr>
            <w:r>
              <w:rPr>
                <w:rFonts w:ascii="宋体" w:hAnsi="宋体" w:cs="宋体" w:eastAsia="宋体" w:hint="default"/>
                <w:sz w:val="18"/>
                <w:szCs w:val="18"/>
              </w:rPr>
              <w:t>本期确认的托管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2545" w:space="628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414"/>
      <w:bookmarkEnd w:id="41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关联担保情况" w:id="415"/>
      <w:bookmarkEnd w:id="41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本公司作为被担保方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关联方资金拆借" w:id="416"/>
      <w:bookmarkEnd w:id="41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关联方资产转让、债务重组情况" w:id="417"/>
      <w:bookmarkEnd w:id="41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键管理人员报酬" w:id="418"/>
      <w:bookmarkEnd w:id="41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4,741,260.99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4,409,275.31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关联交易" w:id="419"/>
      <w:bookmarkEnd w:id="41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6、关联方应收应付款项" w:id="420"/>
      <w:bookmarkEnd w:id="42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421"/>
      <w:bookmarkEnd w:id="42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422"/>
      <w:bookmarkEnd w:id="42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23"/>
      <w:bookmarkEnd w:id="42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771" w:firstLine="0"/>
        <w:jc w:val="left"/>
        <w:rPr>
          <w:rFonts w:ascii="宋体" w:hAnsi="宋体" w:cs="宋体" w:eastAsia="宋体" w:hint="default"/>
          <w:sz w:val="21"/>
          <w:szCs w:val="21"/>
        </w:rPr>
      </w:pPr>
      <w:bookmarkStart w:name="8、其他" w:id="424"/>
      <w:bookmarkEnd w:id="42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25"/>
      <w:bookmarkEnd w:id="42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26"/>
      <w:bookmarkEnd w:id="4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1,238,961.00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67,500.00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股票期权的行权价格为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5.874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股，锁定期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5"/>
                <w:sz w:val="18"/>
                <w:szCs w:val="18"/>
              </w:rPr>
              <w:t>年，行</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权期为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年，解</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锁期为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54" w:right="92"/>
        <w:jc w:val="left"/>
      </w:pPr>
      <w:r>
        <w:rPr/>
        <w:t>其他说明</w:t>
      </w:r>
    </w:p>
    <w:p>
      <w:pPr>
        <w:pStyle w:val="BodyText"/>
        <w:spacing w:line="300" w:lineRule="auto" w:before="127"/>
        <w:ind w:left="154" w:right="194" w:firstLine="420"/>
        <w:jc w:val="both"/>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日召开的第二届董事会第十四次会议审议通过了《北京东方国信科技股份有限公司股票期权与限 制性股票激励计划（草案）及其摘要的议案》。</w:t>
      </w:r>
    </w:p>
    <w:p>
      <w:pPr>
        <w:pStyle w:val="BodyText"/>
        <w:spacing w:line="309" w:lineRule="auto" w:before="151"/>
        <w:ind w:right="189"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日，中国证券监督管理委员会已对公司报送的股权激励计划草案进行了确认及备案。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日召开的 公司第二届董事会第十六次会议审议通过了《北京东方国信科技股份有限公司股票期权与限制性股票激励计划（草案修订</w:t>
      </w:r>
      <w:r>
        <w:rPr>
          <w:spacing w:val="-9"/>
        </w:rPr>
        <w:t> </w:t>
      </w:r>
      <w:r>
        <w:rPr>
          <w:spacing w:val="-9"/>
        </w:rPr>
      </w:r>
      <w:r>
        <w:rPr/>
        <w:t>稿）》和《北京东方国信科技有限公司股票期权与限制性股票激励计划实施考核管理办法（修订稿）》。</w:t>
      </w:r>
    </w:p>
    <w:p>
      <w:pPr>
        <w:pStyle w:val="BodyText"/>
        <w:spacing w:line="316" w:lineRule="auto" w:before="144"/>
        <w:ind w:right="193" w:firstLine="420"/>
        <w:jc w:val="both"/>
      </w:pPr>
      <w:r>
        <w:rPr/>
        <w:t>同日，独立董事对公司拟实施的股票期权与限制性股票激励计划（草案修订稿）发表独立意见，第二届监事会第十二 次会议决议通过上述激励计划。</w:t>
      </w:r>
    </w:p>
    <w:p>
      <w:pPr>
        <w:pStyle w:val="BodyText"/>
        <w:spacing w:line="312" w:lineRule="auto" w:before="139"/>
        <w:ind w:right="191"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25</w:t>
      </w:r>
      <w:r>
        <w:rPr>
          <w:spacing w:val="-1"/>
        </w:rPr>
        <w:t>日召开的公司</w:t>
      </w:r>
      <w:r>
        <w:rPr>
          <w:rFonts w:ascii="Times New Roman" w:hAnsi="Times New Roman" w:cs="Times New Roman" w:eastAsia="Times New Roman" w:hint="default"/>
          <w:spacing w:val="-1"/>
        </w:rPr>
        <w:t>2013</w:t>
      </w:r>
      <w:r>
        <w:rPr>
          <w:spacing w:val="-1"/>
        </w:rPr>
        <w:t>年度第一次临时股东大会审议通过了《北京东方国信科技股份有限公司股票期权与限制</w:t>
      </w:r>
      <w:r>
        <w:rPr/>
        <w:t> </w:t>
      </w:r>
      <w:r>
        <w:rPr>
          <w:spacing w:val="-2"/>
        </w:rPr>
        <w:t>性股票激励计划（草案修订稿）》及其摘要，审议通过了《关于北京东方国信科技有限公司股票期权与限制性股票激励计划</w:t>
      </w:r>
      <w:r>
        <w:rPr>
          <w:spacing w:val="-65"/>
        </w:rPr>
        <w:t> </w:t>
      </w:r>
      <w:r>
        <w:rPr>
          <w:spacing w:val="-65"/>
        </w:rPr>
      </w:r>
      <w:r>
        <w:rPr>
          <w:spacing w:val="-2"/>
        </w:rPr>
        <w:t>实施考核管理办法（修订稿）的议案》，审议通过了《关于提请股东大会授权董事会办理公司股票期权与限制性股票激励计</w:t>
      </w:r>
      <w:r>
        <w:rPr>
          <w:spacing w:val="-65"/>
        </w:rPr>
        <w:t> </w:t>
      </w:r>
      <w:r>
        <w:rPr>
          <w:spacing w:val="-65"/>
        </w:rPr>
      </w:r>
      <w:r>
        <w:rPr/>
        <w:t>划有关事项的议案》。</w:t>
      </w:r>
    </w:p>
    <w:p>
      <w:pPr>
        <w:pStyle w:val="BodyText"/>
        <w:spacing w:line="300" w:lineRule="auto" w:before="142"/>
        <w:ind w:left="154" w:right="102"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日召开的第二届董事会第十七次会议审议通过了《关于公司股票期权与限制性股票激励计划首次授予有关 </w:t>
      </w:r>
      <w:r>
        <w:rPr>
          <w:spacing w:val="-2"/>
        </w:rPr>
        <w:t>事项的议案》，确定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日为首次授予日，向</w:t>
      </w:r>
      <w:r>
        <w:rPr>
          <w:rFonts w:ascii="Times New Roman" w:hAnsi="Times New Roman" w:cs="Times New Roman" w:eastAsia="Times New Roman" w:hint="default"/>
          <w:spacing w:val="-2"/>
        </w:rPr>
        <w:t>150</w:t>
      </w:r>
      <w:r>
        <w:rPr>
          <w:spacing w:val="-2"/>
        </w:rPr>
        <w:t>名激励对象首次授予</w:t>
      </w:r>
      <w:r>
        <w:rPr>
          <w:rFonts w:ascii="Times New Roman" w:hAnsi="Times New Roman" w:cs="Times New Roman" w:eastAsia="Times New Roman" w:hint="default"/>
          <w:spacing w:val="-2"/>
        </w:rPr>
        <w:t>245.25</w:t>
      </w:r>
      <w:r>
        <w:rPr>
          <w:spacing w:val="-2"/>
        </w:rPr>
        <w:t>万份股票期权与</w:t>
      </w:r>
      <w:r>
        <w:rPr>
          <w:rFonts w:ascii="Times New Roman" w:hAnsi="Times New Roman" w:cs="Times New Roman" w:eastAsia="Times New Roman" w:hint="default"/>
          <w:spacing w:val="-2"/>
        </w:rPr>
        <w:t>246.75</w:t>
      </w:r>
      <w:r>
        <w:rPr>
          <w:spacing w:val="-2"/>
        </w:rPr>
        <w:t>万股限制性股票。</w:t>
      </w:r>
    </w:p>
    <w:p>
      <w:pPr>
        <w:pStyle w:val="BodyText"/>
        <w:spacing w:line="304" w:lineRule="auto" w:before="133"/>
        <w:ind w:right="191" w:firstLine="420"/>
        <w:jc w:val="both"/>
      </w:pPr>
      <w:r>
        <w:rPr/>
        <w:t>上述激励计划包括股票期权激励计划和限制性股票激励计划两部分。其股票来源为公司向激励对象定向发行新股。激 </w:t>
      </w:r>
      <w:r>
        <w:rPr>
          <w:spacing w:val="-1"/>
        </w:rPr>
        <w:t>励计划拟向激励对象授予权益总计</w:t>
      </w:r>
      <w:r>
        <w:rPr>
          <w:rFonts w:ascii="Times New Roman" w:hAnsi="Times New Roman" w:cs="Times New Roman" w:eastAsia="Times New Roman" w:hint="default"/>
          <w:spacing w:val="-1"/>
        </w:rPr>
        <w:t>542.00</w:t>
      </w:r>
      <w:r>
        <w:rPr>
          <w:spacing w:val="-1"/>
        </w:rPr>
        <w:t>万份，涉及的标的股票种类为人民币</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36"/>
        </w:rPr>
        <w:t> </w:t>
      </w:r>
      <w:r>
        <w:rPr>
          <w:spacing w:val="-2"/>
        </w:rPr>
        <w:t>股普通股，约占本激励计划签署时公司股本</w:t>
      </w:r>
      <w:r>
        <w:rPr/>
        <w:t> </w:t>
      </w:r>
      <w:r>
        <w:rPr>
          <w:spacing w:val="-1"/>
        </w:rPr>
        <w:t>总额</w:t>
      </w:r>
      <w:r>
        <w:rPr>
          <w:rFonts w:ascii="Times New Roman" w:hAnsi="Times New Roman" w:cs="Times New Roman" w:eastAsia="Times New Roman" w:hint="default"/>
          <w:spacing w:val="-1"/>
        </w:rPr>
        <w:t>12,150.00</w:t>
      </w:r>
      <w:r>
        <w:rPr>
          <w:spacing w:val="-1"/>
        </w:rPr>
        <w:t>万股的</w:t>
      </w:r>
      <w:r>
        <w:rPr>
          <w:rFonts w:ascii="Times New Roman" w:hAnsi="Times New Roman" w:cs="Times New Roman" w:eastAsia="Times New Roman" w:hint="default"/>
          <w:spacing w:val="-1"/>
        </w:rPr>
        <w:t>4.46%</w:t>
      </w:r>
      <w:r>
        <w:rPr>
          <w:spacing w:val="-1"/>
        </w:rPr>
        <w:t>，其中首次授予权益</w:t>
      </w:r>
      <w:r>
        <w:rPr>
          <w:rFonts w:ascii="Times New Roman" w:hAnsi="Times New Roman" w:cs="Times New Roman" w:eastAsia="Times New Roman" w:hint="default"/>
          <w:spacing w:val="-1"/>
        </w:rPr>
        <w:t>492.00</w:t>
      </w:r>
      <w:r>
        <w:rPr>
          <w:spacing w:val="-1"/>
        </w:rPr>
        <w:t>万份（其中股票期权</w:t>
      </w:r>
      <w:r>
        <w:rPr>
          <w:rFonts w:ascii="Times New Roman" w:hAnsi="Times New Roman" w:cs="Times New Roman" w:eastAsia="Times New Roman" w:hint="default"/>
          <w:spacing w:val="-1"/>
        </w:rPr>
        <w:t>245.25</w:t>
      </w:r>
      <w:r>
        <w:rPr>
          <w:spacing w:val="-1"/>
        </w:rPr>
        <w:t>万份，限制性股票</w:t>
      </w:r>
      <w:r>
        <w:rPr>
          <w:rFonts w:ascii="Times New Roman" w:hAnsi="Times New Roman" w:cs="Times New Roman" w:eastAsia="Times New Roman" w:hint="default"/>
          <w:spacing w:val="-1"/>
        </w:rPr>
        <w:t>246.75</w:t>
      </w:r>
      <w:r>
        <w:rPr>
          <w:spacing w:val="-1"/>
        </w:rPr>
        <w:t>万股），占本计划</w:t>
      </w:r>
      <w:r>
        <w:rPr>
          <w:spacing w:val="-77"/>
        </w:rPr>
        <w:t> </w:t>
      </w:r>
      <w:r>
        <w:rPr>
          <w:spacing w:val="-77"/>
        </w:rPr>
      </w:r>
      <w:r>
        <w:rPr/>
        <w:t>签署时公司股本总额</w:t>
      </w:r>
      <w:r>
        <w:rPr>
          <w:rFonts w:ascii="Times New Roman" w:hAnsi="Times New Roman" w:cs="Times New Roman" w:eastAsia="Times New Roman" w:hint="default"/>
        </w:rPr>
        <w:t>12,150.00</w:t>
      </w:r>
      <w:r>
        <w:rPr/>
        <w:t>万股的</w:t>
      </w:r>
      <w:r>
        <w:rPr>
          <w:rFonts w:ascii="Times New Roman" w:hAnsi="Times New Roman" w:cs="Times New Roman" w:eastAsia="Times New Roman" w:hint="default"/>
        </w:rPr>
        <w:t>4.05%</w:t>
      </w:r>
      <w:r>
        <w:rPr/>
        <w:t>，预留</w:t>
      </w:r>
      <w:r>
        <w:rPr>
          <w:rFonts w:ascii="Times New Roman" w:hAnsi="Times New Roman" w:cs="Times New Roman" w:eastAsia="Times New Roman" w:hint="default"/>
        </w:rPr>
        <w:t>50.00</w:t>
      </w:r>
      <w:r>
        <w:rPr/>
        <w:t>万份，占本计划授出权益总数的</w:t>
      </w:r>
      <w:r>
        <w:rPr>
          <w:rFonts w:ascii="Times New Roman" w:hAnsi="Times New Roman" w:cs="Times New Roman" w:eastAsia="Times New Roman" w:hint="default"/>
        </w:rPr>
        <w:t>9.23%</w:t>
      </w:r>
      <w:r>
        <w:rPr/>
        <w:t>，占本计划签署时公司股本总</w:t>
      </w:r>
      <w:r>
        <w:rPr>
          <w:spacing w:val="-75"/>
        </w:rPr>
        <w:t> </w:t>
      </w:r>
      <w:r>
        <w:rPr>
          <w:spacing w:val="-75"/>
        </w:rPr>
      </w:r>
      <w:r>
        <w:rPr/>
        <w:t>额的</w:t>
      </w:r>
      <w:r>
        <w:rPr>
          <w:rFonts w:ascii="Times New Roman" w:hAnsi="Times New Roman" w:cs="Times New Roman" w:eastAsia="Times New Roman" w:hint="default"/>
        </w:rPr>
        <w:t>0.41%</w:t>
      </w:r>
      <w:r>
        <w:rPr/>
        <w:t>。</w:t>
      </w:r>
    </w:p>
    <w:p>
      <w:pPr>
        <w:spacing w:line="240" w:lineRule="auto" w:before="10"/>
        <w:rPr>
          <w:rFonts w:ascii="宋体" w:hAnsi="宋体" w:cs="宋体" w:eastAsia="宋体" w:hint="default"/>
          <w:sz w:val="21"/>
          <w:szCs w:val="21"/>
        </w:rPr>
      </w:pPr>
    </w:p>
    <w:p>
      <w:pPr>
        <w:pStyle w:val="Heading3"/>
        <w:spacing w:line="240" w:lineRule="auto"/>
        <w:ind w:right="92"/>
        <w:jc w:val="left"/>
        <w:rPr>
          <w:b w:val="0"/>
          <w:bCs w:val="0"/>
        </w:rPr>
      </w:pPr>
      <w:bookmarkStart w:name="2、以权益结算的股份支付情况" w:id="427"/>
      <w:bookmarkEnd w:id="42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根据最新取得的可行权和可解锁人数变动、业绩指标完成 情况等后续信息，修正预计可行权和解锁的股票期权和限 制性股票数量。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16,646,695.59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3,680,700.00</w:t>
            </w:r>
          </w:p>
        </w:tc>
      </w:tr>
    </w:tbl>
    <w:p>
      <w:pPr>
        <w:pStyle w:val="BodyText"/>
        <w:spacing w:line="240" w:lineRule="auto" w:before="51"/>
        <w:ind w:left="154" w:right="9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2"/>
        <w:jc w:val="left"/>
        <w:rPr>
          <w:b w:val="0"/>
          <w:bCs w:val="0"/>
        </w:rPr>
      </w:pPr>
      <w:bookmarkStart w:name="3、以现金结算的股份支付情况" w:id="428"/>
      <w:bookmarkEnd w:id="42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股份支付的修改、终止情况" w:id="429"/>
      <w:bookmarkEnd w:id="42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54" w:right="150"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日，公司分别召开第二届董事会第二十四次会议和第二届监事会第十八次会议，审议通过了《关于已授予</w:t>
      </w:r>
      <w:r>
        <w:rPr/>
        <w:t> </w:t>
      </w:r>
      <w:r>
        <w:rPr>
          <w:spacing w:val="-2"/>
        </w:rPr>
        <w:t>的部分股票期权作废及部分限制性股票回购并注销的议案》，公司将原激励对象张永军、周剑、刘爽、高翔持有的尚未行权</w:t>
      </w:r>
      <w:r>
        <w:rPr>
          <w:spacing w:val="-65"/>
        </w:rPr>
        <w:t> </w:t>
      </w:r>
      <w:r>
        <w:rPr>
          <w:spacing w:val="-65"/>
        </w:rPr>
      </w:r>
      <w:r>
        <w:rPr/>
        <w:t>的股权期权共计</w:t>
      </w:r>
      <w:r>
        <w:rPr>
          <w:rFonts w:ascii="Times New Roman" w:hAnsi="Times New Roman" w:cs="Times New Roman" w:eastAsia="Times New Roman" w:hint="default"/>
        </w:rPr>
        <w:t>57,500</w:t>
      </w:r>
      <w:r>
        <w:rPr/>
        <w:t>份全部进行作废；尚未解锁限制性股票共计</w:t>
      </w:r>
      <w:r>
        <w:rPr>
          <w:rFonts w:ascii="Times New Roman" w:hAnsi="Times New Roman" w:cs="Times New Roman" w:eastAsia="Times New Roman" w:hint="default"/>
        </w:rPr>
        <w:t>57,500</w:t>
      </w:r>
      <w:r>
        <w:rPr/>
        <w:t>股全部进行回购并注销，回购价格为</w:t>
      </w:r>
      <w:r>
        <w:rPr>
          <w:rFonts w:ascii="Times New Roman" w:hAnsi="Times New Roman" w:cs="Times New Roman" w:eastAsia="Times New Roman" w:hint="default"/>
        </w:rPr>
        <w:t>5.42</w:t>
      </w:r>
      <w:r>
        <w:rPr/>
        <w:t>元</w:t>
      </w:r>
      <w:r>
        <w:rPr>
          <w:rFonts w:ascii="Times New Roman" w:hAnsi="Times New Roman" w:cs="Times New Roman" w:eastAsia="Times New Roman" w:hint="default"/>
        </w:rPr>
        <w:t>/</w:t>
      </w:r>
      <w:r>
        <w:rPr/>
        <w:t>股。</w:t>
      </w:r>
    </w:p>
    <w:p>
      <w:pPr>
        <w:pStyle w:val="BodyText"/>
        <w:spacing w:line="300" w:lineRule="auto" w:before="125"/>
        <w:ind w:right="152" w:firstLine="420"/>
        <w:jc w:val="both"/>
      </w:pPr>
      <w:r>
        <w:rPr/>
        <w:t>公司</w:t>
      </w:r>
      <w:r>
        <w:rPr>
          <w:rFonts w:ascii="Times New Roman" w:hAnsi="Times New Roman" w:cs="Times New Roman" w:eastAsia="Times New Roman" w:hint="default"/>
        </w:rPr>
        <w:t>2012</w:t>
      </w:r>
      <w:r>
        <w:rPr/>
        <w:t>年度权益分派方案于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日实施完毕，</w:t>
      </w:r>
      <w:r>
        <w:rPr>
          <w:rFonts w:ascii="Times New Roman" w:hAnsi="Times New Roman" w:cs="Times New Roman" w:eastAsia="Times New Roman" w:hint="default"/>
        </w:rPr>
        <w:t>2013</w:t>
      </w:r>
      <w:r>
        <w:rPr/>
        <w:t>年度权益分派方案已于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日实施完毕，公司已 </w:t>
      </w:r>
      <w:r>
        <w:rPr>
          <w:spacing w:val="4"/>
        </w:rPr>
        <w:t>授予的股票期权总额经过权益分派后数量已变更为</w:t>
      </w:r>
      <w:r>
        <w:rPr>
          <w:rFonts w:ascii="Times New Roman" w:hAnsi="Times New Roman" w:cs="Times New Roman" w:eastAsia="Times New Roman" w:hint="default"/>
          <w:spacing w:val="4"/>
        </w:rPr>
        <w:t>4,406,649</w:t>
      </w:r>
      <w:r>
        <w:rPr>
          <w:spacing w:val="4"/>
        </w:rPr>
        <w:t>份，已授予的限制性股票总量经过权益分派后数量已变更为</w:t>
      </w:r>
      <w:r>
        <w:rPr>
          <w:spacing w:val="-80"/>
        </w:rPr>
        <w:t> </w:t>
      </w:r>
      <w:r>
        <w:rPr>
          <w:spacing w:val="-80"/>
        </w:rPr>
      </w:r>
      <w:r>
        <w:rPr>
          <w:rFonts w:ascii="Times New Roman" w:hAnsi="Times New Roman" w:cs="Times New Roman" w:eastAsia="Times New Roman" w:hint="default"/>
        </w:rPr>
        <w:t>4,435,357</w:t>
      </w:r>
      <w:r>
        <w:rPr/>
        <w:t>股。</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其他" w:id="430"/>
      <w:bookmarkEnd w:id="430"/>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四、承诺及或有事项" w:id="431"/>
      <w:bookmarkEnd w:id="431"/>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432"/>
      <w:bookmarkEnd w:id="43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4732"/>
        <w:jc w:val="left"/>
      </w:pPr>
      <w:r>
        <w:rPr/>
        <w:t>资产负债表日存在的重要承诺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日，本公司无应披露未披露的重要承诺事项。</w:t>
      </w:r>
    </w:p>
    <w:p>
      <w:pPr>
        <w:spacing w:line="240" w:lineRule="auto" w:before="5"/>
        <w:rPr>
          <w:rFonts w:ascii="宋体" w:hAnsi="宋体" w:cs="宋体" w:eastAsia="宋体" w:hint="default"/>
          <w:sz w:val="18"/>
          <w:szCs w:val="18"/>
        </w:rPr>
      </w:pPr>
    </w:p>
    <w:p>
      <w:pPr>
        <w:pStyle w:val="Heading3"/>
        <w:spacing w:line="240" w:lineRule="auto"/>
        <w:ind w:left="154" w:right="0"/>
        <w:jc w:val="left"/>
        <w:rPr>
          <w:b w:val="0"/>
          <w:bCs w:val="0"/>
        </w:rPr>
      </w:pPr>
      <w:bookmarkStart w:name="2、或有事项" w:id="433"/>
      <w:bookmarkEnd w:id="43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资产负债表日存在的重要或有事项" w:id="434"/>
      <w:bookmarkEnd w:id="43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日，本公司不存在应披露的重要的未决诉讼、对外担保等重要或有事项。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435"/>
      <w:bookmarkEnd w:id="43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6893" w:firstLine="0"/>
        <w:jc w:val="left"/>
        <w:rPr>
          <w:rFonts w:ascii="宋体" w:hAnsi="宋体" w:cs="宋体" w:eastAsia="宋体" w:hint="default"/>
          <w:sz w:val="21"/>
          <w:szCs w:val="21"/>
        </w:rPr>
      </w:pPr>
      <w:bookmarkStart w:name="3、其他" w:id="436"/>
      <w:bookmarkEnd w:id="4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37"/>
      <w:bookmarkEnd w:id="43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38"/>
      <w:bookmarkEnd w:id="43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439"/>
      <w:bookmarkEnd w:id="43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27,901,783.80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27,901,783.80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440"/>
      <w:bookmarkEnd w:id="44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6715" w:firstLine="0"/>
        <w:jc w:val="left"/>
        <w:rPr>
          <w:rFonts w:ascii="宋体" w:hAnsi="宋体" w:cs="宋体" w:eastAsia="宋体" w:hint="default"/>
          <w:sz w:val="21"/>
          <w:szCs w:val="21"/>
        </w:rPr>
      </w:pPr>
      <w:bookmarkStart w:name="4、其他资产负债表日后事项说明" w:id="441"/>
      <w:bookmarkEnd w:id="44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42"/>
      <w:bookmarkEnd w:id="442"/>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43"/>
      <w:bookmarkEnd w:id="4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left="154" w:right="0"/>
        <w:jc w:val="left"/>
        <w:rPr>
          <w:b w:val="0"/>
          <w:bCs w:val="0"/>
        </w:rPr>
      </w:pPr>
      <w:bookmarkStart w:name="（1）追溯重述法" w:id="444"/>
      <w:bookmarkEnd w:id="44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445"/>
      <w:bookmarkEnd w:id="44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债务重组" w:id="446"/>
      <w:bookmarkEnd w:id="44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资产置换" w:id="447"/>
      <w:bookmarkEnd w:id="44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非货币性资产交换" w:id="448"/>
      <w:bookmarkEnd w:id="44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其他资产置换" w:id="449"/>
      <w:bookmarkEnd w:id="44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年金计划" w:id="450"/>
      <w:bookmarkEnd w:id="45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终止经营" w:id="451"/>
      <w:bookmarkEnd w:id="45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分部信息" w:id="452"/>
      <w:bookmarkEnd w:id="45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53"/>
      <w:bookmarkEnd w:id="45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54"/>
      <w:bookmarkEnd w:id="45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公司无报告分部的，或者上能披露各报告分部的资产总额和负债总额的，应说明原因" w:id="455"/>
      <w:bookmarkEnd w:id="45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56"/>
      <w:bookmarkEnd w:id="45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57"/>
      <w:bookmarkEnd w:id="45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5453" w:firstLine="0"/>
        <w:jc w:val="left"/>
        <w:rPr>
          <w:rFonts w:ascii="宋体" w:hAnsi="宋体" w:cs="宋体" w:eastAsia="宋体" w:hint="default"/>
          <w:sz w:val="21"/>
          <w:szCs w:val="21"/>
        </w:rPr>
      </w:pPr>
      <w:bookmarkStart w:name="8、其他" w:id="458"/>
      <w:bookmarkEnd w:id="45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59"/>
      <w:bookmarkEnd w:id="45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60"/>
      <w:bookmarkEnd w:id="46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461"/>
      <w:bookmarkEnd w:id="46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339,214,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861.36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6,439,24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332,775,6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16.59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262,050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,794.36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3,171,493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258,879,30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1.23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339,214,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861.36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6,439,24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1.90%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332,775,6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16.59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262,050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,794.36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3,171,493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258,879,30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1.23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311,538,937.57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3,114,513.20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26,206,750.15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2,620,675.02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512,131.80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102,426.36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633,224.10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316,612.05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129,332.00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90,532.40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194,485.74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194,485.74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339,214,861.36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6,439,244.77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5452"/>
        <w:jc w:val="left"/>
      </w:pPr>
      <w:r>
        <w:rPr/>
        <w:t>确定该组合依据的说明： 组合中，采用余额百分比法计提坏账准备的应收账款：</w:t>
      </w:r>
    </w:p>
    <w:p>
      <w:pPr>
        <w:pStyle w:val="BodyText"/>
        <w:spacing w:line="340" w:lineRule="auto" w:before="2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462"/>
      <w:bookmarkEnd w:id="4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3,267,751.64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454" w:space="2375"/>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463"/>
      <w:bookmarkEnd w:id="46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其中重要的应收账款核销情况：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吊的应收账款情况" w:id="464"/>
      <w:bookmarkEnd w:id="46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2516"/>
        <w:gridCol w:w="1241"/>
        <w:gridCol w:w="1397"/>
        <w:gridCol w:w="1394"/>
        <w:gridCol w:w="1398"/>
        <w:gridCol w:w="1712"/>
      </w:tblGrid>
      <w:tr>
        <w:trPr>
          <w:trHeight w:val="973" w:hRule="exact"/>
        </w:trPr>
        <w:tc>
          <w:tcPr>
            <w:tcW w:w="25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4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7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9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98" w:type="dxa"/>
            <w:tcBorders>
              <w:top w:val="single" w:sz="6" w:space="0" w:color="000000"/>
              <w:left w:val="single" w:sz="6" w:space="0" w:color="000000"/>
              <w:bottom w:val="single" w:sz="8" w:space="0" w:color="000000"/>
              <w:right w:val="single" w:sz="6" w:space="0" w:color="000000"/>
            </w:tcBorders>
          </w:tcPr>
          <w:p>
            <w:pPr>
              <w:pStyle w:val="TableParagraph"/>
              <w:spacing w:line="338" w:lineRule="auto" w:before="20"/>
              <w:ind w:left="62"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应收账款期末余 额合计数的比例 </w:t>
            </w:r>
            <w:r>
              <w:rPr>
                <w:rFonts w:ascii="Times New Roman" w:hAnsi="Times New Roman" w:cs="Times New Roman" w:eastAsia="Times New Roman" w:hint="default"/>
                <w:sz w:val="18"/>
                <w:szCs w:val="18"/>
              </w:rPr>
              <w:t>(%)</w:t>
            </w:r>
          </w:p>
        </w:tc>
        <w:tc>
          <w:tcPr>
            <w:tcW w:w="1712"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0"/>
              <w:ind w:left="488" w:right="487"/>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52" w:hRule="exact"/>
        </w:trPr>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2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45" w:right="0"/>
              <w:jc w:val="left"/>
              <w:rPr>
                <w:rFonts w:ascii="Times New Roman" w:hAnsi="Times New Roman" w:cs="Times New Roman" w:eastAsia="Times New Roman" w:hint="default"/>
                <w:sz w:val="18"/>
                <w:szCs w:val="18"/>
              </w:rPr>
            </w:pPr>
            <w:r>
              <w:rPr>
                <w:rFonts w:ascii="Times New Roman"/>
                <w:sz w:val="18"/>
              </w:rPr>
              <w:t>58,410,839.23</w:t>
            </w:r>
          </w:p>
        </w:tc>
        <w:tc>
          <w:tcPr>
            <w:tcW w:w="13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年以内及</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17.22</w:t>
            </w:r>
          </w:p>
        </w:tc>
        <w:tc>
          <w:tcPr>
            <w:tcW w:w="17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1,966,772.00</w:t>
            </w:r>
          </w:p>
        </w:tc>
      </w:tr>
      <w:tr>
        <w:trPr>
          <w:trHeight w:val="664" w:hRule="exact"/>
        </w:trPr>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1"/>
              <w:ind w:left="2" w:right="156"/>
              <w:jc w:val="left"/>
              <w:rPr>
                <w:rFonts w:ascii="宋体" w:hAnsi="宋体" w:cs="宋体" w:eastAsia="宋体" w:hint="default"/>
                <w:sz w:val="18"/>
                <w:szCs w:val="18"/>
              </w:rPr>
            </w:pPr>
            <w:r>
              <w:rPr>
                <w:rFonts w:ascii="宋体" w:hAnsi="宋体" w:cs="宋体" w:eastAsia="宋体" w:hint="default"/>
                <w:sz w:val="18"/>
                <w:szCs w:val="18"/>
              </w:rPr>
              <w:t>中国联合网络通信有限公司辽 宁省分公司</w:t>
            </w:r>
          </w:p>
        </w:tc>
        <w:tc>
          <w:tcPr>
            <w:tcW w:w="12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45" w:right="0"/>
              <w:jc w:val="left"/>
              <w:rPr>
                <w:rFonts w:ascii="Times New Roman" w:hAnsi="Times New Roman" w:cs="Times New Roman" w:eastAsia="Times New Roman" w:hint="default"/>
                <w:sz w:val="18"/>
                <w:szCs w:val="18"/>
              </w:rPr>
            </w:pPr>
            <w:r>
              <w:rPr>
                <w:rFonts w:ascii="Times New Roman"/>
                <w:sz w:val="18"/>
              </w:rPr>
              <w:t>19,198,815.01</w:t>
            </w:r>
          </w:p>
        </w:tc>
        <w:tc>
          <w:tcPr>
            <w:tcW w:w="13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3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5.66</w:t>
            </w:r>
          </w:p>
        </w:tc>
        <w:tc>
          <w:tcPr>
            <w:tcW w:w="17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191,988.15</w:t>
            </w:r>
          </w:p>
        </w:tc>
      </w:tr>
      <w:tr>
        <w:trPr>
          <w:trHeight w:val="665" w:hRule="exact"/>
        </w:trPr>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319" w:lineRule="auto" w:before="21"/>
              <w:ind w:left="2" w:right="156"/>
              <w:jc w:val="left"/>
              <w:rPr>
                <w:rFonts w:ascii="宋体" w:hAnsi="宋体" w:cs="宋体" w:eastAsia="宋体" w:hint="default"/>
                <w:sz w:val="18"/>
                <w:szCs w:val="18"/>
              </w:rPr>
            </w:pPr>
            <w:r>
              <w:rPr>
                <w:rFonts w:ascii="宋体" w:hAnsi="宋体" w:cs="宋体" w:eastAsia="宋体" w:hint="default"/>
                <w:sz w:val="18"/>
                <w:szCs w:val="18"/>
              </w:rPr>
              <w:t>中国联合网络通信有限公司黑 龙江省分公司</w:t>
            </w:r>
          </w:p>
        </w:tc>
        <w:tc>
          <w:tcPr>
            <w:tcW w:w="12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45" w:right="0"/>
              <w:jc w:val="left"/>
              <w:rPr>
                <w:rFonts w:ascii="Times New Roman" w:hAnsi="Times New Roman" w:cs="Times New Roman" w:eastAsia="Times New Roman" w:hint="default"/>
                <w:sz w:val="18"/>
                <w:szCs w:val="18"/>
              </w:rPr>
            </w:pPr>
            <w:r>
              <w:rPr>
                <w:rFonts w:ascii="Times New Roman"/>
                <w:sz w:val="18"/>
              </w:rPr>
              <w:t>17,269,594.46</w:t>
            </w:r>
          </w:p>
        </w:tc>
        <w:tc>
          <w:tcPr>
            <w:tcW w:w="13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3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5.09</w:t>
            </w:r>
          </w:p>
        </w:tc>
        <w:tc>
          <w:tcPr>
            <w:tcW w:w="17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172,695.94</w:t>
            </w:r>
          </w:p>
        </w:tc>
      </w:tr>
      <w:tr>
        <w:trPr>
          <w:trHeight w:val="664" w:hRule="exact"/>
        </w:trPr>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1"/>
              <w:ind w:left="2" w:right="156"/>
              <w:jc w:val="left"/>
              <w:rPr>
                <w:rFonts w:ascii="宋体" w:hAnsi="宋体" w:cs="宋体" w:eastAsia="宋体" w:hint="default"/>
                <w:sz w:val="18"/>
                <w:szCs w:val="18"/>
              </w:rPr>
            </w:pPr>
            <w:r>
              <w:rPr>
                <w:rFonts w:ascii="宋体" w:hAnsi="宋体" w:cs="宋体" w:eastAsia="宋体" w:hint="default"/>
                <w:sz w:val="18"/>
                <w:szCs w:val="18"/>
              </w:rPr>
              <w:t>中国联合网络通信有限公司河 北省分公司</w:t>
            </w:r>
          </w:p>
        </w:tc>
        <w:tc>
          <w:tcPr>
            <w:tcW w:w="12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45" w:right="0"/>
              <w:jc w:val="left"/>
              <w:rPr>
                <w:rFonts w:ascii="Times New Roman" w:hAnsi="Times New Roman" w:cs="Times New Roman" w:eastAsia="Times New Roman" w:hint="default"/>
                <w:sz w:val="18"/>
                <w:szCs w:val="18"/>
              </w:rPr>
            </w:pPr>
            <w:r>
              <w:rPr>
                <w:rFonts w:ascii="Times New Roman"/>
                <w:sz w:val="18"/>
              </w:rPr>
              <w:t>16,820,513.30</w:t>
            </w:r>
          </w:p>
        </w:tc>
        <w:tc>
          <w:tcPr>
            <w:tcW w:w="13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年以内及</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4.96</w:t>
            </w:r>
          </w:p>
        </w:tc>
        <w:tc>
          <w:tcPr>
            <w:tcW w:w="17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259,243.10</w:t>
            </w:r>
          </w:p>
        </w:tc>
      </w:tr>
      <w:tr>
        <w:trPr>
          <w:trHeight w:val="353" w:hRule="exact"/>
        </w:trPr>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中国联合网络通信有限公司吉</w:t>
            </w:r>
          </w:p>
        </w:tc>
        <w:tc>
          <w:tcPr>
            <w:tcW w:w="12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45" w:right="0"/>
              <w:jc w:val="left"/>
              <w:rPr>
                <w:rFonts w:ascii="Times New Roman" w:hAnsi="Times New Roman" w:cs="Times New Roman" w:eastAsia="Times New Roman" w:hint="default"/>
                <w:sz w:val="18"/>
                <w:szCs w:val="18"/>
              </w:rPr>
            </w:pPr>
            <w:r>
              <w:rPr>
                <w:rFonts w:ascii="Times New Roman"/>
                <w:sz w:val="18"/>
              </w:rPr>
              <w:t>16,172,982.40</w:t>
            </w:r>
          </w:p>
        </w:tc>
        <w:tc>
          <w:tcPr>
            <w:tcW w:w="13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年以内及</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4.77</w:t>
            </w:r>
          </w:p>
        </w:tc>
        <w:tc>
          <w:tcPr>
            <w:tcW w:w="17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209,480.77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2516"/>
        <w:gridCol w:w="1241"/>
        <w:gridCol w:w="1397"/>
        <w:gridCol w:w="1394"/>
        <w:gridCol w:w="1398"/>
        <w:gridCol w:w="1712"/>
      </w:tblGrid>
      <w:tr>
        <w:trPr>
          <w:trHeight w:val="349" w:hRule="exact"/>
        </w:trPr>
        <w:tc>
          <w:tcPr>
            <w:tcW w:w="25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林省分公司</w:t>
            </w:r>
          </w:p>
        </w:tc>
        <w:tc>
          <w:tcPr>
            <w:tcW w:w="1241" w:type="dxa"/>
            <w:tcBorders>
              <w:top w:val="single" w:sz="6" w:space="0" w:color="000000"/>
              <w:left w:val="single" w:sz="6" w:space="0" w:color="000000"/>
              <w:bottom w:val="single" w:sz="8" w:space="0" w:color="000000"/>
              <w:right w:val="single" w:sz="6" w:space="0" w:color="000000"/>
            </w:tcBorders>
          </w:tcPr>
          <w:p>
            <w:pPr/>
          </w:p>
        </w:tc>
        <w:tc>
          <w:tcPr>
            <w:tcW w:w="1397" w:type="dxa"/>
            <w:tcBorders>
              <w:top w:val="single" w:sz="6" w:space="0" w:color="000000"/>
              <w:left w:val="single" w:sz="6" w:space="0" w:color="000000"/>
              <w:bottom w:val="single" w:sz="8" w:space="0" w:color="000000"/>
              <w:right w:val="single" w:sz="6" w:space="0" w:color="000000"/>
            </w:tcBorders>
          </w:tcPr>
          <w:p>
            <w:pPr/>
          </w:p>
        </w:tc>
        <w:tc>
          <w:tcPr>
            <w:tcW w:w="1394" w:type="dxa"/>
            <w:tcBorders>
              <w:top w:val="single" w:sz="6" w:space="0" w:color="000000"/>
              <w:left w:val="single" w:sz="6" w:space="0" w:color="000000"/>
              <w:bottom w:val="single" w:sz="8" w:space="0" w:color="000000"/>
              <w:right w:val="single" w:sz="6" w:space="0" w:color="000000"/>
            </w:tcBorders>
          </w:tcPr>
          <w:p>
            <w:pPr/>
          </w:p>
        </w:tc>
        <w:tc>
          <w:tcPr>
            <w:tcW w:w="1398" w:type="dxa"/>
            <w:tcBorders>
              <w:top w:val="single" w:sz="6" w:space="0" w:color="000000"/>
              <w:left w:val="single" w:sz="6" w:space="0" w:color="000000"/>
              <w:bottom w:val="single" w:sz="8" w:space="0" w:color="000000"/>
              <w:right w:val="single" w:sz="6" w:space="0" w:color="000000"/>
            </w:tcBorders>
          </w:tcPr>
          <w:p>
            <w:pPr/>
          </w:p>
        </w:tc>
        <w:tc>
          <w:tcPr>
            <w:tcW w:w="1712" w:type="dxa"/>
            <w:tcBorders>
              <w:top w:val="single" w:sz="6" w:space="0" w:color="000000"/>
              <w:left w:val="single" w:sz="6" w:space="0" w:color="000000"/>
              <w:bottom w:val="single" w:sz="8" w:space="0" w:color="000000"/>
              <w:right w:val="single" w:sz="6" w:space="0" w:color="000000"/>
            </w:tcBorders>
          </w:tcPr>
          <w:p>
            <w:pPr/>
          </w:p>
        </w:tc>
      </w:tr>
      <w:tr>
        <w:trPr>
          <w:trHeight w:val="353" w:hRule="exact"/>
        </w:trPr>
        <w:tc>
          <w:tcPr>
            <w:tcW w:w="25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1" w:type="dxa"/>
            <w:tcBorders>
              <w:top w:val="single" w:sz="8" w:space="0" w:color="000000"/>
              <w:left w:val="single" w:sz="6" w:space="0" w:color="000000"/>
              <w:bottom w:val="single" w:sz="8" w:space="0" w:color="000000"/>
              <w:right w:val="single" w:sz="6" w:space="0" w:color="000000"/>
            </w:tcBorders>
          </w:tcPr>
          <w:p>
            <w:pPr/>
          </w:p>
        </w:tc>
        <w:tc>
          <w:tcPr>
            <w:tcW w:w="13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55" w:right="0"/>
              <w:jc w:val="left"/>
              <w:rPr>
                <w:rFonts w:ascii="Times New Roman" w:hAnsi="Times New Roman" w:cs="Times New Roman" w:eastAsia="Times New Roman" w:hint="default"/>
                <w:sz w:val="18"/>
                <w:szCs w:val="18"/>
              </w:rPr>
            </w:pPr>
            <w:r>
              <w:rPr>
                <w:rFonts w:ascii="Times New Roman"/>
                <w:sz w:val="18"/>
              </w:rPr>
              <w:t>127,872,744.40</w:t>
            </w:r>
          </w:p>
        </w:tc>
        <w:tc>
          <w:tcPr>
            <w:tcW w:w="1394" w:type="dxa"/>
            <w:tcBorders>
              <w:top w:val="single" w:sz="8" w:space="0" w:color="000000"/>
              <w:left w:val="single" w:sz="6" w:space="0" w:color="000000"/>
              <w:bottom w:val="single" w:sz="8" w:space="0" w:color="000000"/>
              <w:right w:val="single" w:sz="6" w:space="0" w:color="000000"/>
            </w:tcBorders>
          </w:tcPr>
          <w:p>
            <w:pPr/>
          </w:p>
        </w:tc>
        <w:tc>
          <w:tcPr>
            <w:tcW w:w="13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37.70</w:t>
            </w:r>
          </w:p>
        </w:tc>
        <w:tc>
          <w:tcPr>
            <w:tcW w:w="17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749" w:right="0"/>
              <w:jc w:val="left"/>
              <w:rPr>
                <w:rFonts w:ascii="Times New Roman" w:hAnsi="Times New Roman" w:cs="Times New Roman" w:eastAsia="Times New Roman" w:hint="default"/>
                <w:sz w:val="18"/>
                <w:szCs w:val="18"/>
              </w:rPr>
            </w:pPr>
            <w:r>
              <w:rPr>
                <w:rFonts w:ascii="Times New Roman"/>
                <w:sz w:val="18"/>
              </w:rPr>
              <w:t>2,800,179.96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5）因金融资产转移而终止确认的应收账款" w:id="465"/>
      <w:bookmarkEnd w:id="46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466"/>
      <w:bookmarkEnd w:id="46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其他应收款" w:id="467"/>
      <w:bookmarkEnd w:id="46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468"/>
      <w:bookmarkEnd w:id="46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13,592,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066.86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13,592,066.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18,409,1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1,012,27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17,396,90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17,142,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210.04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545,378.0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16,596,831.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6,925,52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6,925,520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25,334,6</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94.33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1,012,27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24,322,42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4.09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30,734,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276.90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545,378.0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30,188,898.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12,662,286.00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126,622.86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2,637,303.40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263,730.34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3,109,584.93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621,917.04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18,409,174.33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1,012,270.24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5272"/>
        <w:jc w:val="left"/>
      </w:pPr>
      <w:r>
        <w:rPr/>
        <w:t>确定该组合依据的说明： 组合中，采用余额百分比法计提坏账准备的其他应收款：</w:t>
      </w:r>
    </w:p>
    <w:p>
      <w:pPr>
        <w:pStyle w:val="BodyText"/>
        <w:spacing w:line="340" w:lineRule="auto" w:before="26"/>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469"/>
      <w:bookmarkEnd w:id="46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466,892.19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320" w:space="2510"/>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470"/>
      <w:bookmarkEnd w:id="47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471"/>
      <w:bookmarkEnd w:id="47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927,431.12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754,029.98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17,732,951.97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23,721,974.92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4,237,464.00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3,926,456.00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2,436,847.24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2,331,816.00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25,334,694.33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30,734,276.90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472"/>
      <w:bookmarkEnd w:id="47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天津国信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4,125,520.00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412,552.00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叶青大厦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租房保证金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3,006,275.00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601,255.00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吉林国信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北京中关村电子城建 设有限公司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10,431,795.00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1,087,307.00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473"/>
      <w:bookmarkEnd w:id="47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474"/>
      <w:bookmarkEnd w:id="47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475"/>
      <w:bookmarkEnd w:id="47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476"/>
      <w:bookmarkEnd w:id="47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779,350,000.00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779,350,000.00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293,550,000.00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7,945,711.62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7,945,711.62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9,934,895.41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9,934,895.41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787,295,711.62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787,295,711.62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303,484,895.41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303,484,895.41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477"/>
      <w:bookmarkEnd w:id="47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东方国信（天津）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吉林省东方国信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北京国信新世纪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大连东方国信科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北京汉桥科创科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779,350,000.00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478"/>
      <w:bookmarkEnd w:id="47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北京千禾 颐养家苑 养老服务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9,934,895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-1,989,18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9,934,895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-1,989,18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9,934,895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-1,989,18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其他说明" w:id="479"/>
      <w:bookmarkEnd w:id="47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80"/>
      <w:bookmarkEnd w:id="48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409,744,720.88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174,448,876.58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334,991,127.00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147,229,000.35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409,744,720.88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174,448,876.58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334,991,127.00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147,229,000.35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481"/>
      <w:bookmarkEnd w:id="48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-1,989,183.79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-2,065,104.59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-1,989,183.79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-2,065,104.59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482"/>
      <w:bookmarkEnd w:id="48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83"/>
      <w:bookmarkEnd w:id="48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84"/>
      <w:bookmarkEnd w:id="48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-871,070.13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-112,104.76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-1,098,199.80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215,038.44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4,213,586.87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净资产收益率及每股收益" w:id="485"/>
      <w:bookmarkEnd w:id="48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486"/>
      <w:bookmarkEnd w:id="48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487"/>
      <w:bookmarkEnd w:id="48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88"/>
      <w:bookmarkEnd w:id="48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89"/>
      <w:bookmarkEnd w:id="48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3"/>
        </w:rPr>
        <w:t> </w:t>
      </w:r>
      <w:r>
        <w:rPr>
          <w:spacing w:val="-63"/>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490"/>
      <w:bookmarkEnd w:id="490"/>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 w:id="491"/>
      <w:bookmarkEnd w:id="491"/>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center"/>
        <w:rPr>
          <w:b w:val="0"/>
          <w:bCs w:val="0"/>
        </w:rPr>
      </w:pPr>
      <w:bookmarkStart w:name="第十节 备查文件目录" w:id="492"/>
      <w:bookmarkEnd w:id="492"/>
      <w:r>
        <w:rPr>
          <w:b w:val="0"/>
          <w:bCs w:val="0"/>
        </w:rPr>
      </w:r>
      <w:bookmarkStart w:name="_bookmark9" w:id="493"/>
      <w:bookmarkEnd w:id="493"/>
      <w:r>
        <w:rPr>
          <w:b w:val="0"/>
          <w:bCs w:val="0"/>
        </w:rPr>
      </w:r>
      <w:r>
        <w:rPr/>
        <w:t>第十节</w:t>
      </w:r>
      <w:r>
        <w:rPr>
          <w:spacing w:val="-7"/>
        </w:rPr>
        <w:t> </w:t>
      </w:r>
      <w:r>
        <w:rPr/>
        <w:t>备查文件目录</w:t>
      </w:r>
      <w:r>
        <w:rPr>
          <w:b w:val="0"/>
          <w:bCs w:val="0"/>
        </w:rPr>
      </w:r>
    </w:p>
    <w:p>
      <w:pPr>
        <w:spacing w:line="240" w:lineRule="auto" w:before="8"/>
        <w:rPr>
          <w:rFonts w:ascii="宋体" w:hAnsi="宋体" w:cs="宋体" w:eastAsia="宋体" w:hint="default"/>
          <w:b/>
          <w:bCs/>
          <w:sz w:val="46"/>
          <w:szCs w:val="46"/>
        </w:rPr>
      </w:pPr>
    </w:p>
    <w:p>
      <w:pPr>
        <w:pStyle w:val="Heading4"/>
        <w:spacing w:line="240" w:lineRule="auto"/>
        <w:ind w:left="573" w:right="0"/>
        <w:jc w:val="left"/>
      </w:pPr>
      <w:r>
        <w:rPr/>
        <w:t>（一）载有公司法定代表人、主管会计工作负责人、会计主管人员签名并盖章的财务报表。</w:t>
      </w:r>
    </w:p>
    <w:p>
      <w:pPr>
        <w:spacing w:line="240" w:lineRule="auto" w:before="12"/>
        <w:rPr>
          <w:rFonts w:ascii="宋体" w:hAnsi="宋体" w:cs="宋体" w:eastAsia="宋体" w:hint="default"/>
          <w:sz w:val="17"/>
          <w:szCs w:val="17"/>
        </w:rPr>
      </w:pPr>
    </w:p>
    <w:p>
      <w:pPr>
        <w:pStyle w:val="Heading4"/>
        <w:spacing w:line="240" w:lineRule="auto"/>
        <w:ind w:left="573" w:right="0"/>
        <w:jc w:val="left"/>
      </w:pPr>
      <w:r>
        <w:rPr/>
        <w:t>（二）载有会计师事务所盖章、注册会计师签名并盖章的审计报告原件。</w:t>
      </w:r>
    </w:p>
    <w:p>
      <w:pPr>
        <w:spacing w:line="240" w:lineRule="auto" w:before="10"/>
        <w:rPr>
          <w:rFonts w:ascii="宋体" w:hAnsi="宋体" w:cs="宋体" w:eastAsia="宋体" w:hint="default"/>
          <w:sz w:val="17"/>
          <w:szCs w:val="17"/>
        </w:rPr>
      </w:pPr>
    </w:p>
    <w:p>
      <w:pPr>
        <w:pStyle w:val="Heading4"/>
        <w:spacing w:line="240" w:lineRule="auto"/>
        <w:ind w:left="573" w:right="0"/>
        <w:jc w:val="left"/>
      </w:pPr>
      <w:r>
        <w:rPr/>
        <w:t>（三）报告期内在中国证监会指定报纸上公开披露过的所有公司文件的正本及公告的原稿。</w:t>
      </w:r>
    </w:p>
    <w:p>
      <w:pPr>
        <w:spacing w:line="240" w:lineRule="auto" w:before="10"/>
        <w:rPr>
          <w:rFonts w:ascii="宋体" w:hAnsi="宋体" w:cs="宋体" w:eastAsia="宋体" w:hint="default"/>
          <w:sz w:val="17"/>
          <w:szCs w:val="17"/>
        </w:rPr>
      </w:pPr>
    </w:p>
    <w:p>
      <w:pPr>
        <w:pStyle w:val="Heading4"/>
        <w:spacing w:line="240" w:lineRule="auto"/>
        <w:ind w:left="573" w:right="0"/>
        <w:jc w:val="left"/>
      </w:pPr>
      <w:r>
        <w:rPr/>
        <w:t>（四）经公司法定代表人签名的</w:t>
      </w:r>
      <w:r>
        <w:rPr>
          <w:rFonts w:ascii="Times New Roman" w:hAnsi="Times New Roman" w:cs="Times New Roman" w:eastAsia="Times New Roman" w:hint="default"/>
        </w:rPr>
        <w:t>2014</w:t>
      </w:r>
      <w:r>
        <w:rPr/>
        <w:t>年年度报告文本原件。</w:t>
      </w:r>
    </w:p>
    <w:p>
      <w:pPr>
        <w:spacing w:line="240" w:lineRule="auto" w:before="9"/>
        <w:rPr>
          <w:rFonts w:ascii="宋体" w:hAnsi="宋体" w:cs="宋体" w:eastAsia="宋体" w:hint="default"/>
          <w:sz w:val="16"/>
          <w:szCs w:val="16"/>
        </w:rPr>
      </w:pPr>
    </w:p>
    <w:p>
      <w:pPr>
        <w:pStyle w:val="Heading4"/>
        <w:spacing w:line="240" w:lineRule="auto"/>
        <w:ind w:left="574" w:right="0"/>
        <w:jc w:val="left"/>
      </w:pPr>
      <w:r>
        <w:rPr/>
        <w:t>（五）其他相关资料。</w:t>
      </w:r>
    </w:p>
    <w:p>
      <w:pPr>
        <w:spacing w:line="240" w:lineRule="auto" w:before="10"/>
        <w:rPr>
          <w:rFonts w:ascii="宋体" w:hAnsi="宋体" w:cs="宋体" w:eastAsia="宋体" w:hint="default"/>
          <w:sz w:val="17"/>
          <w:szCs w:val="17"/>
        </w:rPr>
      </w:pPr>
    </w:p>
    <w:p>
      <w:pPr>
        <w:pStyle w:val="Heading4"/>
        <w:spacing w:line="240" w:lineRule="auto"/>
        <w:ind w:left="574" w:right="0"/>
        <w:jc w:val="left"/>
      </w:pPr>
      <w:r>
        <w:rPr/>
        <w:t>（六）以上备查文件的备置地点：公司证券事务部。</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955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55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55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79993pt;margin-top:781.957947pt;width:11pt;height:11pt;mso-position-horizontal-relative:page;mso-position-vertical-relative:page;z-index:-955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9556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55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55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55720" type="#_x0000_t202" filled="false" stroked="false">
          <v:textbox inset="0,0,0,0">
            <w:txbxContent>
              <w:p>
                <w:pPr>
                  <w:pStyle w:val="BodyText"/>
                  <w:spacing w:line="214" w:lineRule="exact"/>
                  <w:ind w:left="20" w:right="0"/>
                  <w:jc w:val="left"/>
                </w:pPr>
                <w:r>
                  <w:rPr/>
                  <w:t>北京东方国信科技股份有限公司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1"/>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Heading5" w:type="paragraph">
    <w:name w:val="Heading 5"/>
    <w:basedOn w:val="Normal"/>
    <w:uiPriority w:val="1"/>
    <w:qFormat/>
    <w:pPr>
      <w:ind w:left="15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bonc.com.cn/" TargetMode="External"/><Relationship Id="rId10" Type="http://schemas.openxmlformats.org/officeDocument/2006/relationships/hyperlink" Target="mailto:investor@bonc.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hyperlink" Target="http://w/" TargetMode="External"/><Relationship Id="rId14" Type="http://schemas.openxmlformats.org/officeDocument/2006/relationships/hyperlink" Target="http://www/" TargetMode="External"/><Relationship Id="rId15" Type="http://schemas.openxmlformats.org/officeDocument/2006/relationships/hyperlink" Target="http://www.cninfo.com.cn/finalpage/2012-" TargetMode="External"/><Relationship Id="rId16" Type="http://schemas.openxmlformats.org/officeDocument/2006/relationships/hyperlink" Target="http://www.cninfo.com.cn/finalpage/2013-" TargetMode="External"/><Relationship Id="rId17" Type="http://schemas.openxmlformats.org/officeDocument/2006/relationships/hyperlink" Target="http://www.cninfo.com.cn/finalpage/2014-" TargetMode="External"/><Relationship Id="rId18" Type="http://schemas.openxmlformats.org/officeDocument/2006/relationships/image" Target="media/image2.png"/><Relationship Id="rId19" Type="http://schemas.openxmlformats.org/officeDocument/2006/relationships/hyperlink" Target="http://www.cninfo.com.cn/final" TargetMode="Externa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2020-05-06T19:00:10Z</dcterms:created>
  <dcterms:modified xsi:type="dcterms:W3CDTF">2020-05-06T19:00:10Z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Office Word 2007</vt:lpwstr>
  </property>
  <property fmtid="{D5CDD505-2E9C-101B-9397-08002B2CF9AE}" pid="4" name="LastSaved">
    <vt:filetime>2020-05-06T00:00:00Z</vt:filetime>
  </property>
</Properties>
</file>