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69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407659" cy="4381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07659" cy="438150"/>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3145" w:right="3146" w:firstLine="0"/>
        <w:jc w:val="center"/>
        <w:rPr>
          <w:rFonts w:ascii="宋体" w:hAnsi="宋体" w:cs="宋体" w:eastAsia="宋体" w:hint="default"/>
          <w:sz w:val="36"/>
          <w:szCs w:val="36"/>
        </w:rPr>
      </w:pPr>
      <w:r>
        <w:rPr>
          <w:rFonts w:ascii="宋体" w:hAnsi="宋体" w:cs="宋体" w:eastAsia="宋体" w:hint="default"/>
          <w:b/>
          <w:bCs/>
          <w:sz w:val="36"/>
          <w:szCs w:val="36"/>
        </w:rPr>
        <w:t>万达信息股份有限公司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145" w:right="314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145" w:right="314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0"/>
        <w:jc w:val="left"/>
        <w:rPr>
          <w:b w:val="0"/>
          <w:bCs w:val="0"/>
        </w:rPr>
      </w:pPr>
      <w:bookmarkStart w:name="_TOC_250009"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5" w:lineRule="auto"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公司负责人史一兵、主管会计工作负责人王清及会计机构负责人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郭伟民声明：保证年度报告中财务报告的真实、准确、完整。</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08" w:lineRule="auto" w:before="0"/>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w w:val="99"/>
          <w:sz w:val="28"/>
          <w:szCs w:val="28"/>
        </w:rPr>
        <w:t> </w:t>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3145" w:right="314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before="136"/>
            <w:ind w:right="0"/>
            <w:jc w:val="left"/>
            <w:rPr>
              <w:rFonts w:ascii="Times New Roman" w:hAnsi="Times New Roman" w:cs="Times New Roman" w:eastAsia="Times New Roman" w:hint="default"/>
            </w:rPr>
          </w:pPr>
          <w:hyperlink w:history="true" w:anchor="_TOC_250008">
            <w:r>
              <w:rPr/>
              <w:t>第二节 公司基本情况简介</w:t>
            </w:r>
            <w:r>
              <w:rPr>
                <w:rFonts w:ascii="Times New Roman" w:hAnsi="Times New Roman" w:cs="Times New Roman" w:eastAsia="Times New Roman" w:hint="default"/>
              </w:rPr>
              <w:tab/>
              <w:t>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7">
            <w:r>
              <w:rPr/>
              <w:t>第三节 会计数据和财务指标摘要</w:t>
            </w:r>
            <w:r>
              <w:rPr>
                <w:rFonts w:ascii="Times New Roman" w:hAnsi="Times New Roman" w:cs="Times New Roman" w:eastAsia="Times New Roman" w:hint="default"/>
              </w:rPr>
              <w:tab/>
              <w:t>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6">
            <w:r>
              <w:rPr/>
              <w:t>第四节 董事会报告</w:t>
            </w:r>
            <w:r>
              <w:rPr>
                <w:rFonts w:ascii="Times New Roman" w:hAnsi="Times New Roman" w:cs="Times New Roman" w:eastAsia="Times New Roman" w:hint="default"/>
              </w:rPr>
              <w:tab/>
              <w:t>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5">
            <w:r>
              <w:rPr/>
              <w:t>第五节 重要事项</w:t>
            </w:r>
            <w:r>
              <w:rPr>
                <w:rFonts w:ascii="Times New Roman" w:hAnsi="Times New Roman" w:cs="Times New Roman" w:eastAsia="Times New Roman" w:hint="default"/>
              </w:rPr>
              <w:tab/>
              <w:t>29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4">
            <w:r>
              <w:rPr/>
              <w:t>第六节 股份变动及股东情况</w:t>
            </w:r>
            <w:r>
              <w:rPr>
                <w:rFonts w:ascii="Times New Roman" w:hAnsi="Times New Roman" w:cs="Times New Roman" w:eastAsia="Times New Roman" w:hint="default"/>
              </w:rPr>
              <w:tab/>
              <w:t>45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3">
            <w:r>
              <w:rPr/>
              <w:t>第七节 董事、监事、高级管理人员和员工情况</w:t>
            </w:r>
            <w:r>
              <w:rPr>
                <w:rFonts w:ascii="Times New Roman" w:hAnsi="Times New Roman" w:cs="Times New Roman" w:eastAsia="Times New Roman" w:hint="default"/>
              </w:rPr>
              <w:tab/>
              <w:t>55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2">
            <w:r>
              <w:rPr/>
              <w:t>第八节 公司治理</w:t>
            </w:r>
            <w:r>
              <w:rPr>
                <w:rFonts w:ascii="Times New Roman" w:hAnsi="Times New Roman" w:cs="Times New Roman" w:eastAsia="Times New Roman" w:hint="default"/>
              </w:rPr>
              <w:tab/>
              <w:t>65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1">
            <w:r>
              <w:rPr/>
              <w:t>第九节 财务报告</w:t>
            </w:r>
            <w:r>
              <w:rPr>
                <w:rFonts w:ascii="Times New Roman" w:hAnsi="Times New Roman" w:cs="Times New Roman" w:eastAsia="Times New Roman" w:hint="default"/>
              </w:rPr>
              <w:tab/>
              <w:t>69</w:t>
            </w:r>
          </w:hyperlink>
        </w:p>
        <w:p>
          <w:pPr>
            <w:pStyle w:val="TOC1"/>
            <w:tabs>
              <w:tab w:pos="9783" w:val="right" w:leader="dot"/>
            </w:tabs>
            <w:spacing w:line="240" w:lineRule="auto" w:before="136"/>
            <w:ind w:right="0"/>
            <w:jc w:val="left"/>
            <w:rPr>
              <w:rFonts w:ascii="Times New Roman" w:hAnsi="Times New Roman" w:cs="Times New Roman" w:eastAsia="Times New Roman" w:hint="default"/>
            </w:rPr>
          </w:pPr>
          <w:hyperlink w:history="true" w:anchor="_TOC_250000">
            <w:r>
              <w:rPr/>
              <w:t>第十节 备查文件目录</w:t>
            </w:r>
            <w:r>
              <w:rPr>
                <w:rFonts w:ascii="Times New Roman" w:hAnsi="Times New Roman" w:cs="Times New Roman" w:eastAsia="Times New Roman" w:hint="default"/>
              </w:rPr>
              <w:tab/>
              <w:t>177</w:t>
            </w:r>
          </w:hyperlink>
        </w:p>
        <w:p>
          <w:pPr/>
          <w:r>
            <w:fldChar w:fldCharType="end"/>
          </w:r>
        </w:p>
      </w:sdtContent>
    </w:sdt>
    <w:p>
      <w:pPr>
        <w:spacing w:after="0"/>
        <w:sectPr>
          <w:pgSz w:w="11910" w:h="16840"/>
          <w:pgMar w:header="745" w:footer="980" w:top="1060" w:bottom="1160" w:left="980" w:right="980"/>
        </w:sectPr>
      </w:pPr>
    </w:p>
    <w:p>
      <w:pPr>
        <w:pStyle w:val="Heading1"/>
        <w:spacing w:line="240" w:lineRule="auto" w:before="786"/>
        <w:ind w:left="3125" w:right="0"/>
        <w:jc w:val="left"/>
        <w:rPr>
          <w:b w:val="0"/>
          <w:bCs w:val="0"/>
        </w:rPr>
      </w:pPr>
      <w:bookmarkStart w:name="_TOC_250008" w:id="2"/>
      <w:r>
        <w:rPr/>
        <w:t>第二节</w:t>
      </w:r>
      <w:r>
        <w:rPr>
          <w:spacing w:val="-6"/>
        </w:rPr>
        <w:t> </w:t>
      </w:r>
      <w:r>
        <w:rPr/>
        <w:t>公司基本情况简介</w:t>
      </w:r>
      <w:bookmarkEnd w:id="2"/>
      <w:r>
        <w:rPr>
          <w:b w:val="0"/>
          <w:bCs w:val="0"/>
        </w:rPr>
      </w:r>
    </w:p>
    <w:p>
      <w:pPr>
        <w:pStyle w:val="Heading2"/>
        <w:spacing w:line="240" w:lineRule="auto" w:before="512"/>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09"/>
        <w:gridCol w:w="2327"/>
        <w:gridCol w:w="2135"/>
        <w:gridCol w:w="2188"/>
      </w:tblGrid>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万达信息</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300168</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万达信息股份有限公司</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万达信息</w:t>
            </w:r>
          </w:p>
        </w:tc>
      </w:tr>
      <w:tr>
        <w:trPr>
          <w:trHeight w:val="404"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Wonders </w:t>
            </w:r>
            <w:r>
              <w:rPr>
                <w:rFonts w:ascii="Times New Roman"/>
                <w:sz w:val="18"/>
              </w:rPr>
              <w:t>Information Co.,</w:t>
            </w:r>
            <w:r>
              <w:rPr>
                <w:rFonts w:ascii="Times New Roman"/>
                <w:spacing w:val="2"/>
                <w:sz w:val="18"/>
              </w:rPr>
              <w:t> </w:t>
            </w:r>
            <w:r>
              <w:rPr>
                <w:rFonts w:ascii="Times New Roman"/>
                <w:sz w:val="18"/>
              </w:rPr>
              <w:t>Ltd.</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Wonders</w:t>
            </w:r>
            <w:r>
              <w:rPr>
                <w:rFonts w:ascii="Times New Roman"/>
                <w:spacing w:val="1"/>
                <w:sz w:val="18"/>
              </w:rPr>
              <w:t> </w:t>
            </w:r>
            <w:r>
              <w:rPr>
                <w:rFonts w:ascii="Times New Roman"/>
                <w:sz w:val="18"/>
              </w:rPr>
              <w:t>Information</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史一兵</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上海市桂平路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481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200233</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上海市联航路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201112</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http://www.wondersgroup.com</w:t>
              </w:r>
            </w:hyperlink>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invest@wondersgroup.com</w:t>
              </w:r>
            </w:hyperlink>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0"/>
        <w:rPr>
          <w:rFonts w:ascii="宋体" w:hAnsi="宋体" w:cs="宋体" w:eastAsia="宋体" w:hint="default"/>
          <w:b/>
          <w:bCs/>
          <w:sz w:val="20"/>
          <w:szCs w:val="20"/>
        </w:rPr>
      </w:pPr>
    </w:p>
    <w:p>
      <w:pPr>
        <w:pStyle w:val="Heading2"/>
        <w:spacing w:line="240" w:lineRule="auto"/>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王雯钰</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上海市联航路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上海市联航路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021-24177888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021-24177888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021-32140588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021-32140588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invest@wondersgroup.com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invest@wondersgroup.com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w:t>
            </w:r>
            <w:r>
              <w:rPr>
                <w:rFonts w:ascii="宋体" w:hAnsi="宋体" w:cs="宋体" w:eastAsia="宋体" w:hint="default"/>
                <w:spacing w:val="2"/>
                <w:sz w:val="18"/>
                <w:szCs w:val="18"/>
              </w:rPr>
              <w:t>日</w:t>
            </w:r>
            <w:r>
              <w:rPr>
                <w:rFonts w:ascii="宋体" w:hAnsi="宋体" w:cs="宋体" w:eastAsia="宋体" w:hint="default"/>
                <w:sz w:val="18"/>
                <w:szCs w:val="18"/>
              </w:rPr>
              <w:t>报》</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上海市南京西路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楼、深圳证券交易所</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040080891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310104132653687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13265368-7</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名称变更注册登记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040080891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310104132653687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13265368-7</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注册资本变更注册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040080891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310104132653687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13265368-7</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注册资本变更注册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150481400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310104132653687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13265368-7</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注册资本变更注册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3100001004814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310104132653687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13265368-7</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股份公司成立变更 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3100001004814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310104132653687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13265368-7</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住所变更注册登记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3100001004814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310104132653687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13265368-7</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名称变更注册登记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3100001004814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310104132653687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13265368-7</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经营范围变更注册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3100001004814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310104132653687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13265368-7</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9"/>
                <w:sz w:val="18"/>
                <w:szCs w:val="18"/>
              </w:rPr>
              <w:t>法定代表人、注册资</w:t>
            </w:r>
            <w:r>
              <w:rPr>
                <w:rFonts w:ascii="宋体" w:hAnsi="宋体" w:cs="宋体" w:eastAsia="宋体" w:hint="default"/>
                <w:sz w:val="18"/>
                <w:szCs w:val="18"/>
              </w:rPr>
              <w:t> 本及住所变更注册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3100001004814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310104132653687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13265368-7</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注册资本变更注册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3100001004814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310104132653687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13265368-7</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注册资本变更注册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310000000039855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310104132653687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13265368-7</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首次公开发行股票 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310000000039855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310104132653687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13265368-7</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经营范围变更注册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310000000039855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310104132653687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13265368-7</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注册资本变更注册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310000000039855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310104132653687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13265368-7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TOC_250007"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line="338" w:lineRule="auto" w:before="117"/>
        <w:ind w:left="152" w:right="8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主要会计数据</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608"/>
        <w:gridCol w:w="1749"/>
        <w:gridCol w:w="1740"/>
        <w:gridCol w:w="1738"/>
        <w:gridCol w:w="1735"/>
      </w:tblGrid>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884,744,328.70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694,826,688.38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493,178,593.23</w:t>
            </w:r>
          </w:p>
        </w:tc>
      </w:tr>
      <w:tr>
        <w:trPr>
          <w:trHeight w:val="404"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117,198,755.14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88,364,709.40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55,704,790.00</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125,756,006.19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94,129,196.14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58,730,952.53</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111,436,631.79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81,815,033.64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53,167,734.77</w:t>
            </w:r>
          </w:p>
        </w:tc>
      </w:tr>
      <w:tr>
        <w:trPr>
          <w:trHeight w:val="71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104,185,450.12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76,915,684.91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50,444,198.49</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60,969,983.53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15,327,174.85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17,721,083.29</w:t>
            </w:r>
          </w:p>
        </w:tc>
      </w:tr>
      <w:tr>
        <w:trPr>
          <w:trHeight w:val="161" w:hRule="exact"/>
        </w:trPr>
        <w:tc>
          <w:tcPr>
            <w:tcW w:w="2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608"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1,522,127,598.78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1,349,912,458.69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467,420,202.65</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248,354,958.89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228,246,519.94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192,145,270.98</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1,229,449,435.72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1,120,507,289.39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273,334,622.07</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主要财务指标</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01"/>
        <w:gridCol w:w="1749"/>
        <w:gridCol w:w="1736"/>
        <w:gridCol w:w="1738"/>
        <w:gridCol w:w="1735"/>
      </w:tblGrid>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0.4643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0.6963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0.5908</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0.4643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0.6963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0.5908</w:t>
            </w:r>
          </w:p>
        </w:tc>
      </w:tr>
      <w:tr>
        <w:trPr>
          <w:trHeight w:val="715"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0.4341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0.6546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0.5605</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19.45%</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21.61%</w:t>
            </w:r>
          </w:p>
        </w:tc>
      </w:tr>
      <w:tr>
        <w:trPr>
          <w:trHeight w:val="71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18.46%</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4"/>
        <w:gridCol w:w="1738"/>
        <w:gridCol w:w="1736"/>
        <w:gridCol w:w="1738"/>
        <w:gridCol w:w="1735"/>
      </w:tblGrid>
      <w:tr>
        <w:trPr>
          <w:trHeight w:val="36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0.1277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0.1969</w:t>
            </w:r>
          </w:p>
        </w:tc>
      </w:tr>
      <w:tr>
        <w:trPr>
          <w:trHeight w:val="161" w:hRule="exact"/>
        </w:trPr>
        <w:tc>
          <w:tcPr>
            <w:tcW w:w="2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624"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3.0371</w:t>
            </w:r>
          </w:p>
        </w:tc>
      </w:tr>
      <w:tr>
        <w:trPr>
          <w:trHeight w:val="40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41.11%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85"/>
        <w:gridCol w:w="1741"/>
        <w:gridCol w:w="2004"/>
        <w:gridCol w:w="1769"/>
        <w:gridCol w:w="1771"/>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0"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91" w:right="0"/>
              <w:jc w:val="left"/>
              <w:rPr>
                <w:rFonts w:ascii="Times New Roman" w:hAnsi="Times New Roman" w:cs="Times New Roman" w:eastAsia="Times New Roman" w:hint="default"/>
                <w:sz w:val="18"/>
                <w:szCs w:val="18"/>
              </w:rPr>
            </w:pPr>
            <w:r>
              <w:rPr>
                <w:rFonts w:ascii="Times New Roman"/>
                <w:sz w:val="18"/>
              </w:rPr>
              <w:t>111,436,631.79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81,815,033.64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1,229,449,435.72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1,120,507,289.39</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85"/>
        <w:gridCol w:w="1729"/>
        <w:gridCol w:w="2004"/>
        <w:gridCol w:w="1769"/>
        <w:gridCol w:w="1771"/>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2"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33"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79" w:right="0"/>
              <w:jc w:val="left"/>
              <w:rPr>
                <w:rFonts w:ascii="Times New Roman" w:hAnsi="Times New Roman" w:cs="Times New Roman" w:eastAsia="Times New Roman" w:hint="default"/>
                <w:sz w:val="18"/>
                <w:szCs w:val="18"/>
              </w:rPr>
            </w:pPr>
            <w:r>
              <w:rPr>
                <w:rFonts w:ascii="Times New Roman"/>
                <w:sz w:val="18"/>
              </w:rPr>
              <w:t>111,436,631.79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81,815,033.64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1,229,449,435.72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1,120,507,289.39</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三、报告期内非经常性损益的项目及金额</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-22,878.17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1,386.74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311,502.73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8,688,250.00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5,791,200.00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2,737,859.80</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-108,120.78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1,306,069.38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865,138.01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302,626.25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7,251,181.67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4,899,348.73</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2,723,536.28</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四、重大风险提示</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46" w:firstLine="422"/>
        <w:jc w:val="both"/>
      </w:pPr>
      <w:r>
        <w:rPr>
          <w:spacing w:val="-2"/>
        </w:rPr>
        <w:t>由于公司从事的智慧城市业务主要服务客户为各地政府及其下属企事业单位，近期正是新一届政府工</w:t>
      </w:r>
      <w:r>
        <w:rPr>
          <w:w w:val="100"/>
        </w:rPr>
        <w:t> </w:t>
      </w:r>
      <w:r>
        <w:rPr>
          <w:spacing w:val="-2"/>
        </w:rPr>
        <w:t>作重点重新汇聚的时期，可能对公司的业务带来一定的政策性影响，对业务开拓带来一定的不确定性，对</w:t>
      </w:r>
      <w:r>
        <w:rPr>
          <w:spacing w:val="-43"/>
        </w:rPr>
        <w:t> </w:t>
      </w:r>
      <w:r>
        <w:rPr>
          <w:spacing w:val="-43"/>
        </w:rPr>
      </w:r>
      <w:r>
        <w:rPr/>
        <w:t>已执行项目也会有一定的影响。</w:t>
      </w:r>
    </w:p>
    <w:p>
      <w:pPr>
        <w:pStyle w:val="BodyText"/>
        <w:spacing w:line="240" w:lineRule="auto" w:before="46"/>
        <w:ind w:left="510" w:right="0"/>
        <w:jc w:val="left"/>
      </w:pPr>
      <w:r>
        <w:rPr/>
        <w:t>针对上述主要风险分析，公司将积极响应各级政府的新要求：</w:t>
      </w:r>
    </w:p>
    <w:p>
      <w:pPr>
        <w:spacing w:line="240" w:lineRule="auto" w:before="10"/>
        <w:rPr>
          <w:rFonts w:ascii="宋体" w:hAnsi="宋体" w:cs="宋体" w:eastAsia="宋体" w:hint="default"/>
          <w:sz w:val="14"/>
          <w:szCs w:val="14"/>
        </w:rPr>
      </w:pPr>
    </w:p>
    <w:p>
      <w:pPr>
        <w:pStyle w:val="BodyText"/>
        <w:spacing w:line="240" w:lineRule="auto"/>
        <w:ind w:left="510" w:right="0"/>
        <w:jc w:val="left"/>
      </w:pPr>
      <w:r>
        <w:rPr/>
        <w:t>（</w:t>
      </w:r>
      <w:r>
        <w:rPr>
          <w:rFonts w:ascii="Times New Roman" w:hAnsi="Times New Roman" w:cs="Times New Roman" w:eastAsia="Times New Roman" w:hint="default"/>
        </w:rPr>
        <w:t>1</w:t>
      </w:r>
      <w:r>
        <w:rPr/>
        <w:t>）根据国家新的机构调整方向，适时调整公司研发的工作方向；</w:t>
      </w:r>
    </w:p>
    <w:p>
      <w:pPr>
        <w:pStyle w:val="BodyText"/>
        <w:spacing w:line="240" w:lineRule="auto" w:before="177"/>
        <w:ind w:left="510" w:right="0"/>
        <w:jc w:val="left"/>
      </w:pPr>
      <w:r>
        <w:rPr/>
        <w:t>（</w:t>
      </w:r>
      <w:r>
        <w:rPr>
          <w:rFonts w:ascii="Times New Roman" w:hAnsi="Times New Roman" w:cs="Times New Roman" w:eastAsia="Times New Roman" w:hint="default"/>
        </w:rPr>
        <w:t>2</w:t>
      </w:r>
      <w:r>
        <w:rPr/>
        <w:t>）根据国家政策的重点要求，积极更新公司行业产品；</w:t>
      </w:r>
    </w:p>
    <w:p>
      <w:pPr>
        <w:pStyle w:val="BodyText"/>
        <w:spacing w:line="240" w:lineRule="auto" w:before="177"/>
        <w:ind w:left="510" w:right="0"/>
        <w:jc w:val="left"/>
      </w:pPr>
      <w:r>
        <w:rPr/>
        <w:t>（</w:t>
      </w:r>
      <w:r>
        <w:rPr>
          <w:rFonts w:ascii="Times New Roman" w:hAnsi="Times New Roman" w:cs="Times New Roman" w:eastAsia="Times New Roman" w:hint="default"/>
        </w:rPr>
        <w:t>3</w:t>
      </w:r>
      <w:r>
        <w:rPr/>
        <w:t>）努力提高信息化服务和运营质量，保障已建成项目的长效运营。</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0" w:right="3651"/>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00"/>
        <w:jc w:val="left"/>
        <w:rPr>
          <w:b w:val="0"/>
          <w:bCs w:val="0"/>
        </w:rPr>
      </w:pPr>
      <w:r>
        <w:rPr/>
        <w:t>一、管理层讨论与分析</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ind w:right="100" w:firstLine="358"/>
        <w:jc w:val="left"/>
      </w:pPr>
      <w:r>
        <w:rPr>
          <w:rFonts w:ascii="Times New Roman" w:hAnsi="Times New Roman" w:cs="Times New Roman" w:eastAsia="Times New Roman" w:hint="default"/>
          <w:spacing w:val="-2"/>
          <w:w w:val="100"/>
        </w:rPr>
        <w:t>2012</w:t>
      </w:r>
      <w:r>
        <w:rPr>
          <w:spacing w:val="-2"/>
          <w:w w:val="100"/>
        </w:rPr>
        <w:t>年，公司秉承</w:t>
      </w:r>
      <w:r>
        <w:rPr>
          <w:rFonts w:ascii="Times New Roman" w:hAnsi="Times New Roman" w:cs="Times New Roman" w:eastAsia="Times New Roman" w:hint="default"/>
          <w:spacing w:val="-2"/>
          <w:w w:val="100"/>
        </w:rPr>
        <w:t>―</w:t>
      </w:r>
      <w:r>
        <w:rPr>
          <w:spacing w:val="-2"/>
          <w:w w:val="100"/>
        </w:rPr>
        <w:t>价值源于专业、服务追求卓越</w:t>
      </w:r>
      <w:r>
        <w:rPr>
          <w:rFonts w:ascii="Times New Roman" w:hAnsi="Times New Roman" w:cs="Times New Roman" w:eastAsia="Times New Roman" w:hint="default"/>
          <w:spacing w:val="-2"/>
          <w:w w:val="100"/>
        </w:rPr>
        <w:t>‖</w:t>
      </w:r>
      <w:r>
        <w:rPr>
          <w:spacing w:val="-2"/>
          <w:w w:val="100"/>
        </w:rPr>
        <w:t>的经营理念，各项业务保持了持续、平稳、健康地</w:t>
      </w:r>
      <w:r>
        <w:rPr>
          <w:w w:val="100"/>
        </w:rPr>
        <w:t> </w:t>
      </w:r>
      <w:r>
        <w:rPr>
          <w:spacing w:val="-2"/>
        </w:rPr>
        <w:t>发展。报告期内，公司实现营业收入</w:t>
      </w:r>
      <w:r>
        <w:rPr>
          <w:rFonts w:ascii="Times New Roman" w:hAnsi="Times New Roman" w:cs="Times New Roman" w:eastAsia="Times New Roman" w:hint="default"/>
          <w:spacing w:val="-2"/>
        </w:rPr>
        <w:t>884,744,328.70</w:t>
      </w:r>
      <w:r>
        <w:rPr>
          <w:spacing w:val="-2"/>
        </w:rPr>
        <w:t>元，同比增长</w:t>
      </w:r>
      <w:r>
        <w:rPr>
          <w:rFonts w:ascii="Times New Roman" w:hAnsi="Times New Roman" w:cs="Times New Roman" w:eastAsia="Times New Roman" w:hint="default"/>
          <w:spacing w:val="-2"/>
        </w:rPr>
        <w:t>27.33%</w:t>
      </w:r>
      <w:r>
        <w:rPr>
          <w:spacing w:val="-2"/>
        </w:rPr>
        <w:t>；实现利润总额</w:t>
      </w:r>
      <w:r>
        <w:rPr>
          <w:rFonts w:ascii="Times New Roman" w:hAnsi="Times New Roman" w:cs="Times New Roman" w:eastAsia="Times New Roman" w:hint="default"/>
          <w:spacing w:val="-2"/>
        </w:rPr>
        <w:t>125,756,006.19</w:t>
      </w:r>
      <w:r>
        <w:rPr>
          <w:spacing w:val="-2"/>
        </w:rPr>
        <w:t>元，</w:t>
      </w:r>
      <w:r>
        <w:rPr>
          <w:spacing w:val="-28"/>
        </w:rPr>
        <w:t> </w:t>
      </w:r>
      <w:r>
        <w:rPr/>
        <w:t>同比增长</w:t>
      </w:r>
      <w:r>
        <w:rPr>
          <w:rFonts w:ascii="Times New Roman" w:hAnsi="Times New Roman" w:cs="Times New Roman" w:eastAsia="Times New Roman" w:hint="default"/>
        </w:rPr>
        <w:t>33.60%</w:t>
      </w:r>
      <w:r>
        <w:rPr/>
        <w:t>；实现净利润</w:t>
      </w:r>
      <w:r>
        <w:rPr>
          <w:rFonts w:ascii="Times New Roman" w:hAnsi="Times New Roman" w:cs="Times New Roman" w:eastAsia="Times New Roman" w:hint="default"/>
        </w:rPr>
        <w:t>111,436,631.79</w:t>
      </w:r>
      <w:r>
        <w:rPr/>
        <w:t>元，同比增长</w:t>
      </w:r>
      <w:r>
        <w:rPr>
          <w:rFonts w:ascii="Times New Roman" w:hAnsi="Times New Roman" w:cs="Times New Roman" w:eastAsia="Times New Roman" w:hint="default"/>
        </w:rPr>
        <w:t>36.21%</w:t>
      </w:r>
      <w:r>
        <w:rPr/>
        <w:t>。业务增长在</w:t>
      </w:r>
      <w:r>
        <w:rPr>
          <w:rFonts w:ascii="Times New Roman" w:hAnsi="Times New Roman" w:cs="Times New Roman" w:eastAsia="Times New Roman" w:hint="default"/>
        </w:rPr>
        <w:t>2012</w:t>
      </w:r>
      <w:r>
        <w:rPr/>
        <w:t>年度上半年态势比较</w:t>
      </w:r>
      <w:r>
        <w:rPr>
          <w:w w:val="100"/>
        </w:rPr>
        <w:t> </w:t>
      </w:r>
      <w:r>
        <w:rPr/>
        <w:t>良好，在下半年受到一定的影响，但全年业绩增长仍较良好。</w:t>
      </w:r>
    </w:p>
    <w:p>
      <w:pPr>
        <w:pStyle w:val="BodyText"/>
        <w:spacing w:line="393" w:lineRule="auto" w:before="65"/>
        <w:ind w:right="206" w:firstLine="358"/>
        <w:jc w:val="both"/>
      </w:pPr>
      <w:r>
        <w:rPr>
          <w:spacing w:val="-2"/>
        </w:rPr>
        <w:t>报告期内，公司围绕行业应用软件、专业</w:t>
      </w:r>
      <w:r>
        <w:rPr>
          <w:rFonts w:ascii="Times New Roman" w:hAnsi="Times New Roman" w:cs="Times New Roman" w:eastAsia="Times New Roman" w:hint="default"/>
          <w:spacing w:val="-2"/>
        </w:rPr>
        <w:t>IT</w:t>
      </w:r>
      <w:r>
        <w:rPr>
          <w:spacing w:val="-2"/>
        </w:rPr>
        <w:t>服务及整体解决方案三大主营业务，在智慧的医疗卫生、</w:t>
      </w:r>
      <w:r>
        <w:rPr>
          <w:w w:val="100"/>
        </w:rPr>
        <w:t> </w:t>
      </w:r>
      <w:r>
        <w:rPr>
          <w:spacing w:val="-2"/>
        </w:rPr>
        <w:t>智慧的社会保障等行业的优势地位进一步巩固。与此同时，公司积极加快全国拓展的步伐，进一步完善在</w:t>
      </w:r>
      <w:r>
        <w:rPr>
          <w:spacing w:val="-44"/>
        </w:rPr>
        <w:t> </w:t>
      </w:r>
      <w:r>
        <w:rPr>
          <w:spacing w:val="-44"/>
        </w:rPr>
      </w:r>
      <w:r>
        <w:rPr>
          <w:spacing w:val="-2"/>
        </w:rPr>
        <w:t>市场营销方面的能力。截至报告期末，公司围绕主营业务在全国各地设立的分子公司累计已达到</w:t>
      </w:r>
      <w:r>
        <w:rPr>
          <w:rFonts w:ascii="Times New Roman" w:hAnsi="Times New Roman" w:cs="Times New Roman" w:eastAsia="Times New Roman" w:hint="default"/>
          <w:spacing w:val="-2"/>
        </w:rPr>
        <w:t>29</w:t>
      </w:r>
      <w:r>
        <w:rPr>
          <w:spacing w:val="-2"/>
        </w:rPr>
        <w:t>家，其</w:t>
      </w:r>
      <w:r>
        <w:rPr>
          <w:spacing w:val="-41"/>
        </w:rPr>
        <w:t> </w:t>
      </w:r>
      <w:r>
        <w:rPr>
          <w:spacing w:val="-41"/>
        </w:rPr>
      </w:r>
      <w:r>
        <w:rPr/>
        <w:t>中报告期内新增</w:t>
      </w:r>
      <w:r>
        <w:rPr>
          <w:rFonts w:ascii="Times New Roman" w:hAnsi="Times New Roman" w:cs="Times New Roman" w:eastAsia="Times New Roman" w:hint="default"/>
        </w:rPr>
        <w:t>7</w:t>
      </w:r>
      <w:r>
        <w:rPr/>
        <w:t>家，在立足上海的基础上，覆盖地域向东、西、南、北、中逐渐辐射。</w:t>
      </w:r>
    </w:p>
    <w:p>
      <w:pPr>
        <w:pStyle w:val="BodyText"/>
        <w:spacing w:line="386" w:lineRule="auto" w:before="28"/>
        <w:ind w:right="100" w:firstLine="358"/>
        <w:jc w:val="left"/>
      </w:pPr>
      <w:r>
        <w:rPr>
          <w:spacing w:val="-2"/>
        </w:rPr>
        <w:t>公司继续保持对研发的投入，主营业务领域的产品研发能力和质量有所提升，报告期内新增专利</w:t>
      </w:r>
      <w:r>
        <w:rPr>
          <w:rFonts w:ascii="Times New Roman" w:hAnsi="Times New Roman" w:cs="Times New Roman" w:eastAsia="Times New Roman" w:hint="default"/>
          <w:spacing w:val="-2"/>
        </w:rPr>
        <w:t>6</w:t>
      </w:r>
      <w:r>
        <w:rPr>
          <w:spacing w:val="-2"/>
        </w:rPr>
        <w:t>项，</w:t>
      </w:r>
      <w:r>
        <w:rPr>
          <w:spacing w:val="-3"/>
          <w:w w:val="100"/>
        </w:rPr>
        <w:t> </w:t>
      </w:r>
      <w:r>
        <w:rPr/>
        <w:t>主要软件著作权</w:t>
      </w:r>
      <w:r>
        <w:rPr>
          <w:rFonts w:ascii="Times New Roman" w:hAnsi="Times New Roman" w:cs="Times New Roman" w:eastAsia="Times New Roman" w:hint="default"/>
        </w:rPr>
        <w:t>69</w:t>
      </w:r>
      <w:r>
        <w:rPr/>
        <w:t>项，为技术产品化打下了基础。同时，</w:t>
      </w:r>
      <w:r>
        <w:rPr>
          <w:rFonts w:ascii="Times New Roman" w:hAnsi="Times New Roman" w:cs="Times New Roman" w:eastAsia="Times New Roman" w:hint="default"/>
        </w:rPr>
        <w:t>5</w:t>
      </w:r>
      <w:r>
        <w:rPr/>
        <w:t>个募投项目中的</w:t>
      </w:r>
      <w:r>
        <w:rPr>
          <w:rFonts w:ascii="Times New Roman" w:hAnsi="Times New Roman" w:cs="Times New Roman" w:eastAsia="Times New Roman" w:hint="default"/>
        </w:rPr>
        <w:t>3</w:t>
      </w:r>
      <w:r>
        <w:rPr/>
        <w:t>个已经完成，</w:t>
      </w:r>
      <w:r>
        <w:rPr>
          <w:rFonts w:ascii="Times New Roman" w:hAnsi="Times New Roman" w:cs="Times New Roman" w:eastAsia="Times New Roman" w:hint="default"/>
        </w:rPr>
        <w:t>2</w:t>
      </w:r>
      <w:r>
        <w:rPr/>
        <w:t>个正按照计划</w:t>
      </w:r>
      <w:r>
        <w:rPr>
          <w:w w:val="100"/>
        </w:rPr>
        <w:t> </w:t>
      </w:r>
      <w:r>
        <w:rPr/>
        <w:t>开展，未来项目将按预计进度在本年度执行完毕。</w:t>
      </w:r>
    </w:p>
    <w:p>
      <w:pPr>
        <w:pStyle w:val="BodyText"/>
        <w:spacing w:line="386" w:lineRule="auto" w:before="65"/>
        <w:ind w:right="100" w:firstLine="358"/>
        <w:jc w:val="left"/>
      </w:pPr>
      <w:r>
        <w:rPr>
          <w:spacing w:val="-2"/>
        </w:rPr>
        <w:t>在</w:t>
      </w:r>
      <w:r>
        <w:rPr>
          <w:rFonts w:ascii="Times New Roman" w:hAnsi="Times New Roman" w:cs="Times New Roman" w:eastAsia="Times New Roman" w:hint="default"/>
          <w:spacing w:val="-2"/>
        </w:rPr>
        <w:t>2013</w:t>
      </w:r>
      <w:r>
        <w:rPr>
          <w:spacing w:val="-2"/>
        </w:rPr>
        <w:t>年，公司将保持积极进取的精神面貌，奋勇拼搏，争取更好的发展势头，实现更多的智慧城市</w:t>
      </w:r>
      <w:r>
        <w:rPr>
          <w:w w:val="100"/>
        </w:rPr>
        <w:t> </w:t>
      </w:r>
      <w:r>
        <w:rPr/>
        <w:t>最佳实践。</w:t>
      </w:r>
    </w:p>
    <w:p>
      <w:pPr>
        <w:spacing w:line="240" w:lineRule="auto" w:before="1"/>
        <w:rPr>
          <w:rFonts w:ascii="宋体" w:hAnsi="宋体" w:cs="宋体" w:eastAsia="宋体" w:hint="default"/>
          <w:sz w:val="20"/>
          <w:szCs w:val="20"/>
        </w:rPr>
      </w:pPr>
    </w:p>
    <w:p>
      <w:pPr>
        <w:pStyle w:val="Heading2"/>
        <w:spacing w:line="240" w:lineRule="auto"/>
        <w:ind w:right="100"/>
        <w:jc w:val="left"/>
        <w:rPr>
          <w:b w:val="0"/>
          <w:bCs w:val="0"/>
        </w:rPr>
      </w:pPr>
      <w:r>
        <w:rPr/>
        <w:t>二、报告期内主要经营情况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0"/>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0"/>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2"/>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3"/>
        <w:rPr>
          <w:rFonts w:ascii="宋体" w:hAnsi="宋体" w:cs="宋体" w:eastAsia="宋体" w:hint="default"/>
          <w:sz w:val="13"/>
          <w:szCs w:val="13"/>
        </w:rPr>
      </w:pPr>
    </w:p>
    <w:p>
      <w:pPr>
        <w:pStyle w:val="BodyText"/>
        <w:spacing w:line="398" w:lineRule="auto"/>
        <w:ind w:right="100" w:firstLine="358"/>
        <w:jc w:val="left"/>
      </w:pPr>
      <w:r>
        <w:rPr>
          <w:rFonts w:ascii="Times New Roman" w:hAnsi="Times New Roman" w:cs="Times New Roman" w:eastAsia="Times New Roman" w:hint="default"/>
        </w:rPr>
        <w:t>2012</w:t>
      </w:r>
      <w:r>
        <w:rPr/>
        <w:t>年度，公司主营业务营业收入较上期同期增长</w:t>
      </w:r>
      <w:r>
        <w:rPr>
          <w:rFonts w:ascii="Times New Roman" w:hAnsi="Times New Roman" w:cs="Times New Roman" w:eastAsia="Times New Roman" w:hint="default"/>
        </w:rPr>
        <w:t>27.33%</w:t>
      </w:r>
      <w:r>
        <w:rPr/>
        <w:t>，净利润增长</w:t>
      </w:r>
      <w:r>
        <w:rPr>
          <w:rFonts w:ascii="Times New Roman" w:hAnsi="Times New Roman" w:cs="Times New Roman" w:eastAsia="Times New Roman" w:hint="default"/>
        </w:rPr>
        <w:t>36.21%</w:t>
      </w:r>
      <w:r>
        <w:rPr/>
        <w:t>，毛利率由</w:t>
      </w:r>
      <w:r>
        <w:rPr>
          <w:rFonts w:ascii="Times New Roman" w:hAnsi="Times New Roman" w:cs="Times New Roman" w:eastAsia="Times New Roman" w:hint="default"/>
        </w:rPr>
        <w:t>30.5%</w:t>
      </w:r>
      <w:r>
        <w:rPr/>
        <w:t>增长</w:t>
      </w:r>
      <w:r>
        <w:rPr>
          <w:w w:val="100"/>
        </w:rPr>
        <w:t> </w:t>
      </w:r>
      <w:r>
        <w:rPr>
          <w:spacing w:val="-3"/>
        </w:rPr>
        <w:t>至</w:t>
      </w:r>
      <w:r>
        <w:rPr>
          <w:rFonts w:ascii="Times New Roman" w:hAnsi="Times New Roman" w:cs="Times New Roman" w:eastAsia="Times New Roman" w:hint="default"/>
          <w:spacing w:val="-3"/>
        </w:rPr>
        <w:t>30.85%</w:t>
      </w:r>
      <w:r>
        <w:rPr>
          <w:spacing w:val="-3"/>
        </w:rPr>
        <w:t>，销售费用同比增长</w:t>
      </w:r>
      <w:r>
        <w:rPr>
          <w:rFonts w:ascii="Times New Roman" w:hAnsi="Times New Roman" w:cs="Times New Roman" w:eastAsia="Times New Roman" w:hint="default"/>
          <w:spacing w:val="-3"/>
        </w:rPr>
        <w:t>40.22%</w:t>
      </w:r>
      <w:r>
        <w:rPr>
          <w:spacing w:val="-3"/>
        </w:rPr>
        <w:t>，管理费用同比增长</w:t>
      </w:r>
      <w:r>
        <w:rPr>
          <w:rFonts w:ascii="Times New Roman" w:hAnsi="Times New Roman" w:cs="Times New Roman" w:eastAsia="Times New Roman" w:hint="default"/>
          <w:spacing w:val="-3"/>
        </w:rPr>
        <w:t>47.6%</w:t>
      </w:r>
      <w:r>
        <w:rPr>
          <w:spacing w:val="-3"/>
        </w:rPr>
        <w:t>。公司业务拓展到全国的步伐进一步加快，</w:t>
      </w:r>
      <w:r>
        <w:rPr>
          <w:spacing w:val="-23"/>
        </w:rPr>
        <w:t> </w:t>
      </w:r>
      <w:r>
        <w:rPr>
          <w:spacing w:val="-23"/>
        </w:rPr>
      </w:r>
      <w:r>
        <w:rPr/>
        <w:t>在营业收入增长的同时，也造成了销售费用和管理费用的增长，为未来的区域拓展业务做了一定的准备。</w:t>
      </w:r>
      <w:r>
        <w:rPr>
          <w:w w:val="100"/>
        </w:rPr>
        <w:t> </w:t>
      </w:r>
      <w:r>
        <w:rPr/>
        <w:t>公司在募投资金投资行业产品的支持下，持续提高软件复用率，净利润增长超过营业收入增长，毛利率也</w:t>
      </w:r>
      <w:r>
        <w:rPr>
          <w:w w:val="100"/>
        </w:rPr>
        <w:t> </w:t>
      </w:r>
      <w:r>
        <w:rPr/>
        <w:t>同步提升。</w:t>
      </w:r>
    </w:p>
    <w:p>
      <w:pPr>
        <w:spacing w:line="240" w:lineRule="auto" w:before="11"/>
        <w:rPr>
          <w:rFonts w:ascii="宋体" w:hAnsi="宋体" w:cs="宋体" w:eastAsia="宋体" w:hint="default"/>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5"/>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公司重大的在手订单情况</w:t>
      </w:r>
    </w:p>
    <w:p>
      <w:pPr>
        <w:spacing w:line="338" w:lineRule="auto" w:before="117"/>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数量分散的订单情况</w:t>
      </w:r>
    </w:p>
    <w:p>
      <w:pPr>
        <w:spacing w:line="340" w:lineRule="auto" w:before="43"/>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公司报告期内产品或服务发生重大变化或调整有关情况</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6"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97,554,849.83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83,657,975.43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运营维护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32,527,655.32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25,129,960.87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318,800,547.83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244,569,576.92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37,089,621.25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26,451,697.29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本期销售增加、相应费用增加</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118,103,479.03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80,013,218.98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本期销售增加、相应费用增加</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-5,229,613.52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-6,229,810.35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定期存款利息相应较少</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20,373,978.52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13,095,822.74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利润总额增加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288"/>
        <w:jc w:val="left"/>
      </w:pPr>
      <w:r>
        <w:rPr/>
        <w:t>公司历来重视研究开发的投入，</w:t>
      </w:r>
      <w:r>
        <w:rPr>
          <w:rFonts w:ascii="宋体" w:hAnsi="宋体" w:cs="宋体" w:eastAsia="宋体" w:hint="default"/>
        </w:rPr>
        <w:t>2012</w:t>
      </w:r>
      <w:r>
        <w:rPr/>
        <w:t>年度公司总研发投入</w:t>
      </w:r>
      <w:r>
        <w:rPr>
          <w:rFonts w:ascii="宋体" w:hAnsi="宋体" w:cs="宋体" w:eastAsia="宋体" w:hint="default"/>
        </w:rPr>
        <w:t>166,469,886.06</w:t>
      </w:r>
      <w:r>
        <w:rPr/>
        <w:t>元，占</w:t>
      </w:r>
      <w:r>
        <w:rPr>
          <w:rFonts w:ascii="宋体" w:hAnsi="宋体" w:cs="宋体" w:eastAsia="宋体" w:hint="default"/>
        </w:rPr>
        <w:t>2012</w:t>
      </w:r>
      <w:r>
        <w:rPr/>
        <w:t>年度营业收入的</w:t>
      </w:r>
      <w:r>
        <w:rPr>
          <w:w w:val="100"/>
        </w:rPr>
        <w:t> </w:t>
      </w:r>
      <w:r>
        <w:rPr>
          <w:rFonts w:ascii="宋体" w:hAnsi="宋体" w:cs="宋体" w:eastAsia="宋体" w:hint="default"/>
          <w:spacing w:val="-2"/>
        </w:rPr>
        <w:t>18.82%</w:t>
      </w:r>
      <w:r>
        <w:rPr>
          <w:spacing w:val="-2"/>
        </w:rPr>
        <w:t>，其中研发费用</w:t>
      </w:r>
      <w:r>
        <w:rPr>
          <w:rFonts w:ascii="宋体" w:hAnsi="宋体" w:cs="宋体" w:eastAsia="宋体" w:hint="default"/>
          <w:spacing w:val="-2"/>
        </w:rPr>
        <w:t>61797054.66</w:t>
      </w:r>
      <w:r>
        <w:rPr>
          <w:spacing w:val="-2"/>
        </w:rPr>
        <w:t>元，募集资金投入行业产品研发总计</w:t>
      </w:r>
      <w:r>
        <w:rPr>
          <w:rFonts w:ascii="宋体" w:hAnsi="宋体" w:cs="宋体" w:eastAsia="宋体" w:hint="default"/>
          <w:spacing w:val="-2"/>
        </w:rPr>
        <w:t>104672831.4</w:t>
      </w:r>
      <w:r>
        <w:rPr>
          <w:spacing w:val="-2"/>
        </w:rPr>
        <w:t>元。</w:t>
      </w:r>
      <w:r>
        <w:rPr>
          <w:rFonts w:ascii="宋体" w:hAnsi="宋体" w:cs="宋体" w:eastAsia="宋体" w:hint="default"/>
          <w:spacing w:val="-2"/>
        </w:rPr>
        <w:t>2011</w:t>
      </w:r>
      <w:r>
        <w:rPr>
          <w:spacing w:val="-2"/>
        </w:rPr>
        <w:t>年度公司总</w:t>
      </w:r>
      <w:r>
        <w:rPr>
          <w:spacing w:val="-13"/>
        </w:rPr>
        <w:t> </w:t>
      </w:r>
      <w:r>
        <w:rPr>
          <w:spacing w:val="-13"/>
        </w:rPr>
      </w:r>
      <w:r>
        <w:rPr/>
        <w:t>研发投入</w:t>
      </w:r>
      <w:r>
        <w:rPr>
          <w:rFonts w:ascii="宋体" w:hAnsi="宋体" w:cs="宋体" w:eastAsia="宋体" w:hint="default"/>
        </w:rPr>
        <w:t>113624399.64</w:t>
      </w:r>
      <w:r>
        <w:rPr/>
        <w:t>元，占</w:t>
      </w:r>
      <w:r>
        <w:rPr>
          <w:rFonts w:ascii="宋体" w:hAnsi="宋体" w:cs="宋体" w:eastAsia="宋体" w:hint="default"/>
        </w:rPr>
        <w:t>2011</w:t>
      </w:r>
      <w:r>
        <w:rPr/>
        <w:t>年度营业收入的</w:t>
      </w:r>
      <w:r>
        <w:rPr>
          <w:rFonts w:ascii="宋体" w:hAnsi="宋体" w:cs="宋体" w:eastAsia="宋体" w:hint="default"/>
        </w:rPr>
        <w:t>16.35%</w:t>
      </w:r>
      <w:r>
        <w:rPr/>
        <w:t>，其中研发费用</w:t>
      </w:r>
      <w:r>
        <w:rPr>
          <w:rFonts w:ascii="宋体" w:hAnsi="宋体" w:cs="宋体" w:eastAsia="宋体" w:hint="default"/>
        </w:rPr>
        <w:t>56874615.24</w:t>
      </w:r>
      <w:r>
        <w:rPr/>
        <w:t>元，募集资金投入</w:t>
      </w:r>
      <w:r>
        <w:rPr>
          <w:w w:val="100"/>
        </w:rPr>
        <w:t> </w:t>
      </w:r>
      <w:r>
        <w:rPr>
          <w:spacing w:val="-2"/>
        </w:rPr>
        <w:t>行业产品研发总计</w:t>
      </w:r>
      <w:r>
        <w:rPr>
          <w:rFonts w:ascii="宋体" w:hAnsi="宋体" w:cs="宋体" w:eastAsia="宋体" w:hint="default"/>
          <w:spacing w:val="-2"/>
        </w:rPr>
        <w:t>56749784.4</w:t>
      </w:r>
      <w:r>
        <w:rPr>
          <w:spacing w:val="-2"/>
        </w:rPr>
        <w:t>元。</w:t>
      </w:r>
      <w:r>
        <w:rPr>
          <w:rFonts w:ascii="宋体" w:hAnsi="宋体" w:cs="宋体" w:eastAsia="宋体" w:hint="default"/>
          <w:spacing w:val="-2"/>
        </w:rPr>
        <w:t>2012</w:t>
      </w:r>
      <w:r>
        <w:rPr>
          <w:spacing w:val="-2"/>
        </w:rPr>
        <w:t>年度比上一年度研发投入增加明显，募集资金投入的产品研发项目</w:t>
      </w:r>
      <w:r>
        <w:rPr>
          <w:spacing w:val="-32"/>
        </w:rPr>
        <w:t> </w:t>
      </w:r>
      <w:r>
        <w:rPr>
          <w:spacing w:val="-32"/>
        </w:rPr>
      </w:r>
      <w:r>
        <w:rPr/>
        <w:t>已经在</w:t>
      </w:r>
      <w:r>
        <w:rPr>
          <w:rFonts w:ascii="宋体" w:hAnsi="宋体" w:cs="宋体" w:eastAsia="宋体" w:hint="default"/>
        </w:rPr>
        <w:t>2012</w:t>
      </w:r>
      <w:r>
        <w:rPr/>
        <w:t>年度完成了</w:t>
      </w:r>
      <w:r>
        <w:rPr>
          <w:rFonts w:ascii="宋体" w:hAnsi="宋体" w:cs="宋体" w:eastAsia="宋体" w:hint="default"/>
        </w:rPr>
        <w:t>3</w:t>
      </w:r>
      <w:r>
        <w:rPr/>
        <w:t>个行业产品的开发，均为主营业务领域的重要产品，将为公司未来的业务扩展带</w:t>
      </w:r>
      <w:r>
        <w:rPr>
          <w:w w:val="100"/>
        </w:rPr>
        <w:t> </w:t>
      </w:r>
      <w:r>
        <w:rPr>
          <w:spacing w:val="-2"/>
        </w:rPr>
        <w:t>来更多的营业收入；公司研发力量还研究了基于移动技术、基于物联网技术的各类信息技术基础，研究了</w:t>
      </w:r>
      <w:r>
        <w:rPr>
          <w:spacing w:val="-43"/>
        </w:rPr>
        <w:t> </w:t>
      </w:r>
      <w:r>
        <w:rPr>
          <w:spacing w:val="-43"/>
        </w:rPr>
      </w:r>
      <w:r>
        <w:rPr/>
        <w:t>新业务的各类模型架构，也积累了一系列的相关知识产权。</w:t>
      </w:r>
    </w:p>
    <w:p>
      <w:pPr>
        <w:pStyle w:val="BodyText"/>
        <w:spacing w:line="240" w:lineRule="auto" w:before="46"/>
        <w:ind w:left="678" w:right="0"/>
        <w:jc w:val="left"/>
      </w:pPr>
      <w:r>
        <w:rPr/>
        <w:t>公司将一如既往地关注新领域新技术的发展，与国际领先的技术水准同步。</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947"/>
        <w:gridCol w:w="1456"/>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166,469,886.06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113,624,399.64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52,940,783.01</w:t>
            </w:r>
          </w:p>
        </w:tc>
      </w:tr>
      <w:tr>
        <w:trPr>
          <w:trHeight w:val="403" w:hRule="exact"/>
        </w:trPr>
        <w:tc>
          <w:tcPr>
            <w:tcW w:w="236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947" w:type="dxa"/>
            <w:tcBorders>
              <w:top w:val="single" w:sz="4" w:space="0" w:color="000000"/>
              <w:left w:val="single" w:sz="23" w:space="0" w:color="FFFFFF"/>
              <w:bottom w:val="single" w:sz="4" w:space="0" w:color="000000"/>
              <w:right w:val="nil" w:sz="6" w:space="0" w:color="auto"/>
            </w:tcBorders>
          </w:tcPr>
          <w:p>
            <w:pPr/>
          </w:p>
        </w:tc>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75" w:right="0"/>
              <w:jc w:val="left"/>
              <w:rPr>
                <w:rFonts w:ascii="Times New Roman" w:hAnsi="Times New Roman" w:cs="Times New Roman" w:eastAsia="Times New Roman" w:hint="default"/>
                <w:sz w:val="18"/>
                <w:szCs w:val="18"/>
              </w:rPr>
            </w:pPr>
            <w:r>
              <w:rPr>
                <w:rFonts w:ascii="Times New Roman"/>
                <w:sz w:val="18"/>
              </w:rPr>
              <w:t>18.82%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4"/>
        <w:spacing w:line="240" w:lineRule="auto" w:before="36"/>
        <w:ind w:right="0"/>
        <w:jc w:val="left"/>
        <w:rPr>
          <w:b w:val="0"/>
          <w:bCs w:val="0"/>
        </w:rPr>
      </w:pPr>
      <w:r>
        <w:rPr/>
        <w:pict>
          <v:shape style="position:absolute;margin-left:170.300003pt;margin-top:-56.13633pt;width:124.25pt;height:19.7pt;mso-position-horizontal-relative:page;mso-position-vertical-relative:paragraph;z-index:-107723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77.740005pt;margin-top:-56.13633pt;width:116.8pt;height:19.7pt;mso-position-horizontal-relative:page;mso-position-vertical-relative:paragraph;z-index:-1077208" coordorigin="3555,-1123" coordsize="2336,394">
            <v:shape style="position:absolute;left:3555;top:-1123;width:2336;height:394" coordorigin="3555,-1123" coordsize="2336,394" path="m3555,-729l5890,-729,5890,-1123,3555,-1123,3555,-729xe" filled="true" fillcolor="#ffffff" stroked="false">
              <v:path arrowok="t"/>
              <v:fill type="solid"/>
            </v:shape>
            <w10:wrap type="none"/>
          </v:group>
        </w:pict>
      </w:r>
      <w:r>
        <w:rPr/>
        <w:t>（</w:t>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1,000,994,325.23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701,248,034.47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42.74%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940,024,341.70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685,920,859.62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37.05%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60,969,983.53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15,327,174.85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297.79%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385,816.56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373,118.49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155,010,228.81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90,124,742.83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-154,624,412.25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-89,751,624.34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-72.28%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947,125,000.00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-80.71%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176,488,198.09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178,157,004.61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6,241,801.91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768,967,995.39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-99.19%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-87,415,404.64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694,509,099.16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-112.59%</w:t>
            </w:r>
            <w:r>
              <w:rPr>
                <w:rFonts w:ascii="Times New Roman"/>
                <w:spacing w:val="-1"/>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经营活动现金流入金同比增加</w:t>
      </w:r>
      <w:r>
        <w:rPr>
          <w:rFonts w:ascii="Times New Roman" w:hAnsi="Times New Roman" w:cs="Times New Roman" w:eastAsia="Times New Roman" w:hint="default"/>
          <w:sz w:val="18"/>
          <w:szCs w:val="18"/>
        </w:rPr>
        <w:t>42.74%,</w:t>
      </w:r>
      <w:r>
        <w:rPr>
          <w:rFonts w:ascii="宋体" w:hAnsi="宋体" w:cs="宋体" w:eastAsia="宋体" w:hint="default"/>
          <w:sz w:val="18"/>
          <w:szCs w:val="18"/>
        </w:rPr>
        <w:t>主要为本报告期内公司收入增加和加速销售回款的措施。</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经营活动现金流出同比增加</w:t>
      </w:r>
      <w:r>
        <w:rPr>
          <w:rFonts w:ascii="Times New Roman" w:hAnsi="Times New Roman" w:cs="Times New Roman" w:eastAsia="Times New Roman" w:hint="default"/>
          <w:sz w:val="18"/>
          <w:szCs w:val="18"/>
        </w:rPr>
        <w:t>37.05%,</w:t>
      </w:r>
      <w:r>
        <w:rPr>
          <w:rFonts w:ascii="宋体" w:hAnsi="宋体" w:cs="宋体" w:eastAsia="宋体" w:hint="default"/>
          <w:sz w:val="18"/>
          <w:szCs w:val="18"/>
        </w:rPr>
        <w:t>主要为本报告期内公司收入增加而相应外部采购，劳务和期间费用增加所致。</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投资活动现金流出同比增加</w:t>
      </w:r>
      <w:r>
        <w:rPr>
          <w:rFonts w:ascii="Times New Roman" w:hAnsi="Times New Roman" w:cs="Times New Roman" w:eastAsia="Times New Roman" w:hint="default"/>
          <w:sz w:val="18"/>
          <w:szCs w:val="18"/>
        </w:rPr>
        <w:t>72.00%,</w:t>
      </w:r>
      <w:r>
        <w:rPr>
          <w:rFonts w:ascii="宋体" w:hAnsi="宋体" w:cs="宋体" w:eastAsia="宋体" w:hint="default"/>
          <w:sz w:val="18"/>
          <w:szCs w:val="18"/>
        </w:rPr>
        <w:t>主要为本报告期内公司募投项目及相关资产投资增加所致。</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筹资活动现金流入同比下降</w:t>
      </w:r>
      <w:r>
        <w:rPr>
          <w:rFonts w:ascii="Times New Roman" w:hAnsi="Times New Roman" w:cs="Times New Roman" w:eastAsia="Times New Roman" w:hint="default"/>
          <w:sz w:val="18"/>
          <w:szCs w:val="18"/>
        </w:rPr>
        <w:t>80.71%</w:t>
      </w:r>
      <w:r>
        <w:rPr>
          <w:rFonts w:ascii="宋体" w:hAnsi="宋体" w:cs="宋体" w:eastAsia="宋体" w:hint="default"/>
          <w:sz w:val="18"/>
          <w:szCs w:val="18"/>
        </w:rPr>
        <w:t>，主要为上期公司上市发行新股增加募集资金所致。</w:t>
      </w:r>
    </w:p>
    <w:p>
      <w:pPr>
        <w:spacing w:line="300" w:lineRule="auto" w:before="63"/>
        <w:ind w:left="152" w:right="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现金及现金等价物净增加额同比下降</w:t>
      </w:r>
      <w:r>
        <w:rPr>
          <w:rFonts w:ascii="Times New Roman" w:hAnsi="Times New Roman" w:cs="Times New Roman" w:eastAsia="Times New Roman" w:hint="default"/>
          <w:sz w:val="18"/>
          <w:szCs w:val="18"/>
        </w:rPr>
        <w:t>112.59%</w:t>
      </w:r>
      <w:r>
        <w:rPr>
          <w:rFonts w:ascii="宋体" w:hAnsi="宋体" w:cs="宋体" w:eastAsia="宋体" w:hint="default"/>
          <w:sz w:val="18"/>
          <w:szCs w:val="18"/>
        </w:rPr>
        <w:t>，主要为上期公司上市发行新股增加募集资金，而本告期内公司增加募投项 目投资和相关资产投资增加共同影响所致。</w:t>
      </w:r>
    </w:p>
    <w:p>
      <w:pPr>
        <w:spacing w:line="240" w:lineRule="auto" w:before="0"/>
        <w:rPr>
          <w:rFonts w:ascii="宋体" w:hAnsi="宋体" w:cs="宋体" w:eastAsia="宋体" w:hint="default"/>
          <w:sz w:val="18"/>
          <w:szCs w:val="18"/>
        </w:rPr>
      </w:pPr>
    </w:p>
    <w:p>
      <w:pPr>
        <w:spacing w:before="148"/>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0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5"/>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221,015,835.40</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24.98%</w:t>
            </w:r>
          </w:p>
        </w:tc>
      </w:tr>
    </w:tbl>
    <w:p>
      <w:pPr>
        <w:spacing w:before="49"/>
        <w:ind w:left="152" w:right="100"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38" w:lineRule="auto" w:before="103"/>
        <w:ind w:left="152" w:right="8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104,557,672.72</w:t>
            </w:r>
          </w:p>
        </w:tc>
      </w:tr>
      <w:tr>
        <w:trPr>
          <w:trHeight w:val="401"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20.78%</w:t>
            </w:r>
          </w:p>
        </w:tc>
      </w:tr>
    </w:tbl>
    <w:p>
      <w:pPr>
        <w:spacing w:before="49"/>
        <w:ind w:left="152" w:right="100" w:firstLine="0"/>
        <w:jc w:val="left"/>
        <w:rPr>
          <w:rFonts w:ascii="宋体" w:hAnsi="宋体" w:cs="宋体" w:eastAsia="宋体" w:hint="default"/>
          <w:sz w:val="18"/>
          <w:szCs w:val="18"/>
        </w:rPr>
      </w:pPr>
      <w:r>
        <w:rPr/>
        <w:pict>
          <v:shape style="position:absolute;margin-left:263.570007pt;margin-top:-20.06831pt;width:270.2pt;height:19.6pt;mso-position-horizontal-relative:page;mso-position-vertical-relative:paragraph;z-index:-107718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71.010010pt;margin-top:-20.06831pt;width:262.75pt;height:19.6pt;mso-position-horizontal-relative:page;mso-position-vertical-relative:paragraph;z-index:-1077160" coordorigin="5420,-401" coordsize="5255,392">
            <v:shape style="position:absolute;left:5420;top:-401;width:5255;height:392" coordorigin="5420,-401" coordsize="5255,392" path="m5420,-10l10675,-10,10675,-401,5420,-401,5420,-10xe" filled="true" fillcolor="#ffffff" stroked="false">
              <v:path arrowok="t"/>
              <v:fill type="solid"/>
            </v:shape>
            <w10:wrap type="none"/>
          </v:group>
        </w:pict>
      </w:r>
      <w:r>
        <w:rPr>
          <w:rFonts w:ascii="宋体" w:hAnsi="宋体" w:cs="宋体" w:eastAsia="宋体" w:hint="default"/>
          <w:sz w:val="18"/>
          <w:szCs w:val="18"/>
        </w:rPr>
        <w:t>向单一供应商采购比例超过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3"/>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00"/>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4"/>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首次公开发行招股说明书中披露的未来发展与规划在本报告期的实施情况</w:t>
      </w:r>
    </w:p>
    <w:p>
      <w:pPr>
        <w:spacing w:before="117"/>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left="482" w:right="100" w:firstLine="103"/>
        <w:jc w:val="left"/>
      </w:pPr>
      <w:r>
        <w:rPr/>
        <w:t>万达信息在首次公开发行的招股说明书中，明确了公司的五大战略目标：</w:t>
      </w:r>
      <w:r>
        <w:rPr>
          <w:w w:val="100"/>
        </w:rPr>
        <w:t> </w:t>
      </w:r>
      <w:r>
        <w:rPr/>
        <w:t>一、是要将行业做深做透，市场地域做大做广。集中力量在城市信息化的社会保障、卫生服务等优势</w:t>
      </w:r>
    </w:p>
    <w:p>
      <w:pPr>
        <w:pStyle w:val="BodyText"/>
        <w:spacing w:line="408" w:lineRule="auto" w:before="46"/>
        <w:ind w:right="100"/>
        <w:jc w:val="left"/>
      </w:pPr>
      <w:r>
        <w:rPr>
          <w:spacing w:val="-2"/>
        </w:rPr>
        <w:t>行业继续做强做深，将成熟的行业性应用产品和解决方案向全国和全球进行推广，继续保持在这些细分行</w:t>
      </w:r>
      <w:r>
        <w:rPr>
          <w:spacing w:val="-42"/>
        </w:rPr>
        <w:t> </w:t>
      </w:r>
      <w:r>
        <w:rPr>
          <w:spacing w:val="-42"/>
        </w:rPr>
      </w:r>
      <w:r>
        <w:rPr/>
        <w:t>业中的领导地位，扩大领先优势。</w:t>
      </w:r>
    </w:p>
    <w:p>
      <w:pPr>
        <w:pStyle w:val="BodyText"/>
        <w:spacing w:line="386" w:lineRule="auto" w:before="46"/>
        <w:ind w:right="100" w:firstLine="329"/>
        <w:jc w:val="left"/>
      </w:pPr>
      <w:r>
        <w:rPr>
          <w:rFonts w:ascii="Times New Roman" w:hAnsi="Times New Roman" w:cs="Times New Roman" w:eastAsia="Times New Roman" w:hint="default"/>
        </w:rPr>
        <w:t>2011</w:t>
      </w:r>
      <w:r>
        <w:rPr/>
        <w:t>年上市以来，公司在以医疗卫生为首的优势行业中业务进一步拓展，成为全国行业龙头，在数据</w:t>
      </w:r>
      <w:r>
        <w:rPr>
          <w:w w:val="100"/>
        </w:rPr>
        <w:t> </w:t>
      </w:r>
      <w:r>
        <w:rPr/>
        <w:t>规范、国家标准、智慧应用等方面均成为了行业的领导者。</w:t>
      </w:r>
    </w:p>
    <w:p>
      <w:pPr>
        <w:pStyle w:val="BodyText"/>
        <w:spacing w:line="398" w:lineRule="auto" w:before="65"/>
        <w:ind w:right="100" w:firstLine="329"/>
        <w:jc w:val="left"/>
      </w:pPr>
      <w:r>
        <w:rPr/>
        <w:t>二、是要创新开拓新领域。在公司统一的基于</w:t>
      </w:r>
      <w:r>
        <w:rPr>
          <w:rFonts w:ascii="Times New Roman" w:hAnsi="Times New Roman" w:cs="Times New Roman" w:eastAsia="Times New Roman" w:hint="default"/>
        </w:rPr>
        <w:t>SOA</w:t>
      </w:r>
      <w:r>
        <w:rPr/>
        <w:t>创新研制的高复用架构平台的基础上，继续积极拓</w:t>
      </w:r>
      <w:r>
        <w:rPr>
          <w:w w:val="100"/>
        </w:rPr>
        <w:t> </w:t>
      </w:r>
      <w:r>
        <w:rPr>
          <w:spacing w:val="-5"/>
        </w:rPr>
        <w:t>展城市信息化的其它应用行业。公司已经在科技教育、环境保护等细分行业中，确定了新的行业龙头地位， </w:t>
      </w:r>
      <w:r>
        <w:rPr>
          <w:spacing w:val="-5"/>
        </w:rPr>
      </w:r>
      <w:r>
        <w:rPr/>
        <w:t>业务拓展走向全国。</w:t>
      </w:r>
    </w:p>
    <w:p>
      <w:pPr>
        <w:pStyle w:val="BodyText"/>
        <w:spacing w:line="408" w:lineRule="auto" w:before="54"/>
        <w:ind w:right="100" w:firstLine="329"/>
        <w:jc w:val="left"/>
      </w:pPr>
      <w:r>
        <w:rPr/>
        <w:t>三、是要进行业务模式创新。保持技术创新研发的投入比率，紧密跟踪国际软件技术发展动向，加强</w:t>
      </w:r>
      <w:r>
        <w:rPr>
          <w:w w:val="100"/>
        </w:rPr>
        <w:t> </w:t>
      </w:r>
      <w:r>
        <w:rPr/>
        <w:t>技术与业务的结合。</w:t>
      </w:r>
    </w:p>
    <w:p>
      <w:pPr>
        <w:pStyle w:val="BodyText"/>
        <w:spacing w:line="386" w:lineRule="auto" w:before="46"/>
        <w:ind w:right="100" w:firstLine="329"/>
        <w:jc w:val="left"/>
      </w:pPr>
      <w:r>
        <w:rPr>
          <w:rFonts w:ascii="Times New Roman" w:hAnsi="Times New Roman" w:cs="Times New Roman" w:eastAsia="Times New Roman" w:hint="default"/>
        </w:rPr>
        <w:t>2012</w:t>
      </w:r>
      <w:r>
        <w:rPr/>
        <w:t>年，公司投资设立了以运营服务为商务模式的上海万达全程健康服务有限公司，在物联网先进技</w:t>
      </w:r>
      <w:r>
        <w:rPr>
          <w:w w:val="100"/>
        </w:rPr>
        <w:t> </w:t>
      </w:r>
      <w:r>
        <w:rPr/>
        <w:t>术的支持下，为民众提供健康服务。</w:t>
      </w:r>
    </w:p>
    <w:p>
      <w:pPr>
        <w:pStyle w:val="BodyText"/>
        <w:spacing w:line="408" w:lineRule="auto" w:before="65"/>
        <w:ind w:right="206" w:firstLine="329"/>
        <w:jc w:val="both"/>
      </w:pPr>
      <w:r>
        <w:rPr/>
        <w:t>四、是要通过收购兼并，快速扩大规模，提高公司的综合竞争力。在条件成熟的情况下，重点对于两</w:t>
      </w:r>
      <w:r>
        <w:rPr>
          <w:w w:val="100"/>
        </w:rPr>
        <w:t> </w:t>
      </w:r>
      <w:r>
        <w:rPr>
          <w:spacing w:val="-2"/>
        </w:rPr>
        <w:t>类企业进行收购兼并或投资参股，一种是有利于扩大公司销售规模和服务能力的地域伙伴，另一种是有利</w:t>
      </w:r>
      <w:r>
        <w:rPr>
          <w:spacing w:val="-42"/>
        </w:rPr>
        <w:t> </w:t>
      </w:r>
      <w:r>
        <w:rPr>
          <w:spacing w:val="-42"/>
        </w:rPr>
      </w:r>
      <w:r>
        <w:rPr/>
        <w:t>于提高公司核心技术能力或完善公司产品线的技术伙伴，从而实现公司的跨越式发展；</w:t>
      </w:r>
    </w:p>
    <w:p>
      <w:pPr>
        <w:pStyle w:val="BodyText"/>
        <w:spacing w:line="240" w:lineRule="auto" w:before="46"/>
        <w:ind w:left="482" w:right="100"/>
        <w:jc w:val="left"/>
      </w:pPr>
      <w:r>
        <w:rPr/>
        <w:t>报告期内，公司投资收购了西藏万达华波美信息技术有限公司，为新的区域拓展助力。</w:t>
      </w:r>
    </w:p>
    <w:p>
      <w:pPr>
        <w:spacing w:after="0" w:line="24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5"/>
        <w:ind w:left="482" w:right="100"/>
        <w:jc w:val="left"/>
      </w:pPr>
      <w:r>
        <w:rPr/>
        <w:t>五、是要积极拓展国际业务，实现走向世界的目标。</w:t>
      </w:r>
    </w:p>
    <w:p>
      <w:pPr>
        <w:spacing w:line="240" w:lineRule="auto" w:before="10"/>
        <w:rPr>
          <w:rFonts w:ascii="宋体" w:hAnsi="宋体" w:cs="宋体" w:eastAsia="宋体" w:hint="default"/>
          <w:sz w:val="14"/>
          <w:szCs w:val="14"/>
        </w:rPr>
      </w:pPr>
    </w:p>
    <w:p>
      <w:pPr>
        <w:pStyle w:val="BodyText"/>
        <w:spacing w:line="398" w:lineRule="auto"/>
        <w:ind w:right="185" w:firstLine="329"/>
        <w:jc w:val="both"/>
      </w:pPr>
      <w:r>
        <w:rPr>
          <w:rFonts w:ascii="Times New Roman" w:hAnsi="Times New Roman" w:cs="Times New Roman" w:eastAsia="Times New Roman" w:hint="default"/>
        </w:rPr>
        <w:t>2012</w:t>
      </w:r>
      <w:r>
        <w:rPr/>
        <w:t>年，公司进一步发挥美国子公司的技术窗口作用，保持与国际先进技术的同步，加强国际国内技</w:t>
      </w:r>
      <w:r>
        <w:rPr>
          <w:w w:val="100"/>
        </w:rPr>
        <w:t> </w:t>
      </w:r>
      <w:r>
        <w:rPr>
          <w:spacing w:val="-2"/>
        </w:rPr>
        <w:t>术体系的结合。对于公司的一些优势行业产品和解决方案，探索进行国际化开发，开拓发展中国家市场，</w:t>
      </w:r>
      <w:r>
        <w:rPr>
          <w:spacing w:val="-21"/>
        </w:rPr>
        <w:t> </w:t>
      </w:r>
      <w:r>
        <w:rPr>
          <w:spacing w:val="-21"/>
        </w:rPr>
      </w:r>
      <w:r>
        <w:rPr/>
        <w:t>稳步实现公司成为国际软件与服务产业的优秀企业的目标。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spacing w:line="240" w:lineRule="auto" w:before="1"/>
        <w:rPr>
          <w:rFonts w:ascii="宋体" w:hAnsi="宋体" w:cs="宋体" w:eastAsia="宋体" w:hint="default"/>
          <w:sz w:val="13"/>
          <w:szCs w:val="13"/>
        </w:rPr>
      </w:pPr>
    </w:p>
    <w:p>
      <w:pPr>
        <w:pStyle w:val="BodyText"/>
        <w:spacing w:line="408" w:lineRule="auto"/>
        <w:ind w:right="211" w:firstLine="329"/>
        <w:jc w:val="both"/>
      </w:pPr>
      <w:r>
        <w:rPr/>
        <w:t>公司前期已披露了未来三年的经营计划，确定未来三年的战略目标是继续以公共事务为核心，致力于</w:t>
      </w:r>
      <w:r>
        <w:rPr>
          <w:w w:val="100"/>
        </w:rPr>
        <w:t> </w:t>
      </w:r>
      <w:r>
        <w:rPr>
          <w:spacing w:val="-2"/>
        </w:rPr>
        <w:t>推进城市信息化进程，成为一家专业领先、服务卓越、在多个领域占据市场优势地位、主要经济指标的年</w:t>
      </w:r>
      <w:r>
        <w:rPr>
          <w:spacing w:val="-50"/>
        </w:rPr>
        <w:t> </w:t>
      </w:r>
      <w:r>
        <w:rPr>
          <w:spacing w:val="-50"/>
        </w:rPr>
      </w:r>
      <w:r>
        <w:rPr/>
        <w:t>复合增长率达到</w:t>
      </w:r>
      <w:r>
        <w:rPr>
          <w:rFonts w:ascii="Times New Roman" w:hAnsi="Times New Roman" w:cs="Times New Roman" w:eastAsia="Times New Roman" w:hint="default"/>
        </w:rPr>
        <w:t>30%</w:t>
      </w:r>
      <w:r>
        <w:rPr/>
        <w:t>以上、在全国范围内具有影响力的著名企业。</w:t>
      </w:r>
    </w:p>
    <w:p>
      <w:pPr>
        <w:pStyle w:val="BodyText"/>
        <w:spacing w:line="386" w:lineRule="auto" w:before="14"/>
        <w:ind w:right="156" w:firstLine="329"/>
        <w:jc w:val="both"/>
      </w:pPr>
      <w:r>
        <w:rPr>
          <w:spacing w:val="-2"/>
        </w:rPr>
        <w:t>公司</w:t>
      </w:r>
      <w:r>
        <w:rPr>
          <w:rFonts w:ascii="Times New Roman" w:hAnsi="Times New Roman" w:cs="Times New Roman" w:eastAsia="Times New Roman" w:hint="default"/>
          <w:spacing w:val="-2"/>
        </w:rPr>
        <w:t>2012</w:t>
      </w:r>
      <w:r>
        <w:rPr>
          <w:spacing w:val="-2"/>
        </w:rPr>
        <w:t>年度实现营业收入</w:t>
      </w:r>
      <w:r>
        <w:rPr>
          <w:rFonts w:ascii="Times New Roman" w:hAnsi="Times New Roman" w:cs="Times New Roman" w:eastAsia="Times New Roman" w:hint="default"/>
          <w:spacing w:val="-2"/>
        </w:rPr>
        <w:t>884,744,328.70</w:t>
      </w:r>
      <w:r>
        <w:rPr>
          <w:spacing w:val="-2"/>
        </w:rPr>
        <w:t>元，较</w:t>
      </w:r>
      <w:r>
        <w:rPr>
          <w:rFonts w:ascii="Times New Roman" w:hAnsi="Times New Roman" w:cs="Times New Roman" w:eastAsia="Times New Roman" w:hint="default"/>
          <w:spacing w:val="-2"/>
        </w:rPr>
        <w:t>2011</w:t>
      </w:r>
      <w:r>
        <w:rPr>
          <w:spacing w:val="-2"/>
        </w:rPr>
        <w:t>年增长</w:t>
      </w:r>
      <w:r>
        <w:rPr>
          <w:rFonts w:ascii="Times New Roman" w:hAnsi="Times New Roman" w:cs="Times New Roman" w:eastAsia="Times New Roman" w:hint="default"/>
          <w:spacing w:val="-2"/>
        </w:rPr>
        <w:t>27.33%</w:t>
      </w:r>
      <w:r>
        <w:rPr>
          <w:spacing w:val="-2"/>
        </w:rPr>
        <w:t>，净利润</w:t>
      </w:r>
      <w:r>
        <w:rPr>
          <w:rFonts w:ascii="Times New Roman" w:hAnsi="Times New Roman" w:cs="Times New Roman" w:eastAsia="Times New Roman" w:hint="default"/>
          <w:spacing w:val="-2"/>
        </w:rPr>
        <w:t>111,436,631.79</w:t>
      </w:r>
      <w:r>
        <w:rPr>
          <w:spacing w:val="-2"/>
        </w:rPr>
        <w:t>元，较</w:t>
      </w:r>
      <w:r>
        <w:rPr>
          <w:rFonts w:ascii="Times New Roman" w:hAnsi="Times New Roman" w:cs="Times New Roman" w:eastAsia="Times New Roman" w:hint="default"/>
          <w:spacing w:val="-2"/>
        </w:rPr>
        <w:t>2011</w:t>
      </w:r>
      <w:r>
        <w:rPr>
          <w:rFonts w:ascii="Times New Roman" w:hAnsi="Times New Roman" w:cs="Times New Roman" w:eastAsia="Times New Roman" w:hint="default"/>
          <w:w w:val="100"/>
        </w:rPr>
        <w:t> </w:t>
      </w:r>
      <w:r>
        <w:rPr>
          <w:spacing w:val="-1"/>
        </w:rPr>
        <w:t>年增长</w:t>
      </w:r>
      <w:r>
        <w:rPr>
          <w:rFonts w:ascii="Times New Roman" w:hAnsi="Times New Roman" w:cs="Times New Roman" w:eastAsia="Times New Roman" w:hint="default"/>
          <w:spacing w:val="-1"/>
        </w:rPr>
        <w:t>36.21%</w:t>
      </w:r>
      <w:r>
        <w:rPr>
          <w:spacing w:val="-1"/>
        </w:rPr>
        <w:t>；</w:t>
      </w:r>
      <w:r>
        <w:rPr>
          <w:rFonts w:ascii="Times New Roman" w:hAnsi="Times New Roman" w:cs="Times New Roman" w:eastAsia="Times New Roman" w:hint="default"/>
          <w:spacing w:val="-1"/>
        </w:rPr>
        <w:t>2011</w:t>
      </w:r>
      <w:r>
        <w:rPr>
          <w:spacing w:val="-1"/>
        </w:rPr>
        <w:t>年度实现营业收入</w:t>
      </w:r>
      <w:r>
        <w:rPr>
          <w:rFonts w:ascii="Times New Roman" w:hAnsi="Times New Roman" w:cs="Times New Roman" w:eastAsia="Times New Roman" w:hint="default"/>
          <w:spacing w:val="-1"/>
        </w:rPr>
        <w:t>694,826,688.38</w:t>
      </w:r>
      <w:r>
        <w:rPr>
          <w:spacing w:val="-1"/>
        </w:rPr>
        <w:t>元，较</w:t>
      </w:r>
      <w:r>
        <w:rPr>
          <w:rFonts w:ascii="Times New Roman" w:hAnsi="Times New Roman" w:cs="Times New Roman" w:eastAsia="Times New Roman" w:hint="default"/>
          <w:spacing w:val="-1"/>
        </w:rPr>
        <w:t>2010</w:t>
      </w:r>
      <w:r>
        <w:rPr>
          <w:spacing w:val="-1"/>
        </w:rPr>
        <w:t>年增长</w:t>
      </w:r>
      <w:r>
        <w:rPr>
          <w:rFonts w:ascii="Times New Roman" w:hAnsi="Times New Roman" w:cs="Times New Roman" w:eastAsia="Times New Roman" w:hint="default"/>
          <w:spacing w:val="-1"/>
        </w:rPr>
        <w:t>40.89%</w:t>
      </w:r>
      <w:r>
        <w:rPr>
          <w:spacing w:val="-1"/>
        </w:rPr>
        <w:t>，净利润</w:t>
      </w:r>
      <w:r>
        <w:rPr>
          <w:rFonts w:ascii="Times New Roman" w:hAnsi="Times New Roman" w:cs="Times New Roman" w:eastAsia="Times New Roman" w:hint="default"/>
          <w:spacing w:val="-1"/>
        </w:rPr>
        <w:t>81,815,033.64</w:t>
      </w:r>
      <w:r>
        <w:rPr>
          <w:spacing w:val="-1"/>
        </w:rPr>
        <w:t>元，</w:t>
      </w:r>
      <w:r>
        <w:rPr>
          <w:spacing w:val="-51"/>
        </w:rPr>
        <w:t> </w:t>
      </w:r>
      <w:r>
        <w:rPr>
          <w:spacing w:val="-5"/>
          <w:w w:val="100"/>
        </w:rPr>
        <w:t>较</w:t>
      </w:r>
      <w:r>
        <w:rPr>
          <w:rFonts w:ascii="Times New Roman" w:hAnsi="Times New Roman" w:cs="Times New Roman" w:eastAsia="Times New Roman" w:hint="default"/>
          <w:spacing w:val="-5"/>
          <w:w w:val="100"/>
        </w:rPr>
        <w:t>2010</w:t>
      </w:r>
      <w:r>
        <w:rPr>
          <w:spacing w:val="-5"/>
          <w:w w:val="100"/>
        </w:rPr>
        <w:t>年增长</w:t>
      </w:r>
      <w:r>
        <w:rPr>
          <w:rFonts w:ascii="Times New Roman" w:hAnsi="Times New Roman" w:cs="Times New Roman" w:eastAsia="Times New Roman" w:hint="default"/>
          <w:spacing w:val="-5"/>
          <w:w w:val="100"/>
        </w:rPr>
        <w:t>53.88%</w:t>
      </w:r>
      <w:r>
        <w:rPr>
          <w:spacing w:val="-5"/>
          <w:w w:val="100"/>
        </w:rPr>
        <w:t>；</w:t>
      </w:r>
      <w:r>
        <w:rPr>
          <w:rFonts w:ascii="Times New Roman" w:hAnsi="Times New Roman" w:cs="Times New Roman" w:eastAsia="Times New Roman" w:hint="default"/>
          <w:spacing w:val="-5"/>
          <w:w w:val="100"/>
        </w:rPr>
        <w:t>2010</w:t>
      </w:r>
      <w:r>
        <w:rPr>
          <w:spacing w:val="-5"/>
          <w:w w:val="100"/>
        </w:rPr>
        <w:t>年度实现营业收入</w:t>
      </w:r>
      <w:r>
        <w:rPr>
          <w:rFonts w:ascii="Times New Roman" w:hAnsi="Times New Roman" w:cs="Times New Roman" w:eastAsia="Times New Roman" w:hint="default"/>
          <w:spacing w:val="-5"/>
          <w:w w:val="100"/>
        </w:rPr>
        <w:t>493,178,593.23</w:t>
      </w:r>
      <w:r>
        <w:rPr>
          <w:spacing w:val="-5"/>
          <w:w w:val="100"/>
        </w:rPr>
        <w:t>元，较</w:t>
      </w:r>
      <w:r>
        <w:rPr>
          <w:rFonts w:ascii="Times New Roman" w:hAnsi="Times New Roman" w:cs="Times New Roman" w:eastAsia="Times New Roman" w:hint="default"/>
          <w:spacing w:val="-5"/>
          <w:w w:val="100"/>
        </w:rPr>
        <w:t>2009</w:t>
      </w:r>
      <w:r>
        <w:rPr>
          <w:spacing w:val="-5"/>
          <w:w w:val="100"/>
        </w:rPr>
        <w:t>年增长</w:t>
      </w:r>
      <w:r>
        <w:rPr>
          <w:rFonts w:ascii="Times New Roman" w:hAnsi="Times New Roman" w:cs="Times New Roman" w:eastAsia="Times New Roman" w:hint="default"/>
          <w:spacing w:val="-5"/>
          <w:w w:val="100"/>
        </w:rPr>
        <w:t>20.74%</w:t>
      </w:r>
      <w:r>
        <w:rPr>
          <w:spacing w:val="-5"/>
          <w:w w:val="100"/>
        </w:rPr>
        <w:t>，净利润</w:t>
      </w:r>
      <w:r>
        <w:rPr>
          <w:rFonts w:ascii="Times New Roman" w:hAnsi="Times New Roman" w:cs="Times New Roman" w:eastAsia="Times New Roman" w:hint="default"/>
          <w:spacing w:val="-5"/>
          <w:w w:val="100"/>
        </w:rPr>
        <w:t>53,167,734.77</w:t>
      </w:r>
      <w:r>
        <w:rPr>
          <w:rFonts w:ascii="Times New Roman" w:hAnsi="Times New Roman" w:cs="Times New Roman" w:eastAsia="Times New Roman" w:hint="default"/>
          <w:spacing w:val="-19"/>
          <w:w w:val="100"/>
        </w:rPr>
        <w:t> </w:t>
      </w:r>
      <w:r>
        <w:rPr>
          <w:rFonts w:ascii="Times New Roman" w:hAnsi="Times New Roman" w:cs="Times New Roman" w:eastAsia="Times New Roman" w:hint="default"/>
          <w:spacing w:val="-19"/>
          <w:w w:val="100"/>
        </w:rPr>
      </w:r>
      <w:r>
        <w:rPr/>
        <w:t>元，较</w:t>
      </w:r>
      <w:r>
        <w:rPr>
          <w:rFonts w:ascii="Times New Roman" w:hAnsi="Times New Roman" w:cs="Times New Roman" w:eastAsia="Times New Roman" w:hint="default"/>
        </w:rPr>
        <w:t>2009</w:t>
      </w:r>
      <w:r>
        <w:rPr/>
        <w:t>年增长</w:t>
      </w:r>
      <w:r>
        <w:rPr>
          <w:rFonts w:ascii="Times New Roman" w:hAnsi="Times New Roman" w:cs="Times New Roman" w:eastAsia="Times New Roman" w:hint="default"/>
        </w:rPr>
        <w:t>33.14%</w:t>
      </w:r>
      <w:r>
        <w:rPr/>
        <w:t>，主要经济指标的年复合增长率超过</w:t>
      </w:r>
      <w:r>
        <w:rPr>
          <w:rFonts w:ascii="Times New Roman" w:hAnsi="Times New Roman" w:cs="Times New Roman" w:eastAsia="Times New Roman" w:hint="default"/>
        </w:rPr>
        <w:t>30%</w:t>
      </w:r>
      <w:r>
        <w:rPr/>
        <w:t>。</w:t>
      </w:r>
    </w:p>
    <w:p>
      <w:pPr>
        <w:pStyle w:val="BodyText"/>
        <w:spacing w:line="408" w:lineRule="auto" w:before="35"/>
        <w:ind w:right="212" w:firstLine="329"/>
        <w:jc w:val="both"/>
      </w:pPr>
      <w:r>
        <w:rPr/>
        <w:t>根据三年经营计划，公司将着重开展人力资源发展规划、技术开发与创新计划、市场拓展计划、筹资</w:t>
      </w:r>
      <w:r>
        <w:rPr>
          <w:w w:val="100"/>
        </w:rPr>
        <w:t> </w:t>
      </w:r>
      <w:r>
        <w:rPr/>
        <w:t>计划等。</w:t>
      </w:r>
    </w:p>
    <w:p>
      <w:pPr>
        <w:pStyle w:val="BodyText"/>
        <w:spacing w:line="408" w:lineRule="auto" w:before="46"/>
        <w:ind w:left="482" w:right="198"/>
        <w:jc w:val="left"/>
      </w:pPr>
      <w:r>
        <w:rPr/>
        <w:t>（一）人力资源发展规划</w:t>
      </w:r>
      <w:r>
        <w:rPr>
          <w:w w:val="100"/>
        </w:rPr>
        <w:t> </w:t>
      </w:r>
      <w:r>
        <w:rPr>
          <w:spacing w:val="2"/>
          <w:w w:val="100"/>
        </w:rPr>
        <w:t>公</w:t>
      </w:r>
      <w:r>
        <w:rPr>
          <w:w w:val="100"/>
        </w:rPr>
        <w:t>司</w:t>
      </w:r>
      <w:r>
        <w:rPr>
          <w:spacing w:val="2"/>
          <w:w w:val="100"/>
        </w:rPr>
        <w:t>坚</w:t>
      </w:r>
      <w:r>
        <w:rPr>
          <w:w w:val="100"/>
        </w:rPr>
        <w:t>持</w:t>
      </w:r>
      <w:r>
        <w:rPr>
          <w:rFonts w:ascii="Times New Roman" w:hAnsi="Times New Roman" w:cs="Times New Roman" w:eastAsia="Times New Roman" w:hint="default"/>
          <w:spacing w:val="2"/>
          <w:w w:val="44"/>
        </w:rPr>
        <w:t>―</w:t>
      </w:r>
      <w:r>
        <w:rPr>
          <w:w w:val="100"/>
        </w:rPr>
        <w:t>尊重</w:t>
      </w:r>
      <w:r>
        <w:rPr>
          <w:spacing w:val="2"/>
          <w:w w:val="100"/>
        </w:rPr>
        <w:t>、</w:t>
      </w:r>
      <w:r>
        <w:rPr>
          <w:w w:val="100"/>
        </w:rPr>
        <w:t>诚</w:t>
      </w:r>
      <w:r>
        <w:rPr>
          <w:spacing w:val="2"/>
          <w:w w:val="100"/>
        </w:rPr>
        <w:t>信</w:t>
      </w:r>
      <w:r>
        <w:rPr>
          <w:w w:val="100"/>
        </w:rPr>
        <w:t>、专</w:t>
      </w:r>
      <w:r>
        <w:rPr>
          <w:spacing w:val="2"/>
          <w:w w:val="100"/>
        </w:rPr>
        <w:t>业</w:t>
      </w:r>
      <w:r>
        <w:rPr>
          <w:w w:val="100"/>
        </w:rPr>
        <w:t>、</w:t>
      </w:r>
      <w:r>
        <w:rPr>
          <w:spacing w:val="2"/>
          <w:w w:val="100"/>
        </w:rPr>
        <w:t>自</w:t>
      </w:r>
      <w:r>
        <w:rPr>
          <w:w w:val="100"/>
        </w:rPr>
        <w:t>强、</w:t>
      </w:r>
      <w:r>
        <w:rPr>
          <w:spacing w:val="2"/>
          <w:w w:val="100"/>
        </w:rPr>
        <w:t>协</w:t>
      </w:r>
      <w:r>
        <w:rPr>
          <w:w w:val="100"/>
        </w:rPr>
        <w:t>作、</w:t>
      </w:r>
      <w:r>
        <w:rPr>
          <w:spacing w:val="2"/>
          <w:w w:val="100"/>
        </w:rPr>
        <w:t>共</w:t>
      </w:r>
      <w:r>
        <w:rPr>
          <w:spacing w:val="4"/>
          <w:w w:val="100"/>
        </w:rPr>
        <w:t>赢</w:t>
      </w:r>
      <w:r>
        <w:rPr>
          <w:rFonts w:ascii="Times New Roman" w:hAnsi="Times New Roman" w:cs="Times New Roman" w:eastAsia="Times New Roman" w:hint="default"/>
          <w:spacing w:val="-1"/>
          <w:w w:val="159"/>
        </w:rPr>
        <w:t>‖</w:t>
      </w:r>
      <w:r>
        <w:rPr>
          <w:w w:val="100"/>
        </w:rPr>
        <w:t>的</w:t>
      </w:r>
      <w:r>
        <w:rPr>
          <w:spacing w:val="2"/>
          <w:w w:val="100"/>
        </w:rPr>
        <w:t>核</w:t>
      </w:r>
      <w:r>
        <w:rPr>
          <w:w w:val="100"/>
        </w:rPr>
        <w:t>心</w:t>
      </w:r>
      <w:r>
        <w:rPr>
          <w:spacing w:val="2"/>
          <w:w w:val="100"/>
        </w:rPr>
        <w:t>价</w:t>
      </w:r>
      <w:r>
        <w:rPr>
          <w:w w:val="100"/>
        </w:rPr>
        <w:t>值理</w:t>
      </w:r>
      <w:r>
        <w:rPr>
          <w:spacing w:val="2"/>
          <w:w w:val="100"/>
        </w:rPr>
        <w:t>念</w:t>
      </w:r>
      <w:r>
        <w:rPr>
          <w:w w:val="100"/>
        </w:rPr>
        <w:t>，进</w:t>
      </w:r>
      <w:r>
        <w:rPr>
          <w:spacing w:val="2"/>
          <w:w w:val="100"/>
        </w:rPr>
        <w:t>一</w:t>
      </w:r>
      <w:r>
        <w:rPr>
          <w:w w:val="100"/>
        </w:rPr>
        <w:t>步完</w:t>
      </w:r>
      <w:r>
        <w:rPr>
          <w:spacing w:val="2"/>
          <w:w w:val="100"/>
        </w:rPr>
        <w:t>善</w:t>
      </w:r>
      <w:r>
        <w:rPr>
          <w:w w:val="100"/>
        </w:rPr>
        <w:t>现</w:t>
      </w:r>
      <w:r>
        <w:rPr>
          <w:spacing w:val="2"/>
          <w:w w:val="100"/>
        </w:rPr>
        <w:t>有</w:t>
      </w:r>
      <w:r>
        <w:rPr>
          <w:w w:val="100"/>
        </w:rPr>
        <w:t>的人</w:t>
      </w:r>
      <w:r>
        <w:rPr>
          <w:spacing w:val="2"/>
          <w:w w:val="100"/>
        </w:rPr>
        <w:t>才</w:t>
      </w:r>
      <w:r>
        <w:rPr>
          <w:w w:val="100"/>
        </w:rPr>
        <w:t>引进</w:t>
      </w:r>
      <w:r>
        <w:rPr>
          <w:spacing w:val="2"/>
          <w:w w:val="100"/>
        </w:rPr>
        <w:t>、</w:t>
      </w:r>
      <w:r>
        <w:rPr>
          <w:w w:val="100"/>
        </w:rPr>
        <w:t>培</w:t>
      </w:r>
    </w:p>
    <w:p>
      <w:pPr>
        <w:pStyle w:val="BodyText"/>
        <w:spacing w:line="240" w:lineRule="auto" w:before="14"/>
        <w:ind w:right="100"/>
        <w:jc w:val="left"/>
      </w:pPr>
      <w:r>
        <w:rPr/>
        <w:t>养和激励约束机制，并在上市后实施了股权激励计划，让更多骨干员工共享公司发展的成果。</w:t>
      </w:r>
    </w:p>
    <w:p>
      <w:pPr>
        <w:spacing w:line="240" w:lineRule="auto" w:before="10"/>
        <w:rPr>
          <w:rFonts w:ascii="宋体" w:hAnsi="宋体" w:cs="宋体" w:eastAsia="宋体" w:hint="default"/>
          <w:sz w:val="14"/>
          <w:szCs w:val="14"/>
        </w:rPr>
      </w:pPr>
    </w:p>
    <w:p>
      <w:pPr>
        <w:pStyle w:val="BodyText"/>
        <w:spacing w:line="408" w:lineRule="auto"/>
        <w:ind w:left="482" w:right="100"/>
        <w:jc w:val="left"/>
      </w:pPr>
      <w:r>
        <w:rPr/>
        <w:t>（二）技术开发与创新计划</w:t>
      </w:r>
      <w:r>
        <w:rPr>
          <w:w w:val="100"/>
        </w:rPr>
        <w:t> </w:t>
      </w:r>
      <w:r>
        <w:rPr/>
        <w:t>公司在募集资金的支持下，围绕主营业务，在社会保障、卫生服务等智慧城市领域持续创新开发行业</w:t>
      </w:r>
    </w:p>
    <w:p>
      <w:pPr>
        <w:pStyle w:val="BodyText"/>
        <w:spacing w:line="408" w:lineRule="auto" w:before="46"/>
        <w:ind w:right="100"/>
        <w:jc w:val="left"/>
      </w:pPr>
      <w:r>
        <w:rPr>
          <w:spacing w:val="-2"/>
        </w:rPr>
        <w:t>产品。在报告期内，已完成了过半的研发任务，进一步提高了公司的核心竞争力，并始终保持市场领先地</w:t>
      </w:r>
      <w:r>
        <w:rPr>
          <w:spacing w:val="-47"/>
        </w:rPr>
        <w:t> </w:t>
      </w:r>
      <w:r>
        <w:rPr>
          <w:spacing w:val="-47"/>
        </w:rPr>
      </w:r>
      <w:r>
        <w:rPr/>
        <w:t>位。</w:t>
      </w:r>
    </w:p>
    <w:p>
      <w:pPr>
        <w:pStyle w:val="BodyText"/>
        <w:spacing w:line="408" w:lineRule="auto" w:before="46"/>
        <w:ind w:left="482" w:right="100"/>
        <w:jc w:val="left"/>
      </w:pPr>
      <w:r>
        <w:rPr/>
        <w:t>（三）市场拓展计划</w:t>
      </w:r>
      <w:r>
        <w:rPr>
          <w:w w:val="100"/>
        </w:rPr>
        <w:t> </w:t>
      </w:r>
      <w:r>
        <w:rPr>
          <w:spacing w:val="-5"/>
        </w:rPr>
        <w:t>截至报告期末，公司围绕主营业务在全国各地设立的分子公司累计已达到</w:t>
      </w:r>
      <w:r>
        <w:rPr>
          <w:rFonts w:ascii="Times New Roman" w:hAnsi="Times New Roman" w:cs="Times New Roman" w:eastAsia="Times New Roman" w:hint="default"/>
          <w:spacing w:val="-5"/>
        </w:rPr>
        <w:t>29</w:t>
      </w:r>
      <w:r>
        <w:rPr>
          <w:spacing w:val="-5"/>
        </w:rPr>
        <w:t>家，其中报告期内新增</w:t>
      </w:r>
      <w:r>
        <w:rPr>
          <w:rFonts w:ascii="Times New Roman" w:hAnsi="Times New Roman" w:cs="Times New Roman" w:eastAsia="Times New Roman" w:hint="default"/>
          <w:spacing w:val="-5"/>
        </w:rPr>
        <w:t>7</w:t>
      </w:r>
      <w:r>
        <w:rPr>
          <w:spacing w:val="-5"/>
        </w:rPr>
        <w:t>家，</w:t>
      </w:r>
    </w:p>
    <w:p>
      <w:pPr>
        <w:pStyle w:val="BodyText"/>
        <w:spacing w:line="408" w:lineRule="auto" w:before="15"/>
        <w:ind w:right="100"/>
        <w:jc w:val="left"/>
      </w:pPr>
      <w:r>
        <w:rPr>
          <w:spacing w:val="-2"/>
        </w:rPr>
        <w:t>在立足上海的基础上，覆盖地域向东、西、南、北、中逐渐辐射。公司投资收购了西藏万达华波美信息技</w:t>
      </w:r>
      <w:r>
        <w:rPr>
          <w:spacing w:val="-42"/>
        </w:rPr>
        <w:t> </w:t>
      </w:r>
      <w:r>
        <w:rPr>
          <w:spacing w:val="-42"/>
        </w:rPr>
      </w:r>
      <w:r>
        <w:rPr/>
        <w:t>术有限公司，为新的区域拓展助力。</w:t>
      </w:r>
    </w:p>
    <w:p>
      <w:pPr>
        <w:pStyle w:val="BodyText"/>
        <w:spacing w:line="408" w:lineRule="auto" w:before="46"/>
        <w:ind w:left="482" w:right="100"/>
        <w:jc w:val="left"/>
      </w:pPr>
      <w:r>
        <w:rPr/>
        <w:t>（四）筹资计划</w:t>
      </w:r>
      <w:r>
        <w:rPr>
          <w:spacing w:val="-103"/>
        </w:rPr>
        <w:t> </w:t>
      </w:r>
      <w:r>
        <w:rPr>
          <w:spacing w:val="-103"/>
        </w:rPr>
      </w:r>
      <w:r>
        <w:rPr/>
        <w:t>上述计划的顺利开展均得益于</w:t>
      </w:r>
      <w:r>
        <w:rPr>
          <w:rFonts w:ascii="Times New Roman" w:hAnsi="Times New Roman" w:cs="Times New Roman" w:eastAsia="Times New Roman" w:hint="default"/>
        </w:rPr>
        <w:t>2011</w:t>
      </w:r>
      <w:r>
        <w:rPr/>
        <w:t>年公司在创业板成功的筹资活动，大大增强了公司的资本和资金实</w:t>
      </w:r>
    </w:p>
    <w:p>
      <w:pPr>
        <w:pStyle w:val="BodyText"/>
        <w:spacing w:line="240" w:lineRule="auto" w:before="14"/>
        <w:ind w:right="100"/>
        <w:jc w:val="left"/>
      </w:pPr>
      <w:r>
        <w:rPr/>
        <w:t>力，有利于保持公司的核心竞争力，增强市场地位。</w:t>
      </w:r>
    </w:p>
    <w:p>
      <w:pPr>
        <w:spacing w:after="0" w:line="240" w:lineRule="auto"/>
        <w:jc w:val="left"/>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pict>
          <v:shape style="position:absolute;margin-left:101.18pt;margin-top:95.871735pt;width:90.9pt;height:19.6pt;mso-position-horizontal-relative:page;mso-position-vertical-relative:paragraph;z-index:-107713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其他）</w:t>
                  </w:r>
                </w:p>
              </w:txbxContent>
            </v:textbox>
            <w10:wrap type="none"/>
          </v:shape>
        </w:pict>
      </w:r>
      <w:r>
        <w:rPr/>
        <w:pict>
          <v:group style="position:absolute;margin-left:125.300003pt;margin-top:95.271736pt;width:66.75pt;height:20.8pt;mso-position-horizontal-relative:page;mso-position-vertical-relative:paragraph;z-index:-1077112" coordorigin="2506,1905" coordsize="1335,416">
            <v:group style="position:absolute;left:2518;top:1917;width:2;height:392" coordorigin="2518,1917" coordsize="2,392">
              <v:shape style="position:absolute;left:2518;top:1917;width:2;height:392" coordorigin="2518,1917" coordsize="0,392" path="m2518,1917l2518,2309e" filled="false" stroked="true" strokeweight="1.2pt" strokecolor="#ffffff">
                <v:path arrowok="t"/>
              </v:shape>
            </v:group>
            <v:group style="position:absolute;left:2530;top:1917;width:1311;height:392" coordorigin="2530,1917" coordsize="1311,392">
              <v:shape style="position:absolute;left:2530;top:1917;width:1311;height:392" coordorigin="2530,1917" coordsize="1311,392" path="m2530,2309l3841,2309,3841,1917,2530,1917,2530,2309xe" filled="true" fillcolor="#ffffff" stroked="false">
                <v:path arrowok="t"/>
                <v:fill type="solid"/>
              </v:shape>
            </v:group>
            <w10:wrap type="none"/>
          </v:group>
        </w:pict>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8"/>
        <w:gridCol w:w="1228"/>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民生服务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390,420,885.51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270,876,267.42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8"/>
                <w:sz w:val="18"/>
                <w:szCs w:val="18"/>
              </w:rPr>
              <w:t>智慧城市（</w:t>
            </w:r>
          </w:p>
        </w:tc>
        <w:tc>
          <w:tcPr>
            <w:tcW w:w="138" w:type="dxa"/>
            <w:tcBorders>
              <w:top w:val="single" w:sz="4" w:space="0" w:color="000000"/>
              <w:left w:val="single" w:sz="4" w:space="0" w:color="000000"/>
              <w:bottom w:val="single" w:sz="4" w:space="0" w:color="000000"/>
              <w:right w:val="nil" w:sz="6" w:space="0" w:color="auto"/>
            </w:tcBorders>
          </w:tcPr>
          <w:p>
            <w:pPr/>
          </w:p>
        </w:tc>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494,323,443.19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340,900,607.99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380,943,095.01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186,147,241.75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运营服务收入</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125,280,891.53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72,014,184.42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378,520,342.16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353,615,449.24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-1.58%</w:t>
            </w:r>
          </w:p>
        </w:tc>
      </w:tr>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874,190,594.54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603,056,470.32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10,553,734.16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8,720,405.09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779,964,737.5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51.24%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865,821,868.42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64.14%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-12.9%</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255,371,225.2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16.78%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195,690,724.35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14.5%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2.28%</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48,245,401.36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23,738,608.70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21,338,883.91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20,443,342.02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120,740,366.5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7.93%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122,643,767.17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9.09%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-1.16%</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51,657,071.84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17,414,307.70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4"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8.54%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130,000,000.00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9.63%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-1.09%</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2,860,474.20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0.19%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0.19%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）以公允价值计量的资产和负债</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7"/>
        <w:gridCol w:w="1524"/>
        <w:gridCol w:w="1507"/>
        <w:gridCol w:w="1506"/>
        <w:gridCol w:w="1520"/>
        <w:gridCol w:w="1512"/>
      </w:tblGrid>
      <w:tr>
        <w:trPr>
          <w:trHeight w:val="161" w:hRule="exact"/>
        </w:trPr>
        <w:tc>
          <w:tcPr>
            <w:tcW w:w="19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65" w:right="30"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0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03" w:right="21"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07" w:type="dxa"/>
            <w:vMerge/>
            <w:tcBorders>
              <w:left w:val="single" w:sz="4" w:space="0" w:color="000000"/>
              <w:right w:val="single" w:sz="4" w:space="0" w:color="000000"/>
            </w:tcBorders>
            <w:shd w:val="clear" w:color="auto" w:fill="D2D2D2"/>
          </w:tcPr>
          <w:p>
            <w:pPr/>
          </w:p>
        </w:tc>
        <w:tc>
          <w:tcPr>
            <w:tcW w:w="1506" w:type="dxa"/>
            <w:vMerge/>
            <w:tcBorders>
              <w:left w:val="single" w:sz="4" w:space="0" w:color="000000"/>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19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7" w:type="dxa"/>
            <w:vMerge/>
            <w:tcBorders>
              <w:left w:val="single" w:sz="4" w:space="0" w:color="000000"/>
              <w:bottom w:val="single" w:sz="4" w:space="0" w:color="000000"/>
              <w:right w:val="single" w:sz="4" w:space="0" w:color="000000"/>
            </w:tcBorders>
            <w:shd w:val="clear" w:color="auto" w:fill="D2D2D2"/>
          </w:tcPr>
          <w:p>
            <w:pPr/>
          </w:p>
        </w:tc>
        <w:tc>
          <w:tcPr>
            <w:tcW w:w="1506" w:type="dxa"/>
            <w:vMerge/>
            <w:tcBorders>
              <w:left w:val="single" w:sz="4" w:space="0" w:color="000000"/>
              <w:bottom w:val="single" w:sz="4" w:space="0" w:color="000000"/>
              <w:right w:val="single" w:sz="4" w:space="0" w:color="000000"/>
            </w:tcBorders>
            <w:shd w:val="clear" w:color="auto" w:fill="D2D2D2"/>
          </w:tcPr>
          <w:p>
            <w:pPr/>
          </w:p>
        </w:tc>
        <w:tc>
          <w:tcPr>
            <w:tcW w:w="15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资产（不含衍生金融资 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114,014.78</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44,800.95</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158,815.73</w:t>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114,014.78</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44,800.95</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158,815.73</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692" w:lineRule="exact" w:before="32"/>
        <w:ind w:left="513" w:right="0" w:hanging="36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、公司竞争能力重大变化分析</w:t>
      </w:r>
      <w:r>
        <w:rPr>
          <w:rFonts w:ascii="宋体" w:hAnsi="宋体" w:cs="宋体" w:eastAsia="宋体" w:hint="default"/>
          <w:b/>
          <w:bCs/>
          <w:w w:val="100"/>
          <w:sz w:val="21"/>
          <w:szCs w:val="21"/>
        </w:rPr>
        <w:t> </w:t>
      </w:r>
      <w:r>
        <w:rPr>
          <w:rFonts w:ascii="宋体" w:hAnsi="宋体" w:cs="宋体" w:eastAsia="宋体" w:hint="default"/>
          <w:spacing w:val="-2"/>
          <w:sz w:val="21"/>
          <w:szCs w:val="21"/>
        </w:rPr>
        <w:t>公司的核心竞争力仍然是智慧城市的行业优势、人才优势、创新能力等方面，在报告期内无</w:t>
      </w:r>
    </w:p>
    <w:p>
      <w:pPr>
        <w:pStyle w:val="BodyText"/>
        <w:spacing w:line="240" w:lineRule="auto" w:before="84"/>
        <w:ind w:right="0"/>
        <w:jc w:val="left"/>
      </w:pPr>
      <w:r>
        <w:rPr/>
        <w:t>重大变化。</w:t>
      </w:r>
    </w:p>
    <w:p>
      <w:pPr>
        <w:spacing w:line="240" w:lineRule="auto" w:before="10"/>
        <w:rPr>
          <w:rFonts w:ascii="宋体" w:hAnsi="宋体" w:cs="宋体" w:eastAsia="宋体" w:hint="default"/>
          <w:sz w:val="14"/>
          <w:szCs w:val="14"/>
        </w:rPr>
      </w:pPr>
    </w:p>
    <w:p>
      <w:pPr>
        <w:pStyle w:val="BodyText"/>
        <w:spacing w:line="386" w:lineRule="auto"/>
        <w:ind w:left="513" w:right="5454" w:hanging="36"/>
        <w:jc w:val="left"/>
      </w:pPr>
      <w:r>
        <w:rPr>
          <w:rFonts w:ascii="Times New Roman" w:hAnsi="Times New Roman" w:cs="Times New Roman" w:eastAsia="Times New Roman" w:hint="default"/>
        </w:rPr>
        <w:t>1</w:t>
      </w:r>
      <w:r>
        <w:rPr/>
        <w:t>、专利</w:t>
      </w:r>
      <w:r>
        <w:rPr>
          <w:w w:val="100"/>
        </w:rPr>
        <w:t> </w:t>
      </w:r>
      <w:r>
        <w:rPr>
          <w:spacing w:val="-2"/>
        </w:rPr>
        <w:t>报告期内，新增专利</w:t>
      </w:r>
      <w:r>
        <w:rPr>
          <w:rFonts w:ascii="Times New Roman" w:hAnsi="Times New Roman" w:cs="Times New Roman" w:eastAsia="Times New Roman" w:hint="default"/>
          <w:spacing w:val="-2"/>
        </w:rPr>
        <w:t>6</w:t>
      </w:r>
      <w:r>
        <w:rPr>
          <w:spacing w:val="-2"/>
        </w:rPr>
        <w:t>项，具体如下：</w:t>
      </w:r>
    </w:p>
    <w:p>
      <w:pPr>
        <w:spacing w:after="0" w:line="386" w:lineRule="auto"/>
        <w:jc w:val="lef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866" w:type="dxa"/>
        <w:tblLayout w:type="fixed"/>
        <w:tblCellMar>
          <w:top w:w="0" w:type="dxa"/>
          <w:left w:w="0" w:type="dxa"/>
          <w:bottom w:w="0" w:type="dxa"/>
          <w:right w:w="0" w:type="dxa"/>
        </w:tblCellMar>
        <w:tblLook w:val="01E0"/>
      </w:tblPr>
      <w:tblGrid>
        <w:gridCol w:w="854"/>
        <w:gridCol w:w="3385"/>
        <w:gridCol w:w="1481"/>
        <w:gridCol w:w="2600"/>
      </w:tblGrid>
      <w:tr>
        <w:trPr>
          <w:trHeight w:val="348" w:hRule="exact"/>
        </w:trPr>
        <w:tc>
          <w:tcPr>
            <w:tcW w:w="85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38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
              <w:ind w:left="5" w:right="0"/>
              <w:jc w:val="center"/>
              <w:rPr>
                <w:rFonts w:ascii="宋体" w:hAnsi="宋体" w:cs="宋体" w:eastAsia="宋体" w:hint="default"/>
                <w:sz w:val="20"/>
                <w:szCs w:val="20"/>
              </w:rPr>
            </w:pPr>
            <w:r>
              <w:rPr>
                <w:rFonts w:ascii="宋体" w:hAnsi="宋体" w:cs="宋体" w:eastAsia="宋体" w:hint="default"/>
                <w:b/>
                <w:bCs/>
                <w:sz w:val="20"/>
                <w:szCs w:val="20"/>
              </w:rPr>
              <w:t>专利名称</w:t>
            </w:r>
            <w:r>
              <w:rPr>
                <w:rFonts w:ascii="宋体" w:hAnsi="宋体" w:cs="宋体" w:eastAsia="宋体" w:hint="default"/>
                <w:sz w:val="20"/>
                <w:szCs w:val="20"/>
              </w:rPr>
            </w:r>
          </w:p>
        </w:tc>
        <w:tc>
          <w:tcPr>
            <w:tcW w:w="148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b/>
                <w:bCs/>
                <w:sz w:val="20"/>
                <w:szCs w:val="20"/>
              </w:rPr>
              <w:t>获得专利日</w:t>
            </w:r>
            <w:r>
              <w:rPr>
                <w:rFonts w:ascii="宋体" w:hAnsi="宋体" w:cs="宋体" w:eastAsia="宋体" w:hint="default"/>
                <w:sz w:val="20"/>
                <w:szCs w:val="20"/>
              </w:rPr>
            </w:r>
          </w:p>
        </w:tc>
        <w:tc>
          <w:tcPr>
            <w:tcW w:w="260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
              <w:ind w:left="6" w:right="0"/>
              <w:jc w:val="center"/>
              <w:rPr>
                <w:rFonts w:ascii="宋体" w:hAnsi="宋体" w:cs="宋体" w:eastAsia="宋体" w:hint="default"/>
                <w:sz w:val="20"/>
                <w:szCs w:val="20"/>
              </w:rPr>
            </w:pPr>
            <w:r>
              <w:rPr>
                <w:rFonts w:ascii="宋体" w:hAnsi="宋体" w:cs="宋体" w:eastAsia="宋体" w:hint="default"/>
                <w:b/>
                <w:bCs/>
                <w:spacing w:val="2"/>
                <w:sz w:val="20"/>
                <w:szCs w:val="20"/>
              </w:rPr>
              <w:t>专利号</w:t>
            </w:r>
            <w:r>
              <w:rPr>
                <w:rFonts w:ascii="宋体" w:hAnsi="宋体" w:cs="宋体" w:eastAsia="宋体" w:hint="default"/>
                <w:sz w:val="20"/>
                <w:szCs w:val="20"/>
              </w:rPr>
            </w:r>
          </w:p>
        </w:tc>
      </w:tr>
      <w:tr>
        <w:trPr>
          <w:trHeight w:val="346" w:hRule="exact"/>
        </w:trPr>
        <w:tc>
          <w:tcPr>
            <w:tcW w:w="85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结构化灾难备份系统和备份方法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color w:val="333333"/>
                <w:sz w:val="20"/>
              </w:rPr>
              <w:t>2012.2.15</w:t>
            </w:r>
            <w:r>
              <w:rPr>
                <w:rFonts w:ascii="Times New Roman"/>
                <w:sz w:val="20"/>
              </w:rPr>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ZL 2008 1</w:t>
            </w:r>
            <w:r>
              <w:rPr>
                <w:rFonts w:ascii="Times New Roman"/>
                <w:spacing w:val="-5"/>
                <w:sz w:val="20"/>
              </w:rPr>
              <w:t> </w:t>
            </w:r>
            <w:r>
              <w:rPr>
                <w:rFonts w:ascii="Times New Roman"/>
                <w:sz w:val="20"/>
              </w:rPr>
              <w:t>0202359.1</w:t>
            </w:r>
          </w:p>
        </w:tc>
      </w:tr>
      <w:tr>
        <w:trPr>
          <w:trHeight w:val="348" w:hRule="exact"/>
        </w:trPr>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3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数据库的仿真测试方法和系统</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color w:val="333333"/>
                <w:sz w:val="20"/>
              </w:rPr>
              <w:t>2012.7.14</w:t>
            </w:r>
            <w:r>
              <w:rPr>
                <w:rFonts w:ascii="Times New Roman"/>
                <w:sz w:val="20"/>
              </w:rPr>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center"/>
              <w:rPr>
                <w:rFonts w:ascii="Times New Roman" w:hAnsi="Times New Roman" w:cs="Times New Roman" w:eastAsia="Times New Roman" w:hint="default"/>
                <w:sz w:val="20"/>
                <w:szCs w:val="20"/>
              </w:rPr>
            </w:pPr>
            <w:r>
              <w:rPr>
                <w:rFonts w:ascii="Times New Roman"/>
                <w:sz w:val="20"/>
              </w:rPr>
              <w:t>200810201301.5</w:t>
            </w:r>
          </w:p>
        </w:tc>
      </w:tr>
      <w:tr>
        <w:trPr>
          <w:trHeight w:val="658" w:hRule="exact"/>
        </w:trPr>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338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1087" w:right="85" w:hanging="1001"/>
              <w:jc w:val="left"/>
              <w:rPr>
                <w:rFonts w:ascii="宋体" w:hAnsi="宋体" w:cs="宋体" w:eastAsia="宋体" w:hint="default"/>
                <w:sz w:val="20"/>
                <w:szCs w:val="20"/>
              </w:rPr>
            </w:pPr>
            <w:r>
              <w:rPr>
                <w:rFonts w:ascii="宋体" w:hAnsi="宋体" w:cs="宋体" w:eastAsia="宋体" w:hint="default"/>
                <w:sz w:val="20"/>
                <w:szCs w:val="20"/>
              </w:rPr>
              <w:t>基于多终端通讯模式的远程医疗监护</w:t>
            </w:r>
            <w:r>
              <w:rPr>
                <w:rFonts w:ascii="宋体" w:hAnsi="宋体" w:cs="宋体" w:eastAsia="宋体" w:hint="default"/>
                <w:w w:val="99"/>
                <w:sz w:val="20"/>
                <w:szCs w:val="20"/>
              </w:rPr>
              <w:t> </w:t>
            </w:r>
            <w:r>
              <w:rPr>
                <w:rFonts w:ascii="宋体" w:hAnsi="宋体" w:cs="宋体" w:eastAsia="宋体" w:hint="default"/>
                <w:sz w:val="20"/>
                <w:szCs w:val="20"/>
              </w:rPr>
              <w:t>信息处理装置</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color w:val="333333"/>
                <w:sz w:val="20"/>
              </w:rPr>
              <w:t>2012.7.25</w:t>
            </w:r>
            <w:r>
              <w:rPr>
                <w:rFonts w:ascii="Times New Roman"/>
                <w:sz w:val="20"/>
              </w:rPr>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201120444188.0</w:t>
            </w:r>
          </w:p>
        </w:tc>
      </w:tr>
      <w:tr>
        <w:trPr>
          <w:trHeight w:val="660" w:hRule="exact"/>
        </w:trPr>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338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1087" w:right="85" w:hanging="1001"/>
              <w:jc w:val="left"/>
              <w:rPr>
                <w:rFonts w:ascii="宋体" w:hAnsi="宋体" w:cs="宋体" w:eastAsia="宋体" w:hint="default"/>
                <w:sz w:val="20"/>
                <w:szCs w:val="20"/>
              </w:rPr>
            </w:pPr>
            <w:r>
              <w:rPr>
                <w:rFonts w:ascii="宋体" w:hAnsi="宋体" w:cs="宋体" w:eastAsia="宋体" w:hint="default"/>
                <w:sz w:val="20"/>
                <w:szCs w:val="20"/>
              </w:rPr>
              <w:t>基于多终端通讯模式的远程医疗监护</w:t>
            </w:r>
            <w:r>
              <w:rPr>
                <w:rFonts w:ascii="宋体" w:hAnsi="宋体" w:cs="宋体" w:eastAsia="宋体" w:hint="default"/>
                <w:w w:val="99"/>
                <w:sz w:val="20"/>
                <w:szCs w:val="20"/>
              </w:rPr>
              <w:t> </w:t>
            </w:r>
            <w:r>
              <w:rPr>
                <w:rFonts w:ascii="宋体" w:hAnsi="宋体" w:cs="宋体" w:eastAsia="宋体" w:hint="default"/>
                <w:sz w:val="20"/>
                <w:szCs w:val="20"/>
              </w:rPr>
              <w:t>信息处理方法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color w:val="333333"/>
                <w:sz w:val="20"/>
              </w:rPr>
              <w:t>2012.7.20</w:t>
            </w:r>
            <w:r>
              <w:rPr>
                <w:rFonts w:ascii="Times New Roman"/>
                <w:sz w:val="20"/>
              </w:rPr>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center"/>
              <w:rPr>
                <w:rFonts w:ascii="Times New Roman" w:hAnsi="Times New Roman" w:cs="Times New Roman" w:eastAsia="Times New Roman" w:hint="default"/>
                <w:sz w:val="20"/>
                <w:szCs w:val="20"/>
              </w:rPr>
            </w:pPr>
            <w:r>
              <w:rPr>
                <w:rFonts w:ascii="Times New Roman"/>
                <w:sz w:val="20"/>
              </w:rPr>
              <w:t>201110355683.9</w:t>
            </w:r>
          </w:p>
        </w:tc>
      </w:tr>
      <w:tr>
        <w:trPr>
          <w:trHeight w:val="658" w:hRule="exact"/>
        </w:trPr>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38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
              <w:ind w:left="1287" w:right="61" w:hanging="1223"/>
              <w:jc w:val="left"/>
              <w:rPr>
                <w:rFonts w:ascii="宋体" w:hAnsi="宋体" w:cs="宋体" w:eastAsia="宋体" w:hint="default"/>
                <w:sz w:val="20"/>
                <w:szCs w:val="20"/>
              </w:rPr>
            </w:pPr>
            <w:r>
              <w:rPr>
                <w:rFonts w:ascii="宋体" w:hAnsi="宋体" w:cs="宋体" w:eastAsia="宋体" w:hint="default"/>
                <w:sz w:val="20"/>
                <w:szCs w:val="20"/>
              </w:rPr>
              <w:t>基于</w:t>
            </w:r>
            <w:r>
              <w:rPr>
                <w:rFonts w:ascii="Times New Roman" w:hAnsi="Times New Roman" w:cs="Times New Roman" w:eastAsia="Times New Roman" w:hint="default"/>
                <w:sz w:val="20"/>
                <w:szCs w:val="20"/>
              </w:rPr>
              <w:t>3G</w:t>
            </w:r>
            <w:r>
              <w:rPr>
                <w:rFonts w:ascii="宋体" w:hAnsi="宋体" w:cs="宋体" w:eastAsia="宋体" w:hint="default"/>
                <w:sz w:val="20"/>
                <w:szCs w:val="20"/>
              </w:rPr>
              <w:t>无线网络的远程家庭健康信息</w:t>
            </w:r>
            <w:r>
              <w:rPr>
                <w:rFonts w:ascii="宋体" w:hAnsi="宋体" w:cs="宋体" w:eastAsia="宋体" w:hint="default"/>
                <w:w w:val="99"/>
                <w:sz w:val="20"/>
                <w:szCs w:val="20"/>
              </w:rPr>
              <w:t> </w:t>
            </w:r>
            <w:r>
              <w:rPr>
                <w:rFonts w:ascii="宋体" w:hAnsi="宋体" w:cs="宋体" w:eastAsia="宋体" w:hint="default"/>
                <w:sz w:val="20"/>
                <w:szCs w:val="20"/>
              </w:rPr>
              <w:t>采集装置</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color w:val="333333"/>
                <w:sz w:val="20"/>
              </w:rPr>
              <w:t>2012.7.20</w:t>
            </w:r>
            <w:r>
              <w:rPr>
                <w:rFonts w:ascii="Times New Roman"/>
                <w:sz w:val="20"/>
              </w:rPr>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201120444187.6</w:t>
            </w:r>
          </w:p>
        </w:tc>
      </w:tr>
      <w:tr>
        <w:trPr>
          <w:trHeight w:val="660" w:hRule="exact"/>
        </w:trPr>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338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
              <w:ind w:left="1287" w:right="61" w:hanging="1223"/>
              <w:jc w:val="left"/>
              <w:rPr>
                <w:rFonts w:ascii="宋体" w:hAnsi="宋体" w:cs="宋体" w:eastAsia="宋体" w:hint="default"/>
                <w:sz w:val="20"/>
                <w:szCs w:val="20"/>
              </w:rPr>
            </w:pPr>
            <w:r>
              <w:rPr>
                <w:rFonts w:ascii="宋体" w:hAnsi="宋体" w:cs="宋体" w:eastAsia="宋体" w:hint="default"/>
                <w:sz w:val="20"/>
                <w:szCs w:val="20"/>
              </w:rPr>
              <w:t>基于</w:t>
            </w:r>
            <w:r>
              <w:rPr>
                <w:rFonts w:ascii="Times New Roman" w:hAnsi="Times New Roman" w:cs="Times New Roman" w:eastAsia="Times New Roman" w:hint="default"/>
                <w:sz w:val="20"/>
                <w:szCs w:val="20"/>
              </w:rPr>
              <w:t>3G</w:t>
            </w:r>
            <w:r>
              <w:rPr>
                <w:rFonts w:ascii="宋体" w:hAnsi="宋体" w:cs="宋体" w:eastAsia="宋体" w:hint="default"/>
                <w:sz w:val="20"/>
                <w:szCs w:val="20"/>
              </w:rPr>
              <w:t>无线网络的远程家庭健康信息</w:t>
            </w:r>
            <w:r>
              <w:rPr>
                <w:rFonts w:ascii="宋体" w:hAnsi="宋体" w:cs="宋体" w:eastAsia="宋体" w:hint="default"/>
                <w:w w:val="99"/>
                <w:sz w:val="20"/>
                <w:szCs w:val="20"/>
              </w:rPr>
              <w:t> </w:t>
            </w:r>
            <w:r>
              <w:rPr>
                <w:rFonts w:ascii="宋体" w:hAnsi="宋体" w:cs="宋体" w:eastAsia="宋体" w:hint="default"/>
                <w:sz w:val="20"/>
                <w:szCs w:val="20"/>
              </w:rPr>
              <w:t>采集方法</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color w:val="333333"/>
                <w:sz w:val="20"/>
              </w:rPr>
              <w:t>2012.7.20</w:t>
            </w:r>
            <w:r>
              <w:rPr>
                <w:rFonts w:ascii="Times New Roman"/>
                <w:sz w:val="20"/>
              </w:rPr>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Times New Roman" w:hAnsi="Times New Roman" w:cs="Times New Roman" w:eastAsia="Times New Roman" w:hint="default"/>
                <w:sz w:val="20"/>
                <w:szCs w:val="20"/>
              </w:rPr>
            </w:pPr>
            <w:r>
              <w:rPr>
                <w:rFonts w:ascii="Times New Roman"/>
                <w:sz w:val="20"/>
              </w:rPr>
              <w:t>201110355603.X</w:t>
            </w:r>
          </w:p>
        </w:tc>
      </w:tr>
    </w:tbl>
    <w:p>
      <w:pPr>
        <w:spacing w:line="240" w:lineRule="auto" w:before="0"/>
        <w:rPr>
          <w:rFonts w:ascii="宋体" w:hAnsi="宋体" w:cs="宋体" w:eastAsia="宋体" w:hint="default"/>
          <w:sz w:val="26"/>
          <w:szCs w:val="26"/>
        </w:rPr>
      </w:pPr>
    </w:p>
    <w:p>
      <w:pPr>
        <w:pStyle w:val="BodyText"/>
        <w:spacing w:line="386" w:lineRule="auto" w:before="36"/>
        <w:ind w:left="573" w:right="4244" w:hanging="24"/>
        <w:jc w:val="left"/>
      </w:pPr>
      <w:r>
        <w:rPr>
          <w:rFonts w:ascii="Times New Roman" w:hAnsi="Times New Roman" w:cs="Times New Roman" w:eastAsia="Times New Roman" w:hint="default"/>
        </w:rPr>
        <w:t>2</w:t>
      </w:r>
      <w:r>
        <w:rPr/>
        <w:t>、知识产权</w:t>
      </w:r>
      <w:r>
        <w:rPr>
          <w:spacing w:val="-102"/>
        </w:rPr>
        <w:t> </w:t>
      </w:r>
      <w:r>
        <w:rPr>
          <w:spacing w:val="-102"/>
        </w:rPr>
      </w:r>
      <w:r>
        <w:rPr>
          <w:spacing w:val="-2"/>
        </w:rPr>
        <w:t>报告期内，新增软件著作权</w:t>
      </w:r>
      <w:r>
        <w:rPr>
          <w:rFonts w:ascii="Times New Roman" w:hAnsi="Times New Roman" w:cs="Times New Roman" w:eastAsia="Times New Roman" w:hint="default"/>
          <w:spacing w:val="-2"/>
        </w:rPr>
        <w:t>69</w:t>
      </w:r>
      <w:r>
        <w:rPr>
          <w:spacing w:val="-2"/>
        </w:rPr>
        <w:t>项，主要如下：</w:t>
      </w:r>
    </w:p>
    <w:p>
      <w:pPr>
        <w:spacing w:line="240" w:lineRule="auto" w:before="8"/>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598"/>
        <w:gridCol w:w="3865"/>
        <w:gridCol w:w="1462"/>
        <w:gridCol w:w="2758"/>
        <w:gridCol w:w="1159"/>
      </w:tblGrid>
      <w:tr>
        <w:trPr>
          <w:trHeight w:val="348" w:hRule="exact"/>
        </w:trPr>
        <w:tc>
          <w:tcPr>
            <w:tcW w:w="598" w:type="dxa"/>
            <w:tcBorders>
              <w:top w:val="single" w:sz="6" w:space="0" w:color="000000"/>
              <w:left w:val="single" w:sz="6" w:space="0" w:color="000000"/>
              <w:bottom w:val="single" w:sz="6" w:space="0" w:color="000000"/>
              <w:right w:val="single" w:sz="6" w:space="0" w:color="000000"/>
            </w:tcBorders>
            <w:shd w:val="clear" w:color="auto" w:fill="959595"/>
          </w:tcPr>
          <w:p>
            <w:pPr>
              <w:pStyle w:val="TableParagraph"/>
              <w:spacing w:line="240" w:lineRule="auto" w:before="4"/>
              <w:ind w:left="6"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865" w:type="dxa"/>
            <w:tcBorders>
              <w:top w:val="single" w:sz="6" w:space="0" w:color="000000"/>
              <w:left w:val="single" w:sz="6" w:space="0" w:color="000000"/>
              <w:bottom w:val="single" w:sz="6" w:space="0" w:color="000000"/>
              <w:right w:val="single" w:sz="6" w:space="0" w:color="000000"/>
            </w:tcBorders>
            <w:shd w:val="clear" w:color="auto" w:fill="959595"/>
          </w:tcPr>
          <w:p>
            <w:pPr>
              <w:pStyle w:val="TableParagraph"/>
              <w:spacing w:line="240" w:lineRule="auto" w:before="4"/>
              <w:ind w:left="4" w:right="0"/>
              <w:jc w:val="center"/>
              <w:rPr>
                <w:rFonts w:ascii="宋体" w:hAnsi="宋体" w:cs="宋体" w:eastAsia="宋体" w:hint="default"/>
                <w:sz w:val="20"/>
                <w:szCs w:val="20"/>
              </w:rPr>
            </w:pPr>
            <w:r>
              <w:rPr>
                <w:rFonts w:ascii="宋体" w:hAnsi="宋体" w:cs="宋体" w:eastAsia="宋体" w:hint="default"/>
                <w:b/>
                <w:bCs/>
                <w:sz w:val="20"/>
                <w:szCs w:val="20"/>
              </w:rPr>
              <w:t>名称</w:t>
            </w:r>
            <w:r>
              <w:rPr>
                <w:rFonts w:ascii="宋体" w:hAnsi="宋体" w:cs="宋体" w:eastAsia="宋体" w:hint="default"/>
                <w:sz w:val="20"/>
                <w:szCs w:val="20"/>
              </w:rPr>
            </w:r>
          </w:p>
        </w:tc>
        <w:tc>
          <w:tcPr>
            <w:tcW w:w="1462" w:type="dxa"/>
            <w:tcBorders>
              <w:top w:val="single" w:sz="6" w:space="0" w:color="000000"/>
              <w:left w:val="single" w:sz="6" w:space="0" w:color="000000"/>
              <w:bottom w:val="single" w:sz="6" w:space="0" w:color="000000"/>
              <w:right w:val="single" w:sz="6" w:space="0" w:color="000000"/>
            </w:tcBorders>
            <w:shd w:val="clear" w:color="auto" w:fill="959595"/>
          </w:tcPr>
          <w:p>
            <w:pPr>
              <w:pStyle w:val="TableParagraph"/>
              <w:spacing w:line="240" w:lineRule="auto" w:before="4"/>
              <w:ind w:left="422" w:right="0"/>
              <w:jc w:val="left"/>
              <w:rPr>
                <w:rFonts w:ascii="宋体" w:hAnsi="宋体" w:cs="宋体" w:eastAsia="宋体" w:hint="default"/>
                <w:sz w:val="20"/>
                <w:szCs w:val="20"/>
              </w:rPr>
            </w:pPr>
            <w:r>
              <w:rPr>
                <w:rFonts w:ascii="宋体" w:hAnsi="宋体" w:cs="宋体" w:eastAsia="宋体" w:hint="default"/>
                <w:b/>
                <w:bCs/>
                <w:spacing w:val="2"/>
                <w:sz w:val="20"/>
                <w:szCs w:val="20"/>
              </w:rPr>
              <w:t>登记号</w:t>
            </w:r>
            <w:r>
              <w:rPr>
                <w:rFonts w:ascii="宋体" w:hAnsi="宋体" w:cs="宋体" w:eastAsia="宋体" w:hint="default"/>
                <w:sz w:val="20"/>
                <w:szCs w:val="20"/>
              </w:rPr>
            </w:r>
          </w:p>
        </w:tc>
        <w:tc>
          <w:tcPr>
            <w:tcW w:w="2758" w:type="dxa"/>
            <w:tcBorders>
              <w:top w:val="single" w:sz="6" w:space="0" w:color="000000"/>
              <w:left w:val="single" w:sz="6" w:space="0" w:color="000000"/>
              <w:bottom w:val="single" w:sz="6" w:space="0" w:color="000000"/>
              <w:right w:val="single" w:sz="6" w:space="0" w:color="000000"/>
            </w:tcBorders>
            <w:shd w:val="clear" w:color="auto" w:fill="959595"/>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b/>
                <w:bCs/>
                <w:sz w:val="20"/>
                <w:szCs w:val="20"/>
              </w:rPr>
              <w:t>著作权人</w:t>
            </w:r>
            <w:r>
              <w:rPr>
                <w:rFonts w:ascii="宋体" w:hAnsi="宋体" w:cs="宋体" w:eastAsia="宋体" w:hint="default"/>
                <w:sz w:val="20"/>
                <w:szCs w:val="20"/>
              </w:rPr>
            </w:r>
          </w:p>
        </w:tc>
        <w:tc>
          <w:tcPr>
            <w:tcW w:w="1159" w:type="dxa"/>
            <w:tcBorders>
              <w:top w:val="single" w:sz="6" w:space="0" w:color="000000"/>
              <w:left w:val="single" w:sz="6" w:space="0" w:color="000000"/>
              <w:bottom w:val="single" w:sz="6" w:space="0" w:color="000000"/>
              <w:right w:val="single" w:sz="6" w:space="0" w:color="000000"/>
            </w:tcBorders>
            <w:shd w:val="clear" w:color="auto" w:fill="959595"/>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b/>
                <w:bCs/>
                <w:sz w:val="20"/>
                <w:szCs w:val="20"/>
              </w:rPr>
              <w:t>日期</w:t>
            </w:r>
            <w:r>
              <w:rPr>
                <w:rFonts w:ascii="宋体" w:hAnsi="宋体" w:cs="宋体" w:eastAsia="宋体" w:hint="default"/>
                <w:sz w:val="20"/>
                <w:szCs w:val="20"/>
              </w:rPr>
            </w:r>
          </w:p>
        </w:tc>
      </w:tr>
      <w:tr>
        <w:trPr>
          <w:trHeight w:val="346"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w:t>
            </w:r>
            <w:r>
              <w:rPr>
                <w:rFonts w:ascii="Times New Roman" w:hAnsi="Times New Roman" w:cs="Times New Roman" w:eastAsia="Times New Roman" w:hint="default"/>
                <w:sz w:val="20"/>
                <w:szCs w:val="20"/>
              </w:rPr>
              <w:t>SaaS</w:t>
            </w:r>
            <w:r>
              <w:rPr>
                <w:rFonts w:ascii="宋体" w:hAnsi="宋体" w:cs="宋体" w:eastAsia="宋体" w:hint="default"/>
                <w:sz w:val="20"/>
                <w:szCs w:val="20"/>
              </w:rPr>
              <w:t>业务基础平台软件</w:t>
            </w:r>
            <w:r>
              <w:rPr>
                <w:rFonts w:ascii="Times New Roman" w:hAnsi="Times New Roman" w:cs="Times New Roman" w:eastAsia="Times New Roman" w:hint="default"/>
                <w:sz w:val="20"/>
                <w:szCs w:val="20"/>
              </w:rPr>
              <w:t>V2.0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5"/>
                <w:sz w:val="20"/>
              </w:rPr>
              <w:t>2012SR012563</w:t>
            </w:r>
            <w:r>
              <w:rPr>
                <w:rFonts w:ascii="Times New Roman"/>
                <w:sz w:val="20"/>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2012.02.23</w:t>
            </w:r>
          </w:p>
        </w:tc>
      </w:tr>
      <w:tr>
        <w:trPr>
          <w:trHeight w:val="660"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万达海量数据存储软件</w:t>
            </w:r>
            <w:r>
              <w:rPr>
                <w:rFonts w:ascii="Times New Roman" w:hAnsi="Times New Roman" w:cs="Times New Roman" w:eastAsia="Times New Roman" w:hint="default"/>
                <w:sz w:val="20"/>
                <w:szCs w:val="20"/>
              </w:rPr>
              <w:t>V1.0</w:t>
            </w:r>
          </w:p>
          <w:p>
            <w:pPr>
              <w:pStyle w:val="TableParagraph"/>
              <w:spacing w:line="240" w:lineRule="auto" w:before="35"/>
              <w:ind w:left="4"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Cloudeck-Storage</w:t>
            </w:r>
            <w:r>
              <w:rPr>
                <w:rFonts w:ascii="宋体" w:hAnsi="宋体" w:cs="宋体" w:eastAsia="宋体" w:hint="default"/>
                <w:sz w:val="20"/>
                <w:szCs w:val="20"/>
              </w:rPr>
              <w:t>】</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20"/>
                <w:szCs w:val="20"/>
              </w:rPr>
            </w:pPr>
            <w:r>
              <w:rPr>
                <w:rFonts w:ascii="Times New Roman"/>
                <w:w w:val="95"/>
                <w:sz w:val="20"/>
              </w:rPr>
              <w:t>2012SR020140</w:t>
            </w:r>
            <w:r>
              <w:rPr>
                <w:rFonts w:ascii="Times New Roman"/>
                <w:sz w:val="20"/>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2012.03.15</w:t>
            </w:r>
          </w:p>
        </w:tc>
      </w:tr>
      <w:tr>
        <w:trPr>
          <w:trHeight w:val="348"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万达云数据管理中间件</w:t>
            </w:r>
            <w:r>
              <w:rPr>
                <w:rFonts w:ascii="Times New Roman" w:hAnsi="Times New Roman" w:cs="Times New Roman" w:eastAsia="Times New Roman" w:hint="default"/>
                <w:sz w:val="20"/>
                <w:szCs w:val="20"/>
              </w:rPr>
              <w:t>V1.0</w:t>
            </w:r>
            <w:r>
              <w:rPr>
                <w:rFonts w:ascii="宋体" w:hAnsi="宋体" w:cs="宋体" w:eastAsia="宋体" w:hint="default"/>
                <w:sz w:val="20"/>
                <w:szCs w:val="20"/>
              </w:rPr>
              <w:t>【</w:t>
            </w:r>
            <w:r>
              <w:rPr>
                <w:rFonts w:ascii="Times New Roman" w:hAnsi="Times New Roman" w:cs="Times New Roman" w:eastAsia="Times New Roman" w:hint="default"/>
                <w:sz w:val="20"/>
                <w:szCs w:val="20"/>
              </w:rPr>
              <w:t>Cloudeck-Data</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16" w:right="99"/>
              <w:jc w:val="right"/>
              <w:rPr>
                <w:rFonts w:ascii="Times New Roman" w:hAnsi="Times New Roman" w:cs="Times New Roman" w:eastAsia="Times New Roman"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2012SR020144</w:t>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2012.03.15</w:t>
            </w:r>
          </w:p>
        </w:tc>
      </w:tr>
      <w:tr>
        <w:trPr>
          <w:trHeight w:val="658"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万达云应用支撑中间件软件</w:t>
            </w:r>
            <w:r>
              <w:rPr>
                <w:rFonts w:ascii="Times New Roman" w:hAnsi="Times New Roman" w:cs="Times New Roman" w:eastAsia="Times New Roman" w:hint="default"/>
                <w:sz w:val="20"/>
                <w:szCs w:val="20"/>
              </w:rPr>
              <w:t>V1.0</w:t>
            </w:r>
          </w:p>
          <w:p>
            <w:pPr>
              <w:pStyle w:val="TableParagraph"/>
              <w:spacing w:line="240" w:lineRule="auto" w:before="35"/>
              <w:ind w:left="4"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Cloudeck-App</w:t>
            </w:r>
            <w:r>
              <w:rPr>
                <w:rFonts w:ascii="宋体" w:hAnsi="宋体" w:cs="宋体" w:eastAsia="宋体" w:hint="default"/>
                <w:sz w:val="20"/>
                <w:szCs w:val="20"/>
              </w:rPr>
              <w:t>】</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5"/>
                <w:sz w:val="20"/>
              </w:rPr>
              <w:t>2012SR020142</w:t>
            </w:r>
            <w:r>
              <w:rPr>
                <w:rFonts w:ascii="Times New Roman"/>
                <w:sz w:val="20"/>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2012.03.15</w:t>
            </w:r>
          </w:p>
        </w:tc>
      </w:tr>
      <w:tr>
        <w:trPr>
          <w:trHeight w:val="348"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万达移动应急平台应用软件</w:t>
            </w:r>
            <w:r>
              <w:rPr>
                <w:rFonts w:ascii="Times New Roman" w:hAnsi="Times New Roman" w:cs="Times New Roman" w:eastAsia="Times New Roman" w:hint="default"/>
                <w:sz w:val="20"/>
                <w:szCs w:val="20"/>
              </w:rPr>
              <w:t>V4.0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20"/>
                <w:szCs w:val="20"/>
              </w:rPr>
            </w:pPr>
            <w:r>
              <w:rPr>
                <w:rFonts w:ascii="Times New Roman"/>
                <w:w w:val="95"/>
                <w:sz w:val="20"/>
              </w:rPr>
              <w:t>2012SR037612</w:t>
            </w:r>
            <w:r>
              <w:rPr>
                <w:rFonts w:ascii="Times New Roman"/>
                <w:sz w:val="20"/>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2012.05.11</w:t>
            </w:r>
          </w:p>
        </w:tc>
      </w:tr>
      <w:tr>
        <w:trPr>
          <w:trHeight w:val="346"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万达馆藏</w:t>
            </w:r>
            <w:r>
              <w:rPr>
                <w:rFonts w:ascii="Times New Roman" w:hAnsi="Times New Roman" w:cs="Times New Roman" w:eastAsia="Times New Roman" w:hint="default"/>
                <w:sz w:val="20"/>
                <w:szCs w:val="20"/>
              </w:rPr>
              <w:t>RFID</w:t>
            </w:r>
            <w:r>
              <w:rPr>
                <w:rFonts w:ascii="宋体" w:hAnsi="宋体" w:cs="宋体" w:eastAsia="宋体" w:hint="default"/>
                <w:sz w:val="20"/>
                <w:szCs w:val="20"/>
              </w:rPr>
              <w:t>综合管理软件</w:t>
            </w:r>
            <w:r>
              <w:rPr>
                <w:rFonts w:ascii="Times New Roman" w:hAnsi="Times New Roman" w:cs="Times New Roman" w:eastAsia="Times New Roman" w:hint="default"/>
                <w:sz w:val="20"/>
                <w:szCs w:val="20"/>
              </w:rPr>
              <w:t>V1.0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5"/>
                <w:sz w:val="20"/>
              </w:rPr>
              <w:t>2012SR041265</w:t>
            </w:r>
            <w:r>
              <w:rPr>
                <w:rFonts w:ascii="Times New Roman"/>
                <w:sz w:val="20"/>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2012.05.21</w:t>
            </w:r>
          </w:p>
        </w:tc>
      </w:tr>
      <w:tr>
        <w:trPr>
          <w:trHeight w:val="660"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4" w:right="47"/>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万达出租车聚众模拟及监测预警系统应用软</w:t>
            </w:r>
            <w:r>
              <w:rPr>
                <w:rFonts w:ascii="宋体" w:hAnsi="宋体" w:cs="宋体" w:eastAsia="宋体" w:hint="default"/>
                <w:w w:val="99"/>
                <w:sz w:val="20"/>
                <w:szCs w:val="20"/>
              </w:rPr>
              <w:t> </w:t>
            </w:r>
            <w:r>
              <w:rPr>
                <w:rFonts w:ascii="宋体" w:hAnsi="宋体" w:cs="宋体" w:eastAsia="宋体" w:hint="default"/>
                <w:sz w:val="20"/>
                <w:szCs w:val="20"/>
              </w:rPr>
              <w:t>件</w:t>
            </w:r>
            <w:r>
              <w:rPr>
                <w:rFonts w:ascii="Times New Roman" w:hAnsi="Times New Roman" w:cs="Times New Roman" w:eastAsia="Times New Roman" w:hint="default"/>
                <w:sz w:val="20"/>
                <w:szCs w:val="20"/>
              </w:rPr>
              <w:t>V4.0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20"/>
                <w:szCs w:val="20"/>
              </w:rPr>
            </w:pPr>
            <w:r>
              <w:rPr>
                <w:rFonts w:ascii="Times New Roman"/>
                <w:w w:val="95"/>
                <w:sz w:val="20"/>
              </w:rPr>
              <w:t>2012SR047990</w:t>
            </w:r>
            <w:r>
              <w:rPr>
                <w:rFonts w:ascii="Times New Roman"/>
                <w:sz w:val="20"/>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2012.06.07</w:t>
            </w:r>
          </w:p>
        </w:tc>
      </w:tr>
      <w:tr>
        <w:trPr>
          <w:trHeight w:val="348"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万达美术馆藏品业务管理软件</w:t>
            </w:r>
            <w:r>
              <w:rPr>
                <w:rFonts w:ascii="Times New Roman" w:hAnsi="Times New Roman" w:cs="Times New Roman" w:eastAsia="Times New Roman" w:hint="default"/>
                <w:sz w:val="20"/>
                <w:szCs w:val="20"/>
              </w:rPr>
              <w:t>v1.0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5"/>
                <w:sz w:val="20"/>
              </w:rPr>
              <w:t>2012SR047764</w:t>
            </w:r>
            <w:r>
              <w:rPr>
                <w:rFonts w:ascii="Times New Roman"/>
                <w:sz w:val="20"/>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2012.06.07</w:t>
            </w:r>
          </w:p>
        </w:tc>
      </w:tr>
      <w:tr>
        <w:trPr>
          <w:trHeight w:val="346"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万达居民经济状况核对平台软件</w:t>
            </w:r>
            <w:r>
              <w:rPr>
                <w:rFonts w:ascii="Times New Roman" w:hAnsi="Times New Roman" w:cs="Times New Roman" w:eastAsia="Times New Roman" w:hint="default"/>
                <w:sz w:val="20"/>
                <w:szCs w:val="20"/>
              </w:rPr>
              <w:t>V3.0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5"/>
                <w:sz w:val="20"/>
              </w:rPr>
              <w:t>2012SR096001</w:t>
            </w:r>
            <w:r>
              <w:rPr>
                <w:rFonts w:ascii="Times New Roman"/>
                <w:sz w:val="20"/>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2012.10.13</w:t>
            </w:r>
          </w:p>
        </w:tc>
      </w:tr>
      <w:tr>
        <w:trPr>
          <w:trHeight w:val="348" w:hRule="exact"/>
        </w:trPr>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6" w:right="0"/>
              <w:jc w:val="center"/>
              <w:rPr>
                <w:rFonts w:ascii="Times New Roman" w:hAnsi="Times New Roman" w:cs="Times New Roman" w:eastAsia="Times New Roman" w:hint="default"/>
                <w:sz w:val="20"/>
                <w:szCs w:val="20"/>
              </w:rPr>
            </w:pPr>
            <w:r>
              <w:rPr>
                <w:rFonts w:ascii="Times New Roman"/>
                <w:sz w:val="20"/>
              </w:rPr>
              <w:t>10</w:t>
            </w:r>
          </w:p>
        </w:tc>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万达土地与矿业权网上交易平台软件</w:t>
            </w:r>
            <w:r>
              <w:rPr>
                <w:rFonts w:ascii="Times New Roman" w:hAnsi="Times New Roman" w:cs="Times New Roman" w:eastAsia="Times New Roman" w:hint="default"/>
                <w:sz w:val="20"/>
                <w:szCs w:val="20"/>
              </w:rPr>
              <w:t>V1.0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20"/>
                <w:szCs w:val="20"/>
              </w:rPr>
            </w:pPr>
            <w:r>
              <w:rPr>
                <w:rFonts w:ascii="Times New Roman"/>
                <w:w w:val="95"/>
                <w:sz w:val="20"/>
              </w:rPr>
              <w:t>2012SR097922</w:t>
            </w:r>
            <w:r>
              <w:rPr>
                <w:rFonts w:ascii="Times New Roman"/>
                <w:sz w:val="20"/>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2012.10.18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86" w:lineRule="auto" w:before="36"/>
        <w:ind w:left="573" w:right="0" w:hanging="24"/>
        <w:jc w:val="left"/>
      </w:pPr>
      <w:r>
        <w:rPr>
          <w:rFonts w:ascii="Times New Roman" w:hAnsi="Times New Roman" w:cs="Times New Roman" w:eastAsia="Times New Roman" w:hint="default"/>
        </w:rPr>
        <w:t>3</w:t>
      </w:r>
      <w:r>
        <w:rPr/>
        <w:t>、核心技术人员</w:t>
      </w:r>
      <w:r>
        <w:rPr>
          <w:spacing w:val="-102"/>
        </w:rPr>
        <w:t> </w:t>
      </w:r>
      <w:r>
        <w:rPr>
          <w:spacing w:val="-102"/>
        </w:rPr>
      </w:r>
      <w:r>
        <w:rPr>
          <w:spacing w:val="-2"/>
        </w:rPr>
        <w:t>报告期内，公司的核心技术人员没有流失，骨干员工的变动率为</w:t>
      </w:r>
      <w:r>
        <w:rPr>
          <w:rFonts w:ascii="Times New Roman" w:hAnsi="Times New Roman" w:cs="Times New Roman" w:eastAsia="Times New Roman" w:hint="default"/>
          <w:spacing w:val="-2"/>
        </w:rPr>
        <w:t>7.8%</w:t>
      </w:r>
      <w:r>
        <w:rPr>
          <w:spacing w:val="-2"/>
        </w:rPr>
        <w:t>，骨干团队保持稳定。</w:t>
      </w:r>
    </w:p>
    <w:p>
      <w:pPr>
        <w:spacing w:line="240" w:lineRule="auto" w:before="10"/>
        <w:rPr>
          <w:rFonts w:ascii="宋体" w:hAnsi="宋体" w:cs="宋体" w:eastAsia="宋体" w:hint="default"/>
          <w:sz w:val="19"/>
          <w:szCs w:val="19"/>
        </w:rPr>
      </w:pPr>
    </w:p>
    <w:p>
      <w:pPr>
        <w:pStyle w:val="Heading4"/>
        <w:spacing w:line="240" w:lineRule="auto"/>
        <w:ind w:left="212" w:right="4244"/>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212" w:right="4244"/>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6"/>
          <w:szCs w:val="26"/>
        </w:rPr>
      </w:pPr>
    </w:p>
    <w:p>
      <w:pPr>
        <w:spacing w:before="0"/>
        <w:ind w:left="0" w:right="2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099"/>
        <w:gridCol w:w="5471"/>
      </w:tblGrid>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77,612.5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20" w:right="90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077"/>
        <w:gridCol w:w="5481"/>
      </w:tblGrid>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27,653.28</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44,328.26</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综合业务基础软件平 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V4.0 </w:t>
            </w:r>
            <w:r>
              <w:rPr>
                <w:rFonts w:ascii="宋体" w:hAnsi="宋体" w:cs="宋体" w:eastAsia="宋体" w:hint="default"/>
                <w:sz w:val="18"/>
                <w:szCs w:val="18"/>
              </w:rPr>
              <w:t>系统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1,655.86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3,056.08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综合劳动和社会保障</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V3.0 </w:t>
            </w:r>
            <w:r>
              <w:rPr>
                <w:rFonts w:ascii="宋体" w:hAnsi="宋体" w:cs="宋体" w:eastAsia="宋体" w:hint="default"/>
                <w:sz w:val="18"/>
                <w:szCs w:val="18"/>
              </w:rPr>
              <w:t>系统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3,261.25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民航信息一体化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V2.0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1,240.94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2,299.18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企业综合监管平台</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2,527.45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医疗卫生信息化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V2.0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1,781.78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10,467.28</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16,142.26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上海万达全程健康服 务有限公司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西藏万达华波美信息 技术有限公司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天津万达信息技术有</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8.080002pt;margin-top:177.61998pt;width:124.7pt;height:19.6pt;mso-position-horizontal-relative:page;mso-position-vertical-relative:page;z-index:-107708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归还银行贷款（如有）</w:t>
                  </w:r>
                </w:p>
              </w:txbxContent>
            </v:textbox>
            <w10:wrap type="none"/>
          </v:shape>
        </w:pict>
      </w:r>
      <w:r>
        <w:rPr/>
        <w:pict>
          <v:shape style="position:absolute;margin-left:56.400002pt;margin-top:71.999985pt;width:479.3pt;height:685.7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67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北京万达全城信息系 统有限公司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万达信息云计算基地</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4,250</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12,250</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49,986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49,986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17,186</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28,186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69,552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69,552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27,653.28</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44,328.26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629"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、综合业务基础软件平台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V4.0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系统，原计划</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月完工，现研发工作大部分已完成，拟延期</w:t>
                        </w:r>
                        <w:r>
                          <w:rPr>
                            <w:rFonts w:ascii="宋体" w:hAnsi="宋体" w:cs="宋体" w:eastAsia="宋体" w:hint="default"/>
                            <w:sz w:val="18"/>
                            <w:szCs w:val="18"/>
                          </w:rPr>
                          <w:t> 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月完工。</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、综合劳动和社会保障</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V3.0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系统，随着政府对社会保障等民生工程的重视及 新政策的落实，原计划延迟至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月完工，公司拟加速研发进程，已于年底前完工。</w:t>
                        </w:r>
                        <w:r>
                          <w:rPr>
                            <w:rFonts w:ascii="Times New Roman" w:hAnsi="Times New Roman" w:cs="Times New Roman" w:eastAsia="Times New Roman" w:hint="default"/>
                            <w:sz w:val="18"/>
                            <w:szCs w:val="18"/>
                          </w:rPr>
                          <w:t>3</w:t>
                        </w:r>
                        <w:r>
                          <w:rPr>
                            <w:rFonts w:ascii="宋体" w:hAnsi="宋体" w:cs="宋体" w:eastAsia="宋体" w:hint="default"/>
                            <w:sz w:val="18"/>
                            <w:szCs w:val="18"/>
                          </w:rPr>
                          <w:t>、民航</w:t>
                        </w:r>
                      </w:p>
                      <w:p>
                        <w:pPr>
                          <w:pStyle w:val="TableParagraph"/>
                          <w:spacing w:line="300" w:lineRule="auto" w:before="13"/>
                          <w:ind w:left="16" w:right="26"/>
                          <w:jc w:val="left"/>
                          <w:rPr>
                            <w:rFonts w:ascii="宋体" w:hAnsi="宋体" w:cs="宋体" w:eastAsia="宋体" w:hint="default"/>
                            <w:sz w:val="18"/>
                            <w:szCs w:val="18"/>
                          </w:rPr>
                        </w:pPr>
                        <w:r>
                          <w:rPr>
                            <w:rFonts w:ascii="宋体" w:hAnsi="宋体" w:cs="宋体" w:eastAsia="宋体" w:hint="default"/>
                            <w:sz w:val="18"/>
                            <w:szCs w:val="18"/>
                          </w:rPr>
                          <w:t>信息一体化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系统，原计划</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月完工，现研发工作过半，拟延期至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月完工。</w:t>
                        </w:r>
                        <w:r>
                          <w:rPr>
                            <w:rFonts w:ascii="Times New Roman" w:hAnsi="Times New Roman" w:cs="Times New Roman" w:eastAsia="Times New Roman" w:hint="default"/>
                            <w:spacing w:val="-5"/>
                            <w:sz w:val="18"/>
                            <w:szCs w:val="18"/>
                          </w:rPr>
                          <w:t>4</w:t>
                        </w:r>
                        <w:r>
                          <w:rPr>
                            <w:rFonts w:ascii="Times New Roman" w:hAnsi="Times New Roman" w:cs="Times New Roman" w:eastAsia="Times New Roman" w:hint="default"/>
                            <w:sz w:val="18"/>
                            <w:szCs w:val="18"/>
                          </w:rPr>
                          <w:t> </w:t>
                        </w:r>
                        <w:r>
                          <w:rPr>
                            <w:rFonts w:ascii="宋体" w:hAnsi="宋体" w:cs="宋体" w:eastAsia="宋体" w:hint="default"/>
                            <w:sz w:val="18"/>
                            <w:szCs w:val="18"/>
                          </w:rPr>
                          <w:t>企业综合监管平台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项目，原计划延迟至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月完成，由于政府加强了市场综合监管的要 求已落实，公司拟加速研发工作，已于年底前完工。</w:t>
                        </w:r>
                        <w:r>
                          <w:rPr>
                            <w:rFonts w:ascii="Times New Roman" w:hAnsi="Times New Roman" w:cs="Times New Roman" w:eastAsia="Times New Roman" w:hint="default"/>
                            <w:sz w:val="18"/>
                            <w:szCs w:val="18"/>
                          </w:rPr>
                          <w:t>5</w:t>
                        </w:r>
                        <w:r>
                          <w:rPr>
                            <w:rFonts w:ascii="宋体" w:hAnsi="宋体" w:cs="宋体" w:eastAsia="宋体" w:hint="default"/>
                            <w:sz w:val="18"/>
                            <w:szCs w:val="18"/>
                          </w:rPr>
                          <w:t>、医疗卫生信息化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V2.0 </w:t>
                        </w:r>
                        <w:r>
                          <w:rPr>
                            <w:rFonts w:ascii="宋体" w:hAnsi="宋体" w:cs="宋体" w:eastAsia="宋体" w:hint="default"/>
                            <w:sz w:val="18"/>
                            <w:szCs w:val="18"/>
                          </w:rPr>
                          <w:t>系统，研发主体工作 已完成，为了更好的为政府工作步骤衔接，测试、调整工作已于年底前完工。</w:t>
                        </w:r>
                      </w:p>
                    </w:tc>
                  </w:tr>
                  <w:tr>
                    <w:trPr>
                      <w:trHeight w:val="1015"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629"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748"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9" w:lineRule="auto" w:before="49"/>
                          <w:ind w:left="16" w:right="19"/>
                          <w:jc w:val="left"/>
                          <w:rPr>
                            <w:rFonts w:ascii="宋体" w:hAnsi="宋体" w:cs="宋体" w:eastAsia="宋体" w:hint="default"/>
                            <w:sz w:val="18"/>
                            <w:szCs w:val="18"/>
                          </w:rPr>
                        </w:pPr>
                        <w:r>
                          <w:rPr>
                            <w:rFonts w:ascii="宋体" w:hAnsi="宋体" w:cs="宋体" w:eastAsia="宋体" w:hint="default"/>
                            <w:sz w:val="18"/>
                            <w:szCs w:val="18"/>
                          </w:rPr>
                          <w:t>本次超募资金总额为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580,465,000.00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元，按规定存入银行专户管理。</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日，公司第四届</w:t>
                        </w:r>
                        <w:r>
                          <w:rPr>
                            <w:rFonts w:ascii="宋体" w:hAnsi="宋体" w:cs="宋体" w:eastAsia="宋体" w:hint="default"/>
                            <w:sz w:val="18"/>
                            <w:szCs w:val="18"/>
                          </w:rPr>
                          <w:t> </w:t>
                        </w:r>
                        <w:r>
                          <w:rPr>
                            <w:rFonts w:ascii="宋体" w:hAnsi="宋体" w:cs="宋体" w:eastAsia="宋体" w:hint="default"/>
                            <w:spacing w:val="-3"/>
                            <w:sz w:val="18"/>
                            <w:szCs w:val="18"/>
                          </w:rPr>
                          <w:t>董事会第二次会议审议通过了《关于使用部分超募资金偿还银行贷款及永久补充流动资金的议案》</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同意公司使用部分超募资金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4,250</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万元偿还银行贷款，使用部分超募资金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6,750</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万元永久补充流动资</w:t>
                        </w:r>
                      </w:p>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金，该计划已在董事会审议通过后正式实施。</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日，公司第四届董事会</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年第十</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次临时会议审议通过</w:t>
                        </w:r>
                        <w:r>
                          <w:rPr>
                            <w:rFonts w:ascii="宋体" w:hAnsi="宋体" w:cs="宋体" w:eastAsia="宋体" w:hint="default"/>
                            <w:spacing w:val="-89"/>
                            <w:sz w:val="18"/>
                            <w:szCs w:val="18"/>
                          </w:rPr>
                          <w:t>了</w:t>
                        </w:r>
                        <w:r>
                          <w:rPr>
                            <w:rFonts w:ascii="宋体" w:hAnsi="宋体" w:cs="宋体" w:eastAsia="宋体" w:hint="default"/>
                            <w:sz w:val="18"/>
                            <w:szCs w:val="18"/>
                          </w:rPr>
                          <w:t>《关于使用部分超募资金暂时补充流动资金的议案</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一致同意公司使用</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万元超募资金用于暂时补充流动资金，该计划已在董事会审议通过后正式实施。</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公司已将上述用于暂时补充流动资金的</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万元全部归还</w:t>
                        </w:r>
                        <w:r>
                          <w:rPr>
                            <w:rFonts w:ascii="宋体" w:hAnsi="宋体" w:cs="宋体" w:eastAsia="宋体" w:hint="default"/>
                            <w:spacing w:val="-3"/>
                            <w:sz w:val="18"/>
                            <w:szCs w:val="18"/>
                          </w:rPr>
                          <w:t>至</w:t>
                        </w:r>
                        <w:r>
                          <w:rPr>
                            <w:rFonts w:ascii="宋体" w:hAnsi="宋体" w:cs="宋体" w:eastAsia="宋体" w:hint="default"/>
                            <w:sz w:val="18"/>
                            <w:szCs w:val="18"/>
                          </w:rPr>
                          <w:t>公司超募资金专户</w:t>
                        </w:r>
                        <w:r>
                          <w:rPr>
                            <w:rFonts w:ascii="宋体" w:hAnsi="宋体" w:cs="宋体" w:eastAsia="宋体" w:hint="default"/>
                            <w:spacing w:val="-91"/>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公司第四届董事会</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3"/>
                            <w:sz w:val="18"/>
                            <w:szCs w:val="18"/>
                          </w:rPr>
                          <w:t>二</w:t>
                        </w:r>
                        <w:r>
                          <w:rPr>
                            <w:rFonts w:ascii="宋体" w:hAnsi="宋体" w:cs="宋体" w:eastAsia="宋体" w:hint="default"/>
                            <w:sz w:val="18"/>
                            <w:szCs w:val="18"/>
                          </w:rPr>
                          <w:t>次临时会议审议通过</w:t>
                        </w:r>
                        <w:r>
                          <w:rPr>
                            <w:rFonts w:ascii="宋体" w:hAnsi="宋体" w:cs="宋体" w:eastAsia="宋体" w:hint="default"/>
                            <w:spacing w:val="-89"/>
                            <w:sz w:val="18"/>
                            <w:szCs w:val="18"/>
                          </w:rPr>
                          <w:t>了</w:t>
                        </w:r>
                        <w:r>
                          <w:rPr>
                            <w:rFonts w:ascii="宋体" w:hAnsi="宋体" w:cs="宋体" w:eastAsia="宋体" w:hint="default"/>
                            <w:sz w:val="18"/>
                            <w:szCs w:val="18"/>
                          </w:rPr>
                          <w:t>《关于使用部分超募资金对外投资设立合资公</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司的议案</w:t>
                        </w:r>
                        <w:r>
                          <w:rPr>
                            <w:rFonts w:ascii="宋体" w:hAnsi="宋体" w:cs="宋体" w:eastAsia="宋体" w:hint="default"/>
                            <w:spacing w:val="-15"/>
                            <w:sz w:val="18"/>
                            <w:szCs w:val="18"/>
                          </w:rPr>
                          <w:t>》和</w:t>
                        </w:r>
                        <w:r>
                          <w:rPr>
                            <w:rFonts w:ascii="宋体" w:hAnsi="宋体" w:cs="宋体" w:eastAsia="宋体" w:hint="default"/>
                            <w:sz w:val="18"/>
                            <w:szCs w:val="18"/>
                          </w:rPr>
                          <w:t>《关于使用部分超募资金暂时补充流动资金的议案</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同意公司使用部分超</w:t>
                        </w:r>
                        <w:r>
                          <w:rPr>
                            <w:rFonts w:ascii="宋体" w:hAnsi="宋体" w:cs="宋体" w:eastAsia="宋体" w:hint="default"/>
                            <w:spacing w:val="2"/>
                            <w:sz w:val="18"/>
                            <w:szCs w:val="18"/>
                          </w:rPr>
                          <w:t>募</w:t>
                        </w:r>
                        <w:r>
                          <w:rPr>
                            <w:rFonts w:ascii="宋体" w:hAnsi="宋体" w:cs="宋体" w:eastAsia="宋体" w:hint="default"/>
                            <w:sz w:val="18"/>
                            <w:szCs w:val="18"/>
                          </w:rPr>
                          <w:t>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5</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万元对外投资设立合资公司上海万达全程健康服务有限公司</w:t>
                        </w:r>
                        <w:r>
                          <w:rPr>
                            <w:rFonts w:ascii="宋体" w:hAnsi="宋体" w:cs="宋体" w:eastAsia="宋体" w:hint="default"/>
                            <w:spacing w:val="-89"/>
                            <w:sz w:val="18"/>
                            <w:szCs w:val="18"/>
                          </w:rPr>
                          <w:t>，</w:t>
                        </w:r>
                        <w:r>
                          <w:rPr>
                            <w:rFonts w:ascii="宋体" w:hAnsi="宋体" w:cs="宋体" w:eastAsia="宋体" w:hint="default"/>
                            <w:sz w:val="18"/>
                            <w:szCs w:val="18"/>
                          </w:rPr>
                          <w:t>同时本次拟使用超募资金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于暂时补充流动资金，使用期限不超过董事会批准之日起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pacing w:val="-6"/>
                            <w:sz w:val="18"/>
                            <w:szCs w:val="18"/>
                          </w:rPr>
                          <w:t>个月，到期将归还至募集资金专户。</w:t>
                        </w:r>
                        <w:r>
                          <w:rPr>
                            <w:rFonts w:ascii="Times New Roman" w:hAnsi="Times New Roman" w:cs="Times New Roman" w:eastAsia="Times New Roman" w:hint="default"/>
                            <w:spacing w:val="-6"/>
                            <w:sz w:val="18"/>
                            <w:szCs w:val="18"/>
                          </w:rPr>
                          <w:t>2012</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公司已将上述</w:t>
                        </w:r>
                        <w:r>
                          <w:rPr>
                            <w:rFonts w:ascii="宋体" w:hAnsi="宋体" w:cs="宋体" w:eastAsia="宋体" w:hint="default"/>
                            <w:spacing w:val="-3"/>
                            <w:sz w:val="18"/>
                            <w:szCs w:val="18"/>
                          </w:rPr>
                          <w:t>用</w:t>
                        </w:r>
                        <w:r>
                          <w:rPr>
                            <w:rFonts w:ascii="宋体" w:hAnsi="宋体" w:cs="宋体" w:eastAsia="宋体" w:hint="default"/>
                            <w:sz w:val="18"/>
                            <w:szCs w:val="18"/>
                          </w:rPr>
                          <w:t>于暂时补充流动资金的</w:t>
                        </w:r>
                        <w:r>
                          <w:rPr>
                            <w:rFonts w:ascii="宋体" w:hAnsi="宋体" w:cs="宋体" w:eastAsia="宋体" w:hint="default"/>
                            <w:spacing w:val="-58"/>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60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元全部归还至公司超募资金专户</w:t>
                        </w:r>
                        <w:r>
                          <w:rPr>
                            <w:rFonts w:ascii="宋体" w:hAnsi="宋体" w:cs="宋体" w:eastAsia="宋体" w:hint="default"/>
                            <w:spacing w:val="-91"/>
                            <w:sz w:val="18"/>
                            <w:szCs w:val="18"/>
                          </w:rPr>
                          <w:t>。</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z w:val="18"/>
                            <w:szCs w:val="18"/>
                          </w:rPr>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日，公司第四届董事会第四次会议审议通过了《关于使用部分超募资金增资收购西藏新时</w:t>
                        </w:r>
                      </w:p>
                      <w:p>
                        <w:pPr>
                          <w:pStyle w:val="TableParagraph"/>
                          <w:spacing w:line="300" w:lineRule="auto" w:before="63"/>
                          <w:ind w:left="16" w:right="20"/>
                          <w:jc w:val="both"/>
                          <w:rPr>
                            <w:rFonts w:ascii="宋体" w:hAnsi="宋体" w:cs="宋体" w:eastAsia="宋体" w:hint="default"/>
                            <w:sz w:val="18"/>
                            <w:szCs w:val="18"/>
                          </w:rPr>
                        </w:pPr>
                        <w:r>
                          <w:rPr>
                            <w:rFonts w:ascii="宋体" w:hAnsi="宋体" w:cs="宋体" w:eastAsia="宋体" w:hint="default"/>
                            <w:spacing w:val="-4"/>
                            <w:sz w:val="18"/>
                            <w:szCs w:val="18"/>
                          </w:rPr>
                          <w:t>代华波美信息技术有限公司的议案》，万达信息股份有限公司出资</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3800</w:t>
                        </w:r>
                        <w:r>
                          <w:rPr>
                            <w:rFonts w:ascii="Times New Roman" w:hAnsi="Times New Roman" w:cs="Times New Roman" w:eastAsia="Times New Roman" w:hint="default"/>
                            <w:spacing w:val="16"/>
                            <w:sz w:val="18"/>
                            <w:szCs w:val="18"/>
                          </w:rPr>
                          <w:t> </w:t>
                        </w:r>
                        <w:r>
                          <w:rPr>
                            <w:rFonts w:ascii="宋体" w:hAnsi="宋体" w:cs="宋体" w:eastAsia="宋体" w:hint="default"/>
                            <w:spacing w:val="-1"/>
                            <w:sz w:val="18"/>
                            <w:szCs w:val="18"/>
                          </w:rPr>
                          <w:t>万元，新公司名称为西藏万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达华波美信息技术有限公司，新公司注册资本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4100 </w:t>
                        </w:r>
                        <w:r>
                          <w:rPr>
                            <w:rFonts w:ascii="宋体" w:hAnsi="宋体" w:cs="宋体" w:eastAsia="宋体" w:hint="default"/>
                            <w:sz w:val="18"/>
                            <w:szCs w:val="18"/>
                          </w:rPr>
                          <w:t>万元，万达信息股份有限公司持有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51.22%</w:t>
                        </w:r>
                        <w:r>
                          <w:rPr>
                            <w:rFonts w:ascii="宋体" w:hAnsi="宋体" w:cs="宋体" w:eastAsia="宋体" w:hint="default"/>
                            <w:sz w:val="18"/>
                            <w:szCs w:val="18"/>
                          </w:rPr>
                          <w:t>的股 权。</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日，公司第四届董事会第四次会议审议通过了《关于使用部分超募资金投资设</w:t>
                        </w:r>
                      </w:p>
                      <w:p>
                        <w:pPr>
                          <w:pStyle w:val="TableParagraph"/>
                          <w:spacing w:line="240" w:lineRule="auto" w:before="13"/>
                          <w:ind w:left="16" w:right="0"/>
                          <w:jc w:val="left"/>
                          <w:rPr>
                            <w:rFonts w:ascii="宋体" w:hAnsi="宋体" w:cs="宋体" w:eastAsia="宋体" w:hint="default"/>
                            <w:sz w:val="18"/>
                            <w:szCs w:val="18"/>
                          </w:rPr>
                        </w:pPr>
                        <w:r>
                          <w:rPr>
                            <w:rFonts w:ascii="宋体" w:hAnsi="宋体" w:cs="宋体" w:eastAsia="宋体" w:hint="default"/>
                            <w:sz w:val="18"/>
                            <w:szCs w:val="18"/>
                          </w:rPr>
                          <w:t>立全资子公司天津万达信息技术有限责任公司的议案</w:t>
                        </w:r>
                        <w:r>
                          <w:rPr>
                            <w:rFonts w:ascii="宋体" w:hAnsi="宋体" w:cs="宋体" w:eastAsia="宋体" w:hint="default"/>
                            <w:spacing w:val="-89"/>
                            <w:sz w:val="18"/>
                            <w:szCs w:val="18"/>
                          </w:rPr>
                          <w:t>》</w:t>
                        </w:r>
                        <w:r>
                          <w:rPr>
                            <w:rFonts w:ascii="宋体" w:hAnsi="宋体" w:cs="宋体" w:eastAsia="宋体" w:hint="default"/>
                            <w:sz w:val="18"/>
                            <w:szCs w:val="18"/>
                          </w:rPr>
                          <w:t>同意公司使用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万元超募资金设</w:t>
                        </w:r>
                        <w:r>
                          <w:rPr>
                            <w:rFonts w:ascii="宋体" w:hAnsi="宋体" w:cs="宋体" w:eastAsia="宋体" w:hint="default"/>
                            <w:spacing w:val="-3"/>
                            <w:sz w:val="18"/>
                            <w:szCs w:val="18"/>
                          </w:rPr>
                          <w:t>立</w:t>
                        </w:r>
                        <w:r>
                          <w:rPr>
                            <w:rFonts w:ascii="宋体" w:hAnsi="宋体" w:cs="宋体" w:eastAsia="宋体" w:hint="default"/>
                            <w:sz w:val="18"/>
                            <w:szCs w:val="18"/>
                          </w:rPr>
                          <w:t>全资子</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公司天津万达信息技术有限责任公司。</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日，公司第四届董事会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年第五次临时会</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议审议通过了《关于超募资金使用计划的议案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同</w:t>
                        </w:r>
                        <w:r>
                          <w:rPr>
                            <w:rFonts w:ascii="宋体" w:hAnsi="宋体" w:cs="宋体" w:eastAsia="宋体" w:hint="default"/>
                            <w:sz w:val="18"/>
                            <w:szCs w:val="18"/>
                          </w:rPr>
                          <w:t>意公司</w:t>
                        </w:r>
                        <w:r>
                          <w:rPr>
                            <w:rFonts w:ascii="宋体" w:hAnsi="宋体" w:cs="宋体" w:eastAsia="宋体" w:hint="default"/>
                            <w:spacing w:val="2"/>
                            <w:sz w:val="18"/>
                            <w:szCs w:val="18"/>
                          </w:rPr>
                          <w:t>使</w:t>
                        </w:r>
                        <w:r>
                          <w:rPr>
                            <w:rFonts w:ascii="宋体" w:hAnsi="宋体" w:cs="宋体" w:eastAsia="宋体" w:hint="default"/>
                            <w:sz w:val="18"/>
                            <w:szCs w:val="18"/>
                          </w:rPr>
                          <w:t>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万元超募资金投资设</w:t>
                        </w:r>
                        <w:r>
                          <w:rPr>
                            <w:rFonts w:ascii="宋体" w:hAnsi="宋体" w:cs="宋体" w:eastAsia="宋体" w:hint="default"/>
                            <w:spacing w:val="-3"/>
                            <w:sz w:val="18"/>
                            <w:szCs w:val="18"/>
                          </w:rPr>
                          <w:t>立</w:t>
                        </w:r>
                        <w:r>
                          <w:rPr>
                            <w:rFonts w:ascii="宋体" w:hAnsi="宋体" w:cs="宋体" w:eastAsia="宋体" w:hint="default"/>
                            <w:sz w:val="18"/>
                            <w:szCs w:val="18"/>
                          </w:rPr>
                          <w:t>全资子</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公司北京万达信息技术有限责任公司，使用</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611</w:t>
                        </w:r>
                        <w:r>
                          <w:rPr>
                            <w:rFonts w:ascii="Times New Roman" w:hAnsi="Times New Roman" w:cs="Times New Roman" w:eastAsia="Times New Roman" w:hint="default"/>
                            <w:sz w:val="18"/>
                            <w:szCs w:val="18"/>
                          </w:rPr>
                          <w:t> </w:t>
                        </w:r>
                        <w:r>
                          <w:rPr>
                            <w:rFonts w:ascii="宋体" w:hAnsi="宋体" w:cs="宋体" w:eastAsia="宋体" w:hint="default"/>
                            <w:sz w:val="18"/>
                            <w:szCs w:val="18"/>
                          </w:rPr>
                          <w:t>万元超募资金增资控股子公司上海万达全程健康服</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务有限公司。</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日，公司第四届董事会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年第六次临时会议审议通过了《关于使用</w:t>
                        </w:r>
                      </w:p>
                    </w:tc>
                  </w:tr>
                  <w:tr>
                    <w:trPr>
                      <w:trHeight w:val="70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vMerge/>
                        <w:tcBorders>
                          <w:left w:val="single" w:sz="10" w:space="0" w:color="D2D2D2"/>
                          <w:right w:val="single" w:sz="4" w:space="0" w:color="000000"/>
                        </w:tcBorders>
                      </w:tcPr>
                      <w:p>
                        <w:pPr/>
                      </w:p>
                    </w:tc>
                  </w:tr>
                  <w:tr>
                    <w:trPr>
                      <w:trHeight w:val="3149"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44"/>
        <w:ind w:left="0" w:right="156" w:firstLine="0"/>
        <w:jc w:val="right"/>
        <w:rPr>
          <w:rFonts w:ascii="宋体" w:hAnsi="宋体" w:cs="宋体" w:eastAsia="宋体" w:hint="default"/>
          <w:sz w:val="18"/>
          <w:szCs w:val="18"/>
        </w:rPr>
      </w:pPr>
      <w:r>
        <w:rPr/>
        <w:pict>
          <v:shape style="position:absolute;margin-left:139.100006pt;margin-top:-107.438293pt;width:43.7pt;height:19.7pt;mso-position-horizontal-relative:page;mso-position-vertical-relative:paragraph;z-index:-107706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44"/>
        <w:ind w:left="0" w:right="1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192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部分超募资金投资建设云服务上海基地的议案</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同意公司</w:t>
            </w:r>
            <w:r>
              <w:rPr>
                <w:rFonts w:ascii="宋体" w:hAnsi="宋体" w:cs="宋体" w:eastAsia="宋体" w:hint="default"/>
                <w:spacing w:val="2"/>
                <w:sz w:val="18"/>
                <w:szCs w:val="18"/>
              </w:rPr>
              <w:t>使</w:t>
            </w:r>
            <w:r>
              <w:rPr>
                <w:rFonts w:ascii="宋体" w:hAnsi="宋体" w:cs="宋体" w:eastAsia="宋体" w:hint="default"/>
                <w:sz w:val="18"/>
                <w:szCs w:val="18"/>
              </w:rPr>
              <w:t>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万元超募资金投资</w:t>
            </w:r>
            <w:r>
              <w:rPr>
                <w:rFonts w:ascii="宋体" w:hAnsi="宋体" w:cs="宋体" w:eastAsia="宋体" w:hint="default"/>
                <w:spacing w:val="-3"/>
                <w:sz w:val="18"/>
                <w:szCs w:val="18"/>
              </w:rPr>
              <w:t>建</w:t>
            </w:r>
            <w:r>
              <w:rPr>
                <w:rFonts w:ascii="宋体" w:hAnsi="宋体" w:cs="宋体" w:eastAsia="宋体" w:hint="default"/>
                <w:sz w:val="18"/>
                <w:szCs w:val="18"/>
              </w:rPr>
              <w:t>设万达信</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息云服务上海基地，报告期内提取超募资金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9200 </w:t>
            </w:r>
            <w:r>
              <w:rPr>
                <w:rFonts w:ascii="宋体" w:hAnsi="宋体" w:cs="宋体" w:eastAsia="宋体" w:hint="default"/>
                <w:sz w:val="18"/>
                <w:szCs w:val="18"/>
              </w:rPr>
              <w:t>万元至宁波银行上海市长宁支行专户存储。</w:t>
            </w:r>
            <w:r>
              <w:rPr>
                <w:rFonts w:ascii="Times New Roman" w:hAnsi="Times New Roman" w:cs="Times New Roman" w:eastAsia="Times New Roman" w:hint="default"/>
                <w:sz w:val="18"/>
                <w:szCs w:val="18"/>
              </w:rPr>
              <w:t>2012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日，公司第四届董事会</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年第八次临时会议审议通过了《关于使用部分超募资金暂时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w:t>
            </w:r>
            <w:r>
              <w:rPr>
                <w:rFonts w:ascii="宋体" w:hAnsi="宋体" w:cs="宋体" w:eastAsia="宋体" w:hint="default"/>
                <w:spacing w:val="2"/>
                <w:sz w:val="18"/>
                <w:szCs w:val="18"/>
              </w:rPr>
              <w:t>公</w:t>
            </w:r>
            <w:r>
              <w:rPr>
                <w:rFonts w:ascii="宋体" w:hAnsi="宋体" w:cs="宋体" w:eastAsia="宋体" w:hint="default"/>
                <w:sz w:val="18"/>
                <w:szCs w:val="18"/>
              </w:rPr>
              <w:t>司使用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万元超募资金用</w:t>
            </w:r>
            <w:r>
              <w:rPr>
                <w:rFonts w:ascii="宋体" w:hAnsi="宋体" w:cs="宋体" w:eastAsia="宋体" w:hint="default"/>
                <w:spacing w:val="-3"/>
                <w:sz w:val="18"/>
                <w:szCs w:val="18"/>
              </w:rPr>
              <w:t>于</w:t>
            </w:r>
            <w:r>
              <w:rPr>
                <w:rFonts w:ascii="宋体" w:hAnsi="宋体" w:cs="宋体" w:eastAsia="宋体" w:hint="default"/>
                <w:sz w:val="18"/>
                <w:szCs w:val="18"/>
              </w:rPr>
              <w:t>暂时补充流动资金，使用期限不超过</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董事会批准之日起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6"/>
                <w:sz w:val="18"/>
                <w:szCs w:val="18"/>
              </w:rPr>
              <w:t>个月。</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日公司实际使用超募资金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万元用于暂时补充流动资 金。</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尚未使用的募集资金（包括超募资金）均存放于公司募集资金专户或按定期存款存储。</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46"/>
        <w:gridCol w:w="970"/>
        <w:gridCol w:w="946"/>
        <w:gridCol w:w="959"/>
        <w:gridCol w:w="968"/>
        <w:gridCol w:w="933"/>
        <w:gridCol w:w="968"/>
        <w:gridCol w:w="955"/>
        <w:gridCol w:w="970"/>
        <w:gridCol w:w="946"/>
      </w:tblGrid>
      <w:tr>
        <w:trPr>
          <w:trHeight w:val="161" w:hRule="exact"/>
        </w:trPr>
        <w:tc>
          <w:tcPr>
            <w:tcW w:w="946" w:type="dxa"/>
            <w:vMerge w:val="restart"/>
            <w:tcBorders>
              <w:top w:val="single" w:sz="4" w:space="0" w:color="000000"/>
              <w:left w:val="single" w:sz="4" w:space="0" w:color="000000"/>
              <w:right w:val="single" w:sz="4" w:space="0" w:color="000000"/>
            </w:tcBorders>
            <w:shd w:val="clear" w:color="auto" w:fill="D2D2D2"/>
          </w:tcPr>
          <w:p>
            <w:pPr/>
          </w:p>
        </w:tc>
        <w:tc>
          <w:tcPr>
            <w:tcW w:w="970" w:type="dxa"/>
            <w:vMerge w:val="restart"/>
            <w:tcBorders>
              <w:top w:val="single" w:sz="4" w:space="0" w:color="000000"/>
              <w:left w:val="single" w:sz="4" w:space="0" w:color="000000"/>
              <w:right w:val="single" w:sz="4" w:space="0" w:color="000000"/>
            </w:tcBorders>
            <w:shd w:val="clear" w:color="auto" w:fill="D2D2D2"/>
          </w:tcPr>
          <w:p>
            <w:pPr/>
          </w:p>
        </w:tc>
        <w:tc>
          <w:tcPr>
            <w:tcW w:w="946"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9"/>
              <w:ind w:left="11"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9" w:type="dxa"/>
            <w:vMerge w:val="restart"/>
            <w:tcBorders>
              <w:top w:val="single" w:sz="4" w:space="0" w:color="000000"/>
              <w:left w:val="single" w:sz="4" w:space="0" w:color="000000"/>
              <w:right w:val="single" w:sz="4" w:space="0" w:color="000000"/>
            </w:tcBorders>
            <w:shd w:val="clear" w:color="auto" w:fill="D2D2D2"/>
          </w:tcPr>
          <w:p>
            <w:pPr/>
          </w:p>
        </w:tc>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33"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9"/>
              <w:ind w:left="11" w:right="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 (1)</w:t>
            </w:r>
          </w:p>
        </w:tc>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vMerge w:val="restart"/>
            <w:tcBorders>
              <w:top w:val="single" w:sz="4" w:space="0" w:color="000000"/>
              <w:left w:val="single" w:sz="4" w:space="0" w:color="000000"/>
              <w:right w:val="single" w:sz="4" w:space="0" w:color="000000"/>
            </w:tcBorders>
            <w:shd w:val="clear" w:color="auto" w:fill="D2D2D2"/>
          </w:tcPr>
          <w:p>
            <w:pPr/>
          </w:p>
        </w:tc>
        <w:tc>
          <w:tcPr>
            <w:tcW w:w="970" w:type="dxa"/>
            <w:vMerge w:val="restart"/>
            <w:tcBorders>
              <w:top w:val="single" w:sz="4" w:space="0" w:color="000000"/>
              <w:left w:val="single" w:sz="4" w:space="0" w:color="000000"/>
              <w:right w:val="single" w:sz="4" w:space="0" w:color="000000"/>
            </w:tcBorders>
            <w:shd w:val="clear" w:color="auto" w:fill="D2D2D2"/>
          </w:tcPr>
          <w:p>
            <w:pPr/>
          </w:p>
        </w:tc>
        <w:tc>
          <w:tcPr>
            <w:tcW w:w="94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56" w:hRule="exact"/>
        </w:trPr>
        <w:tc>
          <w:tcPr>
            <w:tcW w:w="946" w:type="dxa"/>
            <w:vMerge/>
            <w:tcBorders>
              <w:left w:val="single" w:sz="4" w:space="0" w:color="000000"/>
              <w:bottom w:val="nil" w:sz="6" w:space="0" w:color="auto"/>
              <w:right w:val="single" w:sz="4" w:space="0" w:color="000000"/>
            </w:tcBorders>
            <w:shd w:val="clear" w:color="auto" w:fill="D2D2D2"/>
          </w:tcPr>
          <w:p>
            <w:pPr/>
          </w:p>
        </w:tc>
        <w:tc>
          <w:tcPr>
            <w:tcW w:w="970" w:type="dxa"/>
            <w:vMerge/>
            <w:tcBorders>
              <w:left w:val="single" w:sz="4" w:space="0" w:color="000000"/>
              <w:bottom w:val="nil" w:sz="6" w:space="0" w:color="auto"/>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959" w:type="dxa"/>
            <w:vMerge/>
            <w:tcBorders>
              <w:left w:val="single" w:sz="4" w:space="0" w:color="000000"/>
              <w:bottom w:val="nil" w:sz="6" w:space="0" w:color="auto"/>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33" w:type="dxa"/>
            <w:vMerge/>
            <w:tcBorders>
              <w:left w:val="single" w:sz="4" w:space="0" w:color="000000"/>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4"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vMerge/>
            <w:tcBorders>
              <w:left w:val="single" w:sz="4" w:space="0" w:color="000000"/>
              <w:bottom w:val="nil" w:sz="6" w:space="0" w:color="auto"/>
              <w:right w:val="single" w:sz="4" w:space="0" w:color="000000"/>
            </w:tcBorders>
            <w:shd w:val="clear" w:color="auto" w:fill="D2D2D2"/>
          </w:tcPr>
          <w:p>
            <w:pPr/>
          </w:p>
        </w:tc>
        <w:tc>
          <w:tcPr>
            <w:tcW w:w="970" w:type="dxa"/>
            <w:vMerge/>
            <w:tcBorders>
              <w:left w:val="single" w:sz="4" w:space="0" w:color="000000"/>
              <w:bottom w:val="nil" w:sz="6" w:space="0" w:color="auto"/>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r>
      <w:tr>
        <w:trPr>
          <w:trHeight w:val="703" w:hRule="exact"/>
        </w:trPr>
        <w:tc>
          <w:tcPr>
            <w:tcW w:w="9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372"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04" w:right="35"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46" w:type="dxa"/>
            <w:vMerge/>
            <w:tcBorders>
              <w:left w:val="single" w:sz="4" w:space="0" w:color="000000"/>
              <w:right w:val="single" w:sz="4" w:space="0" w:color="000000"/>
            </w:tcBorders>
            <w:shd w:val="clear" w:color="auto" w:fill="D2D2D2"/>
          </w:tcPr>
          <w:p>
            <w:pPr/>
          </w:p>
        </w:tc>
        <w:tc>
          <w:tcPr>
            <w:tcW w:w="9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68" w:type="dxa"/>
            <w:vMerge/>
            <w:tcBorders>
              <w:left w:val="single" w:sz="4" w:space="0" w:color="000000"/>
              <w:right w:val="single" w:sz="4" w:space="0" w:color="000000"/>
            </w:tcBorders>
            <w:shd w:val="clear" w:color="auto" w:fill="D2D2D2"/>
          </w:tcPr>
          <w:p>
            <w:pPr/>
          </w:p>
        </w:tc>
        <w:tc>
          <w:tcPr>
            <w:tcW w:w="933" w:type="dxa"/>
            <w:vMerge/>
            <w:tcBorders>
              <w:left w:val="single" w:sz="4" w:space="0" w:color="000000"/>
              <w:right w:val="single" w:sz="4" w:space="0" w:color="000000"/>
            </w:tcBorders>
            <w:shd w:val="clear" w:color="auto" w:fill="D2D2D2"/>
          </w:tcPr>
          <w:p>
            <w:pPr/>
          </w:p>
        </w:tc>
        <w:tc>
          <w:tcPr>
            <w:tcW w:w="968" w:type="dxa"/>
            <w:vMerge/>
            <w:tcBorders>
              <w:left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04" w:right="35"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46" w:type="dxa"/>
            <w:vMerge/>
            <w:tcBorders>
              <w:left w:val="single" w:sz="4" w:space="0" w:color="000000"/>
              <w:right w:val="single" w:sz="4" w:space="0" w:color="000000"/>
            </w:tcBorders>
            <w:shd w:val="clear" w:color="auto" w:fill="D2D2D2"/>
          </w:tcPr>
          <w:p>
            <w:pPr/>
          </w:p>
        </w:tc>
      </w:tr>
      <w:tr>
        <w:trPr>
          <w:trHeight w:val="156" w:hRule="exact"/>
        </w:trPr>
        <w:tc>
          <w:tcPr>
            <w:tcW w:w="946" w:type="dxa"/>
            <w:vMerge w:val="restart"/>
            <w:tcBorders>
              <w:top w:val="nil" w:sz="6" w:space="0" w:color="auto"/>
              <w:left w:val="single" w:sz="4" w:space="0" w:color="000000"/>
              <w:right w:val="single" w:sz="4" w:space="0" w:color="000000"/>
            </w:tcBorders>
            <w:shd w:val="clear" w:color="auto" w:fill="D2D2D2"/>
          </w:tcPr>
          <w:p>
            <w:pPr/>
          </w:p>
        </w:tc>
        <w:tc>
          <w:tcPr>
            <w:tcW w:w="970" w:type="dxa"/>
            <w:vMerge w:val="restart"/>
            <w:tcBorders>
              <w:top w:val="nil" w:sz="6" w:space="0" w:color="auto"/>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959" w:type="dxa"/>
            <w:vMerge w:val="restart"/>
            <w:tcBorders>
              <w:top w:val="nil" w:sz="6" w:space="0" w:color="auto"/>
              <w:left w:val="single" w:sz="4" w:space="0" w:color="000000"/>
              <w:right w:val="single" w:sz="4" w:space="0" w:color="000000"/>
            </w:tcBorders>
            <w:shd w:val="clear" w:color="auto" w:fill="D2D2D2"/>
          </w:tcPr>
          <w:p>
            <w:pPr/>
          </w:p>
        </w:tc>
        <w:tc>
          <w:tcPr>
            <w:tcW w:w="968" w:type="dxa"/>
            <w:vMerge/>
            <w:tcBorders>
              <w:left w:val="single" w:sz="4" w:space="0" w:color="000000"/>
              <w:bottom w:val="nil" w:sz="6" w:space="0" w:color="auto"/>
              <w:right w:val="single" w:sz="4" w:space="0" w:color="000000"/>
            </w:tcBorders>
            <w:shd w:val="clear" w:color="auto" w:fill="D2D2D2"/>
          </w:tcPr>
          <w:p>
            <w:pPr/>
          </w:p>
        </w:tc>
        <w:tc>
          <w:tcPr>
            <w:tcW w:w="933" w:type="dxa"/>
            <w:vMerge/>
            <w:tcBorders>
              <w:left w:val="single" w:sz="4" w:space="0" w:color="000000"/>
              <w:right w:val="single" w:sz="4" w:space="0" w:color="000000"/>
            </w:tcBorders>
            <w:shd w:val="clear" w:color="auto" w:fill="D2D2D2"/>
          </w:tcPr>
          <w:p>
            <w:pPr/>
          </w:p>
        </w:tc>
        <w:tc>
          <w:tcPr>
            <w:tcW w:w="968" w:type="dxa"/>
            <w:vMerge/>
            <w:tcBorders>
              <w:left w:val="single" w:sz="4" w:space="0" w:color="000000"/>
              <w:bottom w:val="nil" w:sz="6" w:space="0" w:color="auto"/>
              <w:right w:val="single" w:sz="4" w:space="0" w:color="000000"/>
            </w:tcBorders>
            <w:shd w:val="clear" w:color="auto" w:fill="D2D2D2"/>
          </w:tcPr>
          <w:p>
            <w:pPr/>
          </w:p>
        </w:tc>
        <w:tc>
          <w:tcPr>
            <w:tcW w:w="955" w:type="dxa"/>
            <w:vMerge w:val="restart"/>
            <w:tcBorders>
              <w:top w:val="nil" w:sz="6" w:space="0" w:color="auto"/>
              <w:left w:val="single" w:sz="4" w:space="0" w:color="000000"/>
              <w:right w:val="single" w:sz="4" w:space="0" w:color="000000"/>
            </w:tcBorders>
            <w:shd w:val="clear" w:color="auto" w:fill="D2D2D2"/>
          </w:tcPr>
          <w:p>
            <w:pPr/>
          </w:p>
        </w:tc>
        <w:tc>
          <w:tcPr>
            <w:tcW w:w="970" w:type="dxa"/>
            <w:vMerge w:val="restart"/>
            <w:tcBorders>
              <w:top w:val="nil" w:sz="6" w:space="0" w:color="auto"/>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r>
      <w:tr>
        <w:trPr>
          <w:trHeight w:val="161" w:hRule="exact"/>
        </w:trPr>
        <w:tc>
          <w:tcPr>
            <w:tcW w:w="946"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33" w:type="dxa"/>
            <w:vMerge/>
            <w:tcBorders>
              <w:left w:val="single" w:sz="4" w:space="0" w:color="000000"/>
              <w:bottom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0</w:t>
            </w:r>
          </w:p>
        </w:tc>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8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28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8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）非募集资金投资的重大项目情况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5"/>
        <w:gridCol w:w="1595"/>
        <w:gridCol w:w="1594"/>
        <w:gridCol w:w="1583"/>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31"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5"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4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）证券投资情况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670"/>
        <w:gridCol w:w="1195"/>
        <w:gridCol w:w="1198"/>
        <w:gridCol w:w="1205"/>
        <w:gridCol w:w="1068"/>
        <w:gridCol w:w="1063"/>
        <w:gridCol w:w="1078"/>
        <w:gridCol w:w="1041"/>
        <w:gridCol w:w="1052"/>
      </w:tblGrid>
      <w:tr>
        <w:trPr>
          <w:trHeight w:val="161" w:hRule="exact"/>
        </w:trPr>
        <w:tc>
          <w:tcPr>
            <w:tcW w:w="670"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205" w:type="dxa"/>
            <w:vMerge w:val="restart"/>
            <w:tcBorders>
              <w:top w:val="single" w:sz="4" w:space="0" w:color="000000"/>
              <w:left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4" w:right="64"/>
              <w:jc w:val="center"/>
              <w:rPr>
                <w:rFonts w:ascii="宋体" w:hAnsi="宋体" w:cs="宋体" w:eastAsia="宋体" w:hint="default"/>
                <w:sz w:val="18"/>
                <w:szCs w:val="18"/>
              </w:rPr>
            </w:pPr>
            <w:r>
              <w:rPr>
                <w:rFonts w:ascii="宋体" w:hAnsi="宋体" w:cs="宋体" w:eastAsia="宋体" w:hint="default"/>
                <w:sz w:val="18"/>
                <w:szCs w:val="18"/>
              </w:rPr>
              <w:t>占期末证券 总投资比例</w:t>
            </w:r>
          </w:p>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670"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0" w:right="77" w:hanging="92"/>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7" w:right="74" w:hanging="92"/>
              <w:jc w:val="left"/>
              <w:rPr>
                <w:rFonts w:ascii="宋体" w:hAnsi="宋体" w:cs="宋体" w:eastAsia="宋体" w:hint="default"/>
                <w:sz w:val="18"/>
                <w:szCs w:val="18"/>
              </w:rPr>
            </w:pPr>
            <w:r>
              <w:rPr>
                <w:rFonts w:ascii="宋体" w:hAnsi="宋体" w:cs="宋体" w:eastAsia="宋体" w:hint="default"/>
                <w:sz w:val="18"/>
                <w:szCs w:val="18"/>
              </w:rPr>
              <w:t>期末持有数 量（股）</w:t>
            </w:r>
          </w:p>
        </w:tc>
        <w:tc>
          <w:tcPr>
            <w:tcW w:w="10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7" w:right="89" w:hanging="92"/>
              <w:jc w:val="left"/>
              <w:rPr>
                <w:rFonts w:ascii="宋体" w:hAnsi="宋体" w:cs="宋体" w:eastAsia="宋体" w:hint="default"/>
                <w:sz w:val="18"/>
                <w:szCs w:val="18"/>
              </w:rPr>
            </w:pPr>
            <w:r>
              <w:rPr>
                <w:rFonts w:ascii="宋体" w:hAnsi="宋体" w:cs="宋体" w:eastAsia="宋体" w:hint="default"/>
                <w:sz w:val="18"/>
                <w:szCs w:val="18"/>
              </w:rPr>
              <w:t>期末账面价 值（元）</w:t>
            </w:r>
          </w:p>
        </w:tc>
        <w:tc>
          <w:tcPr>
            <w:tcW w:w="1041" w:type="dxa"/>
            <w:vMerge/>
            <w:tcBorders>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left="8"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394" w:hRule="exact"/>
        </w:trPr>
        <w:tc>
          <w:tcPr>
            <w:tcW w:w="6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2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068"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1041"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r>
      <w:tr>
        <w:trPr>
          <w:trHeight w:val="156" w:hRule="exact"/>
        </w:trPr>
        <w:tc>
          <w:tcPr>
            <w:tcW w:w="670"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78" w:type="dxa"/>
            <w:vMerge/>
            <w:tcBorders>
              <w:left w:val="single" w:sz="4" w:space="0" w:color="000000"/>
              <w:bottom w:val="nil" w:sz="6" w:space="0" w:color="auto"/>
              <w:right w:val="single" w:sz="4" w:space="0" w:color="000000"/>
            </w:tcBorders>
            <w:shd w:val="clear" w:color="auto" w:fill="D2D2D2"/>
          </w:tcPr>
          <w:p>
            <w:pPr/>
          </w:p>
        </w:tc>
        <w:tc>
          <w:tcPr>
            <w:tcW w:w="1041"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670"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42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8"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100%</w:t>
            </w:r>
          </w:p>
        </w:tc>
        <w:tc>
          <w:tcPr>
            <w:tcW w:w="10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49"/>
        <w:ind w:left="152" w:right="8154" w:firstLine="0"/>
        <w:jc w:val="left"/>
        <w:rPr>
          <w:rFonts w:ascii="宋体" w:hAnsi="宋体" w:cs="宋体" w:eastAsia="宋体" w:hint="default"/>
          <w:sz w:val="18"/>
          <w:szCs w:val="18"/>
        </w:rPr>
      </w:pPr>
      <w:r>
        <w:rPr>
          <w:rFonts w:ascii="宋体" w:hAnsi="宋体" w:cs="宋体" w:eastAsia="宋体" w:hint="default"/>
          <w:sz w:val="18"/>
          <w:szCs w:val="18"/>
        </w:rPr>
        <w:t>证券投资情况的说明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）持有其他上市公司股权情况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6"/>
        <w:gridCol w:w="881"/>
        <w:gridCol w:w="870"/>
        <w:gridCol w:w="870"/>
        <w:gridCol w:w="870"/>
        <w:gridCol w:w="869"/>
        <w:gridCol w:w="869"/>
        <w:gridCol w:w="869"/>
        <w:gridCol w:w="869"/>
        <w:gridCol w:w="868"/>
        <w:gridCol w:w="854"/>
      </w:tblGrid>
      <w:tr>
        <w:trPr>
          <w:trHeight w:val="161" w:hRule="exact"/>
        </w:trPr>
        <w:tc>
          <w:tcPr>
            <w:tcW w:w="8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1"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最初投资</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 w:right="-33"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33"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 w:right="68"/>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本期收益</w:t>
            </w:r>
          </w:p>
          <w:p>
            <w:pPr>
              <w:pStyle w:val="TableParagraph"/>
              <w:spacing w:line="240" w:lineRule="auto" w:before="76"/>
              <w:ind w:left="15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8"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394" w:hRule="exact"/>
        </w:trPr>
        <w:tc>
          <w:tcPr>
            <w:tcW w:w="8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870"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r>
      <w:tr>
        <w:trPr>
          <w:trHeight w:val="161" w:hRule="exact"/>
        </w:trPr>
        <w:tc>
          <w:tcPr>
            <w:tcW w:w="8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0.00</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9"/>
        <w:ind w:left="152" w:right="7074" w:firstLine="0"/>
        <w:jc w:val="left"/>
        <w:rPr>
          <w:rFonts w:ascii="宋体" w:hAnsi="宋体" w:cs="宋体" w:eastAsia="宋体" w:hint="default"/>
          <w:sz w:val="18"/>
          <w:szCs w:val="18"/>
        </w:rPr>
      </w:pPr>
      <w:r>
        <w:rPr/>
        <w:pict>
          <v:shape style="position:absolute;margin-left:145.940002pt;margin-top:-38.158295pt;width:84.15pt;height:17.650pt;mso-position-horizontal-relative:page;mso-position-vertical-relative:paragraph;z-index:-107701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成本（元）</w:t>
                  </w:r>
                </w:p>
              </w:txbxContent>
            </v:textbox>
            <w10:wrap type="none"/>
          </v:shape>
        </w:pict>
      </w:r>
      <w:r>
        <w:rPr/>
        <w:pict>
          <v:shape style="position:absolute;margin-left:189.410004pt;margin-top:-38.158295pt;width:84.25pt;height:17.650pt;mso-position-horizontal-relative:page;mso-position-vertical-relative:paragraph;z-index:-107699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pict>
          <v:shape style="position:absolute;margin-left:276.410004pt;margin-top:-38.158295pt;width:84.15pt;height:17.650pt;mso-position-horizontal-relative:page;mso-position-vertical-relative:paragraph;z-index:-107696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rFonts w:ascii="宋体" w:hAnsi="宋体" w:cs="宋体" w:eastAsia="宋体" w:hint="default"/>
          <w:sz w:val="18"/>
          <w:szCs w:val="18"/>
        </w:rPr>
        <w:t>持有其他上市公司股权情况的说明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）持有非上市金融企业股权情况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957"/>
        <w:gridCol w:w="960"/>
        <w:gridCol w:w="959"/>
        <w:gridCol w:w="956"/>
        <w:gridCol w:w="958"/>
        <w:gridCol w:w="958"/>
        <w:gridCol w:w="956"/>
        <w:gridCol w:w="957"/>
        <w:gridCol w:w="958"/>
        <w:gridCol w:w="940"/>
      </w:tblGrid>
      <w:tr>
        <w:trPr>
          <w:trHeight w:val="161" w:hRule="exact"/>
        </w:trPr>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77" w:right="28" w:hanging="361"/>
              <w:jc w:val="left"/>
              <w:rPr>
                <w:rFonts w:ascii="宋体" w:hAnsi="宋体" w:cs="宋体" w:eastAsia="宋体" w:hint="default"/>
                <w:sz w:val="18"/>
                <w:szCs w:val="18"/>
              </w:rPr>
            </w:pPr>
            <w:r>
              <w:rPr>
                <w:rFonts w:ascii="宋体" w:hAnsi="宋体" w:cs="宋体" w:eastAsia="宋体" w:hint="default"/>
                <w:sz w:val="18"/>
                <w:szCs w:val="18"/>
              </w:rPr>
              <w:t>所持对象名 称</w:t>
            </w:r>
          </w:p>
        </w:tc>
        <w:tc>
          <w:tcPr>
            <w:tcW w:w="9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3" w:right="25" w:hanging="92"/>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9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3" w:right="24" w:hanging="92"/>
              <w:jc w:val="left"/>
              <w:rPr>
                <w:rFonts w:ascii="宋体" w:hAnsi="宋体" w:cs="宋体" w:eastAsia="宋体" w:hint="default"/>
                <w:sz w:val="18"/>
                <w:szCs w:val="18"/>
              </w:rPr>
            </w:pPr>
            <w:r>
              <w:rPr>
                <w:rFonts w:ascii="宋体" w:hAnsi="宋体" w:cs="宋体" w:eastAsia="宋体" w:hint="default"/>
                <w:sz w:val="18"/>
                <w:szCs w:val="18"/>
              </w:rPr>
              <w:t>期初持股数 量（股）</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9" w:right="20" w:hanging="106"/>
              <w:jc w:val="left"/>
              <w:rPr>
                <w:rFonts w:ascii="宋体" w:hAnsi="宋体" w:cs="宋体" w:eastAsia="宋体" w:hint="default"/>
                <w:sz w:val="18"/>
                <w:szCs w:val="18"/>
              </w:rPr>
            </w:pPr>
            <w:r>
              <w:rPr>
                <w:rFonts w:ascii="宋体" w:hAnsi="宋体" w:cs="宋体" w:eastAsia="宋体" w:hint="default"/>
                <w:sz w:val="18"/>
                <w:szCs w:val="18"/>
              </w:rPr>
              <w:t>期初持股比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1" w:right="23" w:hanging="89"/>
              <w:jc w:val="left"/>
              <w:rPr>
                <w:rFonts w:ascii="宋体" w:hAnsi="宋体" w:cs="宋体" w:eastAsia="宋体" w:hint="default"/>
                <w:sz w:val="18"/>
                <w:szCs w:val="18"/>
              </w:rPr>
            </w:pPr>
            <w:r>
              <w:rPr>
                <w:rFonts w:ascii="宋体" w:hAnsi="宋体" w:cs="宋体" w:eastAsia="宋体" w:hint="default"/>
                <w:sz w:val="18"/>
                <w:szCs w:val="18"/>
              </w:rPr>
              <w:t>期末持股数 量（股）</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8" w:right="23" w:hanging="106"/>
              <w:jc w:val="left"/>
              <w:rPr>
                <w:rFonts w:ascii="宋体" w:hAnsi="宋体" w:cs="宋体" w:eastAsia="宋体" w:hint="default"/>
                <w:sz w:val="18"/>
                <w:szCs w:val="18"/>
              </w:rPr>
            </w:pPr>
            <w:r>
              <w:rPr>
                <w:rFonts w:ascii="宋体" w:hAnsi="宋体" w:cs="宋体" w:eastAsia="宋体" w:hint="default"/>
                <w:sz w:val="18"/>
                <w:szCs w:val="18"/>
              </w:rPr>
              <w:t>期末持股比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本期收益</w:t>
            </w:r>
          </w:p>
          <w:p>
            <w:pPr>
              <w:pStyle w:val="TableParagraph"/>
              <w:spacing w:line="240" w:lineRule="auto" w:before="76"/>
              <w:ind w:left="2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会计核算科 目</w:t>
            </w:r>
          </w:p>
        </w:tc>
        <w:tc>
          <w:tcPr>
            <w:tcW w:w="94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957" w:type="dxa"/>
            <w:vMerge/>
            <w:tcBorders>
              <w:left w:val="single" w:sz="4" w:space="0" w:color="000000"/>
              <w:right w:val="single" w:sz="4" w:space="0" w:color="000000"/>
            </w:tcBorders>
            <w:shd w:val="clear" w:color="auto" w:fill="D2D2D2"/>
          </w:tcPr>
          <w:p>
            <w:pPr/>
          </w:p>
        </w:tc>
        <w:tc>
          <w:tcPr>
            <w:tcW w:w="960" w:type="dxa"/>
            <w:vMerge/>
            <w:tcBorders>
              <w:left w:val="single" w:sz="4" w:space="0" w:color="000000"/>
              <w:right w:val="single" w:sz="4" w:space="0" w:color="000000"/>
            </w:tcBorders>
            <w:shd w:val="clear" w:color="auto" w:fill="D2D2D2"/>
          </w:tcPr>
          <w:p>
            <w:pPr/>
          </w:p>
        </w:tc>
        <w:tc>
          <w:tcPr>
            <w:tcW w:w="959"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61" w:hRule="exact"/>
        </w:trPr>
        <w:tc>
          <w:tcPr>
            <w:tcW w:w="957" w:type="dxa"/>
            <w:vMerge/>
            <w:tcBorders>
              <w:left w:val="single" w:sz="4" w:space="0" w:color="000000"/>
              <w:bottom w:val="single" w:sz="4" w:space="0" w:color="000000"/>
              <w:right w:val="single" w:sz="4" w:space="0" w:color="000000"/>
            </w:tcBorders>
            <w:shd w:val="clear" w:color="auto" w:fill="D2D2D2"/>
          </w:tcPr>
          <w:p>
            <w:pPr/>
          </w:p>
        </w:tc>
        <w:tc>
          <w:tcPr>
            <w:tcW w:w="960" w:type="dxa"/>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4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03" w:right="0"/>
              <w:jc w:val="left"/>
              <w:rPr>
                <w:rFonts w:ascii="Times New Roman" w:hAnsi="Times New Roman" w:cs="Times New Roman" w:eastAsia="Times New Roman" w:hint="default"/>
                <w:sz w:val="18"/>
                <w:szCs w:val="18"/>
              </w:rPr>
            </w:pPr>
            <w:r>
              <w:rPr>
                <w:rFonts w:ascii="Times New Roman"/>
                <w:sz w:val="18"/>
              </w:rPr>
              <w:t>0.00</w:t>
            </w:r>
          </w:p>
        </w:tc>
        <w:tc>
          <w:tcPr>
            <w:tcW w:w="95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9"/>
        <w:ind w:left="152" w:right="6894" w:firstLine="0"/>
        <w:jc w:val="left"/>
        <w:rPr>
          <w:rFonts w:ascii="宋体" w:hAnsi="宋体" w:cs="宋体" w:eastAsia="宋体" w:hint="default"/>
          <w:sz w:val="18"/>
          <w:szCs w:val="18"/>
        </w:rPr>
      </w:pPr>
      <w:r>
        <w:rPr>
          <w:rFonts w:ascii="宋体" w:hAnsi="宋体" w:cs="宋体" w:eastAsia="宋体" w:hint="default"/>
          <w:sz w:val="18"/>
          <w:szCs w:val="18"/>
        </w:rPr>
        <w:t>持有非上市金融企业股权情况的说明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）买卖其他上市公司股份的情况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股份名称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期初股份数量</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48" w:hanging="92"/>
              <w:jc w:val="left"/>
              <w:rPr>
                <w:rFonts w:ascii="宋体" w:hAnsi="宋体" w:cs="宋体" w:eastAsia="宋体" w:hint="default"/>
                <w:sz w:val="18"/>
                <w:szCs w:val="18"/>
              </w:rPr>
            </w:pPr>
            <w:r>
              <w:rPr>
                <w:rFonts w:ascii="宋体" w:hAnsi="宋体" w:cs="宋体" w:eastAsia="宋体" w:hint="default"/>
                <w:sz w:val="18"/>
                <w:szCs w:val="18"/>
              </w:rPr>
              <w:t>报告期买入出股 份数量（股）</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46" w:hanging="92"/>
              <w:jc w:val="left"/>
              <w:rPr>
                <w:rFonts w:ascii="宋体" w:hAnsi="宋体" w:cs="宋体" w:eastAsia="宋体" w:hint="default"/>
                <w:sz w:val="18"/>
                <w:szCs w:val="18"/>
              </w:rPr>
            </w:pPr>
            <w:r>
              <w:rPr>
                <w:rFonts w:ascii="宋体" w:hAnsi="宋体" w:cs="宋体" w:eastAsia="宋体" w:hint="default"/>
                <w:sz w:val="18"/>
                <w:szCs w:val="18"/>
              </w:rPr>
              <w:t>报告期买卖出股 份数量（股）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期末股份数量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使用的资金数量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产生的投资收益</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40" w:lineRule="auto" w:before="49"/>
        <w:ind w:left="152" w:right="5048" w:firstLine="0"/>
        <w:jc w:val="left"/>
        <w:rPr>
          <w:rFonts w:ascii="宋体" w:hAnsi="宋体" w:cs="宋体" w:eastAsia="宋体" w:hint="default"/>
          <w:sz w:val="18"/>
          <w:szCs w:val="18"/>
        </w:rPr>
      </w:pPr>
      <w:r>
        <w:rPr>
          <w:rFonts w:ascii="宋体" w:hAnsi="宋体" w:cs="宋体" w:eastAsia="宋体" w:hint="default"/>
          <w:sz w:val="18"/>
          <w:szCs w:val="18"/>
        </w:rPr>
        <w:t>报告期内卖出申购取得的新股产生的投资收益总额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买卖其他上市公司股份的情况的说明</w:t>
      </w:r>
    </w:p>
    <w:p>
      <w:pPr>
        <w:spacing w:before="39"/>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00"/>
        <w:jc w:val="left"/>
        <w:rPr>
          <w:b w:val="0"/>
          <w:bCs w:val="0"/>
        </w:rPr>
      </w:pPr>
      <w:r>
        <w:rPr/>
        <w:t>（</w:t>
      </w:r>
      <w:r>
        <w:rPr>
          <w:rFonts w:ascii="Times New Roman" w:hAnsi="Times New Roman" w:cs="Times New Roman" w:eastAsia="Times New Roman" w:hint="default"/>
        </w:rPr>
        <w:t>9</w:t>
      </w:r>
      <w:r>
        <w:rPr/>
        <w:t>）外币金融资产和外币金融负债</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26"/>
        <w:gridCol w:w="1669"/>
        <w:gridCol w:w="1586"/>
        <w:gridCol w:w="1588"/>
        <w:gridCol w:w="1600"/>
        <w:gridCol w:w="1589"/>
      </w:tblGrid>
      <w:tr>
        <w:trPr>
          <w:trHeight w:val="161" w:hRule="exact"/>
        </w:trPr>
        <w:tc>
          <w:tcPr>
            <w:tcW w:w="1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06" w:right="68"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0" w:right="66" w:hanging="269"/>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5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6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586" w:type="dxa"/>
            <w:vMerge/>
            <w:tcBorders>
              <w:left w:val="single" w:sz="4" w:space="0" w:color="000000"/>
              <w:right w:val="single" w:sz="4" w:space="0" w:color="000000"/>
            </w:tcBorders>
            <w:shd w:val="clear" w:color="auto" w:fill="D2D2D2"/>
          </w:tcPr>
          <w:p>
            <w:pPr/>
          </w:p>
        </w:tc>
        <w:tc>
          <w:tcPr>
            <w:tcW w:w="1588" w:type="dxa"/>
            <w:vMerge/>
            <w:tcBorders>
              <w:left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166" w:hRule="exact"/>
        </w:trPr>
        <w:tc>
          <w:tcPr>
            <w:tcW w:w="15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51"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6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且其变动计入当期 损益的金融资产</w:t>
            </w:r>
          </w:p>
          <w:p>
            <w:pPr>
              <w:pStyle w:val="TableParagraph"/>
              <w:spacing w:line="316" w:lineRule="auto" w:before="24"/>
              <w:ind w:left="12" w:right="63"/>
              <w:jc w:val="both"/>
              <w:rPr>
                <w:rFonts w:ascii="宋体" w:hAnsi="宋体" w:cs="宋体" w:eastAsia="宋体" w:hint="default"/>
                <w:sz w:val="18"/>
                <w:szCs w:val="18"/>
              </w:rPr>
            </w:pPr>
            <w:r>
              <w:rPr>
                <w:rFonts w:ascii="宋体" w:hAnsi="宋体" w:cs="宋体" w:eastAsia="宋体" w:hint="default"/>
                <w:sz w:val="18"/>
                <w:szCs w:val="18"/>
              </w:rPr>
              <w:t>（不含衍生金融资 产）</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 产</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00"/>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6"/>
        <w:rPr>
          <w:rFonts w:ascii="宋体" w:hAnsi="宋体" w:cs="宋体" w:eastAsia="宋体" w:hint="default"/>
          <w:b/>
          <w:bCs/>
          <w:sz w:val="30"/>
          <w:szCs w:val="30"/>
        </w:rPr>
      </w:pPr>
    </w:p>
    <w:p>
      <w:pPr>
        <w:pStyle w:val="Heading4"/>
        <w:spacing w:line="240" w:lineRule="auto"/>
        <w:ind w:right="100"/>
        <w:jc w:val="left"/>
        <w:rPr>
          <w:b w:val="0"/>
          <w:bCs w:val="0"/>
        </w:rPr>
      </w:pPr>
      <w:r>
        <w:rPr>
          <w:rFonts w:ascii="Times New Roman" w:hAnsi="Times New Roman" w:cs="Times New Roman" w:eastAsia="Times New Roman" w:hint="default"/>
        </w:rPr>
        <w:t>1</w:t>
      </w:r>
      <w:r>
        <w:rPr/>
        <w:t>．子（孙）公司经营情况及业绩分析</w:t>
      </w:r>
      <w:r>
        <w:rPr>
          <w:b w:val="0"/>
          <w:bCs w:val="0"/>
        </w:rPr>
      </w:r>
    </w:p>
    <w:p>
      <w:pPr>
        <w:pStyle w:val="BodyText"/>
        <w:spacing w:line="386" w:lineRule="auto" w:before="177"/>
        <w:ind w:right="232"/>
        <w:jc w:val="both"/>
      </w:pPr>
      <w:r>
        <w:rPr>
          <w:spacing w:val="-2"/>
        </w:rPr>
        <w:t>（</w:t>
      </w:r>
      <w:r>
        <w:rPr>
          <w:rFonts w:ascii="Times New Roman" w:hAnsi="Times New Roman" w:cs="Times New Roman" w:eastAsia="Times New Roman" w:hint="default"/>
          <w:spacing w:val="-2"/>
        </w:rPr>
        <w:t>1</w:t>
      </w:r>
      <w:r>
        <w:rPr>
          <w:spacing w:val="-2"/>
        </w:rPr>
        <w:t>）上海万达信息系统有限公司，注册资本</w:t>
      </w:r>
      <w:r>
        <w:rPr>
          <w:rFonts w:ascii="Times New Roman" w:hAnsi="Times New Roman" w:cs="Times New Roman" w:eastAsia="Times New Roman" w:hint="default"/>
          <w:spacing w:val="-2"/>
        </w:rPr>
        <w:t>3000</w:t>
      </w:r>
      <w:r>
        <w:rPr>
          <w:spacing w:val="-2"/>
        </w:rPr>
        <w:t>万元，经营范围为计算机信息系统集成，建筑智能化信</w:t>
      </w:r>
      <w:r>
        <w:rPr>
          <w:spacing w:val="-19"/>
        </w:rPr>
        <w:t> </w:t>
      </w:r>
      <w:r>
        <w:rPr>
          <w:spacing w:val="-19"/>
        </w:rPr>
      </w:r>
      <w:r>
        <w:rPr>
          <w:spacing w:val="-4"/>
        </w:rPr>
        <w:t>息系统集成，计算机专业领域内的技术咨询等服务及新产品的研制，销售等。公司合计持股比例</w:t>
      </w:r>
      <w:r>
        <w:rPr>
          <w:rFonts w:ascii="Times New Roman" w:hAnsi="Times New Roman" w:cs="Times New Roman" w:eastAsia="Times New Roman" w:hint="default"/>
          <w:spacing w:val="-4"/>
        </w:rPr>
        <w:t>100%</w:t>
      </w:r>
      <w:r>
        <w:rPr>
          <w:spacing w:val="-4"/>
        </w:rPr>
        <w:t>，截</w:t>
      </w:r>
      <w:r>
        <w:rPr>
          <w:spacing w:val="-42"/>
        </w:rPr>
        <w:t> </w:t>
      </w:r>
      <w:r>
        <w:rPr/>
        <w:t>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6,590.74</w:t>
      </w:r>
      <w:r>
        <w:rPr/>
        <w:t>万元，净资产</w:t>
      </w:r>
      <w:r>
        <w:rPr>
          <w:rFonts w:ascii="Times New Roman" w:hAnsi="Times New Roman" w:cs="Times New Roman" w:eastAsia="Times New Roman" w:hint="default"/>
        </w:rPr>
        <w:t>4,681.57</w:t>
      </w:r>
      <w:r>
        <w:rPr/>
        <w:t>万元，净利润</w:t>
      </w:r>
      <w:r>
        <w:rPr>
          <w:rFonts w:ascii="Times New Roman" w:hAnsi="Times New Roman" w:cs="Times New Roman" w:eastAsia="Times New Roman" w:hint="default"/>
        </w:rPr>
        <w:t>690.43</w:t>
      </w:r>
      <w:r>
        <w:rPr/>
        <w:t>万元。</w:t>
      </w:r>
    </w:p>
    <w:p>
      <w:pPr>
        <w:pStyle w:val="BodyText"/>
        <w:spacing w:line="386" w:lineRule="auto" w:before="35"/>
        <w:ind w:right="100"/>
        <w:jc w:val="left"/>
      </w:pPr>
      <w:r>
        <w:rPr>
          <w:spacing w:val="-2"/>
        </w:rPr>
        <w:t>（</w:t>
      </w:r>
      <w:r>
        <w:rPr>
          <w:rFonts w:ascii="Times New Roman" w:hAnsi="Times New Roman" w:cs="Times New Roman" w:eastAsia="Times New Roman" w:hint="default"/>
          <w:spacing w:val="-2"/>
        </w:rPr>
        <w:t>2</w:t>
      </w:r>
      <w:r>
        <w:rPr>
          <w:spacing w:val="-2"/>
        </w:rPr>
        <w:t>）上海万达信息服务有限公司，注册资本</w:t>
      </w:r>
      <w:r>
        <w:rPr>
          <w:rFonts w:ascii="Times New Roman" w:hAnsi="Times New Roman" w:cs="Times New Roman" w:eastAsia="Times New Roman" w:hint="default"/>
          <w:spacing w:val="-2"/>
        </w:rPr>
        <w:t>1000</w:t>
      </w:r>
      <w:r>
        <w:rPr>
          <w:spacing w:val="-2"/>
        </w:rPr>
        <w:t>万元，经营范围为在信息技术专业领域内从事技术开发、</w:t>
      </w:r>
      <w:r>
        <w:rPr>
          <w:spacing w:val="-36"/>
        </w:rPr>
        <w:t> </w:t>
      </w:r>
      <w:r>
        <w:rPr>
          <w:spacing w:val="-36"/>
        </w:rPr>
      </w:r>
      <w:r>
        <w:rPr>
          <w:spacing w:val="-8"/>
        </w:rPr>
        <w:t>技术咨询、技术转让、技术服务，计算机软件开发，计算机系统集成。公司合计持股比例为</w:t>
      </w:r>
      <w:r>
        <w:rPr>
          <w:rFonts w:ascii="Times New Roman" w:hAnsi="Times New Roman" w:cs="Times New Roman" w:eastAsia="Times New Roman" w:hint="default"/>
          <w:spacing w:val="-8"/>
        </w:rPr>
        <w:t>100%</w:t>
      </w:r>
      <w:r>
        <w:rPr>
          <w:spacing w:val="-8"/>
        </w:rPr>
        <w:t>，截至</w:t>
      </w:r>
      <w:r>
        <w:rPr>
          <w:rFonts w:ascii="Times New Roman" w:hAnsi="Times New Roman" w:cs="Times New Roman" w:eastAsia="Times New Roman" w:hint="default"/>
          <w:spacing w:val="-8"/>
        </w:rPr>
        <w:t>2012</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1,095.04</w:t>
      </w:r>
      <w:r>
        <w:rPr/>
        <w:t>万元，净资产</w:t>
      </w:r>
      <w:r>
        <w:rPr>
          <w:rFonts w:ascii="Times New Roman" w:hAnsi="Times New Roman" w:cs="Times New Roman" w:eastAsia="Times New Roman" w:hint="default"/>
        </w:rPr>
        <w:t>1,077.26</w:t>
      </w:r>
      <w:r>
        <w:rPr/>
        <w:t>万元，净利润</w:t>
      </w:r>
      <w:r>
        <w:rPr>
          <w:rFonts w:ascii="Times New Roman" w:hAnsi="Times New Roman" w:cs="Times New Roman" w:eastAsia="Times New Roman" w:hint="default"/>
        </w:rPr>
        <w:t>68.54</w:t>
      </w:r>
      <w:r>
        <w:rPr/>
        <w:t>万元。</w:t>
      </w:r>
    </w:p>
    <w:p>
      <w:pPr>
        <w:pStyle w:val="BodyText"/>
        <w:spacing w:line="386" w:lineRule="auto" w:before="35"/>
        <w:ind w:right="100"/>
        <w:jc w:val="left"/>
      </w:pPr>
      <w:r>
        <w:rPr/>
        <w:t>（</w:t>
      </w:r>
      <w:r>
        <w:rPr>
          <w:rFonts w:ascii="Times New Roman" w:hAnsi="Times New Roman" w:cs="Times New Roman" w:eastAsia="Times New Roman" w:hint="default"/>
        </w:rPr>
        <w:t>3</w:t>
      </w:r>
      <w:r>
        <w:rPr/>
        <w:t>）上海格言管理有限公司，注册资本</w:t>
      </w:r>
      <w:r>
        <w:rPr>
          <w:rFonts w:ascii="Times New Roman" w:hAnsi="Times New Roman" w:cs="Times New Roman" w:eastAsia="Times New Roman" w:hint="default"/>
        </w:rPr>
        <w:t>50</w:t>
      </w:r>
      <w:r>
        <w:rPr/>
        <w:t>万元，经营范围为投资管理（除股权投资及股权投资管理）、</w:t>
      </w:r>
      <w:r>
        <w:rPr>
          <w:w w:val="100"/>
        </w:rPr>
        <w:t> </w:t>
      </w:r>
      <w:r>
        <w:rPr>
          <w:spacing w:val="-5"/>
          <w:w w:val="100"/>
        </w:rPr>
        <w:t>实业投资、投资咨询等</w:t>
      </w:r>
      <w:r>
        <w:rPr>
          <w:rFonts w:ascii="Times New Roman" w:hAnsi="Times New Roman" w:cs="Times New Roman" w:eastAsia="Times New Roman" w:hint="default"/>
          <w:spacing w:val="-5"/>
          <w:w w:val="100"/>
        </w:rPr>
        <w:t>.</w:t>
      </w:r>
      <w:r>
        <w:rPr>
          <w:spacing w:val="-5"/>
          <w:w w:val="100"/>
        </w:rPr>
        <w:t>公司合计持股比例为</w:t>
      </w:r>
      <w:r>
        <w:rPr>
          <w:rFonts w:ascii="Times New Roman" w:hAnsi="Times New Roman" w:cs="Times New Roman" w:eastAsia="Times New Roman" w:hint="default"/>
          <w:spacing w:val="-5"/>
          <w:w w:val="100"/>
        </w:rPr>
        <w:t>100%.</w:t>
      </w:r>
      <w:r>
        <w:rPr>
          <w:spacing w:val="-5"/>
          <w:w w:val="100"/>
        </w:rPr>
        <w:t>截至</w:t>
      </w:r>
      <w:r>
        <w:rPr>
          <w:rFonts w:ascii="Times New Roman" w:hAnsi="Times New Roman" w:cs="Times New Roman" w:eastAsia="Times New Roman" w:hint="default"/>
          <w:spacing w:val="-5"/>
          <w:w w:val="100"/>
        </w:rPr>
        <w:t>2012</w:t>
      </w:r>
      <w:r>
        <w:rPr>
          <w:spacing w:val="-5"/>
          <w:w w:val="100"/>
        </w:rPr>
        <w:t>年</w:t>
      </w:r>
      <w:r>
        <w:rPr>
          <w:rFonts w:ascii="Times New Roman" w:hAnsi="Times New Roman" w:cs="Times New Roman" w:eastAsia="Times New Roman" w:hint="default"/>
          <w:spacing w:val="-5"/>
          <w:w w:val="100"/>
        </w:rPr>
        <w:t>12</w:t>
      </w:r>
      <w:r>
        <w:rPr>
          <w:spacing w:val="-5"/>
          <w:w w:val="100"/>
        </w:rPr>
        <w:t>月</w:t>
      </w:r>
      <w:r>
        <w:rPr>
          <w:rFonts w:ascii="Times New Roman" w:hAnsi="Times New Roman" w:cs="Times New Roman" w:eastAsia="Times New Roman" w:hint="default"/>
          <w:spacing w:val="-5"/>
          <w:w w:val="100"/>
        </w:rPr>
        <w:t>31</w:t>
      </w:r>
      <w:r>
        <w:rPr>
          <w:spacing w:val="-5"/>
          <w:w w:val="100"/>
        </w:rPr>
        <w:t>日总资产</w:t>
      </w:r>
      <w:r>
        <w:rPr>
          <w:rFonts w:ascii="Times New Roman" w:hAnsi="Times New Roman" w:cs="Times New Roman" w:eastAsia="Times New Roman" w:hint="default"/>
          <w:spacing w:val="-5"/>
          <w:w w:val="100"/>
        </w:rPr>
        <w:t>50.03</w:t>
      </w:r>
      <w:r>
        <w:rPr>
          <w:spacing w:val="-5"/>
          <w:w w:val="100"/>
        </w:rPr>
        <w:t>万元，净资产</w:t>
      </w:r>
      <w:r>
        <w:rPr>
          <w:rFonts w:ascii="Times New Roman" w:hAnsi="Times New Roman" w:cs="Times New Roman" w:eastAsia="Times New Roman" w:hint="default"/>
          <w:spacing w:val="-5"/>
          <w:w w:val="100"/>
        </w:rPr>
        <w:t>50.03</w:t>
      </w:r>
      <w:r>
        <w:rPr>
          <w:spacing w:val="-5"/>
          <w:w w:val="100"/>
        </w:rPr>
        <w:t>万元，</w:t>
      </w:r>
      <w:r>
        <w:rPr>
          <w:spacing w:val="-75"/>
          <w:w w:val="100"/>
        </w:rPr>
        <w:t> </w:t>
      </w:r>
      <w:r>
        <w:rPr/>
        <w:t>净利润</w:t>
      </w:r>
      <w:r>
        <w:rPr>
          <w:rFonts w:ascii="Times New Roman" w:hAnsi="Times New Roman" w:cs="Times New Roman" w:eastAsia="Times New Roman" w:hint="default"/>
        </w:rPr>
        <w:t>0.02</w:t>
      </w:r>
      <w:r>
        <w:rPr/>
        <w:t>万元。</w:t>
      </w:r>
    </w:p>
    <w:p>
      <w:pPr>
        <w:pStyle w:val="BodyText"/>
        <w:spacing w:line="386" w:lineRule="auto" w:before="35"/>
        <w:ind w:right="100"/>
        <w:jc w:val="left"/>
      </w:pPr>
      <w:r>
        <w:rPr>
          <w:spacing w:val="-2"/>
        </w:rPr>
        <w:t>（</w:t>
      </w:r>
      <w:r>
        <w:rPr>
          <w:rFonts w:ascii="Times New Roman" w:hAnsi="Times New Roman" w:cs="Times New Roman" w:eastAsia="Times New Roman" w:hint="default"/>
          <w:spacing w:val="-2"/>
        </w:rPr>
        <w:t>4</w:t>
      </w:r>
      <w:r>
        <w:rPr>
          <w:spacing w:val="-2"/>
        </w:rPr>
        <w:t>）美国万达信息有限公司，注册资本</w:t>
      </w:r>
      <w:r>
        <w:rPr>
          <w:rFonts w:ascii="Times New Roman" w:hAnsi="Times New Roman" w:cs="Times New Roman" w:eastAsia="Times New Roman" w:hint="default"/>
          <w:spacing w:val="-2"/>
        </w:rPr>
        <w:t>48</w:t>
      </w:r>
      <w:r>
        <w:rPr>
          <w:spacing w:val="-2"/>
        </w:rPr>
        <w:t>万美元，经营范围为技术服务，技术开发和技术咨询。公司合</w:t>
      </w:r>
      <w:r>
        <w:rPr>
          <w:spacing w:val="-20"/>
        </w:rPr>
        <w:t> </w:t>
      </w:r>
      <w:r>
        <w:rPr>
          <w:spacing w:val="-20"/>
        </w:rPr>
      </w:r>
      <w:r>
        <w:rPr/>
        <w:t>计持股比例</w:t>
      </w:r>
      <w:r>
        <w:rPr>
          <w:rFonts w:ascii="Times New Roman" w:hAnsi="Times New Roman" w:cs="Times New Roman" w:eastAsia="Times New Roman" w:hint="default"/>
        </w:rPr>
        <w:t>100%</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1,560.49</w:t>
      </w:r>
      <w:r>
        <w:rPr/>
        <w:t>万元，净资产</w:t>
      </w:r>
      <w:r>
        <w:rPr>
          <w:rFonts w:ascii="Times New Roman" w:hAnsi="Times New Roman" w:cs="Times New Roman" w:eastAsia="Times New Roman" w:hint="default"/>
        </w:rPr>
        <w:t>1,442.94</w:t>
      </w:r>
      <w:r>
        <w:rPr/>
        <w:t>万元，净利润</w:t>
      </w:r>
      <w:r>
        <w:rPr>
          <w:rFonts w:ascii="Times New Roman" w:hAnsi="Times New Roman" w:cs="Times New Roman" w:eastAsia="Times New Roman" w:hint="default"/>
        </w:rPr>
        <w:t>118.04</w:t>
      </w:r>
      <w:r>
        <w:rPr/>
        <w:t>万元。</w:t>
      </w:r>
    </w:p>
    <w:p>
      <w:pPr>
        <w:pStyle w:val="BodyText"/>
        <w:spacing w:line="386" w:lineRule="auto" w:before="35"/>
        <w:ind w:right="100"/>
        <w:jc w:val="left"/>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5</w:t>
      </w:r>
      <w:r>
        <w:rPr>
          <w:spacing w:val="-2"/>
        </w:rPr>
        <w:t>）深圳市万达计算机软件有限公司，注册资本</w:t>
      </w:r>
      <w:r>
        <w:rPr>
          <w:rFonts w:ascii="Times New Roman" w:hAnsi="Times New Roman" w:cs="Times New Roman" w:eastAsia="Times New Roman" w:hint="default"/>
          <w:spacing w:val="-2"/>
        </w:rPr>
        <w:t>1000</w:t>
      </w:r>
      <w:r>
        <w:rPr>
          <w:spacing w:val="-2"/>
        </w:rPr>
        <w:t>万元，经营范围为计算机信息系统与工程设计，安</w:t>
      </w:r>
      <w:r>
        <w:rPr>
          <w:spacing w:val="-22"/>
        </w:rPr>
        <w:t> </w:t>
      </w:r>
      <w:r>
        <w:rPr>
          <w:spacing w:val="-22"/>
        </w:rPr>
      </w:r>
      <w:r>
        <w:rPr>
          <w:spacing w:val="-2"/>
        </w:rPr>
        <w:t>装，集成及相关技术咨询范围，建筑智能化信息系统集成。公司合计持股比例</w:t>
      </w:r>
      <w:r>
        <w:rPr>
          <w:rFonts w:ascii="Times New Roman" w:hAnsi="Times New Roman" w:cs="Times New Roman" w:eastAsia="Times New Roman" w:hint="default"/>
          <w:spacing w:val="-2"/>
        </w:rPr>
        <w:t>100%</w:t>
      </w: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p>
    <w:p>
      <w:pPr>
        <w:spacing w:after="0" w:line="386" w:lineRule="auto"/>
        <w:jc w:val="left"/>
        <w:rPr>
          <w:rFonts w:ascii="Times New Roman" w:hAnsi="Times New Roman" w:cs="Times New Roman" w:eastAsia="Times New Roman" w:hint="default"/>
        </w:rPr>
        <w:sectPr>
          <w:pgSz w:w="11910" w:h="16840"/>
          <w:pgMar w:header="745" w:footer="980"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pStyle w:val="BodyText"/>
        <w:spacing w:line="240" w:lineRule="auto"/>
        <w:ind w:right="0"/>
        <w:jc w:val="both"/>
      </w:pPr>
      <w:r>
        <w:rPr/>
        <w:t>日总资产</w:t>
      </w:r>
      <w:r>
        <w:rPr>
          <w:rFonts w:ascii="Times New Roman" w:hAnsi="Times New Roman" w:cs="Times New Roman" w:eastAsia="Times New Roman" w:hint="default"/>
        </w:rPr>
        <w:t>1,015.73</w:t>
      </w:r>
      <w:r>
        <w:rPr/>
        <w:t>万元，净资产</w:t>
      </w:r>
      <w:r>
        <w:rPr>
          <w:rFonts w:ascii="Times New Roman" w:hAnsi="Times New Roman" w:cs="Times New Roman" w:eastAsia="Times New Roman" w:hint="default"/>
        </w:rPr>
        <w:t>951.92</w:t>
      </w:r>
      <w:r>
        <w:rPr/>
        <w:t>万元，净利润</w:t>
      </w:r>
      <w:r>
        <w:rPr>
          <w:rFonts w:ascii="Times New Roman" w:hAnsi="Times New Roman" w:cs="Times New Roman" w:eastAsia="Times New Roman" w:hint="default"/>
        </w:rPr>
        <w:t>87.89</w:t>
      </w:r>
      <w:r>
        <w:rPr/>
        <w:t>万元。</w:t>
      </w:r>
    </w:p>
    <w:p>
      <w:pPr>
        <w:pStyle w:val="BodyText"/>
        <w:spacing w:line="386" w:lineRule="auto" w:before="177"/>
        <w:ind w:right="100"/>
        <w:jc w:val="left"/>
      </w:pPr>
      <w:r>
        <w:rPr>
          <w:spacing w:val="-3"/>
        </w:rPr>
        <w:t>（</w:t>
      </w:r>
      <w:r>
        <w:rPr>
          <w:rFonts w:ascii="Times New Roman" w:hAnsi="Times New Roman" w:cs="Times New Roman" w:eastAsia="Times New Roman" w:hint="default"/>
          <w:spacing w:val="-3"/>
        </w:rPr>
        <w:t>6</w:t>
      </w:r>
      <w:r>
        <w:rPr>
          <w:spacing w:val="-3"/>
        </w:rPr>
        <w:t>）北京万达全城信息系统有限公司，注册资本</w:t>
      </w:r>
      <w:r>
        <w:rPr>
          <w:rFonts w:ascii="Times New Roman" w:hAnsi="Times New Roman" w:cs="Times New Roman" w:eastAsia="Times New Roman" w:hint="default"/>
          <w:spacing w:val="-3"/>
        </w:rPr>
        <w:t>5,000</w:t>
      </w:r>
      <w:r>
        <w:rPr>
          <w:spacing w:val="-3"/>
        </w:rPr>
        <w:t>万元，经营范围为计算机信息系统集成、技术开发、</w:t>
      </w:r>
      <w:r>
        <w:rPr>
          <w:spacing w:val="-39"/>
        </w:rPr>
        <w:t> </w:t>
      </w:r>
      <w:r>
        <w:rPr>
          <w:spacing w:val="-39"/>
        </w:rPr>
      </w:r>
      <w:r>
        <w:rPr/>
        <w:t>技术咨询、技术转让，技术培训，销售自行开发的产品等</w:t>
      </w:r>
      <w:r>
        <w:rPr>
          <w:rFonts w:ascii="Times New Roman" w:hAnsi="Times New Roman" w:cs="Times New Roman" w:eastAsia="Times New Roman" w:hint="default"/>
        </w:rPr>
        <w:t>.</w:t>
      </w:r>
      <w:r>
        <w:rPr/>
        <w:t>公司合计持股比例为</w:t>
      </w:r>
      <w:r>
        <w:rPr>
          <w:rFonts w:ascii="Times New Roman" w:hAnsi="Times New Roman" w:cs="Times New Roman" w:eastAsia="Times New Roman" w:hint="default"/>
        </w:rPr>
        <w:t>100%.</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w w:val="100"/>
        </w:rPr>
        <w:t> </w:t>
      </w:r>
      <w:r>
        <w:rPr/>
        <w:t>总资产</w:t>
      </w:r>
      <w:r>
        <w:rPr>
          <w:rFonts w:ascii="Times New Roman" w:hAnsi="Times New Roman" w:cs="Times New Roman" w:eastAsia="Times New Roman" w:hint="default"/>
        </w:rPr>
        <w:t>2,001.36</w:t>
      </w:r>
      <w:r>
        <w:rPr/>
        <w:t>万元，净资产</w:t>
      </w:r>
      <w:r>
        <w:rPr>
          <w:rFonts w:ascii="Times New Roman" w:hAnsi="Times New Roman" w:cs="Times New Roman" w:eastAsia="Times New Roman" w:hint="default"/>
        </w:rPr>
        <w:t>2,000.17</w:t>
      </w:r>
      <w:r>
        <w:rPr/>
        <w:t>万元，净利润</w:t>
      </w:r>
      <w:r>
        <w:rPr>
          <w:rFonts w:ascii="Times New Roman" w:hAnsi="Times New Roman" w:cs="Times New Roman" w:eastAsia="Times New Roman" w:hint="default"/>
        </w:rPr>
        <w:t>0.17</w:t>
      </w:r>
      <w:r>
        <w:rPr/>
        <w:t>万元。</w:t>
      </w:r>
    </w:p>
    <w:p>
      <w:pPr>
        <w:pStyle w:val="BodyText"/>
        <w:spacing w:line="240" w:lineRule="auto" w:before="35"/>
        <w:ind w:right="0"/>
        <w:jc w:val="both"/>
      </w:pPr>
      <w:r>
        <w:rPr/>
        <w:t>上述与主营业务相关的子公司经营良好。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86" w:lineRule="auto" w:before="137"/>
        <w:ind w:right="211"/>
        <w:jc w:val="both"/>
      </w:pPr>
      <w:r>
        <w:rPr>
          <w:spacing w:val="-2"/>
        </w:rPr>
        <w:t>（</w:t>
      </w:r>
      <w:r>
        <w:rPr>
          <w:rFonts w:ascii="Times New Roman" w:hAnsi="Times New Roman" w:cs="Times New Roman" w:eastAsia="Times New Roman" w:hint="default"/>
          <w:spacing w:val="-2"/>
        </w:rPr>
        <w:t>7</w:t>
      </w:r>
      <w:r>
        <w:rPr>
          <w:spacing w:val="-2"/>
        </w:rPr>
        <w:t>）宁波万达信息系统有限公司，注册资本</w:t>
      </w:r>
      <w:r>
        <w:rPr>
          <w:rFonts w:ascii="Times New Roman" w:hAnsi="Times New Roman" w:cs="Times New Roman" w:eastAsia="Times New Roman" w:hint="default"/>
          <w:spacing w:val="-2"/>
        </w:rPr>
        <w:t>200</w:t>
      </w:r>
      <w:r>
        <w:rPr>
          <w:spacing w:val="-2"/>
        </w:rPr>
        <w:t>万元，经营范围为技术服务，技术开发和技术咨询。公司</w:t>
      </w:r>
      <w:r>
        <w:rPr>
          <w:spacing w:val="-45"/>
        </w:rPr>
        <w:t> </w:t>
      </w:r>
      <w:r>
        <w:rPr>
          <w:spacing w:val="-45"/>
        </w:rPr>
      </w:r>
      <w:r>
        <w:rPr/>
        <w:t>合计持股比例</w:t>
      </w:r>
      <w:r>
        <w:rPr>
          <w:rFonts w:ascii="Times New Roman" w:hAnsi="Times New Roman" w:cs="Times New Roman" w:eastAsia="Times New Roman" w:hint="default"/>
        </w:rPr>
        <w:t>100%</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14.72</w:t>
      </w:r>
      <w:r>
        <w:rPr/>
        <w:t>万元，净资产</w:t>
      </w:r>
      <w:r>
        <w:rPr>
          <w:rFonts w:ascii="Times New Roman" w:hAnsi="Times New Roman" w:cs="Times New Roman" w:eastAsia="Times New Roman" w:hint="default"/>
        </w:rPr>
        <w:t>-28.04</w:t>
      </w:r>
      <w:r>
        <w:rPr/>
        <w:t>万元，净利润</w:t>
      </w:r>
      <w:r>
        <w:rPr>
          <w:rFonts w:ascii="Times New Roman" w:hAnsi="Times New Roman" w:cs="Times New Roman" w:eastAsia="Times New Roman" w:hint="default"/>
        </w:rPr>
        <w:t>-40.08</w:t>
      </w:r>
      <w:r>
        <w:rPr/>
        <w:t>万元。</w:t>
      </w:r>
    </w:p>
    <w:p>
      <w:pPr>
        <w:pStyle w:val="BodyText"/>
        <w:spacing w:line="386" w:lineRule="auto" w:before="36"/>
        <w:ind w:right="211"/>
        <w:jc w:val="both"/>
      </w:pPr>
      <w:r>
        <w:rPr>
          <w:spacing w:val="-2"/>
        </w:rPr>
        <w:t>（</w:t>
      </w:r>
      <w:r>
        <w:rPr>
          <w:rFonts w:ascii="Times New Roman" w:hAnsi="Times New Roman" w:cs="Times New Roman" w:eastAsia="Times New Roman" w:hint="default"/>
          <w:spacing w:val="-2"/>
        </w:rPr>
        <w:t>8</w:t>
      </w:r>
      <w:r>
        <w:rPr>
          <w:spacing w:val="-2"/>
        </w:rPr>
        <w:t>）杭州万达信息系统有限公司，注册资本</w:t>
      </w:r>
      <w:r>
        <w:rPr>
          <w:rFonts w:ascii="Times New Roman" w:hAnsi="Times New Roman" w:cs="Times New Roman" w:eastAsia="Times New Roman" w:hint="default"/>
          <w:spacing w:val="-2"/>
        </w:rPr>
        <w:t>200</w:t>
      </w:r>
      <w:r>
        <w:rPr>
          <w:spacing w:val="-2"/>
        </w:rPr>
        <w:t>万元，经营范围为技术服务，技术开发和技术咨询。公司</w:t>
      </w:r>
      <w:r>
        <w:rPr>
          <w:spacing w:val="-45"/>
        </w:rPr>
        <w:t> </w:t>
      </w:r>
      <w:r>
        <w:rPr>
          <w:spacing w:val="-45"/>
        </w:rPr>
      </w:r>
      <w:r>
        <w:rPr/>
        <w:t>合计持股比例</w:t>
      </w:r>
      <w:r>
        <w:rPr>
          <w:rFonts w:ascii="Times New Roman" w:hAnsi="Times New Roman" w:cs="Times New Roman" w:eastAsia="Times New Roman" w:hint="default"/>
        </w:rPr>
        <w:t>94%</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33.82</w:t>
      </w:r>
      <w:r>
        <w:rPr/>
        <w:t>万元，净资产</w:t>
      </w:r>
      <w:r>
        <w:rPr>
          <w:rFonts w:ascii="Times New Roman" w:hAnsi="Times New Roman" w:cs="Times New Roman" w:eastAsia="Times New Roman" w:hint="default"/>
        </w:rPr>
        <w:t>-707.32</w:t>
      </w:r>
      <w:r>
        <w:rPr/>
        <w:t>万元，净利润</w:t>
      </w:r>
      <w:r>
        <w:rPr>
          <w:rFonts w:ascii="Times New Roman" w:hAnsi="Times New Roman" w:cs="Times New Roman" w:eastAsia="Times New Roman" w:hint="default"/>
        </w:rPr>
        <w:t>-172.53</w:t>
      </w:r>
      <w:r>
        <w:rPr/>
        <w:t>万元。</w:t>
      </w:r>
    </w:p>
    <w:p>
      <w:pPr>
        <w:pStyle w:val="BodyText"/>
        <w:spacing w:line="386" w:lineRule="auto" w:before="35"/>
        <w:ind w:right="209"/>
        <w:jc w:val="left"/>
      </w:pPr>
      <w:r>
        <w:rPr>
          <w:spacing w:val="-2"/>
        </w:rPr>
        <w:t>（</w:t>
      </w:r>
      <w:r>
        <w:rPr>
          <w:rFonts w:ascii="Times New Roman" w:hAnsi="Times New Roman" w:cs="Times New Roman" w:eastAsia="Times New Roman" w:hint="default"/>
          <w:spacing w:val="-2"/>
        </w:rPr>
        <w:t>9</w:t>
      </w:r>
      <w:r>
        <w:rPr>
          <w:spacing w:val="-2"/>
        </w:rPr>
        <w:t>）天津万达信息技术有限责任公司，注册资本</w:t>
      </w:r>
      <w:r>
        <w:rPr>
          <w:rFonts w:ascii="Times New Roman" w:hAnsi="Times New Roman" w:cs="Times New Roman" w:eastAsia="Times New Roman" w:hint="default"/>
          <w:spacing w:val="-2"/>
        </w:rPr>
        <w:t>5,000</w:t>
      </w:r>
      <w:r>
        <w:rPr>
          <w:spacing w:val="-2"/>
        </w:rPr>
        <w:t>万元，经营范围为计算机信息系统集成与开发、建</w:t>
      </w:r>
      <w:r>
        <w:rPr>
          <w:spacing w:val="-20"/>
        </w:rPr>
        <w:t> </w:t>
      </w:r>
      <w:r>
        <w:rPr>
          <w:spacing w:val="-20"/>
        </w:rPr>
      </w:r>
      <w:r>
        <w:rPr>
          <w:spacing w:val="-6"/>
        </w:rPr>
        <w:t>筑智能化系统集成、开发、设计，施工，机场空管工程及航站楼弱电系统工程等</w:t>
      </w:r>
      <w:r>
        <w:rPr>
          <w:rFonts w:ascii="Times New Roman" w:hAnsi="Times New Roman" w:cs="Times New Roman" w:eastAsia="Times New Roman" w:hint="default"/>
          <w:spacing w:val="-6"/>
        </w:rPr>
        <w:t>.</w:t>
      </w:r>
      <w:r>
        <w:rPr>
          <w:spacing w:val="-6"/>
        </w:rPr>
        <w:t>公司合计持股比例为</w:t>
      </w:r>
      <w:r>
        <w:rPr>
          <w:rFonts w:ascii="Times New Roman" w:hAnsi="Times New Roman" w:cs="Times New Roman" w:eastAsia="Times New Roman" w:hint="default"/>
          <w:spacing w:val="-6"/>
        </w:rPr>
        <w:t>100%.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5,002.07</w:t>
      </w:r>
      <w:r>
        <w:rPr/>
        <w:t>万元，净资产</w:t>
      </w:r>
      <w:r>
        <w:rPr>
          <w:rFonts w:ascii="Times New Roman" w:hAnsi="Times New Roman" w:cs="Times New Roman" w:eastAsia="Times New Roman" w:hint="default"/>
        </w:rPr>
        <w:t>4,979.14</w:t>
      </w:r>
      <w:r>
        <w:rPr/>
        <w:t>万元，净利润</w:t>
      </w:r>
      <w:r>
        <w:rPr>
          <w:rFonts w:ascii="Times New Roman" w:hAnsi="Times New Roman" w:cs="Times New Roman" w:eastAsia="Times New Roman" w:hint="default"/>
        </w:rPr>
        <w:t>-20.86</w:t>
      </w:r>
      <w:r>
        <w:rPr/>
        <w:t>万元。</w:t>
      </w:r>
      <w:r>
        <w:rPr>
          <w:w w:val="100"/>
        </w:rPr>
        <w:t> </w:t>
      </w:r>
      <w:r>
        <w:rPr/>
        <w:t>上述与主营业务相关的子公司主要承担行政管理、市场开拓的支持等工作。</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386" w:lineRule="auto"/>
        <w:ind w:right="218"/>
        <w:jc w:val="both"/>
      </w:pPr>
      <w:r>
        <w:rPr>
          <w:spacing w:val="-2"/>
        </w:rPr>
        <w:t>（</w:t>
      </w:r>
      <w:r>
        <w:rPr>
          <w:rFonts w:ascii="Times New Roman" w:hAnsi="Times New Roman" w:cs="Times New Roman" w:eastAsia="Times New Roman" w:hint="default"/>
          <w:spacing w:val="-2"/>
        </w:rPr>
        <w:t>10</w:t>
      </w:r>
      <w:r>
        <w:rPr>
          <w:spacing w:val="-2"/>
        </w:rPr>
        <w:t>）上海爱递吉供应链管理服务有限公司，注册资本</w:t>
      </w:r>
      <w:r>
        <w:rPr>
          <w:rFonts w:ascii="Times New Roman" w:hAnsi="Times New Roman" w:cs="Times New Roman" w:eastAsia="Times New Roman" w:hint="default"/>
          <w:spacing w:val="-2"/>
        </w:rPr>
        <w:t>500</w:t>
      </w:r>
      <w:r>
        <w:rPr>
          <w:spacing w:val="-2"/>
        </w:rPr>
        <w:t>万元，经营范围为供应链管理，物流服务，物</w:t>
      </w:r>
      <w:r>
        <w:rPr>
          <w:spacing w:val="-19"/>
        </w:rPr>
        <w:t> </w:t>
      </w:r>
      <w:r>
        <w:rPr>
          <w:spacing w:val="-19"/>
        </w:rPr>
      </w:r>
      <w:r>
        <w:rPr>
          <w:spacing w:val="-2"/>
        </w:rPr>
        <w:t>流系统软件研发，销售自产产品，公司合计持股比例</w:t>
      </w:r>
      <w:r>
        <w:rPr>
          <w:rFonts w:ascii="Times New Roman" w:hAnsi="Times New Roman" w:cs="Times New Roman" w:eastAsia="Times New Roman" w:hint="default"/>
          <w:spacing w:val="-2"/>
        </w:rPr>
        <w:t>55%,</w:t>
      </w: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日总资产</w:t>
      </w:r>
      <w:r>
        <w:rPr>
          <w:rFonts w:ascii="Times New Roman" w:hAnsi="Times New Roman" w:cs="Times New Roman" w:eastAsia="Times New Roman" w:hint="default"/>
          <w:spacing w:val="-2"/>
        </w:rPr>
        <w:t>426.53</w:t>
      </w:r>
      <w:r>
        <w:rPr>
          <w:spacing w:val="-2"/>
        </w:rPr>
        <w:t>万元，净资产</w:t>
      </w:r>
      <w:r>
        <w:rPr>
          <w:spacing w:val="-1"/>
        </w:rPr>
        <w:t> </w:t>
      </w:r>
      <w:r>
        <w:rPr>
          <w:spacing w:val="-1"/>
        </w:rPr>
      </w:r>
      <w:r>
        <w:rPr>
          <w:rFonts w:ascii="Times New Roman" w:hAnsi="Times New Roman" w:cs="Times New Roman" w:eastAsia="Times New Roman" w:hint="default"/>
        </w:rPr>
        <w:t>82.55</w:t>
      </w:r>
      <w:r>
        <w:rPr/>
        <w:t>万元，净利润</w:t>
      </w:r>
      <w:r>
        <w:rPr>
          <w:rFonts w:ascii="Times New Roman" w:hAnsi="Times New Roman" w:cs="Times New Roman" w:eastAsia="Times New Roman" w:hint="default"/>
        </w:rPr>
        <w:t>-153.21</w:t>
      </w:r>
      <w:r>
        <w:rPr/>
        <w:t>万元。</w:t>
      </w:r>
    </w:p>
    <w:p>
      <w:pPr>
        <w:pStyle w:val="BodyText"/>
        <w:spacing w:line="386" w:lineRule="auto" w:before="35"/>
        <w:ind w:right="206"/>
        <w:jc w:val="left"/>
      </w:pPr>
      <w:r>
        <w:rPr/>
        <w:t>（</w:t>
      </w:r>
      <w:r>
        <w:rPr>
          <w:rFonts w:ascii="Times New Roman" w:hAnsi="Times New Roman" w:cs="Times New Roman" w:eastAsia="Times New Roman" w:hint="default"/>
        </w:rPr>
        <w:t>11</w:t>
      </w:r>
      <w:r>
        <w:rPr/>
        <w:t>）南京爱递吉供应链管理服务有限公司（孙公司），注册资本</w:t>
      </w:r>
      <w:r>
        <w:rPr>
          <w:rFonts w:ascii="Times New Roman" w:hAnsi="Times New Roman" w:cs="Times New Roman" w:eastAsia="Times New Roman" w:hint="default"/>
        </w:rPr>
        <w:t>115</w:t>
      </w:r>
      <w:r>
        <w:rPr/>
        <w:t>万元，经营范围为供应链管理，物</w:t>
      </w:r>
      <w:r>
        <w:rPr>
          <w:w w:val="100"/>
        </w:rPr>
        <w:t> </w:t>
      </w:r>
      <w:r>
        <w:rPr>
          <w:spacing w:val="-3"/>
        </w:rPr>
        <w:t>流系统软件研发，销售自产产品。上海爱递吉供应链管理服务有限公司持股比例</w:t>
      </w:r>
      <w:r>
        <w:rPr>
          <w:rFonts w:ascii="Times New Roman" w:hAnsi="Times New Roman" w:cs="Times New Roman" w:eastAsia="Times New Roman" w:hint="default"/>
          <w:spacing w:val="-3"/>
        </w:rPr>
        <w:t>100%</w:t>
      </w:r>
      <w:r>
        <w:rPr>
          <w:spacing w:val="-3"/>
        </w:rPr>
        <w:t>。截至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4"/>
        </w:rPr>
        <w:t> </w:t>
      </w:r>
      <w:r>
        <w:rPr/>
        <w:t>日总资产</w:t>
      </w:r>
      <w:r>
        <w:rPr>
          <w:rFonts w:ascii="Times New Roman" w:hAnsi="Times New Roman" w:cs="Times New Roman" w:eastAsia="Times New Roman" w:hint="default"/>
        </w:rPr>
        <w:t>221.72</w:t>
      </w:r>
      <w:r>
        <w:rPr/>
        <w:t>万元，净资产</w:t>
      </w:r>
      <w:r>
        <w:rPr>
          <w:rFonts w:ascii="Times New Roman" w:hAnsi="Times New Roman" w:cs="Times New Roman" w:eastAsia="Times New Roman" w:hint="default"/>
        </w:rPr>
        <w:t>63.52</w:t>
      </w:r>
      <w:r>
        <w:rPr/>
        <w:t>万元，净利润</w:t>
      </w:r>
      <w:r>
        <w:rPr>
          <w:rFonts w:ascii="Times New Roman" w:hAnsi="Times New Roman" w:cs="Times New Roman" w:eastAsia="Times New Roman" w:hint="default"/>
        </w:rPr>
        <w:t>-46.54</w:t>
      </w:r>
      <w:r>
        <w:rPr/>
        <w:t>万元。</w:t>
      </w:r>
    </w:p>
    <w:p>
      <w:pPr>
        <w:pStyle w:val="BodyText"/>
        <w:spacing w:line="398" w:lineRule="auto" w:before="35"/>
        <w:ind w:right="206"/>
        <w:jc w:val="both"/>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12</w:t>
      </w:r>
      <w:r>
        <w:rPr>
          <w:spacing w:val="-2"/>
        </w:rPr>
        <w:t>）上海卫生信息工程技术研究中心有限公司，注册资本</w:t>
      </w:r>
      <w:r>
        <w:rPr>
          <w:rFonts w:ascii="Times New Roman" w:hAnsi="Times New Roman" w:cs="Times New Roman" w:eastAsia="Times New Roman" w:hint="default"/>
          <w:spacing w:val="-2"/>
        </w:rPr>
        <w:t>3500</w:t>
      </w:r>
      <w:r>
        <w:rPr>
          <w:spacing w:val="-2"/>
        </w:rPr>
        <w:t>万元，经营范围为在信息技术专业领域内</w:t>
      </w:r>
      <w:r>
        <w:rPr>
          <w:spacing w:val="-37"/>
        </w:rPr>
        <w:t> </w:t>
      </w:r>
      <w:r>
        <w:rPr>
          <w:spacing w:val="-37"/>
        </w:rPr>
      </w:r>
      <w:r>
        <w:rPr>
          <w:spacing w:val="-2"/>
        </w:rPr>
        <w:t>从事技术开发、技术咨询、技术转让、技术服务，计算机软件开发，计算机系统集成。公司合计持股比例</w:t>
      </w:r>
      <w:r>
        <w:rPr>
          <w:spacing w:val="-44"/>
        </w:rPr>
        <w:t> </w:t>
      </w:r>
      <w:r>
        <w:rPr>
          <w:spacing w:val="-44"/>
        </w:rPr>
      </w:r>
      <w:r>
        <w:rPr/>
        <w:t>为</w:t>
      </w:r>
      <w:r>
        <w:rPr>
          <w:rFonts w:ascii="Times New Roman" w:hAnsi="Times New Roman" w:cs="Times New Roman" w:eastAsia="Times New Roman" w:hint="default"/>
        </w:rPr>
        <w:t>57.14%</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4,101.83</w:t>
      </w:r>
      <w:r>
        <w:rPr/>
        <w:t>万元，净资产</w:t>
      </w:r>
      <w:r>
        <w:rPr>
          <w:rFonts w:ascii="Times New Roman" w:hAnsi="Times New Roman" w:cs="Times New Roman" w:eastAsia="Times New Roman" w:hint="default"/>
        </w:rPr>
        <w:t>3,502.08</w:t>
      </w:r>
      <w:r>
        <w:rPr/>
        <w:t>万元，净利润</w:t>
      </w:r>
      <w:r>
        <w:rPr>
          <w:rFonts w:ascii="Times New Roman" w:hAnsi="Times New Roman" w:cs="Times New Roman" w:eastAsia="Times New Roman" w:hint="default"/>
        </w:rPr>
        <w:t>2.08</w:t>
      </w:r>
      <w:r>
        <w:rPr/>
        <w:t>万元</w:t>
      </w:r>
      <w:r>
        <w:rPr>
          <w:rFonts w:ascii="Times New Roman" w:hAnsi="Times New Roman" w:cs="Times New Roman" w:eastAsia="Times New Roman" w:hint="default"/>
        </w:rPr>
        <w:t>.</w:t>
      </w:r>
    </w:p>
    <w:p>
      <w:pPr>
        <w:pStyle w:val="BodyText"/>
        <w:spacing w:line="398" w:lineRule="auto" w:before="24"/>
        <w:ind w:right="207"/>
        <w:jc w:val="both"/>
      </w:pPr>
      <w:r>
        <w:rPr>
          <w:spacing w:val="-2"/>
        </w:rPr>
        <w:t>（</w:t>
      </w:r>
      <w:r>
        <w:rPr>
          <w:rFonts w:ascii="Times New Roman" w:hAnsi="Times New Roman" w:cs="Times New Roman" w:eastAsia="Times New Roman" w:hint="default"/>
          <w:spacing w:val="-2"/>
        </w:rPr>
        <w:t>13</w:t>
      </w:r>
      <w:r>
        <w:rPr>
          <w:spacing w:val="-2"/>
        </w:rPr>
        <w:t>）上海万达全程健康服务有限公司，注册资本</w:t>
      </w:r>
      <w:r>
        <w:rPr>
          <w:rFonts w:ascii="Times New Roman" w:hAnsi="Times New Roman" w:cs="Times New Roman" w:eastAsia="Times New Roman" w:hint="default"/>
          <w:spacing w:val="-2"/>
        </w:rPr>
        <w:t>1611</w:t>
      </w:r>
      <w:r>
        <w:rPr>
          <w:spacing w:val="-2"/>
        </w:rPr>
        <w:t>万元，经营范围为健康管理服务，计算机专业领域</w:t>
      </w:r>
      <w:r>
        <w:rPr>
          <w:spacing w:val="-45"/>
        </w:rPr>
        <w:t> </w:t>
      </w:r>
      <w:r>
        <w:rPr>
          <w:spacing w:val="-45"/>
        </w:rPr>
      </w:r>
      <w:r>
        <w:rPr>
          <w:spacing w:val="-2"/>
        </w:rPr>
        <w:t>内从事技术开发、技术咨询、技术转让、技术服务，计算机及配件，计算机系统集成等。公司合计持股比</w:t>
      </w:r>
      <w:r>
        <w:rPr>
          <w:spacing w:val="-42"/>
        </w:rPr>
        <w:t> </w:t>
      </w:r>
      <w:r>
        <w:rPr>
          <w:spacing w:val="-42"/>
        </w:rPr>
      </w:r>
      <w:r>
        <w:rPr/>
        <w:t>例为</w:t>
      </w:r>
      <w:r>
        <w:rPr>
          <w:rFonts w:ascii="Times New Roman" w:hAnsi="Times New Roman" w:cs="Times New Roman" w:eastAsia="Times New Roman" w:hint="default"/>
        </w:rPr>
        <w:t>55%</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941.40</w:t>
      </w:r>
      <w:r>
        <w:rPr/>
        <w:t>万元，净资产</w:t>
      </w:r>
      <w:r>
        <w:rPr>
          <w:rFonts w:ascii="Times New Roman" w:hAnsi="Times New Roman" w:cs="Times New Roman" w:eastAsia="Times New Roman" w:hint="default"/>
        </w:rPr>
        <w:t>952.32</w:t>
      </w:r>
      <w:r>
        <w:rPr/>
        <w:t>万元，净利润</w:t>
      </w:r>
      <w:r>
        <w:rPr>
          <w:rFonts w:ascii="Times New Roman" w:hAnsi="Times New Roman" w:cs="Times New Roman" w:eastAsia="Times New Roman" w:hint="default"/>
        </w:rPr>
        <w:t>-678.38</w:t>
      </w:r>
      <w:r>
        <w:rPr/>
        <w:t>万元。</w:t>
      </w:r>
    </w:p>
    <w:p>
      <w:pPr>
        <w:pStyle w:val="BodyText"/>
        <w:spacing w:line="386" w:lineRule="auto" w:before="24"/>
        <w:ind w:right="206"/>
        <w:jc w:val="both"/>
      </w:pPr>
      <w:r>
        <w:rPr>
          <w:spacing w:val="-3"/>
        </w:rPr>
        <w:t>（</w:t>
      </w:r>
      <w:r>
        <w:rPr>
          <w:rFonts w:ascii="Times New Roman" w:hAnsi="Times New Roman" w:cs="Times New Roman" w:eastAsia="Times New Roman" w:hint="default"/>
          <w:spacing w:val="-3"/>
        </w:rPr>
        <w:t>14</w:t>
      </w:r>
      <w:r>
        <w:rPr>
          <w:spacing w:val="-3"/>
        </w:rPr>
        <w:t>）西藏万达华波美信息技术有限公司，注册资本</w:t>
      </w:r>
      <w:r>
        <w:rPr>
          <w:rFonts w:ascii="Times New Roman" w:hAnsi="Times New Roman" w:cs="Times New Roman" w:eastAsia="Times New Roman" w:hint="default"/>
          <w:spacing w:val="-3"/>
        </w:rPr>
        <w:t>4,100</w:t>
      </w:r>
      <w:r>
        <w:rPr>
          <w:spacing w:val="-3"/>
        </w:rPr>
        <w:t>万元，经营范围为数字电视设备和有线、无线数</w:t>
      </w:r>
      <w:r>
        <w:rPr>
          <w:spacing w:val="-40"/>
        </w:rPr>
        <w:t> </w:t>
      </w:r>
      <w:r>
        <w:rPr>
          <w:spacing w:val="-40"/>
        </w:rPr>
      </w:r>
      <w:r>
        <w:rPr>
          <w:spacing w:val="-5"/>
        </w:rPr>
        <w:t>字网络工程，雷电防护系统工程设计与施工，计算机系统软硬件研发和服务等</w:t>
      </w:r>
      <w:r>
        <w:rPr>
          <w:rFonts w:ascii="Times New Roman" w:hAnsi="Times New Roman" w:cs="Times New Roman" w:eastAsia="Times New Roman" w:hint="default"/>
          <w:spacing w:val="-5"/>
        </w:rPr>
        <w:t>.</w:t>
      </w:r>
      <w:r>
        <w:rPr>
          <w:spacing w:val="-5"/>
        </w:rPr>
        <w:t>公司合计持股比例为</w:t>
      </w:r>
      <w:r>
        <w:rPr>
          <w:rFonts w:ascii="Times New Roman" w:hAnsi="Times New Roman" w:cs="Times New Roman" w:eastAsia="Times New Roman" w:hint="default"/>
          <w:spacing w:val="-5"/>
        </w:rPr>
        <w:t>51.22%.</w:t>
      </w:r>
      <w:r>
        <w:rPr>
          <w:rFonts w:ascii="Times New Roman" w:hAnsi="Times New Roman" w:cs="Times New Roman" w:eastAsia="Times New Roman" w:hint="default"/>
        </w:rPr>
        <w:t> </w:t>
      </w:r>
      <w:r>
        <w:rPr>
          <w:rFonts w:ascii="Times New Roman" w:hAnsi="Times New Roman" w:cs="Times New Roman" w:eastAsia="Times New Roman" w:hint="default"/>
        </w:rPr>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5,364.24</w:t>
      </w:r>
      <w:r>
        <w:rPr/>
        <w:t>万元，净资产</w:t>
      </w:r>
      <w:r>
        <w:rPr>
          <w:rFonts w:ascii="Times New Roman" w:hAnsi="Times New Roman" w:cs="Times New Roman" w:eastAsia="Times New Roman" w:hint="default"/>
        </w:rPr>
        <w:t>5,107.10</w:t>
      </w:r>
      <w:r>
        <w:rPr/>
        <w:t>万元，净利润</w:t>
      </w:r>
      <w:r>
        <w:rPr>
          <w:rFonts w:ascii="Times New Roman" w:hAnsi="Times New Roman" w:cs="Times New Roman" w:eastAsia="Times New Roman" w:hint="default"/>
        </w:rPr>
        <w:t>-432.91</w:t>
      </w:r>
      <w:r>
        <w:rPr/>
        <w:t>万元。</w:t>
      </w:r>
    </w:p>
    <w:p>
      <w:pPr>
        <w:spacing w:after="0" w:line="386" w:lineRule="auto"/>
        <w:jc w:val="both"/>
        <w:sectPr>
          <w:footerReference w:type="default" r:id="rId12"/>
          <w:pgSz w:w="11910" w:h="16840"/>
          <w:pgMar w:footer="980" w:header="745" w:top="1060" w:bottom="1160" w:left="980" w:right="920"/>
          <w:pgNumType w:start="22"/>
        </w:sectPr>
      </w:pPr>
    </w:p>
    <w:p>
      <w:pPr>
        <w:spacing w:line="240" w:lineRule="auto" w:before="0"/>
        <w:rPr>
          <w:rFonts w:ascii="宋体" w:hAnsi="宋体" w:cs="宋体" w:eastAsia="宋体" w:hint="default"/>
          <w:sz w:val="20"/>
          <w:szCs w:val="20"/>
        </w:rPr>
      </w:pPr>
    </w:p>
    <w:p>
      <w:pPr>
        <w:pStyle w:val="BodyText"/>
        <w:spacing w:line="408" w:lineRule="auto" w:before="175"/>
        <w:ind w:right="146"/>
        <w:jc w:val="both"/>
      </w:pPr>
      <w:r>
        <w:rPr>
          <w:spacing w:val="-2"/>
        </w:rPr>
        <w:t>上述控股子（孙）公司均为独立经营单位，南京爱递吉供应链管理服务有限公司为上海爱递吉供应链管理</w:t>
      </w:r>
      <w:r>
        <w:rPr>
          <w:spacing w:val="-43"/>
        </w:rPr>
        <w:t> </w:t>
      </w:r>
      <w:r>
        <w:rPr>
          <w:spacing w:val="-43"/>
        </w:rPr>
      </w:r>
      <w:r>
        <w:rPr>
          <w:spacing w:val="-2"/>
        </w:rPr>
        <w:t>服务有限公司的子公司，上海爱递吉供应链管理服务有限公司在物流平台运营方面的业务较上年同期亏损</w:t>
      </w:r>
      <w:r>
        <w:rPr>
          <w:spacing w:val="-43"/>
        </w:rPr>
        <w:t> </w:t>
      </w:r>
      <w:r>
        <w:rPr>
          <w:spacing w:val="-43"/>
        </w:rPr>
      </w:r>
      <w:r>
        <w:rPr>
          <w:spacing w:val="-2"/>
        </w:rPr>
        <w:t>缩小，新的业务模式在逐渐完善中。报告期内，上海卫生信息工程技术研究中心有限公司、上海万达全程</w:t>
      </w:r>
      <w:r>
        <w:rPr>
          <w:spacing w:val="-47"/>
        </w:rPr>
        <w:t> </w:t>
      </w:r>
      <w:r>
        <w:rPr>
          <w:spacing w:val="-47"/>
        </w:rPr>
      </w:r>
      <w:r>
        <w:rPr/>
        <w:t>健康服务有限公司、西藏万达华波美信息技术有限公司均为设立第一年，今后业务均有向好趋势。</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spacing w:line="240" w:lineRule="auto"/>
        <w:ind w:right="0"/>
        <w:jc w:val="both"/>
        <w:rPr>
          <w:b w:val="0"/>
          <w:bCs w:val="0"/>
        </w:rPr>
      </w:pPr>
      <w:r>
        <w:rPr>
          <w:rFonts w:ascii="Times New Roman" w:hAnsi="Times New Roman" w:cs="Times New Roman" w:eastAsia="Times New Roman" w:hint="default"/>
        </w:rPr>
        <w:t>2</w:t>
      </w:r>
      <w:r>
        <w:rPr/>
        <w:t>．参股公司的经营情况及业绩分析</w:t>
      </w:r>
      <w:r>
        <w:rPr>
          <w:b w:val="0"/>
          <w:bCs w:val="0"/>
        </w:rPr>
      </w:r>
    </w:p>
    <w:p>
      <w:pPr>
        <w:pStyle w:val="BodyText"/>
        <w:spacing w:line="386" w:lineRule="auto" w:before="177"/>
        <w:ind w:right="0"/>
        <w:jc w:val="left"/>
      </w:pPr>
      <w:r>
        <w:rPr>
          <w:spacing w:val="-2"/>
        </w:rPr>
        <w:t>（</w:t>
      </w:r>
      <w:r>
        <w:rPr>
          <w:rFonts w:ascii="Times New Roman" w:hAnsi="Times New Roman" w:cs="Times New Roman" w:eastAsia="Times New Roman" w:hint="default"/>
          <w:spacing w:val="-2"/>
        </w:rPr>
        <w:t>1</w:t>
      </w:r>
      <w:r>
        <w:rPr>
          <w:spacing w:val="-2"/>
        </w:rPr>
        <w:t>）上海浦江科技投资有限公司，注册资本</w:t>
      </w:r>
      <w:r>
        <w:rPr>
          <w:rFonts w:ascii="Times New Roman" w:hAnsi="Times New Roman" w:cs="Times New Roman" w:eastAsia="Times New Roman" w:hint="default"/>
          <w:spacing w:val="-2"/>
        </w:rPr>
        <w:t>2700</w:t>
      </w:r>
      <w:r>
        <w:rPr>
          <w:spacing w:val="-2"/>
        </w:rPr>
        <w:t>万元，经营范围为实业投资，资产经营管理及咨询，房</w:t>
      </w:r>
      <w:r>
        <w:rPr>
          <w:spacing w:val="-19"/>
        </w:rPr>
        <w:t> </w:t>
      </w:r>
      <w:r>
        <w:rPr>
          <w:spacing w:val="-19"/>
        </w:rPr>
      </w:r>
      <w:r>
        <w:rPr/>
        <w:t>地产开发。本公司合计持股比例</w:t>
      </w:r>
      <w:r>
        <w:rPr>
          <w:rFonts w:ascii="Times New Roman" w:hAnsi="Times New Roman" w:cs="Times New Roman" w:eastAsia="Times New Roman" w:hint="default"/>
        </w:rPr>
        <w:t>25.93%,</w:t>
      </w:r>
      <w:r>
        <w:rPr/>
        <w:t>期末长期股权投资余额</w:t>
      </w:r>
      <w:r>
        <w:rPr>
          <w:rFonts w:ascii="Times New Roman" w:hAnsi="Times New Roman" w:cs="Times New Roman" w:eastAsia="Times New Roman" w:hint="default"/>
        </w:rPr>
        <w:t>891.57</w:t>
      </w:r>
      <w:r>
        <w:rPr/>
        <w:t>万元。截至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w w:val="100"/>
        </w:rPr>
        <w:t> </w:t>
      </w:r>
      <w:r>
        <w:rPr>
          <w:rFonts w:ascii="Times New Roman" w:hAnsi="Times New Roman" w:cs="Times New Roman" w:eastAsia="Times New Roman" w:hint="default"/>
        </w:rPr>
        <w:t>3,438.93</w:t>
      </w:r>
      <w:r>
        <w:rPr/>
        <w:t>万元，净资产</w:t>
      </w:r>
      <w:r>
        <w:rPr>
          <w:rFonts w:ascii="Times New Roman" w:hAnsi="Times New Roman" w:cs="Times New Roman" w:eastAsia="Times New Roman" w:hint="default"/>
        </w:rPr>
        <w:t>3,438.93</w:t>
      </w:r>
      <w:r>
        <w:rPr/>
        <w:t>万元</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229.17</w:t>
      </w:r>
      <w:r>
        <w:rPr/>
        <w:t>万元，经营良好。</w:t>
      </w:r>
    </w:p>
    <w:p>
      <w:pPr>
        <w:pStyle w:val="BodyText"/>
        <w:spacing w:line="393" w:lineRule="auto" w:before="35"/>
        <w:ind w:right="147"/>
        <w:jc w:val="left"/>
      </w:pPr>
      <w:r>
        <w:rPr/>
        <w:t>（</w:t>
      </w:r>
      <w:r>
        <w:rPr>
          <w:rFonts w:ascii="Times New Roman" w:hAnsi="Times New Roman" w:cs="Times New Roman" w:eastAsia="Times New Roman" w:hint="default"/>
        </w:rPr>
        <w:t>2</w:t>
      </w:r>
      <w:r>
        <w:rPr/>
        <w:t>）上海申银万国证券研究所有限公司，注册资本</w:t>
      </w:r>
      <w:r>
        <w:rPr>
          <w:rFonts w:ascii="Times New Roman" w:hAnsi="Times New Roman" w:cs="Times New Roman" w:eastAsia="Times New Roman" w:hint="default"/>
        </w:rPr>
        <w:t>2000</w:t>
      </w:r>
      <w:r>
        <w:rPr/>
        <w:t>万元，经营范围为企业投资咨询，企业策划，信</w:t>
      </w:r>
      <w:r>
        <w:rPr>
          <w:w w:val="100"/>
        </w:rPr>
        <w:t> </w:t>
      </w:r>
      <w:r>
        <w:rPr>
          <w:spacing w:val="-2"/>
        </w:rPr>
        <w:t>息开发，信息成果转让，信息采集和加工，经济信息服务，信息系统集成，证券人才培训。公司合计持股</w:t>
      </w:r>
      <w:r>
        <w:rPr>
          <w:spacing w:val="-42"/>
        </w:rPr>
        <w:t> </w:t>
      </w:r>
      <w:r>
        <w:rPr>
          <w:spacing w:val="-42"/>
        </w:rPr>
      </w:r>
      <w:r>
        <w:rPr>
          <w:spacing w:val="-2"/>
        </w:rPr>
        <w:t>比例</w:t>
      </w:r>
      <w:r>
        <w:rPr>
          <w:rFonts w:ascii="Times New Roman" w:hAnsi="Times New Roman" w:cs="Times New Roman" w:eastAsia="Times New Roman" w:hint="default"/>
          <w:spacing w:val="-2"/>
        </w:rPr>
        <w:t>10%</w:t>
      </w:r>
      <w:r>
        <w:rPr>
          <w:spacing w:val="-2"/>
        </w:rPr>
        <w:t>，期末长期股权投资余额</w:t>
      </w:r>
      <w:r>
        <w:rPr>
          <w:rFonts w:ascii="Times New Roman" w:hAnsi="Times New Roman" w:cs="Times New Roman" w:eastAsia="Times New Roman" w:hint="default"/>
          <w:spacing w:val="-2"/>
        </w:rPr>
        <w:t>200</w:t>
      </w:r>
      <w:r>
        <w:rPr>
          <w:spacing w:val="-2"/>
        </w:rPr>
        <w:t>万元。截至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日总资产</w:t>
      </w:r>
      <w:r>
        <w:rPr>
          <w:rFonts w:ascii="Times New Roman" w:hAnsi="Times New Roman" w:cs="Times New Roman" w:eastAsia="Times New Roman" w:hint="default"/>
          <w:spacing w:val="-2"/>
        </w:rPr>
        <w:t>13,352.05</w:t>
      </w:r>
      <w:r>
        <w:rPr>
          <w:spacing w:val="-2"/>
        </w:rPr>
        <w:t>万元，净资产</w:t>
      </w:r>
      <w:r>
        <w:rPr>
          <w:rFonts w:ascii="Times New Roman" w:hAnsi="Times New Roman" w:cs="Times New Roman" w:eastAsia="Times New Roman" w:hint="default"/>
          <w:spacing w:val="-2"/>
        </w:rPr>
        <w:t>9,422.82</w:t>
      </w:r>
      <w:r>
        <w:rPr>
          <w:spacing w:val="-2"/>
        </w:rPr>
        <w:t>万</w:t>
      </w:r>
      <w:r>
        <w:rPr>
          <w:spacing w:val="2"/>
        </w:rPr>
        <w:t> </w:t>
      </w:r>
      <w:r>
        <w:rPr/>
        <w:t>元，净利润</w:t>
      </w:r>
      <w:r>
        <w:rPr>
          <w:rFonts w:ascii="Times New Roman" w:hAnsi="Times New Roman" w:cs="Times New Roman" w:eastAsia="Times New Roman" w:hint="default"/>
        </w:rPr>
        <w:t>-2,279.64</w:t>
      </w:r>
      <w:r>
        <w:rPr/>
        <w:t>万元。其母公司受行业影响明显，申银万国研究所同样受影响明显，转盈为亏。</w:t>
      </w:r>
    </w:p>
    <w:p>
      <w:pPr>
        <w:pStyle w:val="BodyText"/>
        <w:spacing w:line="391" w:lineRule="auto" w:before="28"/>
        <w:ind w:right="146"/>
        <w:jc w:val="both"/>
      </w:pPr>
      <w:r>
        <w:rPr>
          <w:spacing w:val="-2"/>
        </w:rPr>
        <w:t>（</w:t>
      </w:r>
      <w:r>
        <w:rPr>
          <w:rFonts w:ascii="Times New Roman" w:hAnsi="Times New Roman" w:cs="Times New Roman" w:eastAsia="Times New Roman" w:hint="default"/>
          <w:spacing w:val="-2"/>
        </w:rPr>
        <w:t>3</w:t>
      </w:r>
      <w:r>
        <w:rPr>
          <w:spacing w:val="-2"/>
        </w:rPr>
        <w:t>）北京爱农驿站科技服务有限公司，注册资本</w:t>
      </w:r>
      <w:r>
        <w:rPr>
          <w:rFonts w:ascii="Times New Roman" w:hAnsi="Times New Roman" w:cs="Times New Roman" w:eastAsia="Times New Roman" w:hint="default"/>
          <w:spacing w:val="-2"/>
        </w:rPr>
        <w:t>10200</w:t>
      </w:r>
      <w:r>
        <w:rPr>
          <w:spacing w:val="-2"/>
        </w:rPr>
        <w:t>万元，经营范围包括许可经营项目：预付卡发行与</w:t>
      </w:r>
      <w:r>
        <w:rPr>
          <w:spacing w:val="-45"/>
        </w:rPr>
        <w:t> </w:t>
      </w:r>
      <w:r>
        <w:rPr>
          <w:spacing w:val="-45"/>
        </w:rPr>
      </w:r>
      <w:r>
        <w:rPr>
          <w:spacing w:val="-2"/>
        </w:rPr>
        <w:t>受理（北京和上海）、互联网支付（全国）（如销售蔬菜、水果、禽蛋等）和一般经营项目（如技术推广</w:t>
      </w:r>
      <w:r>
        <w:rPr>
          <w:spacing w:val="-43"/>
        </w:rPr>
        <w:t> </w:t>
      </w:r>
      <w:r>
        <w:rPr>
          <w:spacing w:val="-43"/>
        </w:rPr>
      </w:r>
      <w:r>
        <w:rPr>
          <w:spacing w:val="-7"/>
        </w:rPr>
        <w:t>服务，企业形象策划，经济贸易咨询，技术咨询等）。公司合计持股比例</w:t>
      </w:r>
      <w:r>
        <w:rPr>
          <w:rFonts w:ascii="Times New Roman" w:hAnsi="Times New Roman" w:cs="Times New Roman" w:eastAsia="Times New Roman" w:hint="default"/>
          <w:spacing w:val="-7"/>
        </w:rPr>
        <w:t>9.8%</w:t>
      </w:r>
      <w:r>
        <w:rPr>
          <w:spacing w:val="-7"/>
        </w:rPr>
        <w:t>，期末长期股权投资余额</w:t>
      </w:r>
      <w:r>
        <w:rPr>
          <w:rFonts w:ascii="Times New Roman" w:hAnsi="Times New Roman" w:cs="Times New Roman" w:eastAsia="Times New Roman" w:hint="default"/>
          <w:spacing w:val="-7"/>
        </w:rPr>
        <w:t>1000 </w:t>
      </w:r>
      <w:r>
        <w:rPr>
          <w:spacing w:val="-3"/>
        </w:rPr>
        <w:t>万元。截至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日总资产</w:t>
      </w:r>
      <w:r>
        <w:rPr>
          <w:rFonts w:ascii="Times New Roman" w:hAnsi="Times New Roman" w:cs="Times New Roman" w:eastAsia="Times New Roman" w:hint="default"/>
          <w:spacing w:val="-3"/>
        </w:rPr>
        <w:t>14,638.97</w:t>
      </w:r>
      <w:r>
        <w:rPr>
          <w:spacing w:val="-3"/>
        </w:rPr>
        <w:t>万元，净资产</w:t>
      </w:r>
      <w:r>
        <w:rPr>
          <w:rFonts w:ascii="Times New Roman" w:hAnsi="Times New Roman" w:cs="Times New Roman" w:eastAsia="Times New Roman" w:hint="default"/>
          <w:spacing w:val="-3"/>
        </w:rPr>
        <w:t>7,897.89</w:t>
      </w:r>
      <w:r>
        <w:rPr>
          <w:spacing w:val="-3"/>
        </w:rPr>
        <w:t>万元，净利润</w:t>
      </w:r>
      <w:r>
        <w:rPr>
          <w:rFonts w:ascii="Times New Roman" w:hAnsi="Times New Roman" w:cs="Times New Roman" w:eastAsia="Times New Roman" w:hint="default"/>
          <w:spacing w:val="-3"/>
        </w:rPr>
        <w:t>-1,040.12</w:t>
      </w:r>
      <w:r>
        <w:rPr>
          <w:spacing w:val="-3"/>
        </w:rPr>
        <w:t>万元。公司尚在市</w:t>
      </w:r>
      <w:r>
        <w:rPr>
          <w:spacing w:val="-12"/>
        </w:rPr>
        <w:t> </w:t>
      </w:r>
      <w:r>
        <w:rPr>
          <w:spacing w:val="-12"/>
        </w:rPr>
      </w:r>
      <w:r>
        <w:rPr/>
        <w:t>场开拓阶段，前期投入较大。</w:t>
      </w:r>
    </w:p>
    <w:p>
      <w:pPr>
        <w:pStyle w:val="BodyText"/>
        <w:spacing w:line="386" w:lineRule="auto" w:before="61"/>
        <w:ind w:right="148"/>
        <w:jc w:val="both"/>
      </w:pPr>
      <w:r>
        <w:rPr/>
        <w:t>（</w:t>
      </w:r>
      <w:r>
        <w:rPr>
          <w:rFonts w:ascii="Times New Roman" w:hAnsi="Times New Roman" w:cs="Times New Roman" w:eastAsia="Times New Roman" w:hint="default"/>
        </w:rPr>
        <w:t>4)</w:t>
      </w:r>
      <w:r>
        <w:rPr/>
        <w:t>上海华奕医疗信息技术有限公司，注册资本</w:t>
      </w:r>
      <w:r>
        <w:rPr>
          <w:rFonts w:ascii="Times New Roman" w:hAnsi="Times New Roman" w:cs="Times New Roman" w:eastAsia="Times New Roman" w:hint="default"/>
        </w:rPr>
        <w:t>14</w:t>
      </w:r>
      <w:r>
        <w:rPr/>
        <w:t>万美元，经营范围包括计算机软件的开发</w:t>
      </w:r>
      <w:r>
        <w:rPr>
          <w:rFonts w:ascii="Times New Roman" w:hAnsi="Times New Roman" w:cs="Times New Roman" w:eastAsia="Times New Roman" w:hint="default"/>
        </w:rPr>
        <w:t>,</w:t>
      </w:r>
      <w:r>
        <w:rPr/>
        <w:t>设计</w:t>
      </w:r>
      <w:r>
        <w:rPr>
          <w:rFonts w:ascii="Times New Roman" w:hAnsi="Times New Roman" w:cs="Times New Roman" w:eastAsia="Times New Roman" w:hint="default"/>
        </w:rPr>
        <w:t>,</w:t>
      </w:r>
      <w:r>
        <w:rPr/>
        <w:t>制作</w:t>
      </w:r>
      <w:r>
        <w:rPr>
          <w:rFonts w:ascii="Times New Roman" w:hAnsi="Times New Roman" w:cs="Times New Roman" w:eastAsia="Times New Roman" w:hint="default"/>
        </w:rPr>
        <w:t>,</w:t>
      </w:r>
      <w:r>
        <w:rPr/>
        <w:t>医</w:t>
      </w:r>
      <w:r>
        <w:rPr>
          <w:spacing w:val="-39"/>
        </w:rPr>
        <w:t> </w:t>
      </w:r>
      <w:r>
        <w:rPr>
          <w:spacing w:val="-3"/>
        </w:rPr>
        <w:t>疗器械的生产</w:t>
      </w:r>
      <w:r>
        <w:rPr>
          <w:rFonts w:ascii="Times New Roman" w:hAnsi="Times New Roman" w:cs="Times New Roman" w:eastAsia="Times New Roman" w:hint="default"/>
          <w:spacing w:val="-3"/>
        </w:rPr>
        <w:t>,</w:t>
      </w:r>
      <w:r>
        <w:rPr>
          <w:spacing w:val="-3"/>
        </w:rPr>
        <w:t>提供技术咨询</w:t>
      </w:r>
      <w:r>
        <w:rPr>
          <w:rFonts w:ascii="Times New Roman" w:hAnsi="Times New Roman" w:cs="Times New Roman" w:eastAsia="Times New Roman" w:hint="default"/>
          <w:spacing w:val="-3"/>
        </w:rPr>
        <w:t>,</w:t>
      </w:r>
      <w:r>
        <w:rPr>
          <w:spacing w:val="-3"/>
        </w:rPr>
        <w:t>技术服务</w:t>
      </w:r>
      <w:r>
        <w:rPr>
          <w:rFonts w:ascii="Times New Roman" w:hAnsi="Times New Roman" w:cs="Times New Roman" w:eastAsia="Times New Roman" w:hint="default"/>
          <w:spacing w:val="-3"/>
        </w:rPr>
        <w:t>,</w:t>
      </w:r>
      <w:r>
        <w:rPr>
          <w:spacing w:val="-3"/>
        </w:rPr>
        <w:t>网络技术的开发</w:t>
      </w:r>
      <w:r>
        <w:rPr>
          <w:rFonts w:ascii="Times New Roman" w:hAnsi="Times New Roman" w:cs="Times New Roman" w:eastAsia="Times New Roman" w:hint="default"/>
          <w:spacing w:val="-3"/>
        </w:rPr>
        <w:t>,</w:t>
      </w:r>
      <w:r>
        <w:rPr>
          <w:spacing w:val="-3"/>
        </w:rPr>
        <w:t>设计</w:t>
      </w:r>
      <w:r>
        <w:rPr>
          <w:rFonts w:ascii="Times New Roman" w:hAnsi="Times New Roman" w:cs="Times New Roman" w:eastAsia="Times New Roman" w:hint="default"/>
          <w:spacing w:val="-3"/>
        </w:rPr>
        <w:t>,</w:t>
      </w:r>
      <w:r>
        <w:rPr>
          <w:spacing w:val="-3"/>
        </w:rPr>
        <w:t>服务等。公司合计持股比例</w:t>
      </w:r>
      <w:r>
        <w:rPr>
          <w:rFonts w:ascii="Times New Roman" w:hAnsi="Times New Roman" w:cs="Times New Roman" w:eastAsia="Times New Roman" w:hint="default"/>
          <w:spacing w:val="-3"/>
        </w:rPr>
        <w:t>20%</w:t>
      </w:r>
      <w:r>
        <w:rPr>
          <w:spacing w:val="-3"/>
        </w:rPr>
        <w:t>，期末长期股</w:t>
      </w:r>
      <w:r>
        <w:rPr>
          <w:spacing w:val="-8"/>
        </w:rPr>
        <w:t> </w:t>
      </w:r>
      <w:r>
        <w:rPr>
          <w:spacing w:val="-8"/>
        </w:rPr>
      </w:r>
      <w:r>
        <w:rPr/>
        <w:t>权投资余额</w:t>
      </w:r>
      <w:r>
        <w:rPr>
          <w:rFonts w:ascii="Times New Roman" w:hAnsi="Times New Roman" w:cs="Times New Roman" w:eastAsia="Times New Roman" w:hint="default"/>
        </w:rPr>
        <w:t>42.31</w:t>
      </w:r>
      <w:r>
        <w:rPr/>
        <w:t>万元。截至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215.52</w:t>
      </w:r>
      <w:r>
        <w:rPr/>
        <w:t>万元，净资产</w:t>
      </w:r>
      <w:r>
        <w:rPr>
          <w:rFonts w:ascii="Times New Roman" w:hAnsi="Times New Roman" w:cs="Times New Roman" w:eastAsia="Times New Roman" w:hint="default"/>
        </w:rPr>
        <w:t>211.57</w:t>
      </w:r>
      <w:r>
        <w:rPr/>
        <w:t>万元，净利润</w:t>
      </w:r>
      <w:r>
        <w:rPr>
          <w:rFonts w:ascii="Times New Roman" w:hAnsi="Times New Roman" w:cs="Times New Roman" w:eastAsia="Times New Roman" w:hint="default"/>
        </w:rPr>
        <w:t>2.55</w:t>
      </w:r>
      <w:r>
        <w:rPr/>
        <w:t>万元，经</w:t>
      </w:r>
      <w:r>
        <w:rPr>
          <w:spacing w:val="-28"/>
        </w:rPr>
        <w:t> </w:t>
      </w:r>
      <w:r>
        <w:rPr>
          <w:spacing w:val="-28"/>
        </w:rPr>
      </w:r>
      <w:r>
        <w:rPr/>
        <w:t>营正常。</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7</w:t>
      </w:r>
      <w:r>
        <w:rPr/>
        <w:t>、公司控制的特殊目的主体情况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三、公司未来发展的展望</w:t>
      </w:r>
      <w:r>
        <w:rPr>
          <w:b w:val="0"/>
          <w:bCs w:val="0"/>
        </w:rPr>
      </w:r>
    </w:p>
    <w:p>
      <w:pPr>
        <w:spacing w:line="240" w:lineRule="auto" w:before="10"/>
        <w:rPr>
          <w:rFonts w:ascii="宋体" w:hAnsi="宋体" w:cs="宋体" w:eastAsia="宋体" w:hint="default"/>
          <w:b/>
          <w:bCs/>
          <w:sz w:val="30"/>
          <w:szCs w:val="30"/>
        </w:rPr>
      </w:pPr>
    </w:p>
    <w:p>
      <w:pPr>
        <w:pStyle w:val="Heading4"/>
        <w:spacing w:line="240" w:lineRule="auto"/>
        <w:ind w:right="0"/>
        <w:jc w:val="both"/>
        <w:rPr>
          <w:b w:val="0"/>
          <w:bCs w:val="0"/>
        </w:rPr>
      </w:pPr>
      <w:r>
        <w:rPr/>
        <w:t>（一）公司所处行业的发展前景</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75" w:right="0"/>
        <w:jc w:val="left"/>
      </w:pPr>
      <w:r>
        <w:rPr>
          <w:spacing w:val="-3"/>
        </w:rPr>
        <w:t>十八大召开以来，国家对智慧城市的建设越来越重视，</w:t>
      </w:r>
      <w:r>
        <w:rPr>
          <w:spacing w:val="14"/>
        </w:rPr>
        <w:t> </w:t>
      </w:r>
      <w:r>
        <w:rPr>
          <w:spacing w:val="-4"/>
        </w:rPr>
        <w:t>随着城镇化的推进，城市信息化、智慧化的高</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度发展，给</w:t>
      </w:r>
      <w:r>
        <w:rPr>
          <w:rFonts w:ascii="Times New Roman" w:hAnsi="Times New Roman" w:cs="Times New Roman" w:eastAsia="Times New Roman" w:hint="default"/>
        </w:rPr>
        <w:t>IT</w:t>
      </w:r>
      <w:r>
        <w:rPr/>
        <w:t>企业带来了巨大的市场空间。</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spacing w:line="408" w:lineRule="auto"/>
        <w:ind w:left="575" w:right="0" w:hanging="423"/>
        <w:jc w:val="left"/>
      </w:pPr>
      <w:r>
        <w:rPr>
          <w:rFonts w:ascii="宋体" w:hAnsi="宋体" w:cs="宋体" w:eastAsia="宋体" w:hint="default"/>
          <w:b/>
          <w:bCs/>
        </w:rPr>
        <w:t>（二）公司所处行业的市场竞争形势</w:t>
      </w:r>
      <w:r>
        <w:rPr>
          <w:rFonts w:ascii="宋体" w:hAnsi="宋体" w:cs="宋体" w:eastAsia="宋体" w:hint="default"/>
          <w:b/>
          <w:bCs/>
          <w:w w:val="100"/>
        </w:rPr>
        <w:t> </w:t>
      </w:r>
      <w:r>
        <w:rPr/>
        <w:t>智慧城市建设将给软件和服务相关的信息化行业带来巨大的机会，同时也带来新的竞争压力。</w:t>
      </w:r>
      <w:r>
        <w:rPr>
          <w:w w:val="100"/>
        </w:rPr>
        <w:t> </w:t>
      </w:r>
      <w:r>
        <w:rPr>
          <w:spacing w:val="-3"/>
        </w:rPr>
        <w:t>一方面，在智慧城市建设的推动下，主管部门拟推进特一级资质的设立，扶持龙头企业，给专业化公</w:t>
      </w:r>
    </w:p>
    <w:p>
      <w:pPr>
        <w:pStyle w:val="BodyText"/>
        <w:spacing w:line="408" w:lineRule="auto" w:before="46"/>
        <w:ind w:right="0"/>
        <w:jc w:val="left"/>
      </w:pPr>
      <w:r>
        <w:rPr>
          <w:spacing w:val="-2"/>
        </w:rPr>
        <w:t>司带来巨大压力。作为智慧城市专业价值体现的最佳实践者，万达信息将继续致力于各细分行业的深入研</w:t>
      </w:r>
      <w:r>
        <w:rPr>
          <w:spacing w:val="-43"/>
        </w:rPr>
        <w:t> </w:t>
      </w:r>
      <w:r>
        <w:rPr>
          <w:spacing w:val="-43"/>
        </w:rPr>
      </w:r>
      <w:r>
        <w:rPr/>
        <w:t>发，形成更具竞争力的行业产品解决方案，为各级政府、为龙头企业提供最优质的专业服务。</w:t>
      </w:r>
    </w:p>
    <w:p>
      <w:pPr>
        <w:pStyle w:val="BodyText"/>
        <w:spacing w:line="410" w:lineRule="auto" w:before="46"/>
        <w:ind w:right="0" w:firstLine="360"/>
        <w:jc w:val="left"/>
      </w:pPr>
      <w:r>
        <w:rPr>
          <w:spacing w:val="-1"/>
        </w:rPr>
        <w:t>另一方面，公司将进一步和产业链上下游企业合作，发挥自身软件行业服务优势，为多方提供服务平</w:t>
      </w:r>
      <w:r>
        <w:rPr>
          <w:w w:val="100"/>
        </w:rPr>
        <w:t> </w:t>
      </w:r>
      <w:r>
        <w:rPr/>
        <w:t>台，形成可持续的运营服务能力。</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（三）公司既定的发展战略以及</w:t>
      </w:r>
      <w:r>
        <w:rPr>
          <w:rFonts w:ascii="Times New Roman" w:hAnsi="Times New Roman" w:cs="Times New Roman" w:eastAsia="Times New Roman" w:hint="default"/>
        </w:rPr>
        <w:t>2013</w:t>
      </w:r>
      <w:r>
        <w:rPr/>
        <w:t>年经营计划</w:t>
      </w:r>
      <w:r>
        <w:rPr>
          <w:b w:val="0"/>
          <w:bCs w:val="0"/>
        </w:rPr>
      </w:r>
    </w:p>
    <w:p>
      <w:pPr>
        <w:pStyle w:val="BodyText"/>
        <w:spacing w:line="386" w:lineRule="auto" w:before="177"/>
        <w:ind w:left="587" w:right="0" w:hanging="435"/>
        <w:jc w:val="left"/>
      </w:pPr>
      <w:r>
        <w:rPr>
          <w:rFonts w:ascii="Times New Roman" w:hAnsi="Times New Roman" w:cs="Times New Roman" w:eastAsia="Times New Roman" w:hint="default"/>
        </w:rPr>
        <w:t>1</w:t>
      </w:r>
      <w:r>
        <w:rPr/>
        <w:t>、公司既定的发展战略</w:t>
      </w:r>
      <w:r>
        <w:rPr>
          <w:w w:val="100"/>
        </w:rPr>
        <w:t> </w:t>
      </w:r>
      <w:r>
        <w:rPr>
          <w:spacing w:val="-3"/>
        </w:rPr>
        <w:t>公司仍将继续以公共事务为核心，致力于推进城市信息化进程，打造智慧城市。公司将保持原有的整</w:t>
      </w:r>
    </w:p>
    <w:p>
      <w:pPr>
        <w:pStyle w:val="BodyText"/>
        <w:spacing w:line="408" w:lineRule="auto" w:before="65"/>
        <w:ind w:left="587" w:right="5048" w:hanging="435"/>
        <w:jc w:val="left"/>
      </w:pPr>
      <w:r>
        <w:rPr/>
        <w:t>体战略目标，持续推进五大战略：</w:t>
      </w:r>
      <w:r>
        <w:rPr>
          <w:w w:val="100"/>
        </w:rPr>
        <w:t> </w:t>
      </w:r>
      <w:r>
        <w:rPr>
          <w:spacing w:val="-2"/>
        </w:rPr>
        <w:t>一、要将行业做深做透，市场地域做大做广；</w:t>
      </w:r>
      <w:r>
        <w:rPr>
          <w:w w:val="100"/>
        </w:rPr>
        <w:t> </w:t>
      </w:r>
      <w:r>
        <w:rPr/>
        <w:t>二、要创新开拓新领域；</w:t>
      </w:r>
      <w:r>
        <w:rPr>
          <w:w w:val="100"/>
        </w:rPr>
        <w:t> </w:t>
      </w:r>
      <w:r>
        <w:rPr/>
        <w:t>三、要进行业务模式创新；</w:t>
      </w:r>
    </w:p>
    <w:p>
      <w:pPr>
        <w:pStyle w:val="BodyText"/>
        <w:spacing w:line="408" w:lineRule="auto" w:before="46"/>
        <w:ind w:left="587" w:right="0"/>
        <w:jc w:val="left"/>
      </w:pPr>
      <w:r>
        <w:rPr>
          <w:spacing w:val="-2"/>
        </w:rPr>
        <w:t>四、要通过收购兼并，快速扩大规模，提高公司的综合竞争力；</w:t>
      </w:r>
      <w:r>
        <w:rPr>
          <w:spacing w:val="-55"/>
        </w:rPr>
        <w:t> </w:t>
      </w:r>
      <w:r>
        <w:rPr>
          <w:spacing w:val="-55"/>
        </w:rPr>
      </w:r>
      <w:r>
        <w:rPr/>
        <w:t>五、要积极拓展国际业务，逐步实现走向世界的目标。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年经营计划</w:t>
      </w:r>
    </w:p>
    <w:p>
      <w:pPr>
        <w:pStyle w:val="BodyText"/>
        <w:spacing w:line="386" w:lineRule="auto" w:before="177"/>
        <w:ind w:right="0" w:firstLine="336"/>
        <w:jc w:val="left"/>
      </w:pPr>
      <w:r>
        <w:rPr>
          <w:rFonts w:ascii="Times New Roman" w:hAnsi="Times New Roman" w:cs="Times New Roman" w:eastAsia="Times New Roman" w:hint="default"/>
          <w:spacing w:val="-2"/>
        </w:rPr>
        <w:t>2013</w:t>
      </w:r>
      <w:r>
        <w:rPr>
          <w:spacing w:val="-2"/>
        </w:rPr>
        <w:t>年，公司将持续发挥核心竞争优势，从区域扩展、人才培养和兼并收购等各方面加强发展力度</w:t>
      </w:r>
      <w:r>
        <w:rPr>
          <w:rFonts w:ascii="Times New Roman" w:hAnsi="Times New Roman" w:cs="Times New Roman" w:eastAsia="Times New Roman" w:hint="default"/>
          <w:spacing w:val="-2"/>
        </w:rPr>
        <w:t>,</w:t>
      </w:r>
      <w:r>
        <w:rPr>
          <w:spacing w:val="-2"/>
        </w:rPr>
        <w:t>进</w:t>
      </w:r>
      <w:r>
        <w:rPr>
          <w:w w:val="100"/>
        </w:rPr>
        <w:t> </w:t>
      </w:r>
      <w:r>
        <w:rPr/>
        <w:t>一步提升公司整体市场竞争力。</w:t>
      </w:r>
    </w:p>
    <w:p>
      <w:pPr>
        <w:pStyle w:val="BodyText"/>
        <w:spacing w:line="386" w:lineRule="auto" w:before="65"/>
        <w:ind w:right="0" w:firstLine="252"/>
        <w:jc w:val="left"/>
      </w:pPr>
      <w:r>
        <w:rPr>
          <w:spacing w:val="-1"/>
        </w:rPr>
        <w:t>（</w:t>
      </w:r>
      <w:r>
        <w:rPr>
          <w:rFonts w:ascii="Times New Roman" w:hAnsi="Times New Roman" w:cs="Times New Roman" w:eastAsia="Times New Roman" w:hint="default"/>
          <w:spacing w:val="-1"/>
        </w:rPr>
        <w:t>1</w:t>
      </w:r>
      <w:r>
        <w:rPr>
          <w:spacing w:val="-1"/>
        </w:rPr>
        <w:t>）加强全国业务拓展力度，推广智慧城市及系列解决方案、增加全国各地区的投入，探索多种方式</w:t>
      </w:r>
      <w:r>
        <w:rPr>
          <w:w w:val="100"/>
        </w:rPr>
        <w:t> </w:t>
      </w:r>
      <w:r>
        <w:rPr/>
        <w:t>相结合的营销策略。</w:t>
      </w:r>
    </w:p>
    <w:p>
      <w:pPr>
        <w:pStyle w:val="BodyText"/>
        <w:spacing w:line="386" w:lineRule="auto" w:before="65"/>
        <w:ind w:right="0" w:firstLine="252"/>
        <w:jc w:val="left"/>
      </w:pPr>
      <w:r>
        <w:rPr>
          <w:spacing w:val="-1"/>
        </w:rPr>
        <w:t>（</w:t>
      </w:r>
      <w:r>
        <w:rPr>
          <w:rFonts w:ascii="Times New Roman" w:hAnsi="Times New Roman" w:cs="Times New Roman" w:eastAsia="Times New Roman" w:hint="default"/>
          <w:spacing w:val="-1"/>
        </w:rPr>
        <w:t>2</w:t>
      </w:r>
      <w:r>
        <w:rPr>
          <w:spacing w:val="-1"/>
        </w:rPr>
        <w:t>）加强技术人才培养机制，强化人才队伍的建设，完善员工激励机制，吸引优秀人才加盟，有力增</w:t>
      </w:r>
      <w:r>
        <w:rPr>
          <w:w w:val="100"/>
        </w:rPr>
        <w:t> </w:t>
      </w:r>
      <w:r>
        <w:rPr/>
        <w:t>强企业的核心竞争力。</w:t>
      </w:r>
    </w:p>
    <w:p>
      <w:pPr>
        <w:pStyle w:val="BodyText"/>
        <w:spacing w:line="386" w:lineRule="auto" w:before="65"/>
        <w:ind w:right="0" w:firstLine="252"/>
        <w:jc w:val="left"/>
      </w:pPr>
      <w:r>
        <w:rPr>
          <w:spacing w:val="-1"/>
        </w:rPr>
        <w:t>（</w:t>
      </w:r>
      <w:r>
        <w:rPr>
          <w:rFonts w:ascii="Times New Roman" w:hAnsi="Times New Roman" w:cs="Times New Roman" w:eastAsia="Times New Roman" w:hint="default"/>
          <w:spacing w:val="-1"/>
        </w:rPr>
        <w:t>3</w:t>
      </w:r>
      <w:r>
        <w:rPr>
          <w:spacing w:val="-1"/>
        </w:rPr>
        <w:t>）加强对已合作公司的支持与管理，不断吸引新的合作公司，通过兼并收购，达到公司持续增长的</w:t>
      </w:r>
      <w:r>
        <w:rPr>
          <w:w w:val="100"/>
        </w:rPr>
        <w:t> </w:t>
      </w:r>
      <w:r>
        <w:rPr/>
        <w:t>目标。</w:t>
      </w:r>
    </w:p>
    <w:p>
      <w:pPr>
        <w:spacing w:after="0" w:line="386"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00"/>
        <w:jc w:val="left"/>
        <w:rPr>
          <w:b w:val="0"/>
          <w:bCs w:val="0"/>
        </w:rPr>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100"/>
        <w:jc w:val="left"/>
        <w:rPr>
          <w:b w:val="0"/>
          <w:bCs w:val="0"/>
        </w:rPr>
      </w:pPr>
      <w:r>
        <w:rPr/>
        <w:t>五、董事会关于报告期会计政策、会计估计变更或重要前期差错更正的说明</w:t>
      </w:r>
      <w:r>
        <w:rPr>
          <w:b w:val="0"/>
          <w:bCs w:val="0"/>
        </w:rPr>
      </w:r>
    </w:p>
    <w:p>
      <w:pPr>
        <w:spacing w:line="240" w:lineRule="auto" w:before="4"/>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100"/>
        <w:jc w:val="left"/>
        <w:rPr>
          <w:b w:val="0"/>
          <w:bCs w:val="0"/>
        </w:rPr>
      </w:pPr>
      <w:r>
        <w:rPr/>
        <w:t>六、公司利润分配及分红派息情况</w:t>
      </w:r>
      <w:r>
        <w:rPr>
          <w:b w:val="0"/>
          <w:bCs w:val="0"/>
        </w:rPr>
      </w:r>
    </w:p>
    <w:p>
      <w:pPr>
        <w:spacing w:line="240" w:lineRule="auto" w:before="6"/>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BodyText"/>
        <w:spacing w:line="386" w:lineRule="auto"/>
        <w:ind w:right="100" w:firstLine="336"/>
        <w:jc w:val="left"/>
      </w:pPr>
      <w:r>
        <w:rPr/>
        <w:t>根据中国证监会《关于进一步落实上市公司现金分红有关事项的通知》（证监发【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37</w:t>
      </w:r>
      <w:r>
        <w:rPr/>
        <w:t>号）及上</w:t>
      </w:r>
      <w:r>
        <w:rPr>
          <w:w w:val="100"/>
        </w:rPr>
        <w:t> </w:t>
      </w:r>
      <w:r>
        <w:rPr>
          <w:spacing w:val="-2"/>
        </w:rPr>
        <w:t>海证监会《关于进一步做好上海辖区上市公司现金分红有关工作的通知》（沪证监公司字【</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145</w:t>
      </w:r>
      <w:r>
        <w:rPr>
          <w:spacing w:val="-2"/>
        </w:rPr>
        <w:t>号）</w:t>
      </w:r>
      <w:r>
        <w:rPr>
          <w:spacing w:val="-34"/>
        </w:rPr>
        <w:t> </w:t>
      </w:r>
      <w:r>
        <w:rPr/>
        <w:t>的要求，</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日，公司董事会对公司《章程》中关于利润分配的相关条款进行了修订，并经公司</w:t>
      </w:r>
      <w:r>
        <w:rPr>
          <w:spacing w:val="-29"/>
        </w:rPr>
        <w:t> </w:t>
      </w:r>
      <w:r>
        <w:rPr>
          <w:spacing w:val="-29"/>
        </w:rPr>
      </w:r>
      <w:r>
        <w:rPr/>
        <w:t>股东大会审议通过。</w:t>
      </w:r>
    </w:p>
    <w:p>
      <w:pPr>
        <w:pStyle w:val="BodyText"/>
        <w:spacing w:line="240" w:lineRule="auto" w:before="65"/>
        <w:ind w:left="489" w:right="100"/>
        <w:jc w:val="left"/>
      </w:pPr>
      <w:r>
        <w:rPr/>
        <w:t>具体修订情况如下：</w:t>
      </w:r>
    </w:p>
    <w:p>
      <w:pPr>
        <w:spacing w:line="240" w:lineRule="auto" w:before="10"/>
        <w:rPr>
          <w:rFonts w:ascii="宋体" w:hAnsi="宋体" w:cs="宋体" w:eastAsia="宋体" w:hint="default"/>
          <w:sz w:val="14"/>
          <w:szCs w:val="14"/>
        </w:rPr>
      </w:pPr>
    </w:p>
    <w:p>
      <w:pPr>
        <w:pStyle w:val="BodyText"/>
        <w:spacing w:line="240" w:lineRule="auto"/>
        <w:ind w:left="489" w:right="100"/>
        <w:jc w:val="left"/>
      </w:pPr>
      <w:r>
        <w:rPr/>
        <w:t>一、修订后的第</w:t>
      </w:r>
      <w:r>
        <w:rPr>
          <w:rFonts w:ascii="Times New Roman" w:hAnsi="Times New Roman" w:cs="Times New Roman" w:eastAsia="Times New Roman" w:hint="default"/>
        </w:rPr>
        <w:t>176</w:t>
      </w:r>
      <w:r>
        <w:rPr/>
        <w:t>条</w:t>
      </w:r>
      <w:r>
        <w:rPr>
          <w:spacing w:val="62"/>
        </w:rPr>
        <w:t> </w:t>
      </w:r>
      <w:r>
        <w:rPr/>
        <w:t>公司的利润分配决策程序和机制为：</w:t>
      </w:r>
    </w:p>
    <w:p>
      <w:pPr>
        <w:pStyle w:val="BodyText"/>
        <w:spacing w:line="386" w:lineRule="auto" w:before="177"/>
        <w:ind w:right="100" w:firstLine="25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spacing w:val="-4"/>
        </w:rPr>
        <w:t>公司管理层、董事会应结合公司盈利情况、资金需求和股东回报规划提出合理的分红建议和制订各</w:t>
      </w:r>
      <w:r>
        <w:rPr>
          <w:w w:val="100"/>
        </w:rPr>
        <w:t> </w:t>
      </w:r>
      <w:r>
        <w:rPr/>
        <w:t>期利润分配方案；</w:t>
      </w:r>
    </w:p>
    <w:p>
      <w:pPr>
        <w:pStyle w:val="BodyText"/>
        <w:spacing w:line="386" w:lineRule="auto" w:before="65"/>
        <w:ind w:right="100" w:firstLine="252"/>
        <w:jc w:val="left"/>
      </w:pPr>
      <w:r>
        <w:rPr>
          <w:rFonts w:ascii="Times New Roman" w:hAnsi="Times New Roman" w:cs="Times New Roman" w:eastAsia="Times New Roman" w:hint="default"/>
          <w:spacing w:val="-2"/>
        </w:rPr>
        <w:t>(</w:t>
      </w:r>
      <w:r>
        <w:rPr>
          <w:spacing w:val="-2"/>
        </w:rPr>
        <w:t>二</w:t>
      </w:r>
      <w:r>
        <w:rPr>
          <w:rFonts w:ascii="Times New Roman" w:hAnsi="Times New Roman" w:cs="Times New Roman" w:eastAsia="Times New Roman" w:hint="default"/>
          <w:spacing w:val="-2"/>
        </w:rPr>
        <w:t>)</w:t>
      </w:r>
      <w:r>
        <w:rPr>
          <w:spacing w:val="-2"/>
        </w:rPr>
        <w:t>独立董事应对利润分配方案进行审核并发表独立意见，监事会应对利润分配方案进行审核并提出审</w:t>
      </w:r>
      <w:r>
        <w:rPr>
          <w:w w:val="100"/>
        </w:rPr>
        <w:t> </w:t>
      </w:r>
      <w:r>
        <w:rPr/>
        <w:t>核意见；</w:t>
      </w:r>
    </w:p>
    <w:p>
      <w:pPr>
        <w:pStyle w:val="BodyText"/>
        <w:spacing w:line="386" w:lineRule="auto" w:before="65"/>
        <w:ind w:right="100" w:firstLine="252"/>
        <w:jc w:val="left"/>
      </w:pPr>
      <w:r>
        <w:rPr>
          <w:rFonts w:ascii="Times New Roman" w:hAnsi="Times New Roman" w:cs="Times New Roman" w:eastAsia="Times New Roman" w:hint="default"/>
          <w:spacing w:val="-2"/>
        </w:rPr>
        <w:t>(</w:t>
      </w:r>
      <w:r>
        <w:rPr>
          <w:spacing w:val="-2"/>
        </w:rPr>
        <w:t>三</w:t>
      </w:r>
      <w:r>
        <w:rPr>
          <w:rFonts w:ascii="Times New Roman" w:hAnsi="Times New Roman" w:cs="Times New Roman" w:eastAsia="Times New Roman" w:hint="default"/>
          <w:spacing w:val="-2"/>
        </w:rPr>
        <w:t>)</w:t>
      </w:r>
      <w:r>
        <w:rPr>
          <w:spacing w:val="-2"/>
        </w:rPr>
        <w:t>董事会审议通过利润分配方案后报股东大会审议批准，公告董事会决议时应同时披露独立董事的独</w:t>
      </w:r>
      <w:r>
        <w:rPr>
          <w:w w:val="100"/>
        </w:rPr>
        <w:t> </w:t>
      </w:r>
      <w:r>
        <w:rPr/>
        <w:t>立意见和监事会的审核意见；</w:t>
      </w:r>
    </w:p>
    <w:p>
      <w:pPr>
        <w:pStyle w:val="BodyText"/>
        <w:spacing w:line="398" w:lineRule="auto" w:before="65"/>
        <w:ind w:right="185" w:firstLine="252"/>
        <w:jc w:val="both"/>
      </w:pPr>
      <w:r>
        <w:rPr>
          <w:rFonts w:ascii="Times New Roman" w:hAnsi="Times New Roman" w:cs="Times New Roman" w:eastAsia="Times New Roman" w:hint="default"/>
          <w:spacing w:val="-2"/>
        </w:rPr>
        <w:t>(</w:t>
      </w:r>
      <w:r>
        <w:rPr>
          <w:spacing w:val="-2"/>
        </w:rPr>
        <w:t>四</w:t>
      </w:r>
      <w:r>
        <w:rPr>
          <w:rFonts w:ascii="Times New Roman" w:hAnsi="Times New Roman" w:cs="Times New Roman" w:eastAsia="Times New Roman" w:hint="default"/>
          <w:spacing w:val="-2"/>
        </w:rPr>
        <w:t>)</w:t>
      </w:r>
      <w:r>
        <w:rPr>
          <w:spacing w:val="-2"/>
        </w:rPr>
        <w:t>股东大会审议利润分配方案时，公司应当提供网络投票等方式以方便社会公众股东参与股东大会表</w:t>
      </w:r>
      <w:r>
        <w:rPr>
          <w:w w:val="100"/>
        </w:rPr>
        <w:t> </w:t>
      </w:r>
      <w:r>
        <w:rPr>
          <w:spacing w:val="-2"/>
        </w:rPr>
        <w:t>决；股东大会审议现金分红具体方案时，应通过多种渠道主动与股东、特别是中小股东进行沟通和交流，</w:t>
      </w:r>
      <w:r>
        <w:rPr>
          <w:spacing w:val="-21"/>
        </w:rPr>
        <w:t> </w:t>
      </w:r>
      <w:r>
        <w:rPr>
          <w:spacing w:val="-21"/>
        </w:rPr>
      </w:r>
      <w:r>
        <w:rPr/>
        <w:t>保障信息沟通渠道畅通，充分听取中小股东的意见和诉求，及时答复中小股东关心的问题；</w:t>
      </w:r>
    </w:p>
    <w:p>
      <w:pPr>
        <w:pStyle w:val="BodyText"/>
        <w:spacing w:line="386" w:lineRule="auto" w:before="55"/>
        <w:ind w:right="100" w:firstLine="252"/>
        <w:jc w:val="left"/>
      </w:pPr>
      <w:r>
        <w:rPr>
          <w:rFonts w:ascii="Times New Roman" w:hAnsi="Times New Roman" w:cs="Times New Roman" w:eastAsia="Times New Roman" w:hint="default"/>
          <w:spacing w:val="-4"/>
        </w:rPr>
        <w:t>(</w:t>
      </w:r>
      <w:r>
        <w:rPr>
          <w:spacing w:val="-4"/>
        </w:rPr>
        <w:t>五</w:t>
      </w:r>
      <w:r>
        <w:rPr>
          <w:rFonts w:ascii="Times New Roman" w:hAnsi="Times New Roman" w:cs="Times New Roman" w:eastAsia="Times New Roman" w:hint="default"/>
          <w:spacing w:val="-4"/>
        </w:rPr>
        <w:t>)</w:t>
      </w:r>
      <w:r>
        <w:rPr>
          <w:spacing w:val="-4"/>
        </w:rPr>
        <w:t>股东大会对利润分配方案作出决议后，董事会须在股东大会召开后</w:t>
      </w:r>
      <w:r>
        <w:rPr>
          <w:rFonts w:ascii="Times New Roman" w:hAnsi="Times New Roman" w:cs="Times New Roman" w:eastAsia="Times New Roman" w:hint="default"/>
          <w:spacing w:val="-4"/>
        </w:rPr>
        <w:t>2</w:t>
      </w:r>
      <w:r>
        <w:rPr>
          <w:spacing w:val="-4"/>
        </w:rPr>
        <w:t>个月内完成股利（或股份）的派</w:t>
      </w:r>
      <w:r>
        <w:rPr>
          <w:w w:val="100"/>
        </w:rPr>
        <w:t> </w:t>
      </w:r>
      <w:r>
        <w:rPr/>
        <w:t>发事项；</w:t>
      </w:r>
    </w:p>
    <w:p>
      <w:pPr>
        <w:pStyle w:val="BodyText"/>
        <w:spacing w:line="240" w:lineRule="auto" w:before="65"/>
        <w:ind w:left="405" w:right="10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监事会应对董事会的利润分配方案执行情况及决策程序进行监督；</w:t>
      </w:r>
    </w:p>
    <w:p>
      <w:pPr>
        <w:pStyle w:val="BodyText"/>
        <w:spacing w:line="240" w:lineRule="auto" w:before="177"/>
        <w:ind w:left="405" w:right="100"/>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公司调整利润分配政策应当满足以下条件：</w:t>
      </w:r>
    </w:p>
    <w:p>
      <w:pPr>
        <w:pStyle w:val="BodyText"/>
        <w:spacing w:line="386" w:lineRule="auto" w:before="177"/>
        <w:ind w:right="100" w:firstLine="336"/>
        <w:jc w:val="left"/>
      </w:pPr>
      <w:r>
        <w:rPr>
          <w:rFonts w:ascii="Times New Roman" w:hAnsi="Times New Roman" w:cs="Times New Roman" w:eastAsia="Times New Roman" w:hint="default"/>
          <w:spacing w:val="-3"/>
        </w:rPr>
        <w:t>1</w:t>
      </w:r>
      <w:r>
        <w:rPr>
          <w:spacing w:val="-3"/>
        </w:rPr>
        <w:t>、公司的生产经营情况、外部经营环境、投资规划或长期发展需要发生变化，确实需要调整现行利润</w:t>
      </w:r>
      <w:r>
        <w:rPr>
          <w:w w:val="100"/>
        </w:rPr>
        <w:t> </w:t>
      </w:r>
      <w:r>
        <w:rPr/>
        <w:t>分配政策的；</w:t>
      </w:r>
    </w:p>
    <w:p>
      <w:pPr>
        <w:pStyle w:val="BodyText"/>
        <w:spacing w:line="240" w:lineRule="auto" w:before="65"/>
        <w:ind w:left="489" w:right="100"/>
        <w:jc w:val="left"/>
      </w:pPr>
      <w:r>
        <w:rPr>
          <w:rFonts w:ascii="Times New Roman" w:hAnsi="Times New Roman" w:cs="Times New Roman" w:eastAsia="Times New Roman" w:hint="default"/>
        </w:rPr>
        <w:t>2</w:t>
      </w:r>
      <w:r>
        <w:rPr/>
        <w:t>、调整后的利润分配政策不违反中国证监会和深圳证券交易所的规定；</w:t>
      </w:r>
    </w:p>
    <w:p>
      <w:pPr>
        <w:spacing w:after="0" w:line="24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400" w:lineRule="auto" w:before="175"/>
        <w:ind w:right="0" w:firstLine="336"/>
        <w:jc w:val="left"/>
      </w:pPr>
      <w:r>
        <w:rPr>
          <w:rFonts w:ascii="Times New Roman" w:hAnsi="Times New Roman" w:cs="Times New Roman" w:eastAsia="Times New Roman" w:hint="default"/>
          <w:spacing w:val="-3"/>
        </w:rPr>
        <w:t>3</w:t>
      </w:r>
      <w:r>
        <w:rPr>
          <w:spacing w:val="-3"/>
        </w:rPr>
        <w:t>、法律、法规、中国证监会或深圳证券交易所发布的规范性文件中规定确有必要对本章程规定的利润</w:t>
      </w:r>
      <w:r>
        <w:rPr>
          <w:w w:val="100"/>
        </w:rPr>
        <w:t> </w:t>
      </w:r>
      <w:r>
        <w:rPr/>
        <w:t>分配政策进行调整或者变更的其他情形。</w:t>
      </w:r>
      <w:r>
        <w:rPr>
          <w:w w:val="100"/>
        </w:rPr>
        <w:t> </w:t>
      </w:r>
      <w:r>
        <w:rPr>
          <w:spacing w:val="-2"/>
        </w:rPr>
        <w:t>有关调整利润分配政策的议案，须由董事会进行认真研究和论证并审议，由独立董事对此发表独立意见，</w:t>
      </w:r>
      <w:r>
        <w:rPr>
          <w:spacing w:val="-21"/>
        </w:rPr>
        <w:t> </w:t>
      </w:r>
      <w:r>
        <w:rPr>
          <w:spacing w:val="-21"/>
        </w:rPr>
      </w:r>
      <w:r>
        <w:rPr/>
        <w:t>提交股东大会以特别决议的形式审议通过。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489" w:right="0"/>
        <w:jc w:val="left"/>
      </w:pPr>
      <w:r>
        <w:rPr/>
        <w:t>二、修订后的第</w:t>
      </w:r>
      <w:r>
        <w:rPr>
          <w:rFonts w:ascii="Times New Roman" w:hAnsi="Times New Roman" w:cs="Times New Roman" w:eastAsia="Times New Roman" w:hint="default"/>
        </w:rPr>
        <w:t>177</w:t>
      </w:r>
      <w:r>
        <w:rPr/>
        <w:t>条</w:t>
      </w:r>
      <w:r>
        <w:rPr>
          <w:spacing w:val="61"/>
        </w:rPr>
        <w:t> </w:t>
      </w:r>
      <w:r>
        <w:rPr/>
        <w:t>公司利润分配政策为：</w:t>
      </w:r>
    </w:p>
    <w:p>
      <w:pPr>
        <w:pStyle w:val="BodyText"/>
        <w:spacing w:line="386" w:lineRule="auto" w:before="177"/>
        <w:ind w:right="0" w:firstLine="252"/>
        <w:jc w:val="left"/>
      </w:pPr>
      <w:r>
        <w:rPr>
          <w:rFonts w:ascii="Times New Roman" w:hAnsi="Times New Roman" w:cs="Times New Roman" w:eastAsia="Times New Roman" w:hint="default"/>
          <w:spacing w:val="-2"/>
        </w:rPr>
        <w:t>(</w:t>
      </w:r>
      <w:r>
        <w:rPr>
          <w:spacing w:val="-2"/>
        </w:rPr>
        <w:t>一</w:t>
      </w:r>
      <w:r>
        <w:rPr>
          <w:rFonts w:ascii="Times New Roman" w:hAnsi="Times New Roman" w:cs="Times New Roman" w:eastAsia="Times New Roman" w:hint="default"/>
          <w:spacing w:val="-2"/>
        </w:rPr>
        <w:t>)</w:t>
      </w:r>
      <w:r>
        <w:rPr>
          <w:spacing w:val="-2"/>
        </w:rPr>
        <w:t>利润分配原则：公司利润分配应重视对投资者的合理投资回报，利润分配政策应保持连续性和稳定</w:t>
      </w:r>
      <w:r>
        <w:rPr>
          <w:w w:val="100"/>
        </w:rPr>
        <w:t> </w:t>
      </w:r>
      <w:r>
        <w:rPr/>
        <w:t>性，并兼顾公司的可持续发展；</w:t>
      </w:r>
    </w:p>
    <w:p>
      <w:pPr>
        <w:pStyle w:val="BodyText"/>
        <w:spacing w:line="386" w:lineRule="auto" w:before="65"/>
        <w:ind w:right="0" w:firstLine="252"/>
        <w:jc w:val="left"/>
      </w:pPr>
      <w:r>
        <w:rPr>
          <w:rFonts w:ascii="Times New Roman" w:hAnsi="Times New Roman" w:cs="Times New Roman" w:eastAsia="Times New Roman" w:hint="default"/>
          <w:spacing w:val="-2"/>
        </w:rPr>
        <w:t>(</w:t>
      </w:r>
      <w:r>
        <w:rPr>
          <w:spacing w:val="-2"/>
        </w:rPr>
        <w:t>二</w:t>
      </w:r>
      <w:r>
        <w:rPr>
          <w:rFonts w:ascii="Times New Roman" w:hAnsi="Times New Roman" w:cs="Times New Roman" w:eastAsia="Times New Roman" w:hint="default"/>
          <w:spacing w:val="-2"/>
        </w:rPr>
        <w:t>)</w:t>
      </w:r>
      <w:r>
        <w:rPr>
          <w:spacing w:val="-2"/>
        </w:rPr>
        <w:t>利润分配条件：公司上一会计年度盈利，累计可分配利润为正数，且不存在影响利润分配的重大投</w:t>
      </w:r>
      <w:r>
        <w:rPr>
          <w:w w:val="100"/>
        </w:rPr>
        <w:t> </w:t>
      </w:r>
      <w:r>
        <w:rPr/>
        <w:t>资计划或现金支出事项；</w:t>
      </w:r>
    </w:p>
    <w:p>
      <w:pPr>
        <w:pStyle w:val="BodyText"/>
        <w:spacing w:line="386" w:lineRule="auto" w:before="65"/>
        <w:ind w:right="0" w:firstLine="252"/>
        <w:jc w:val="left"/>
      </w:pPr>
      <w:r>
        <w:rPr>
          <w:rFonts w:ascii="Times New Roman" w:hAnsi="Times New Roman" w:cs="Times New Roman" w:eastAsia="Times New Roman" w:hint="default"/>
          <w:spacing w:val="-2"/>
        </w:rPr>
        <w:t>(</w:t>
      </w:r>
      <w:r>
        <w:rPr>
          <w:spacing w:val="-2"/>
        </w:rPr>
        <w:t>三</w:t>
      </w:r>
      <w:r>
        <w:rPr>
          <w:rFonts w:ascii="Times New Roman" w:hAnsi="Times New Roman" w:cs="Times New Roman" w:eastAsia="Times New Roman" w:hint="default"/>
          <w:spacing w:val="-2"/>
        </w:rPr>
        <w:t>)</w:t>
      </w:r>
      <w:r>
        <w:rPr>
          <w:spacing w:val="-2"/>
        </w:rPr>
        <w:t>利润分配形式：公司可以采取现金、股票或者现金与股票相结合的方式分配股利，并积极推行以现</w:t>
      </w:r>
      <w:r>
        <w:rPr>
          <w:w w:val="100"/>
        </w:rPr>
        <w:t> </w:t>
      </w:r>
      <w:r>
        <w:rPr/>
        <w:t>金方式分配股利；</w:t>
      </w:r>
    </w:p>
    <w:p>
      <w:pPr>
        <w:pStyle w:val="BodyText"/>
        <w:spacing w:line="386" w:lineRule="auto" w:before="65"/>
        <w:ind w:right="0" w:firstLine="252"/>
        <w:jc w:val="left"/>
      </w:pPr>
      <w:r>
        <w:rPr>
          <w:rFonts w:ascii="Times New Roman" w:hAnsi="Times New Roman" w:cs="Times New Roman" w:eastAsia="Times New Roman" w:hint="default"/>
          <w:spacing w:val="-2"/>
        </w:rPr>
        <w:t>(</w:t>
      </w:r>
      <w:r>
        <w:rPr>
          <w:spacing w:val="-2"/>
        </w:rPr>
        <w:t>四</w:t>
      </w:r>
      <w:r>
        <w:rPr>
          <w:rFonts w:ascii="Times New Roman" w:hAnsi="Times New Roman" w:cs="Times New Roman" w:eastAsia="Times New Roman" w:hint="default"/>
          <w:spacing w:val="-2"/>
        </w:rPr>
        <w:t>)</w:t>
      </w:r>
      <w:r>
        <w:rPr>
          <w:spacing w:val="-2"/>
        </w:rPr>
        <w:t>利润分配期间：公司原则上按年进行利润分配；在有条件的情况下，公司可以进行中期利润分配和</w:t>
      </w:r>
      <w:r>
        <w:rPr>
          <w:w w:val="100"/>
        </w:rPr>
        <w:t> </w:t>
      </w:r>
      <w:r>
        <w:rPr/>
        <w:t>特别利润分配；</w:t>
      </w:r>
    </w:p>
    <w:p>
      <w:pPr>
        <w:pStyle w:val="BodyText"/>
        <w:spacing w:line="386" w:lineRule="auto" w:before="65"/>
        <w:ind w:right="0" w:firstLine="252"/>
        <w:jc w:val="left"/>
      </w:pPr>
      <w:r>
        <w:rPr>
          <w:rFonts w:ascii="Times New Roman" w:hAnsi="Times New Roman" w:cs="Times New Roman" w:eastAsia="Times New Roman" w:hint="default"/>
          <w:spacing w:val="-2"/>
        </w:rPr>
        <w:t>(</w:t>
      </w:r>
      <w:r>
        <w:rPr>
          <w:spacing w:val="-2"/>
        </w:rPr>
        <w:t>五</w:t>
      </w:r>
      <w:r>
        <w:rPr>
          <w:rFonts w:ascii="Times New Roman" w:hAnsi="Times New Roman" w:cs="Times New Roman" w:eastAsia="Times New Roman" w:hint="default"/>
          <w:spacing w:val="-2"/>
        </w:rPr>
        <w:t>)</w:t>
      </w:r>
      <w:r>
        <w:rPr>
          <w:spacing w:val="-2"/>
        </w:rPr>
        <w:t>现金分红条件：除非不符合本条第</w:t>
      </w:r>
      <w:r>
        <w:rPr>
          <w:rFonts w:ascii="Times New Roman" w:hAnsi="Times New Roman" w:cs="Times New Roman" w:eastAsia="Times New Roman" w:hint="default"/>
          <w:spacing w:val="-2"/>
        </w:rPr>
        <w:t>(</w:t>
      </w:r>
      <w:r>
        <w:rPr>
          <w:spacing w:val="-2"/>
        </w:rPr>
        <w:t>二</w:t>
      </w:r>
      <w:r>
        <w:rPr>
          <w:rFonts w:ascii="Times New Roman" w:hAnsi="Times New Roman" w:cs="Times New Roman" w:eastAsia="Times New Roman" w:hint="default"/>
          <w:spacing w:val="-2"/>
        </w:rPr>
        <w:t>)</w:t>
      </w:r>
      <w:r>
        <w:rPr>
          <w:spacing w:val="-2"/>
        </w:rPr>
        <w:t>款规定的利润分配条件，否则公司每年应当至少以现金方式</w:t>
      </w:r>
      <w:r>
        <w:rPr>
          <w:w w:val="100"/>
        </w:rPr>
        <w:t> </w:t>
      </w:r>
      <w:r>
        <w:rPr/>
        <w:t>分配利润一次；</w:t>
      </w:r>
    </w:p>
    <w:p>
      <w:pPr>
        <w:pStyle w:val="BodyText"/>
        <w:spacing w:line="386" w:lineRule="auto" w:before="65"/>
        <w:ind w:right="0" w:firstLine="252"/>
        <w:jc w:val="left"/>
      </w:pPr>
      <w:r>
        <w:rPr>
          <w:rFonts w:ascii="Times New Roman" w:hAnsi="Times New Roman" w:cs="Times New Roman" w:eastAsia="Times New Roman" w:hint="default"/>
          <w:spacing w:val="-2"/>
        </w:rPr>
        <w:t>(</w:t>
      </w:r>
      <w:r>
        <w:rPr>
          <w:spacing w:val="-2"/>
        </w:rPr>
        <w:t>六</w:t>
      </w:r>
      <w:r>
        <w:rPr>
          <w:rFonts w:ascii="Times New Roman" w:hAnsi="Times New Roman" w:cs="Times New Roman" w:eastAsia="Times New Roman" w:hint="default"/>
          <w:spacing w:val="-2"/>
        </w:rPr>
        <w:t>)</w:t>
      </w:r>
      <w:r>
        <w:rPr>
          <w:spacing w:val="-2"/>
        </w:rPr>
        <w:t>股票分红条件：公司根据盈利情况和现金流状况，为满足股本扩张的需要或合理调整股本规模和股</w:t>
      </w:r>
      <w:r>
        <w:rPr>
          <w:w w:val="100"/>
        </w:rPr>
        <w:t> </w:t>
      </w:r>
      <w:r>
        <w:rPr/>
        <w:t>权结构，可以采取股票方式分配利润；</w:t>
      </w:r>
    </w:p>
    <w:p>
      <w:pPr>
        <w:pStyle w:val="BodyText"/>
        <w:spacing w:line="386" w:lineRule="auto" w:before="65"/>
        <w:ind w:right="0" w:firstLine="252"/>
        <w:jc w:val="left"/>
      </w:pPr>
      <w:r>
        <w:rPr>
          <w:rFonts w:ascii="Times New Roman" w:hAnsi="Times New Roman" w:cs="Times New Roman" w:eastAsia="Times New Roman" w:hint="default"/>
          <w:spacing w:val="-2"/>
        </w:rPr>
        <w:t>(</w:t>
      </w:r>
      <w:r>
        <w:rPr>
          <w:spacing w:val="-2"/>
        </w:rPr>
        <w:t>七</w:t>
      </w:r>
      <w:r>
        <w:rPr>
          <w:rFonts w:ascii="Times New Roman" w:hAnsi="Times New Roman" w:cs="Times New Roman" w:eastAsia="Times New Roman" w:hint="default"/>
          <w:spacing w:val="-2"/>
        </w:rPr>
        <w:t>)</w:t>
      </w:r>
      <w:r>
        <w:rPr>
          <w:spacing w:val="-2"/>
        </w:rPr>
        <w:t>现金分红比例：公司每年以现金形式分配的利润不少于当年实现的可供分配利润的</w:t>
      </w:r>
      <w:r>
        <w:rPr>
          <w:rFonts w:ascii="Times New Roman" w:hAnsi="Times New Roman" w:cs="Times New Roman" w:eastAsia="Times New Roman" w:hint="default"/>
          <w:spacing w:val="-2"/>
        </w:rPr>
        <w:t>10%</w:t>
      </w:r>
      <w:r>
        <w:rPr>
          <w:spacing w:val="-2"/>
        </w:rPr>
        <w:t>；公司最近</w:t>
      </w:r>
      <w:r>
        <w:rPr>
          <w:w w:val="100"/>
        </w:rPr>
        <w:t> </w:t>
      </w:r>
      <w:r>
        <w:rPr/>
        <w:t>三年以现金形式累计分配的利润不少于最近三年实现的年均可供分配利润的</w:t>
      </w:r>
      <w:r>
        <w:rPr>
          <w:rFonts w:ascii="Times New Roman" w:hAnsi="Times New Roman" w:cs="Times New Roman" w:eastAsia="Times New Roman" w:hint="default"/>
        </w:rPr>
        <w:t>30%</w:t>
      </w:r>
      <w:r>
        <w:rPr/>
        <w:t>；</w:t>
      </w:r>
    </w:p>
    <w:p>
      <w:pPr>
        <w:pStyle w:val="BodyText"/>
        <w:spacing w:line="386" w:lineRule="auto" w:before="35"/>
        <w:ind w:right="0" w:firstLine="252"/>
        <w:jc w:val="left"/>
      </w:pPr>
      <w:r>
        <w:rPr>
          <w:rFonts w:ascii="Times New Roman" w:hAnsi="Times New Roman" w:cs="Times New Roman" w:eastAsia="Times New Roman" w:hint="default"/>
          <w:spacing w:val="-2"/>
        </w:rPr>
        <w:t>(</w:t>
      </w:r>
      <w:r>
        <w:rPr>
          <w:spacing w:val="-2"/>
        </w:rPr>
        <w:t>八</w:t>
      </w:r>
      <w:r>
        <w:rPr>
          <w:rFonts w:ascii="Times New Roman" w:hAnsi="Times New Roman" w:cs="Times New Roman" w:eastAsia="Times New Roman" w:hint="default"/>
          <w:spacing w:val="-2"/>
        </w:rPr>
        <w:t>)</w:t>
      </w:r>
      <w:r>
        <w:rPr>
          <w:spacing w:val="-2"/>
        </w:rPr>
        <w:t>若存在股东违规占用公司资金情况的，公司应当扣减该股东所分配的现金红利，以偿还其占用的资</w:t>
      </w:r>
      <w:r>
        <w:rPr>
          <w:w w:val="100"/>
        </w:rPr>
        <w:t> </w:t>
      </w:r>
      <w:r>
        <w:rPr/>
        <w:t>金；</w:t>
      </w:r>
    </w:p>
    <w:p>
      <w:pPr>
        <w:pStyle w:val="BodyText"/>
        <w:spacing w:line="386" w:lineRule="auto" w:before="65"/>
        <w:ind w:right="0" w:firstLine="252"/>
        <w:jc w:val="left"/>
      </w:pPr>
      <w:r>
        <w:rPr>
          <w:rFonts w:ascii="Times New Roman" w:hAnsi="Times New Roman" w:cs="Times New Roman" w:eastAsia="Times New Roman" w:hint="default"/>
          <w:spacing w:val="2"/>
        </w:rPr>
        <w:t>(</w:t>
      </w:r>
      <w:r>
        <w:rPr>
          <w:spacing w:val="2"/>
        </w:rPr>
        <w:t>九</w:t>
      </w:r>
      <w:r>
        <w:rPr>
          <w:rFonts w:ascii="Times New Roman" w:hAnsi="Times New Roman" w:cs="Times New Roman" w:eastAsia="Times New Roman" w:hint="default"/>
          <w:spacing w:val="2"/>
        </w:rPr>
        <w:t>)</w:t>
      </w:r>
      <w:r>
        <w:rPr>
          <w:spacing w:val="2"/>
        </w:rPr>
        <w:t>若公司上一会计年度盈利但董事会未做出现金分红具体方案的</w:t>
      </w:r>
      <w:r>
        <w:rPr>
          <w:rFonts w:ascii="Times New Roman" w:hAnsi="Times New Roman" w:cs="Times New Roman" w:eastAsia="Times New Roman" w:hint="default"/>
          <w:spacing w:val="2"/>
        </w:rPr>
        <w:t>,</w:t>
      </w:r>
      <w:r>
        <w:rPr>
          <w:spacing w:val="2"/>
        </w:rPr>
        <w:t>应在定期报告中说明未进行现金分</w:t>
      </w:r>
      <w:r>
        <w:rPr>
          <w:spacing w:val="2"/>
          <w:w w:val="100"/>
        </w:rPr>
        <w:t> </w:t>
      </w:r>
      <w:r>
        <w:rPr/>
        <w:t>红的原因、未用于现金分红的资金留存公司的用途和使用计划；独立董事应对此发表独立意见。</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5"/>
        <w:ind w:left="152" w:right="32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0" w:right="158" w:firstLine="0"/>
        <w:jc w:val="right"/>
        <w:rPr>
          <w:rFonts w:ascii="宋体" w:hAnsi="宋体" w:cs="宋体" w:eastAsia="宋体" w:hint="default"/>
          <w:sz w:val="18"/>
          <w:szCs w:val="18"/>
        </w:rPr>
      </w:pPr>
      <w:r>
        <w:rPr/>
        <w:pict>
          <v:shape style="position:absolute;margin-left:56.400002pt;margin-top:-109.988297pt;width:479.3pt;height:127.7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243,217,020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24,321,702.00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33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年度财务审计</w:t>
                        </w:r>
                        <w:r>
                          <w:rPr>
                            <w:rFonts w:ascii="宋体" w:hAnsi="宋体" w:cs="宋体" w:eastAsia="宋体" w:hint="default"/>
                            <w:spacing w:val="-3"/>
                            <w:sz w:val="18"/>
                            <w:szCs w:val="18"/>
                          </w:rPr>
                          <w:t>结</w:t>
                        </w:r>
                        <w:r>
                          <w:rPr>
                            <w:rFonts w:ascii="宋体" w:hAnsi="宋体" w:cs="宋体" w:eastAsia="宋体" w:hint="default"/>
                            <w:sz w:val="18"/>
                            <w:szCs w:val="18"/>
                          </w:rPr>
                          <w:t>果</w:t>
                        </w:r>
                        <w:r>
                          <w:rPr>
                            <w:rFonts w:ascii="宋体" w:hAnsi="宋体" w:cs="宋体" w:eastAsia="宋体" w:hint="default"/>
                            <w:spacing w:val="-92"/>
                            <w:sz w:val="18"/>
                            <w:szCs w:val="18"/>
                          </w:rPr>
                          <w:t>，</w:t>
                        </w:r>
                        <w:r>
                          <w:rPr>
                            <w:rFonts w:ascii="宋体" w:hAnsi="宋体" w:cs="宋体" w:eastAsia="宋体" w:hint="default"/>
                            <w:sz w:val="18"/>
                            <w:szCs w:val="18"/>
                          </w:rPr>
                          <w:t>母公司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年度实现净</w:t>
                        </w:r>
                        <w:r>
                          <w:rPr>
                            <w:rFonts w:ascii="宋体" w:hAnsi="宋体" w:cs="宋体" w:eastAsia="宋体" w:hint="default"/>
                            <w:spacing w:val="-3"/>
                            <w:sz w:val="18"/>
                            <w:szCs w:val="18"/>
                          </w:rPr>
                          <w:t>利</w:t>
                        </w:r>
                        <w:r>
                          <w:rPr>
                            <w:rFonts w:ascii="宋体" w:hAnsi="宋体" w:cs="宋体" w:eastAsia="宋体" w:hint="default"/>
                            <w:sz w:val="18"/>
                            <w:szCs w:val="18"/>
                          </w:rPr>
                          <w:t>润</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提取</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10</w:t>
                        </w:r>
                        <w:r>
                          <w:rPr>
                            <w:rFonts w:ascii="宋体" w:hAnsi="宋体" w:cs="宋体" w:eastAsia="宋体" w:hint="default"/>
                            <w:spacing w:val="-3"/>
                            <w:sz w:val="18"/>
                            <w:szCs w:val="18"/>
                          </w:rPr>
                          <w:t>％</w:t>
                        </w:r>
                        <w:r>
                          <w:rPr>
                            <w:rFonts w:ascii="宋体" w:hAnsi="宋体" w:cs="宋体" w:eastAsia="宋体" w:hint="default"/>
                            <w:sz w:val="18"/>
                            <w:szCs w:val="18"/>
                          </w:rPr>
                          <w:t>法定盈余公积金</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日，可供股东分配的利润为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256,984,990.48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元。母公司年末资本公积余额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683,082,563.87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司本年度利润分配预案：以公司现有股本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w:t>
                        </w:r>
                        <w:r>
                          <w:rPr>
                            <w:rFonts w:ascii="宋体" w:hAnsi="宋体" w:cs="宋体" w:eastAsia="宋体" w:hint="default"/>
                            <w:spacing w:val="-3"/>
                            <w:sz w:val="18"/>
                            <w:szCs w:val="18"/>
                          </w:rPr>
                          <w:t>基</w:t>
                        </w:r>
                        <w:r>
                          <w:rPr>
                            <w:rFonts w:ascii="宋体" w:hAnsi="宋体" w:cs="宋体" w:eastAsia="宋体" w:hint="default"/>
                            <w:sz w:val="18"/>
                            <w:szCs w:val="18"/>
                          </w:rPr>
                          <w:t>数，拟按每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w:t>
                        </w:r>
                        <w:r>
                          <w:rPr>
                            <w:rFonts w:ascii="宋体" w:hAnsi="宋体" w:cs="宋体" w:eastAsia="宋体" w:hint="default"/>
                            <w:spacing w:val="-3"/>
                            <w:sz w:val="18"/>
                            <w:szCs w:val="18"/>
                          </w:rPr>
                          <w:t>利</w:t>
                        </w: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，共计</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70</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39"/>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本年</w:t>
                        </w:r>
                        <w:r>
                          <w:rPr>
                            <w:rFonts w:ascii="宋体" w:hAnsi="宋体" w:cs="宋体" w:eastAsia="宋体" w:hint="default"/>
                            <w:spacing w:val="-3"/>
                            <w:sz w:val="18"/>
                            <w:szCs w:val="18"/>
                          </w:rPr>
                          <w:t>度</w:t>
                        </w:r>
                        <w:r>
                          <w:rPr>
                            <w:rFonts w:ascii="宋体" w:hAnsi="宋体" w:cs="宋体" w:eastAsia="宋体" w:hint="default"/>
                            <w:sz w:val="18"/>
                            <w:szCs w:val="18"/>
                          </w:rPr>
                          <w:t>无资本公积转增股本预案</w:t>
                        </w:r>
                        <w:r>
                          <w:rPr>
                            <w:rFonts w:ascii="宋体" w:hAnsi="宋体" w:cs="宋体" w:eastAsia="宋体" w:hint="default"/>
                            <w:spacing w:val="-38"/>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年度利润分配预案尚需经</w:t>
                        </w:r>
                        <w:r>
                          <w:rPr>
                            <w:rFonts w:ascii="宋体" w:hAnsi="宋体" w:cs="宋体" w:eastAsia="宋体" w:hint="default"/>
                            <w:spacing w:val="-3"/>
                            <w:sz w:val="18"/>
                            <w:szCs w:val="18"/>
                          </w:rPr>
                          <w:t>公</w:t>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w:t>
                        </w:r>
                      </w:p>
                    </w:tc>
                  </w:tr>
                </w:tbl>
                <w:p>
                  <w:pPr/>
                </w:p>
              </w:txbxContent>
            </v:textbox>
            <w10:wrap type="none"/>
          </v:shape>
        </w:pict>
      </w:r>
      <w:r>
        <w:rPr>
          <w:rFonts w:ascii="宋体" w:hAnsi="宋体" w:cs="宋体" w:eastAsia="宋体" w:hint="default"/>
          <w:sz w:val="18"/>
          <w:szCs w:val="18"/>
        </w:rPr>
        <w:t>。</w:t>
      </w:r>
    </w:p>
    <w:p>
      <w:pPr>
        <w:spacing w:line="240" w:lineRule="auto" w:before="5"/>
        <w:rPr>
          <w:rFonts w:ascii="宋体" w:hAnsi="宋体" w:cs="宋体" w:eastAsia="宋体" w:hint="default"/>
          <w:sz w:val="9"/>
          <w:szCs w:val="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pStyle w:val="BodyText"/>
        <w:spacing w:line="240" w:lineRule="auto" w:before="157"/>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w:t>
      </w:r>
      <w:r>
        <w:rPr>
          <w:rFonts w:ascii="Times New Roman" w:hAnsi="Times New Roman" w:cs="Times New Roman" w:eastAsia="Times New Roman" w:hint="default"/>
        </w:rPr>
        <w:t>2010</w:t>
      </w:r>
      <w:r>
        <w:rPr/>
        <w:t>年度股东大会审议通过了</w:t>
      </w:r>
      <w:r>
        <w:rPr>
          <w:rFonts w:ascii="Times New Roman" w:hAnsi="Times New Roman" w:cs="Times New Roman" w:eastAsia="Times New Roman" w:hint="default"/>
        </w:rPr>
        <w:t>2010</w:t>
      </w:r>
      <w:r>
        <w:rPr/>
        <w:t>年度的利润分配方案：以公司现有股本</w:t>
      </w:r>
    </w:p>
    <w:p>
      <w:pPr>
        <w:pStyle w:val="BodyText"/>
        <w:spacing w:line="398" w:lineRule="auto" w:before="177"/>
        <w:ind w:right="0"/>
        <w:jc w:val="left"/>
      </w:pPr>
      <w:r>
        <w:rPr>
          <w:rFonts w:ascii="Times New Roman" w:hAnsi="Times New Roman" w:cs="Times New Roman" w:eastAsia="Times New Roman" w:hint="default"/>
          <w:spacing w:val="-2"/>
        </w:rPr>
        <w:t>120,000,000</w:t>
      </w:r>
      <w:r>
        <w:rPr>
          <w:spacing w:val="-2"/>
        </w:rPr>
        <w:t>股为基数，每</w:t>
      </w:r>
      <w:r>
        <w:rPr>
          <w:rFonts w:ascii="Times New Roman" w:hAnsi="Times New Roman" w:cs="Times New Roman" w:eastAsia="Times New Roman" w:hint="default"/>
          <w:spacing w:val="-2"/>
        </w:rPr>
        <w:t>10</w:t>
      </w:r>
      <w:r>
        <w:rPr>
          <w:spacing w:val="-2"/>
        </w:rPr>
        <w:t>股派送</w:t>
      </w:r>
      <w:r>
        <w:rPr>
          <w:rFonts w:ascii="Times New Roman" w:hAnsi="Times New Roman" w:cs="Times New Roman" w:eastAsia="Times New Roman" w:hint="default"/>
          <w:spacing w:val="-2"/>
        </w:rPr>
        <w:t>1</w:t>
      </w:r>
      <w:r>
        <w:rPr>
          <w:spacing w:val="-2"/>
        </w:rPr>
        <w:t>元人民币现金股利（含税），共计</w:t>
      </w:r>
      <w:r>
        <w:rPr>
          <w:rFonts w:ascii="Times New Roman" w:hAnsi="Times New Roman" w:cs="Times New Roman" w:eastAsia="Times New Roman" w:hint="default"/>
          <w:spacing w:val="-2"/>
        </w:rPr>
        <w:t>12,000,000</w:t>
      </w:r>
      <w:r>
        <w:rPr>
          <w:spacing w:val="-2"/>
        </w:rPr>
        <w:t>元。本年度无资本公积转</w:t>
      </w:r>
      <w:r>
        <w:rPr>
          <w:spacing w:val="-21"/>
        </w:rPr>
        <w:t> </w:t>
      </w:r>
      <w:r>
        <w:rPr>
          <w:spacing w:val="-21"/>
        </w:rPr>
      </w:r>
      <w:r>
        <w:rPr/>
        <w:t>增股本预案。</w:t>
      </w:r>
      <w:r>
        <w:rPr>
          <w:w w:val="100"/>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2011</w:t>
      </w:r>
      <w:r>
        <w:rPr/>
        <w:t>年度股东大会审议通过了</w:t>
      </w:r>
      <w:r>
        <w:rPr>
          <w:rFonts w:ascii="Times New Roman" w:hAnsi="Times New Roman" w:cs="Times New Roman" w:eastAsia="Times New Roman" w:hint="default"/>
        </w:rPr>
        <w:t>2011</w:t>
      </w:r>
      <w:r>
        <w:rPr/>
        <w:t>年度的利润分配方案：以公司现有股本</w:t>
      </w:r>
    </w:p>
    <w:p>
      <w:pPr>
        <w:pStyle w:val="BodyText"/>
        <w:spacing w:line="388" w:lineRule="auto" w:before="24"/>
        <w:ind w:right="0"/>
        <w:jc w:val="left"/>
      </w:pPr>
      <w:r>
        <w:rPr>
          <w:rFonts w:ascii="Times New Roman" w:hAnsi="Times New Roman" w:cs="Times New Roman" w:eastAsia="Times New Roman" w:hint="default"/>
          <w:spacing w:val="-2"/>
        </w:rPr>
        <w:t>120,000,000</w:t>
      </w:r>
      <w:r>
        <w:rPr>
          <w:spacing w:val="-2"/>
        </w:rPr>
        <w:t>股为基数，每</w:t>
      </w:r>
      <w:r>
        <w:rPr>
          <w:rFonts w:ascii="Times New Roman" w:hAnsi="Times New Roman" w:cs="Times New Roman" w:eastAsia="Times New Roman" w:hint="default"/>
          <w:spacing w:val="-2"/>
        </w:rPr>
        <w:t>10</w:t>
      </w:r>
      <w:r>
        <w:rPr>
          <w:spacing w:val="-2"/>
        </w:rPr>
        <w:t>股派送</w:t>
      </w:r>
      <w:r>
        <w:rPr>
          <w:rFonts w:ascii="Times New Roman" w:hAnsi="Times New Roman" w:cs="Times New Roman" w:eastAsia="Times New Roman" w:hint="default"/>
          <w:spacing w:val="-2"/>
        </w:rPr>
        <w:t>1</w:t>
      </w:r>
      <w:r>
        <w:rPr>
          <w:spacing w:val="-2"/>
        </w:rPr>
        <w:t>元人民币现金股利（含税），共计</w:t>
      </w:r>
      <w:r>
        <w:rPr>
          <w:rFonts w:ascii="Times New Roman" w:hAnsi="Times New Roman" w:cs="Times New Roman" w:eastAsia="Times New Roman" w:hint="default"/>
          <w:spacing w:val="-2"/>
        </w:rPr>
        <w:t>12,000,000</w:t>
      </w:r>
      <w:r>
        <w:rPr>
          <w:spacing w:val="-2"/>
        </w:rPr>
        <w:t>元。本年度无资本公积转</w:t>
      </w:r>
      <w:r>
        <w:rPr>
          <w:spacing w:val="-21"/>
        </w:rPr>
        <w:t> </w:t>
      </w:r>
      <w:r>
        <w:rPr>
          <w:spacing w:val="-21"/>
        </w:rPr>
      </w:r>
      <w:r>
        <w:rPr/>
        <w:t>增股本预案。</w:t>
      </w:r>
      <w:r>
        <w:rPr>
          <w:w w:val="100"/>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12</w:t>
      </w:r>
      <w:r>
        <w:rPr/>
        <w:t>年第二次临时股东大会审议通过了</w:t>
      </w:r>
      <w:r>
        <w:rPr>
          <w:rFonts w:ascii="Times New Roman" w:hAnsi="Times New Roman" w:cs="Times New Roman" w:eastAsia="Times New Roman" w:hint="default"/>
        </w:rPr>
        <w:t>2012</w:t>
      </w:r>
      <w:r>
        <w:rPr/>
        <w:t>年半年度的资本公积转增股本预案：以</w:t>
      </w:r>
      <w:r>
        <w:rPr>
          <w:w w:val="100"/>
        </w:rPr>
        <w:t> </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日的公司总股本</w:t>
      </w:r>
      <w:r>
        <w:rPr>
          <w:rFonts w:ascii="Times New Roman" w:hAnsi="Times New Roman" w:cs="Times New Roman" w:eastAsia="Times New Roman" w:hint="default"/>
        </w:rPr>
        <w:t>120,000,000</w:t>
      </w:r>
      <w:r>
        <w:rPr/>
        <w:t>股为基数，以资本公积转增股本，每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w:t>
      </w:r>
      <w:r>
        <w:rPr>
          <w:w w:val="100"/>
        </w:rPr>
        <w:t> </w:t>
      </w:r>
      <w:r>
        <w:rPr/>
        <w:t>增股本</w:t>
      </w:r>
      <w:r>
        <w:rPr>
          <w:rFonts w:ascii="Times New Roman" w:hAnsi="Times New Roman" w:cs="Times New Roman" w:eastAsia="Times New Roman" w:hint="default"/>
        </w:rPr>
        <w:t>120,000,000</w:t>
      </w:r>
      <w:r>
        <w:rPr/>
        <w:t>股。转增后，公司总股本为</w:t>
      </w:r>
      <w:r>
        <w:rPr>
          <w:rFonts w:ascii="Times New Roman" w:hAnsi="Times New Roman" w:cs="Times New Roman" w:eastAsia="Times New Roman" w:hint="default"/>
        </w:rPr>
        <w:t>240,000,000</w:t>
      </w:r>
      <w:r>
        <w:rPr/>
        <w:t>股。</w:t>
      </w:r>
      <w:r>
        <w:rPr>
          <w:w w:val="100"/>
        </w:rPr>
        <w:t>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日，公司第四届董事会</w:t>
      </w:r>
      <w:r>
        <w:rPr>
          <w:rFonts w:ascii="Times New Roman" w:hAnsi="Times New Roman" w:cs="Times New Roman" w:eastAsia="Times New Roman" w:hint="default"/>
          <w:spacing w:val="-2"/>
        </w:rPr>
        <w:t>2013</w:t>
      </w:r>
      <w:r>
        <w:rPr>
          <w:spacing w:val="-2"/>
        </w:rPr>
        <w:t>年第三次临时会议审议通过了</w:t>
      </w:r>
      <w:r>
        <w:rPr>
          <w:rFonts w:ascii="Times New Roman" w:hAnsi="Times New Roman" w:cs="Times New Roman" w:eastAsia="Times New Roman" w:hint="default"/>
          <w:spacing w:val="-2"/>
        </w:rPr>
        <w:t>2012</w:t>
      </w:r>
      <w:r>
        <w:rPr>
          <w:spacing w:val="-2"/>
        </w:rPr>
        <w:t>年度的利润分配方案：以公</w:t>
      </w:r>
      <w:r>
        <w:rPr>
          <w:spacing w:val="-34"/>
        </w:rPr>
        <w:t> </w:t>
      </w:r>
      <w:r>
        <w:rPr>
          <w:spacing w:val="-34"/>
        </w:rPr>
      </w:r>
      <w:r>
        <w:rPr>
          <w:spacing w:val="-2"/>
        </w:rPr>
        <w:t>司现有股本</w:t>
      </w:r>
      <w:r>
        <w:rPr>
          <w:rFonts w:ascii="Times New Roman" w:hAnsi="Times New Roman" w:cs="Times New Roman" w:eastAsia="Times New Roman" w:hint="default"/>
          <w:spacing w:val="-2"/>
        </w:rPr>
        <w:t>243,217,020</w:t>
      </w:r>
      <w:r>
        <w:rPr>
          <w:spacing w:val="-2"/>
        </w:rPr>
        <w:t>股为基数，每</w:t>
      </w:r>
      <w:r>
        <w:rPr>
          <w:rFonts w:ascii="Times New Roman" w:hAnsi="Times New Roman" w:cs="Times New Roman" w:eastAsia="Times New Roman" w:hint="default"/>
          <w:spacing w:val="-2"/>
        </w:rPr>
        <w:t>10</w:t>
      </w:r>
      <w:r>
        <w:rPr>
          <w:spacing w:val="-2"/>
        </w:rPr>
        <w:t>股派送</w:t>
      </w:r>
      <w:r>
        <w:rPr>
          <w:rFonts w:ascii="Times New Roman" w:hAnsi="Times New Roman" w:cs="Times New Roman" w:eastAsia="Times New Roman" w:hint="default"/>
          <w:spacing w:val="-2"/>
        </w:rPr>
        <w:t>1</w:t>
      </w:r>
      <w:r>
        <w:rPr>
          <w:spacing w:val="-2"/>
        </w:rPr>
        <w:t>元人民币现金股利（含税），共计</w:t>
      </w:r>
      <w:r>
        <w:rPr>
          <w:rFonts w:ascii="Times New Roman" w:hAnsi="Times New Roman" w:cs="Times New Roman" w:eastAsia="Times New Roman" w:hint="default"/>
          <w:spacing w:val="-2"/>
        </w:rPr>
        <w:t>24,321,702</w:t>
      </w:r>
      <w:r>
        <w:rPr>
          <w:spacing w:val="-2"/>
        </w:rPr>
        <w:t>元。本年度无</w:t>
      </w:r>
      <w:r>
        <w:rPr>
          <w:spacing w:val="-22"/>
        </w:rPr>
        <w:t> </w:t>
      </w:r>
      <w:r>
        <w:rPr>
          <w:spacing w:val="-22"/>
        </w:rPr>
      </w:r>
      <w:r>
        <w:rPr/>
        <w:t>资本公积转增股本预案。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3"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24,321,702.00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111,436,631.79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21.83%</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81,815,033.64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14.67%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53,167,734.77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22.57%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七、内幕信息知情人管理制度的建立和执行情况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（一）内幕信息知情人管理制度建立情况</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393" w:lineRule="auto" w:before="175"/>
        <w:ind w:right="0"/>
        <w:jc w:val="left"/>
      </w:pPr>
      <w:r>
        <w:rPr>
          <w:spacing w:val="-2"/>
        </w:rPr>
        <w:t>为规范公司内幕信息管理，维护信息披露的公开、公平、公正原则，保护广大投资者的合法权益，经</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日公司第四届董事会第二次会议审议通过，制订了《内幕信息知情人登记制度》，分别对信息披</w:t>
      </w:r>
      <w:r>
        <w:rPr>
          <w:w w:val="100"/>
        </w:rPr>
        <w:t> </w:t>
      </w:r>
      <w:r>
        <w:rPr>
          <w:spacing w:val="-2"/>
        </w:rPr>
        <w:t>露的基本原则、信息披露的内容、披露程序与传递、责任划分、内幕信息知情人范围和保密措施以及责任</w:t>
      </w:r>
      <w:r>
        <w:rPr>
          <w:spacing w:val="-47"/>
        </w:rPr>
        <w:t> </w:t>
      </w:r>
      <w:r>
        <w:rPr>
          <w:spacing w:val="-47"/>
        </w:rPr>
      </w:r>
      <w:r>
        <w:rPr/>
        <w:t>追究等予以明确规定。</w:t>
      </w:r>
    </w:p>
    <w:p>
      <w:pPr>
        <w:pStyle w:val="BodyText"/>
        <w:spacing w:line="408" w:lineRule="auto" w:before="58"/>
        <w:ind w:right="0"/>
        <w:jc w:val="left"/>
      </w:pPr>
      <w:r>
        <w:rPr/>
        <w:t>（二）内幕信息知情人管理制度的执行情况</w:t>
      </w:r>
      <w:r>
        <w:rPr>
          <w:w w:val="100"/>
        </w:rPr>
        <w:t> </w:t>
      </w:r>
      <w:r>
        <w:rPr>
          <w:spacing w:val="-2"/>
        </w:rPr>
        <w:t>报告期内，公司严格执行内幕信息登记管理制度，严格规范信息传递流程，在定期报告披露期间和临时公</w:t>
      </w:r>
      <w:r>
        <w:rPr>
          <w:spacing w:val="-43"/>
        </w:rPr>
        <w:t> </w:t>
      </w:r>
      <w:r>
        <w:rPr>
          <w:spacing w:val="-43"/>
        </w:rPr>
      </w:r>
      <w:r>
        <w:rPr>
          <w:spacing w:val="-2"/>
        </w:rPr>
        <w:t>告披露期间，对未公开信息，公司董事会办公室都会严格控制知情人范围并组织相关内幕信息知情人填写</w:t>
      </w:r>
    </w:p>
    <w:p>
      <w:pPr>
        <w:pStyle w:val="BodyText"/>
        <w:spacing w:line="408" w:lineRule="auto" w:before="46"/>
        <w:ind w:right="0"/>
        <w:jc w:val="left"/>
      </w:pPr>
      <w:r>
        <w:rPr>
          <w:spacing w:val="-2"/>
        </w:rPr>
        <w:t>《内幕信息知情人登记表》，如实、完整记录上述信息在公开前的所有内幕信息知情人名单，以及知情人</w:t>
      </w:r>
      <w:r>
        <w:rPr>
          <w:spacing w:val="-44"/>
        </w:rPr>
        <w:t> </w:t>
      </w:r>
      <w:r>
        <w:rPr>
          <w:spacing w:val="-44"/>
        </w:rPr>
      </w:r>
      <w:r>
        <w:rPr>
          <w:spacing w:val="-2"/>
        </w:rPr>
        <w:t>知悉内幕信息的时间等。按照相关法规规定，向深圳证券交易所和上海证监局报送定期报告和临时报告相</w:t>
      </w:r>
      <w:r>
        <w:rPr>
          <w:spacing w:val="-42"/>
        </w:rPr>
        <w:t> </w:t>
      </w:r>
      <w:r>
        <w:rPr>
          <w:spacing w:val="-42"/>
        </w:rPr>
      </w:r>
      <w:r>
        <w:rPr/>
        <w:t>关资料的同时报备内幕信息知情人登记情况。</w:t>
      </w:r>
      <w:r>
        <w:rPr>
          <w:w w:val="100"/>
        </w:rPr>
        <w:t> </w:t>
      </w:r>
      <w:r>
        <w:rPr/>
        <w:t>报告期内，公司董事、监事和高级管理人员及其直系亲属未发生在敏感期买卖公司股票的行为。</w:t>
      </w:r>
    </w:p>
    <w:p>
      <w:pPr>
        <w:pStyle w:val="BodyText"/>
        <w:spacing w:line="240" w:lineRule="auto" w:before="46"/>
        <w:ind w:right="0"/>
        <w:jc w:val="left"/>
      </w:pPr>
      <w:r>
        <w:rPr/>
        <w:t>（三）报告期内，未发生内幕信息知情人涉嫌内幕交易的情况，以及监管部门的查处和整改情况。</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八、报告期内接待调研、沟通、采访等活动登记表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上海市康定路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上海申康医院发展 中心会议室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3" w:right="108"/>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家主要机 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医疗卫生行业情况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北京万寿宾馆</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楼 多功能厅</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家主要机 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医疗卫生行业情况</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right="3144"/>
        <w:jc w:val="center"/>
        <w:rPr>
          <w:b w:val="0"/>
          <w:bCs w:val="0"/>
        </w:rPr>
      </w:pPr>
      <w:bookmarkStart w:name="_TOC_250005"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spacing w:line="350" w:lineRule="auto" w:before="0"/>
        <w:ind w:left="152" w:right="6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会计师事务所对资金占用的专项审核意见 不适用</w:t>
      </w: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r>
        <w:rPr/>
        <w:t>三、破产重整相关事项</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四、资产交易事项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8194" w:firstLine="0"/>
        <w:jc w:val="left"/>
        <w:rPr>
          <w:rFonts w:ascii="宋体" w:hAnsi="宋体" w:cs="宋体" w:eastAsia="宋体" w:hint="default"/>
          <w:sz w:val="18"/>
          <w:szCs w:val="18"/>
        </w:rPr>
      </w:pPr>
      <w:r>
        <w:rPr>
          <w:rFonts w:ascii="宋体" w:hAnsi="宋体" w:cs="宋体" w:eastAsia="宋体" w:hint="default"/>
          <w:sz w:val="18"/>
          <w:szCs w:val="18"/>
        </w:rPr>
        <w:t>收购资产情况说明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8194" w:firstLine="0"/>
        <w:jc w:val="left"/>
        <w:rPr>
          <w:rFonts w:ascii="宋体" w:hAnsi="宋体" w:cs="宋体" w:eastAsia="宋体" w:hint="default"/>
          <w:sz w:val="18"/>
          <w:szCs w:val="18"/>
        </w:rPr>
      </w:pPr>
      <w:r>
        <w:rPr>
          <w:rFonts w:ascii="宋体" w:hAnsi="宋体" w:cs="宋体" w:eastAsia="宋体" w:hint="default"/>
          <w:sz w:val="18"/>
          <w:szCs w:val="18"/>
        </w:rPr>
        <w:t>出售资产情况说明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56" w:lineRule="auto" w:before="121"/>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5"/>
        </w:rPr>
        <w:t> </w:t>
      </w:r>
      <w:r>
        <w:rPr>
          <w:spacing w:val="-65"/>
        </w:rPr>
      </w:r>
      <w:r>
        <w:rPr/>
        <w:t>影响</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五、公司股权激励的实施情况及其影响</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日，公司第四届董事会</w:t>
      </w:r>
      <w:r>
        <w:rPr>
          <w:rFonts w:ascii="Times New Roman" w:hAnsi="Times New Roman" w:cs="Times New Roman" w:eastAsia="Times New Roman" w:hint="default"/>
        </w:rPr>
        <w:t>2012</w:t>
      </w:r>
      <w:r>
        <w:rPr/>
        <w:t>年第七次临时会议和第四届监事会</w:t>
      </w:r>
      <w:r>
        <w:rPr>
          <w:rFonts w:ascii="Times New Roman" w:hAnsi="Times New Roman" w:cs="Times New Roman" w:eastAsia="Times New Roman" w:hint="default"/>
        </w:rPr>
        <w:t>2012</w:t>
      </w:r>
      <w:r>
        <w:rPr/>
        <w:t>年第七次临时会议审议通</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391" w:lineRule="auto" w:before="175"/>
        <w:ind w:right="100"/>
        <w:jc w:val="left"/>
      </w:pPr>
      <w:r>
        <w:rPr/>
        <w:t>过了《关于股票期权激励计划预留期权授予相关事项的议案》，董事会同意授予</w:t>
      </w:r>
      <w:r>
        <w:rPr>
          <w:rFonts w:ascii="Times New Roman" w:hAnsi="Times New Roman" w:cs="Times New Roman" w:eastAsia="Times New Roman" w:hint="default"/>
        </w:rPr>
        <w:t>5</w:t>
      </w:r>
      <w:r>
        <w:rPr/>
        <w:t>名激励对象</w:t>
      </w:r>
      <w:r>
        <w:rPr>
          <w:rFonts w:ascii="Times New Roman" w:hAnsi="Times New Roman" w:cs="Times New Roman" w:eastAsia="Times New Roman" w:hint="default"/>
        </w:rPr>
        <w:t>34</w:t>
      </w:r>
      <w:r>
        <w:rPr/>
        <w:t>万份预留</w:t>
      </w:r>
      <w:r>
        <w:rPr>
          <w:w w:val="100"/>
        </w:rPr>
        <w:t> </w:t>
      </w:r>
      <w:r>
        <w:rPr/>
        <w:t>股票期权，确定公司预留期权的授权日为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日，行权价格为</w:t>
      </w:r>
      <w:r>
        <w:rPr>
          <w:rFonts w:ascii="Times New Roman" w:hAnsi="Times New Roman" w:cs="Times New Roman" w:eastAsia="Times New Roman" w:hint="default"/>
        </w:rPr>
        <w:t>29.21</w:t>
      </w:r>
      <w:r>
        <w:rPr/>
        <w:t>元。公司独立董事发表了独立</w:t>
      </w:r>
      <w:r>
        <w:rPr>
          <w:w w:val="100"/>
        </w:rPr>
        <w:t> </w:t>
      </w:r>
      <w:r>
        <w:rPr/>
        <w:t>意见，认为激励对象主体资格确认办法合法有效，确定的授权日符合相关规定，同意</w:t>
      </w:r>
      <w:r>
        <w:rPr>
          <w:rFonts w:ascii="Times New Roman" w:hAnsi="Times New Roman" w:cs="Times New Roman" w:eastAsia="Times New Roman" w:hint="default"/>
        </w:rPr>
        <w:t>5</w:t>
      </w:r>
      <w:r>
        <w:rPr/>
        <w:t>名激励对象获授</w:t>
      </w:r>
      <w:r>
        <w:rPr>
          <w:rFonts w:ascii="Times New Roman" w:hAnsi="Times New Roman" w:cs="Times New Roman" w:eastAsia="Times New Roman" w:hint="default"/>
        </w:rPr>
        <w:t>34</w:t>
      </w:r>
      <w:r>
        <w:rPr>
          <w:rFonts w:ascii="Times New Roman" w:hAnsi="Times New Roman" w:cs="Times New Roman" w:eastAsia="Times New Roman" w:hint="default"/>
          <w:w w:val="100"/>
        </w:rPr>
        <w:t> </w:t>
      </w:r>
      <w:r>
        <w:rPr/>
        <w:t>万份股票期权，授权日为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日，行权价格为</w:t>
      </w:r>
      <w:r>
        <w:rPr>
          <w:rFonts w:ascii="Times New Roman" w:hAnsi="Times New Roman" w:cs="Times New Roman" w:eastAsia="Times New Roman" w:hint="default"/>
        </w:rPr>
        <w:t>29.21</w:t>
      </w:r>
      <w:r>
        <w:rPr/>
        <w:t>元。监事会确认本次获授预留期权的激励对象</w:t>
      </w:r>
      <w:r>
        <w:rPr>
          <w:w w:val="100"/>
        </w:rPr>
        <w:t> </w:t>
      </w:r>
      <w:r>
        <w:rPr>
          <w:spacing w:val="-2"/>
        </w:rPr>
        <w:t>作为公司股票期权激励计划激励对象的主体资格合法、有效，且满足《股票期权激励计划》规定的获授条</w:t>
      </w:r>
      <w:r>
        <w:rPr>
          <w:spacing w:val="-44"/>
        </w:rPr>
        <w:t> </w:t>
      </w:r>
      <w:r>
        <w:rPr>
          <w:spacing w:val="-44"/>
        </w:rPr>
      </w:r>
      <w:r>
        <w:rPr/>
        <w:t>件，同意激励对象按照《股票期权激励计划》有关规定获授股票期权。</w:t>
      </w:r>
      <w:r>
        <w:rPr>
          <w:w w:val="100"/>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日，由中国证券登记结算有限责任公司深圳分公司审核确认，公司已完成股权激励计划所涉</w:t>
      </w:r>
      <w:r>
        <w:rPr>
          <w:w w:val="100"/>
        </w:rPr>
        <w:t> </w:t>
      </w:r>
      <w:r>
        <w:rPr/>
        <w:t>的</w:t>
      </w:r>
      <w:r>
        <w:rPr>
          <w:rFonts w:ascii="Times New Roman" w:hAnsi="Times New Roman" w:cs="Times New Roman" w:eastAsia="Times New Roman" w:hint="default"/>
        </w:rPr>
        <w:t>34</w:t>
      </w:r>
      <w:r>
        <w:rPr/>
        <w:t>万份预留股票期权的授予登记工作，期权简称：万达</w:t>
      </w:r>
      <w:r>
        <w:rPr>
          <w:rFonts w:ascii="Times New Roman" w:hAnsi="Times New Roman" w:cs="Times New Roman" w:eastAsia="Times New Roman" w:hint="default"/>
        </w:rPr>
        <w:t>JLC2</w:t>
      </w:r>
      <w:r>
        <w:rPr/>
        <w:t>，期权代码</w:t>
      </w:r>
      <w:r>
        <w:rPr>
          <w:rFonts w:ascii="Times New Roman" w:hAnsi="Times New Roman" w:cs="Times New Roman" w:eastAsia="Times New Roman" w:hint="default"/>
        </w:rPr>
        <w:t>036055</w:t>
      </w:r>
      <w:r>
        <w:rPr/>
        <w:t>。</w:t>
      </w:r>
      <w:r>
        <w:rPr>
          <w:w w:val="100"/>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日，公司第四届董事会</w:t>
      </w:r>
      <w:r>
        <w:rPr>
          <w:rFonts w:ascii="Times New Roman" w:hAnsi="Times New Roman" w:cs="Times New Roman" w:eastAsia="Times New Roman" w:hint="default"/>
        </w:rPr>
        <w:t>2013</w:t>
      </w:r>
      <w:r>
        <w:rPr/>
        <w:t>年第一次临时会议和第四届监事会</w:t>
      </w:r>
      <w:r>
        <w:rPr>
          <w:rFonts w:ascii="Times New Roman" w:hAnsi="Times New Roman" w:cs="Times New Roman" w:eastAsia="Times New Roman" w:hint="default"/>
        </w:rPr>
        <w:t>2013</w:t>
      </w:r>
      <w:r>
        <w:rPr/>
        <w:t>年第一次临时会议审议通</w:t>
      </w:r>
      <w:r>
        <w:rPr>
          <w:spacing w:val="-25"/>
        </w:rPr>
        <w:t> </w:t>
      </w:r>
      <w:r>
        <w:rPr>
          <w:spacing w:val="-25"/>
        </w:rPr>
      </w:r>
      <w:r>
        <w:rPr>
          <w:spacing w:val="-2"/>
        </w:rPr>
        <w:t>过了《关于股票期权激励计划所涉激励对象、期权数量和行权价格调整的议案》。经过本次调整后的股票</w:t>
      </w:r>
      <w:r>
        <w:rPr>
          <w:spacing w:val="-47"/>
        </w:rPr>
        <w:t> </w:t>
      </w:r>
      <w:r>
        <w:rPr>
          <w:spacing w:val="-47"/>
        </w:rPr>
      </w:r>
      <w:r>
        <w:rPr>
          <w:spacing w:val="-3"/>
        </w:rPr>
        <w:t>期权激励计划所涉首次授予的激励对象人数由</w:t>
      </w:r>
      <w:r>
        <w:rPr>
          <w:rFonts w:ascii="Times New Roman" w:hAnsi="Times New Roman" w:cs="Times New Roman" w:eastAsia="Times New Roman" w:hint="default"/>
          <w:spacing w:val="-3"/>
        </w:rPr>
        <w:t>196</w:t>
      </w:r>
      <w:r>
        <w:rPr>
          <w:spacing w:val="-3"/>
        </w:rPr>
        <w:t>人调整为</w:t>
      </w:r>
      <w:r>
        <w:rPr>
          <w:rFonts w:ascii="Times New Roman" w:hAnsi="Times New Roman" w:cs="Times New Roman" w:eastAsia="Times New Roman" w:hint="default"/>
          <w:spacing w:val="-3"/>
        </w:rPr>
        <w:t>188</w:t>
      </w:r>
      <w:r>
        <w:rPr>
          <w:spacing w:val="-3"/>
        </w:rPr>
        <w:t>人，激励对象总数由</w:t>
      </w:r>
      <w:r>
        <w:rPr>
          <w:rFonts w:ascii="Times New Roman" w:hAnsi="Times New Roman" w:cs="Times New Roman" w:eastAsia="Times New Roman" w:hint="default"/>
          <w:spacing w:val="-3"/>
        </w:rPr>
        <w:t>201</w:t>
      </w:r>
      <w:r>
        <w:rPr>
          <w:spacing w:val="-3"/>
        </w:rPr>
        <w:t>人调整为</w:t>
      </w:r>
      <w:r>
        <w:rPr>
          <w:rFonts w:ascii="Times New Roman" w:hAnsi="Times New Roman" w:cs="Times New Roman" w:eastAsia="Times New Roman" w:hint="default"/>
          <w:spacing w:val="-3"/>
        </w:rPr>
        <w:t>193</w:t>
      </w:r>
      <w:r>
        <w:rPr>
          <w:spacing w:val="-3"/>
        </w:rPr>
        <w:t>人；</w:t>
      </w:r>
      <w:r>
        <w:rPr>
          <w:spacing w:val="-57"/>
        </w:rPr>
        <w:t> </w:t>
      </w:r>
      <w:r>
        <w:rPr/>
        <w:t>所</w:t>
      </w:r>
      <w:r>
        <w:rPr>
          <w:spacing w:val="-34"/>
        </w:rPr>
        <w:t> </w:t>
      </w:r>
      <w:r>
        <w:rPr>
          <w:spacing w:val="-34"/>
        </w:rPr>
      </w:r>
      <w:r>
        <w:rPr>
          <w:spacing w:val="-2"/>
        </w:rPr>
        <w:t>涉期权总数调整为</w:t>
      </w:r>
      <w:r>
        <w:rPr>
          <w:rFonts w:ascii="Times New Roman" w:hAnsi="Times New Roman" w:cs="Times New Roman" w:eastAsia="Times New Roman" w:hint="default"/>
          <w:spacing w:val="-2"/>
        </w:rPr>
        <w:t>961.6</w:t>
      </w:r>
      <w:r>
        <w:rPr>
          <w:spacing w:val="-2"/>
        </w:rPr>
        <w:t>万份（资本公积转增股本影响），其中首次授予期权</w:t>
      </w:r>
      <w:r>
        <w:rPr>
          <w:rFonts w:ascii="Times New Roman" w:hAnsi="Times New Roman" w:cs="Times New Roman" w:eastAsia="Times New Roman" w:hint="default"/>
          <w:spacing w:val="-2"/>
        </w:rPr>
        <w:t>893.6</w:t>
      </w:r>
      <w:r>
        <w:rPr>
          <w:spacing w:val="-2"/>
        </w:rPr>
        <w:t>万份，预留期权</w:t>
      </w:r>
      <w:r>
        <w:rPr>
          <w:rFonts w:ascii="Times New Roman" w:hAnsi="Times New Roman" w:cs="Times New Roman" w:eastAsia="Times New Roman" w:hint="default"/>
          <w:spacing w:val="-2"/>
        </w:rPr>
        <w:t>68</w:t>
      </w:r>
      <w:r>
        <w:rPr>
          <w:spacing w:val="-2"/>
        </w:rPr>
        <w:t>万份；</w:t>
      </w:r>
      <w:r>
        <w:rPr>
          <w:spacing w:val="-36"/>
        </w:rPr>
        <w:t> </w:t>
      </w:r>
      <w:r>
        <w:rPr>
          <w:spacing w:val="-36"/>
        </w:rPr>
      </w:r>
      <w:r>
        <w:rPr/>
        <w:t>首次授予股票期权的行权价格由</w:t>
      </w:r>
      <w:r>
        <w:rPr>
          <w:rFonts w:ascii="Times New Roman" w:hAnsi="Times New Roman" w:cs="Times New Roman" w:eastAsia="Times New Roman" w:hint="default"/>
        </w:rPr>
        <w:t>27.81</w:t>
      </w:r>
      <w:r>
        <w:rPr/>
        <w:t>元调整为</w:t>
      </w:r>
      <w:r>
        <w:rPr>
          <w:rFonts w:ascii="Times New Roman" w:hAnsi="Times New Roman" w:cs="Times New Roman" w:eastAsia="Times New Roman" w:hint="default"/>
        </w:rPr>
        <w:t>13.86</w:t>
      </w:r>
      <w:r>
        <w:rPr/>
        <w:t>元（资本公积转增股本影响），预留期权的行权价格</w:t>
      </w:r>
      <w:r>
        <w:rPr>
          <w:spacing w:val="-25"/>
        </w:rPr>
        <w:t> </w:t>
      </w:r>
      <w:r>
        <w:rPr>
          <w:spacing w:val="-25"/>
        </w:rPr>
      </w:r>
      <w:r>
        <w:rPr/>
        <w:t>由</w:t>
      </w:r>
      <w:r>
        <w:rPr>
          <w:rFonts w:ascii="Times New Roman" w:hAnsi="Times New Roman" w:cs="Times New Roman" w:eastAsia="Times New Roman" w:hint="default"/>
        </w:rPr>
        <w:t>29.21</w:t>
      </w:r>
      <w:r>
        <w:rPr/>
        <w:t>元调整为</w:t>
      </w:r>
      <w:r>
        <w:rPr>
          <w:rFonts w:ascii="Times New Roman" w:hAnsi="Times New Roman" w:cs="Times New Roman" w:eastAsia="Times New Roman" w:hint="default"/>
        </w:rPr>
        <w:t>14.61</w:t>
      </w:r>
      <w:r>
        <w:rPr/>
        <w:t>元（资本公积转增股本影响）。</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6"/>
          <w:szCs w:val="16"/>
        </w:rPr>
      </w:pPr>
    </w:p>
    <w:p>
      <w:pPr>
        <w:pStyle w:val="BodyText"/>
        <w:spacing w:line="386" w:lineRule="auto"/>
        <w:ind w:right="100"/>
        <w:jc w:val="left"/>
      </w:pPr>
      <w:r>
        <w:rPr/>
        <w:t>由于首次授予的</w:t>
      </w:r>
      <w:r>
        <w:rPr>
          <w:rFonts w:ascii="Times New Roman" w:hAnsi="Times New Roman" w:cs="Times New Roman" w:eastAsia="Times New Roman" w:hint="default"/>
        </w:rPr>
        <w:t>919.2</w:t>
      </w:r>
      <w:r>
        <w:rPr/>
        <w:t>万份股票期权中</w:t>
      </w:r>
      <w:r>
        <w:rPr>
          <w:rFonts w:ascii="Times New Roman" w:hAnsi="Times New Roman" w:cs="Times New Roman" w:eastAsia="Times New Roman" w:hint="default"/>
        </w:rPr>
        <w:t>25.6</w:t>
      </w:r>
      <w:r>
        <w:rPr/>
        <w:t>万份对应的</w:t>
      </w:r>
      <w:r>
        <w:rPr>
          <w:rFonts w:ascii="Times New Roman" w:hAnsi="Times New Roman" w:cs="Times New Roman" w:eastAsia="Times New Roman" w:hint="default"/>
        </w:rPr>
        <w:t>8</w:t>
      </w:r>
      <w:r>
        <w:rPr/>
        <w:t>名激励对象在</w:t>
      </w:r>
      <w:r>
        <w:rPr>
          <w:rFonts w:ascii="Times New Roman" w:hAnsi="Times New Roman" w:cs="Times New Roman" w:eastAsia="Times New Roman" w:hint="default"/>
        </w:rPr>
        <w:t>2012</w:t>
      </w:r>
      <w:r>
        <w:rPr/>
        <w:t>年度内从公司离职，已不具备激</w:t>
      </w:r>
      <w:r>
        <w:rPr>
          <w:spacing w:val="-24"/>
        </w:rPr>
        <w:t> </w:t>
      </w:r>
      <w:r>
        <w:rPr>
          <w:spacing w:val="-24"/>
        </w:rPr>
      </w:r>
      <w:r>
        <w:rPr/>
        <w:t>励对象的资格，故对原估计的股票期权总成本进行调整。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386" w:lineRule="auto"/>
        <w:ind w:right="209"/>
        <w:jc w:val="both"/>
      </w:pPr>
      <w:r>
        <w:rPr/>
        <w:t>根据</w:t>
      </w:r>
      <w:r>
        <w:rPr>
          <w:rFonts w:ascii="Times New Roman" w:hAnsi="Times New Roman" w:cs="Times New Roman" w:eastAsia="Times New Roman" w:hint="default"/>
        </w:rPr>
        <w:t>B-S</w:t>
      </w:r>
      <w:r>
        <w:rPr>
          <w:rFonts w:ascii="Times New Roman" w:hAnsi="Times New Roman" w:cs="Times New Roman" w:eastAsia="Times New Roman" w:hint="default"/>
          <w:spacing w:val="11"/>
        </w:rPr>
        <w:t> </w:t>
      </w:r>
      <w:r>
        <w:rPr/>
        <w:t>模型估计的调整后的首次授予的</w:t>
      </w:r>
      <w:r>
        <w:rPr>
          <w:rFonts w:ascii="Times New Roman" w:hAnsi="Times New Roman" w:cs="Times New Roman" w:eastAsia="Times New Roman" w:hint="default"/>
        </w:rPr>
        <w:t>893.6</w:t>
      </w:r>
      <w:r>
        <w:rPr/>
        <w:t>万份股票期权总成本为</w:t>
      </w:r>
      <w:r>
        <w:rPr>
          <w:rFonts w:ascii="Times New Roman" w:hAnsi="Times New Roman" w:cs="Times New Roman" w:eastAsia="Times New Roman" w:hint="default"/>
        </w:rPr>
        <w:t>1,590.84</w:t>
      </w:r>
      <w:r>
        <w:rPr/>
        <w:t>万元。根据本次授予的期权</w:t>
      </w:r>
      <w:r>
        <w:rPr>
          <w:spacing w:val="-101"/>
        </w:rPr>
        <w:t> </w:t>
      </w:r>
      <w:r>
        <w:rPr>
          <w:spacing w:val="-101"/>
        </w:rPr>
      </w:r>
      <w:r>
        <w:rPr/>
        <w:t>数量，假设各期可行权的股票期权数量不发生变化，</w:t>
      </w:r>
      <w:r>
        <w:rPr>
          <w:spacing w:val="61"/>
        </w:rPr>
        <w:t> </w:t>
      </w:r>
      <w:r>
        <w:rPr/>
        <w:t>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日开始摊销，按照激励费用在等待</w:t>
      </w:r>
      <w:r>
        <w:rPr>
          <w:spacing w:val="-91"/>
        </w:rPr>
        <w:t> </w:t>
      </w:r>
      <w:r>
        <w:rPr>
          <w:spacing w:val="-91"/>
        </w:rPr>
      </w:r>
      <w:r>
        <w:rPr/>
        <w:t>期内平均分摊的原则，则各期分摊的激励成本情况如下：</w:t>
      </w:r>
    </w:p>
    <w:p>
      <w:pPr>
        <w:spacing w:line="240" w:lineRule="auto" w:before="12"/>
        <w:rPr>
          <w:rFonts w:ascii="宋体" w:hAnsi="宋体" w:cs="宋体" w:eastAsia="宋体" w:hint="default"/>
          <w:sz w:val="23"/>
          <w:szCs w:val="23"/>
        </w:rPr>
      </w:pPr>
    </w:p>
    <w:tbl>
      <w:tblPr>
        <w:tblW w:w="0" w:type="auto"/>
        <w:jc w:val="left"/>
        <w:tblInd w:w="894" w:type="dxa"/>
        <w:tblLayout w:type="fixed"/>
        <w:tblCellMar>
          <w:top w:w="0" w:type="dxa"/>
          <w:left w:w="0" w:type="dxa"/>
          <w:bottom w:w="0" w:type="dxa"/>
          <w:right w:w="0" w:type="dxa"/>
        </w:tblCellMar>
        <w:tblLook w:val="01E0"/>
      </w:tblPr>
      <w:tblGrid>
        <w:gridCol w:w="2103"/>
        <w:gridCol w:w="1183"/>
        <w:gridCol w:w="1476"/>
        <w:gridCol w:w="1694"/>
        <w:gridCol w:w="1683"/>
      </w:tblGrid>
      <w:tr>
        <w:trPr>
          <w:trHeight w:val="348" w:hRule="exact"/>
        </w:trPr>
        <w:tc>
          <w:tcPr>
            <w:tcW w:w="2103"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9" w:right="0"/>
              <w:jc w:val="left"/>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个月分摊</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7"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12-24</w:t>
            </w:r>
            <w:r>
              <w:rPr>
                <w:rFonts w:ascii="宋体" w:hAnsi="宋体" w:cs="宋体" w:eastAsia="宋体" w:hint="default"/>
                <w:sz w:val="18"/>
                <w:szCs w:val="18"/>
              </w:rPr>
              <w:t>个月分摊</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5"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24-36</w:t>
            </w:r>
            <w:r>
              <w:rPr>
                <w:rFonts w:ascii="宋体" w:hAnsi="宋体" w:cs="宋体" w:eastAsia="宋体" w:hint="default"/>
                <w:sz w:val="18"/>
                <w:szCs w:val="18"/>
              </w:rPr>
              <w:t>个月分摊</w:t>
            </w:r>
          </w:p>
        </w:tc>
      </w:tr>
      <w:tr>
        <w:trPr>
          <w:trHeight w:val="346"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center"/>
              <w:rPr>
                <w:rFonts w:ascii="宋体" w:hAnsi="宋体" w:cs="宋体" w:eastAsia="宋体" w:hint="default"/>
                <w:sz w:val="18"/>
                <w:szCs w:val="18"/>
              </w:rPr>
            </w:pPr>
            <w:r>
              <w:rPr>
                <w:rFonts w:ascii="宋体" w:hAnsi="宋体" w:cs="宋体" w:eastAsia="宋体" w:hint="default"/>
                <w:sz w:val="18"/>
                <w:szCs w:val="18"/>
              </w:rPr>
              <w:t>第一批期权成本（万元）</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462.86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462.86</w:t>
            </w:r>
          </w:p>
        </w:tc>
        <w:tc>
          <w:tcPr>
            <w:tcW w:w="1694" w:type="dxa"/>
            <w:tcBorders>
              <w:top w:val="single" w:sz="6" w:space="0" w:color="000000"/>
              <w:left w:val="single" w:sz="6" w:space="0" w:color="000000"/>
              <w:bottom w:val="single" w:sz="6" w:space="0" w:color="000000"/>
              <w:right w:val="single" w:sz="6" w:space="0" w:color="000000"/>
            </w:tcBorders>
          </w:tcPr>
          <w:p>
            <w:pPr/>
          </w:p>
        </w:tc>
        <w:tc>
          <w:tcPr>
            <w:tcW w:w="1683"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6"/>
              <w:jc w:val="center"/>
              <w:rPr>
                <w:rFonts w:ascii="宋体" w:hAnsi="宋体" w:cs="宋体" w:eastAsia="宋体" w:hint="default"/>
                <w:sz w:val="18"/>
                <w:szCs w:val="18"/>
              </w:rPr>
            </w:pPr>
            <w:r>
              <w:rPr>
                <w:rFonts w:ascii="宋体" w:hAnsi="宋体" w:cs="宋体" w:eastAsia="宋体" w:hint="default"/>
                <w:sz w:val="18"/>
                <w:szCs w:val="18"/>
              </w:rPr>
              <w:t>第二批期权成本（万元）</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497.32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248.66</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248.66</w:t>
            </w:r>
          </w:p>
        </w:tc>
        <w:tc>
          <w:tcPr>
            <w:tcW w:w="168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center"/>
              <w:rPr>
                <w:rFonts w:ascii="宋体" w:hAnsi="宋体" w:cs="宋体" w:eastAsia="宋体" w:hint="default"/>
                <w:sz w:val="18"/>
                <w:szCs w:val="18"/>
              </w:rPr>
            </w:pPr>
            <w:r>
              <w:rPr>
                <w:rFonts w:ascii="宋体" w:hAnsi="宋体" w:cs="宋体" w:eastAsia="宋体" w:hint="default"/>
                <w:sz w:val="18"/>
                <w:szCs w:val="18"/>
              </w:rPr>
              <w:t>第三批期权成本（万元）</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630.66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210.22</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210.22</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210.22</w:t>
            </w:r>
          </w:p>
        </w:tc>
      </w:tr>
      <w:tr>
        <w:trPr>
          <w:trHeight w:val="348"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合计（万元）</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1590.84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921.74</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458.88</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210.22</w:t>
            </w:r>
          </w:p>
        </w:tc>
      </w:tr>
    </w:tbl>
    <w:p>
      <w:pPr>
        <w:spacing w:line="240" w:lineRule="auto" w:before="13"/>
        <w:rPr>
          <w:rFonts w:ascii="宋体" w:hAnsi="宋体" w:cs="宋体" w:eastAsia="宋体" w:hint="default"/>
          <w:sz w:val="25"/>
          <w:szCs w:val="25"/>
        </w:rPr>
      </w:pPr>
    </w:p>
    <w:p>
      <w:pPr>
        <w:pStyle w:val="BodyText"/>
        <w:spacing w:line="240" w:lineRule="auto" w:before="36"/>
        <w:ind w:right="100"/>
        <w:jc w:val="left"/>
      </w:pPr>
      <w:r>
        <w:rPr/>
        <w:t>由于分摊的跨期效应，对各期会计成本的影响如下表：</w:t>
      </w:r>
    </w:p>
    <w:p>
      <w:pPr>
        <w:spacing w:line="240" w:lineRule="auto" w:before="11"/>
        <w:rPr>
          <w:rFonts w:ascii="宋体" w:hAnsi="宋体" w:cs="宋体" w:eastAsia="宋体" w:hint="default"/>
          <w:sz w:val="9"/>
          <w:szCs w:val="9"/>
        </w:rPr>
      </w:pPr>
    </w:p>
    <w:tbl>
      <w:tblPr>
        <w:tblW w:w="0" w:type="auto"/>
        <w:jc w:val="left"/>
        <w:tblInd w:w="1091" w:type="dxa"/>
        <w:tblLayout w:type="fixed"/>
        <w:tblCellMar>
          <w:top w:w="0" w:type="dxa"/>
          <w:left w:w="0" w:type="dxa"/>
          <w:bottom w:w="0" w:type="dxa"/>
          <w:right w:w="0" w:type="dxa"/>
        </w:tblCellMar>
        <w:tblLook w:val="01E0"/>
      </w:tblPr>
      <w:tblGrid>
        <w:gridCol w:w="1656"/>
        <w:gridCol w:w="1537"/>
        <w:gridCol w:w="1618"/>
        <w:gridCol w:w="1500"/>
        <w:gridCol w:w="1436"/>
      </w:tblGrid>
      <w:tr>
        <w:trPr>
          <w:trHeight w:val="348" w:hRule="exact"/>
        </w:trPr>
        <w:tc>
          <w:tcPr>
            <w:tcW w:w="1656"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3" w:right="0"/>
              <w:jc w:val="left"/>
              <w:rPr>
                <w:rFonts w:ascii="宋体" w:hAnsi="宋体" w:cs="宋体" w:eastAsia="宋体" w:hint="default"/>
                <w:sz w:val="18"/>
                <w:szCs w:val="18"/>
              </w:rPr>
            </w:pPr>
            <w:r>
              <w:rPr>
                <w:rFonts w:ascii="宋体" w:hAnsi="宋体" w:cs="宋体" w:eastAsia="宋体" w:hint="default"/>
                <w:sz w:val="18"/>
                <w:szCs w:val="18"/>
              </w:rPr>
              <w:t>第一年（注）</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32" w:right="0"/>
              <w:jc w:val="left"/>
              <w:rPr>
                <w:rFonts w:ascii="宋体" w:hAnsi="宋体" w:cs="宋体" w:eastAsia="宋体" w:hint="default"/>
                <w:sz w:val="18"/>
                <w:szCs w:val="18"/>
              </w:rPr>
            </w:pPr>
            <w:r>
              <w:rPr>
                <w:rFonts w:ascii="宋体" w:hAnsi="宋体" w:cs="宋体" w:eastAsia="宋体" w:hint="default"/>
                <w:sz w:val="18"/>
                <w:szCs w:val="18"/>
              </w:rPr>
              <w:t>第二年</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2" w:right="0"/>
              <w:jc w:val="left"/>
              <w:rPr>
                <w:rFonts w:ascii="宋体" w:hAnsi="宋体" w:cs="宋体" w:eastAsia="宋体" w:hint="default"/>
                <w:sz w:val="18"/>
                <w:szCs w:val="18"/>
              </w:rPr>
            </w:pPr>
            <w:r>
              <w:rPr>
                <w:rFonts w:ascii="宋体" w:hAnsi="宋体" w:cs="宋体" w:eastAsia="宋体" w:hint="default"/>
                <w:sz w:val="18"/>
                <w:szCs w:val="18"/>
              </w:rPr>
              <w:t>第三年</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42" w:right="0"/>
              <w:jc w:val="left"/>
              <w:rPr>
                <w:rFonts w:ascii="宋体" w:hAnsi="宋体" w:cs="宋体" w:eastAsia="宋体" w:hint="default"/>
                <w:sz w:val="18"/>
                <w:szCs w:val="18"/>
              </w:rPr>
            </w:pPr>
            <w:r>
              <w:rPr>
                <w:rFonts w:ascii="宋体" w:hAnsi="宋体" w:cs="宋体" w:eastAsia="宋体" w:hint="default"/>
                <w:sz w:val="18"/>
                <w:szCs w:val="18"/>
              </w:rPr>
              <w:t>第四年</w:t>
            </w:r>
          </w:p>
        </w:tc>
      </w:tr>
      <w:tr>
        <w:trPr>
          <w:trHeight w:val="346" w:hRule="exact"/>
        </w:trPr>
        <w:tc>
          <w:tcPr>
            <w:tcW w:w="1656"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r>
      <w:tr>
        <w:trPr>
          <w:trHeight w:val="34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成本分摊（万元）</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181.82</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830.19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88" w:right="0"/>
              <w:jc w:val="left"/>
              <w:rPr>
                <w:rFonts w:ascii="Times New Roman" w:hAnsi="Times New Roman" w:cs="Times New Roman" w:eastAsia="Times New Roman" w:hint="default"/>
                <w:sz w:val="18"/>
                <w:szCs w:val="18"/>
              </w:rPr>
            </w:pPr>
            <w:r>
              <w:rPr>
                <w:rFonts w:ascii="Times New Roman"/>
                <w:sz w:val="18"/>
              </w:rPr>
              <w:t>410.08</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24" w:right="0"/>
              <w:jc w:val="left"/>
              <w:rPr>
                <w:rFonts w:ascii="Times New Roman" w:hAnsi="Times New Roman" w:cs="Times New Roman" w:eastAsia="Times New Roman" w:hint="default"/>
                <w:sz w:val="18"/>
                <w:szCs w:val="18"/>
              </w:rPr>
            </w:pPr>
            <w:r>
              <w:rPr>
                <w:rFonts w:ascii="Times New Roman"/>
                <w:sz w:val="18"/>
              </w:rPr>
              <w:t>168.75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386" w:lineRule="auto" w:before="175"/>
        <w:ind w:right="148"/>
        <w:jc w:val="both"/>
      </w:pPr>
      <w:r>
        <w:rPr>
          <w:spacing w:val="-2"/>
        </w:rPr>
        <w:t>注：</w:t>
      </w:r>
      <w:r>
        <w:rPr>
          <w:rFonts w:ascii="Times New Roman" w:hAnsi="Times New Roman" w:cs="Times New Roman" w:eastAsia="Times New Roman" w:hint="default"/>
          <w:spacing w:val="-2"/>
        </w:rPr>
        <w:t>2011</w:t>
      </w:r>
      <w:r>
        <w:rPr>
          <w:spacing w:val="-2"/>
        </w:rPr>
        <w:t>年度原测算的激励成本</w:t>
      </w:r>
      <w:r>
        <w:rPr>
          <w:rFonts w:ascii="Times New Roman" w:hAnsi="Times New Roman" w:cs="Times New Roman" w:eastAsia="Times New Roman" w:hint="default"/>
          <w:spacing w:val="-2"/>
        </w:rPr>
        <w:t>188.82</w:t>
      </w:r>
      <w:r>
        <w:rPr>
          <w:spacing w:val="-2"/>
        </w:rPr>
        <w:t>万元与本次测算的激励成本</w:t>
      </w:r>
      <w:r>
        <w:rPr>
          <w:rFonts w:ascii="Times New Roman" w:hAnsi="Times New Roman" w:cs="Times New Roman" w:eastAsia="Times New Roman" w:hint="default"/>
          <w:spacing w:val="-2"/>
        </w:rPr>
        <w:t>181.82</w:t>
      </w:r>
      <w:r>
        <w:rPr>
          <w:spacing w:val="-2"/>
        </w:rPr>
        <w:t>万元的差额</w:t>
      </w:r>
      <w:r>
        <w:rPr>
          <w:rFonts w:ascii="Times New Roman" w:hAnsi="Times New Roman" w:cs="Times New Roman" w:eastAsia="Times New Roman" w:hint="default"/>
          <w:spacing w:val="-2"/>
        </w:rPr>
        <w:t>7</w:t>
      </w:r>
      <w:r>
        <w:rPr>
          <w:spacing w:val="-2"/>
        </w:rPr>
        <w:t>万元已计入</w:t>
      </w:r>
      <w:r>
        <w:rPr>
          <w:rFonts w:ascii="Times New Roman" w:hAnsi="Times New Roman" w:cs="Times New Roman" w:eastAsia="Times New Roman" w:hint="default"/>
          <w:spacing w:val="-2"/>
        </w:rPr>
        <w:t>2012</w:t>
      </w:r>
      <w:r>
        <w:rPr>
          <w:spacing w:val="-2"/>
        </w:rPr>
        <w:t>年当</w:t>
      </w:r>
      <w:r>
        <w:rPr>
          <w:spacing w:val="-25"/>
        </w:rPr>
        <w:t> </w:t>
      </w:r>
      <w:r>
        <w:rPr/>
        <w:t>期的激励成本中。</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386" w:lineRule="auto"/>
        <w:ind w:right="148"/>
        <w:jc w:val="both"/>
      </w:pPr>
      <w:r>
        <w:rPr/>
        <w:t>根据</w:t>
      </w:r>
      <w:r>
        <w:rPr>
          <w:rFonts w:ascii="Times New Roman" w:hAnsi="Times New Roman" w:cs="Times New Roman" w:eastAsia="Times New Roman" w:hint="default"/>
        </w:rPr>
        <w:t>B-S </w:t>
      </w:r>
      <w:r>
        <w:rPr/>
        <w:t>模型估计的调整后的</w:t>
      </w:r>
      <w:r>
        <w:rPr>
          <w:rFonts w:ascii="Times New Roman" w:hAnsi="Times New Roman" w:cs="Times New Roman" w:eastAsia="Times New Roman" w:hint="default"/>
        </w:rPr>
        <w:t>68</w:t>
      </w:r>
      <w:r>
        <w:rPr/>
        <w:t>万份预留股票期权总成本为</w:t>
      </w:r>
      <w:r>
        <w:rPr>
          <w:rFonts w:ascii="Times New Roman" w:hAnsi="Times New Roman" w:cs="Times New Roman" w:eastAsia="Times New Roman" w:hint="default"/>
        </w:rPr>
        <w:t>216.20</w:t>
      </w:r>
      <w:r>
        <w:rPr/>
        <w:t>万元。根据本次授予的期权数量，假设</w:t>
      </w:r>
      <w:r>
        <w:rPr>
          <w:spacing w:val="-89"/>
        </w:rPr>
        <w:t> </w:t>
      </w:r>
      <w:r>
        <w:rPr>
          <w:spacing w:val="-89"/>
        </w:rPr>
      </w:r>
      <w:r>
        <w:rPr/>
        <w:t>各期可行权的股票期权数量不发生变化，</w:t>
      </w:r>
      <w:r>
        <w:rPr>
          <w:spacing w:val="-30"/>
        </w:rPr>
        <w:t> </w:t>
      </w:r>
      <w:r>
        <w:rPr/>
        <w:t>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日开始摊销，按照激励费用在等待期内平均分摊</w:t>
      </w:r>
      <w:r>
        <w:rPr>
          <w:w w:val="100"/>
        </w:rPr>
        <w:t> </w:t>
      </w:r>
      <w:r>
        <w:rPr/>
        <w:t>的原则，则各期分摊的激励成本情况如下：</w:t>
      </w:r>
    </w:p>
    <w:tbl>
      <w:tblPr>
        <w:tblW w:w="0" w:type="auto"/>
        <w:jc w:val="left"/>
        <w:tblInd w:w="1441" w:type="dxa"/>
        <w:tblLayout w:type="fixed"/>
        <w:tblCellMar>
          <w:top w:w="0" w:type="dxa"/>
          <w:left w:w="0" w:type="dxa"/>
          <w:bottom w:w="0" w:type="dxa"/>
          <w:right w:w="0" w:type="dxa"/>
        </w:tblCellMar>
        <w:tblLook w:val="01E0"/>
      </w:tblPr>
      <w:tblGrid>
        <w:gridCol w:w="2511"/>
        <w:gridCol w:w="1296"/>
        <w:gridCol w:w="1388"/>
        <w:gridCol w:w="1851"/>
      </w:tblGrid>
      <w:tr>
        <w:trPr>
          <w:trHeight w:val="348" w:hRule="exact"/>
        </w:trPr>
        <w:tc>
          <w:tcPr>
            <w:tcW w:w="251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个月分摊</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59"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12-24</w:t>
            </w:r>
            <w:r>
              <w:rPr>
                <w:rFonts w:ascii="宋体" w:hAnsi="宋体" w:cs="宋体" w:eastAsia="宋体" w:hint="default"/>
                <w:sz w:val="18"/>
                <w:szCs w:val="18"/>
              </w:rPr>
              <w:t>个月分摊</w:t>
            </w:r>
          </w:p>
        </w:tc>
      </w:tr>
      <w:tr>
        <w:trPr>
          <w:trHeight w:val="346" w:hRule="exact"/>
        </w:trPr>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第一批期权成本（万元）</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95.69</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95.69</w:t>
            </w:r>
          </w:p>
        </w:tc>
        <w:tc>
          <w:tcPr>
            <w:tcW w:w="185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第二批期权成本（万元）</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120.52</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60.26</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60.26</w:t>
            </w:r>
          </w:p>
        </w:tc>
      </w:tr>
      <w:tr>
        <w:trPr>
          <w:trHeight w:val="349" w:hRule="exact"/>
        </w:trPr>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708" w:right="0"/>
              <w:jc w:val="left"/>
              <w:rPr>
                <w:rFonts w:ascii="宋体" w:hAnsi="宋体" w:cs="宋体" w:eastAsia="宋体" w:hint="default"/>
                <w:sz w:val="18"/>
                <w:szCs w:val="18"/>
              </w:rPr>
            </w:pPr>
            <w:r>
              <w:rPr>
                <w:rFonts w:ascii="宋体" w:hAnsi="宋体" w:cs="宋体" w:eastAsia="宋体" w:hint="default"/>
                <w:sz w:val="18"/>
                <w:szCs w:val="18"/>
              </w:rPr>
              <w:t>合计（万元）</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216.20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155.94</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60.26</w:t>
            </w: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t>由于分摊的跨期效应，对各期会计成本的影响如下表：</w:t>
      </w:r>
    </w:p>
    <w:p>
      <w:pPr>
        <w:spacing w:line="240" w:lineRule="auto" w:before="10"/>
        <w:rPr>
          <w:rFonts w:ascii="宋体" w:hAnsi="宋体" w:cs="宋体" w:eastAsia="宋体" w:hint="default"/>
          <w:sz w:val="3"/>
          <w:szCs w:val="3"/>
        </w:rPr>
      </w:pPr>
    </w:p>
    <w:tbl>
      <w:tblPr>
        <w:tblW w:w="0" w:type="auto"/>
        <w:jc w:val="left"/>
        <w:tblInd w:w="1516" w:type="dxa"/>
        <w:tblLayout w:type="fixed"/>
        <w:tblCellMar>
          <w:top w:w="0" w:type="dxa"/>
          <w:left w:w="0" w:type="dxa"/>
          <w:bottom w:w="0" w:type="dxa"/>
          <w:right w:w="0" w:type="dxa"/>
        </w:tblCellMar>
        <w:tblLook w:val="01E0"/>
      </w:tblPr>
      <w:tblGrid>
        <w:gridCol w:w="2458"/>
        <w:gridCol w:w="1274"/>
        <w:gridCol w:w="1419"/>
        <w:gridCol w:w="1748"/>
      </w:tblGrid>
      <w:tr>
        <w:trPr>
          <w:trHeight w:val="346" w:hRule="exact"/>
        </w:trPr>
        <w:tc>
          <w:tcPr>
            <w:tcW w:w="245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第一年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32" w:right="0"/>
              <w:jc w:val="left"/>
              <w:rPr>
                <w:rFonts w:ascii="宋体" w:hAnsi="宋体" w:cs="宋体" w:eastAsia="宋体" w:hint="default"/>
                <w:sz w:val="18"/>
                <w:szCs w:val="18"/>
              </w:rPr>
            </w:pPr>
            <w:r>
              <w:rPr>
                <w:rFonts w:ascii="宋体" w:hAnsi="宋体" w:cs="宋体" w:eastAsia="宋体" w:hint="default"/>
                <w:sz w:val="18"/>
                <w:szCs w:val="18"/>
              </w:rPr>
              <w:t>第二年</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第三年</w:t>
            </w:r>
          </w:p>
        </w:tc>
      </w:tr>
      <w:tr>
        <w:trPr>
          <w:trHeight w:val="348" w:hRule="exact"/>
        </w:trPr>
        <w:tc>
          <w:tcPr>
            <w:tcW w:w="245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r>
      <w:tr>
        <w:trPr>
          <w:trHeight w:val="3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成本分摊（万元）</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47.85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05" w:right="0"/>
              <w:jc w:val="left"/>
              <w:rPr>
                <w:rFonts w:ascii="Times New Roman" w:hAnsi="Times New Roman" w:cs="Times New Roman" w:eastAsia="Times New Roman" w:hint="default"/>
                <w:sz w:val="18"/>
                <w:szCs w:val="18"/>
              </w:rPr>
            </w:pPr>
            <w:r>
              <w:rPr>
                <w:rFonts w:ascii="Times New Roman"/>
                <w:sz w:val="18"/>
              </w:rPr>
              <w:t>126.58</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41.77</w:t>
            </w:r>
          </w:p>
        </w:tc>
      </w:tr>
    </w:tbl>
    <w:p>
      <w:pPr>
        <w:spacing w:line="240" w:lineRule="auto" w:before="2"/>
        <w:rPr>
          <w:rFonts w:ascii="宋体" w:hAnsi="宋体" w:cs="宋体" w:eastAsia="宋体"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股权激励事项临时报告披露网站查询</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10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万达信息股份有限公司关于股票期权激 励计划预留期权授予的公告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pacing w:val="-1"/>
                  <w:sz w:val="18"/>
                  <w:szCs w:val="18"/>
                </w:rPr>
                <w:t>http://www.cninfo.com.cn/finalpage/2012-</w:t>
              </w:r>
            </w:hyperlink>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3"/>
                <w:sz w:val="18"/>
                <w:szCs w:val="18"/>
              </w:rPr>
            </w:r>
            <w:r>
              <w:rPr>
                <w:rFonts w:ascii="Times New Roman" w:hAnsi="Times New Roman" w:cs="Times New Roman" w:eastAsia="Times New Roman" w:hint="default"/>
                <w:sz w:val="18"/>
                <w:szCs w:val="18"/>
              </w:rPr>
              <w:t>09-11/61558355.PDF</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万达信息股份有限公司关于股票期权激 励计划预留期权完成授予登记的公告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49"/>
              <w:ind w:left="23"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pacing w:val="-1"/>
                  <w:sz w:val="18"/>
                  <w:szCs w:val="18"/>
                </w:rPr>
                <w:t>http://www.cninfo.com.cn/finalpage/2012-</w:t>
              </w:r>
            </w:hyperlink>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3"/>
                <w:sz w:val="18"/>
                <w:szCs w:val="18"/>
              </w:rPr>
            </w:r>
            <w:r>
              <w:rPr>
                <w:rFonts w:ascii="Times New Roman" w:hAnsi="Times New Roman" w:cs="Times New Roman" w:eastAsia="Times New Roman" w:hint="default"/>
                <w:sz w:val="18"/>
                <w:szCs w:val="18"/>
              </w:rPr>
              <w:t>09-25/61604046.PDF</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1"/>
        <w:gridCol w:w="799"/>
        <w:gridCol w:w="794"/>
        <w:gridCol w:w="817"/>
        <w:gridCol w:w="797"/>
        <w:gridCol w:w="799"/>
        <w:gridCol w:w="797"/>
        <w:gridCol w:w="799"/>
        <w:gridCol w:w="797"/>
        <w:gridCol w:w="800"/>
        <w:gridCol w:w="797"/>
        <w:gridCol w:w="785"/>
      </w:tblGrid>
      <w:tr>
        <w:trPr>
          <w:trHeight w:val="1649"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301" w:right="29"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215"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3" w:right="33"/>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6"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35" w:right="32"/>
              <w:jc w:val="left"/>
              <w:rPr>
                <w:rFonts w:ascii="宋体" w:hAnsi="宋体" w:cs="宋体" w:eastAsia="宋体" w:hint="default"/>
                <w:sz w:val="18"/>
                <w:szCs w:val="18"/>
              </w:rPr>
            </w:pPr>
            <w:r>
              <w:rPr>
                <w:rFonts w:ascii="宋体" w:hAnsi="宋体" w:cs="宋体" w:eastAsia="宋体" w:hint="default"/>
                <w:sz w:val="18"/>
                <w:szCs w:val="18"/>
              </w:rPr>
              <w:t>对公司利 润的影响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6"/>
              <w:jc w:val="center"/>
              <w:rPr>
                <w:rFonts w:ascii="宋体" w:hAnsi="宋体" w:cs="宋体" w:eastAsia="宋体" w:hint="default"/>
                <w:sz w:val="18"/>
                <w:szCs w:val="18"/>
              </w:rPr>
            </w:pPr>
            <w:r>
              <w:rPr>
                <w:rFonts w:ascii="宋体" w:hAnsi="宋体" w:cs="宋体" w:eastAsia="宋体" w:hint="default"/>
                <w:sz w:val="18"/>
                <w:szCs w:val="18"/>
              </w:rPr>
              <w:t>交易价格 与市场参 考价格差 异较大的 原因</w:t>
            </w:r>
          </w:p>
        </w:tc>
      </w:tr>
      <w:tr>
        <w:trPr>
          <w:trHeight w:val="403" w:hRule="exact"/>
        </w:trPr>
        <w:tc>
          <w:tcPr>
            <w:tcW w:w="320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报告期内公司向关联方销售（采购）产品和提供（接受）劳务的情况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8"/>
        <w:gridCol w:w="1858"/>
        <w:gridCol w:w="1856"/>
        <w:gridCol w:w="1827"/>
        <w:gridCol w:w="1831"/>
      </w:tblGrid>
      <w:tr>
        <w:trPr>
          <w:trHeight w:val="413" w:hRule="exact"/>
        </w:trPr>
        <w:tc>
          <w:tcPr>
            <w:tcW w:w="2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386" w:hRule="exact"/>
        </w:trPr>
        <w:tc>
          <w:tcPr>
            <w:tcW w:w="2198" w:type="dxa"/>
            <w:vMerge/>
            <w:tcBorders>
              <w:left w:val="single" w:sz="4" w:space="0" w:color="000000"/>
              <w:bottom w:val="single" w:sz="4" w:space="0" w:color="000000"/>
              <w:right w:val="single" w:sz="4" w:space="0" w:color="000000"/>
            </w:tcBorders>
            <w:shd w:val="clear" w:color="auto" w:fill="D2D2D2"/>
          </w:tcPr>
          <w:p>
            <w:pP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04"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占同类交易金额的比例</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89"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占同类交易金额的比</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9"/>
        <w:gridCol w:w="1858"/>
        <w:gridCol w:w="1856"/>
        <w:gridCol w:w="1827"/>
        <w:gridCol w:w="1829"/>
      </w:tblGrid>
      <w:tr>
        <w:trPr>
          <w:trHeight w:val="36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r>
        <w:trPr>
          <w:trHeight w:val="401"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其中：报告期内公司向控股股东及其子公司销售产品或提供劳务的关联交易金额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1674" w:firstLine="0"/>
        <w:jc w:val="left"/>
        <w:rPr>
          <w:rFonts w:ascii="宋体" w:hAnsi="宋体" w:cs="宋体" w:eastAsia="宋体" w:hint="default"/>
          <w:sz w:val="18"/>
          <w:szCs w:val="18"/>
        </w:rPr>
      </w:pPr>
      <w:r>
        <w:rPr>
          <w:rFonts w:ascii="宋体" w:hAnsi="宋体" w:cs="宋体" w:eastAsia="宋体" w:hint="default"/>
          <w:sz w:val="18"/>
          <w:szCs w:val="18"/>
        </w:rPr>
        <w:t>资产收购、出售发生的关联交易价格与账面价值或评估价值、市场公允价值差异较大的，应当说明原因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共同对外投资的重大关联交易情况说明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2"/>
        <w:gridCol w:w="1112"/>
        <w:gridCol w:w="648"/>
        <w:gridCol w:w="509"/>
        <w:gridCol w:w="444"/>
        <w:gridCol w:w="562"/>
        <w:gridCol w:w="509"/>
        <w:gridCol w:w="538"/>
        <w:gridCol w:w="646"/>
        <w:gridCol w:w="506"/>
        <w:gridCol w:w="449"/>
        <w:gridCol w:w="564"/>
        <w:gridCol w:w="509"/>
        <w:gridCol w:w="446"/>
      </w:tblGrid>
      <w:tr>
        <w:trPr>
          <w:trHeight w:val="402"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320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向关联方提供资金（万元）</w:t>
            </w:r>
          </w:p>
        </w:tc>
        <w:tc>
          <w:tcPr>
            <w:tcW w:w="312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关联方向上市公司提供资金（万元）</w:t>
            </w:r>
          </w:p>
        </w:tc>
      </w:tr>
      <w:tr>
        <w:trPr>
          <w:trHeight w:val="713"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112" w:type="dxa"/>
            <w:vMerge/>
            <w:tcBorders>
              <w:left w:val="single" w:sz="4" w:space="0" w:color="000000"/>
              <w:bottom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67" w:hanging="89"/>
              <w:jc w:val="left"/>
              <w:rPr>
                <w:rFonts w:ascii="宋体" w:hAnsi="宋体" w:cs="宋体" w:eastAsia="宋体" w:hint="default"/>
                <w:sz w:val="18"/>
                <w:szCs w:val="18"/>
              </w:rPr>
            </w:pPr>
            <w:r>
              <w:rPr>
                <w:rFonts w:ascii="宋体" w:hAnsi="宋体" w:cs="宋体" w:eastAsia="宋体" w:hint="default"/>
                <w:sz w:val="18"/>
                <w:szCs w:val="18"/>
              </w:rPr>
              <w:t>发生 额</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偿还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4"/>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3"/>
              <w:jc w:val="left"/>
              <w:rPr>
                <w:rFonts w:ascii="宋体" w:hAnsi="宋体" w:cs="宋体" w:eastAsia="宋体" w:hint="default"/>
                <w:sz w:val="18"/>
                <w:szCs w:val="18"/>
              </w:rPr>
            </w:pPr>
            <w:r>
              <w:rPr>
                <w:rFonts w:ascii="宋体" w:hAnsi="宋体" w:cs="宋体" w:eastAsia="宋体" w:hint="default"/>
                <w:sz w:val="18"/>
                <w:szCs w:val="18"/>
              </w:rPr>
              <w:t>利息 支出</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8" w:right="47"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65" w:hanging="89"/>
              <w:jc w:val="left"/>
              <w:rPr>
                <w:rFonts w:ascii="宋体" w:hAnsi="宋体" w:cs="宋体" w:eastAsia="宋体" w:hint="default"/>
                <w:sz w:val="18"/>
                <w:szCs w:val="18"/>
              </w:rPr>
            </w:pPr>
            <w:r>
              <w:rPr>
                <w:rFonts w:ascii="宋体" w:hAnsi="宋体" w:cs="宋体" w:eastAsia="宋体" w:hint="default"/>
                <w:sz w:val="18"/>
                <w:szCs w:val="18"/>
              </w:rPr>
              <w:t>发生 额</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0" w:right="38" w:hanging="90"/>
              <w:jc w:val="left"/>
              <w:rPr>
                <w:rFonts w:ascii="宋体" w:hAnsi="宋体" w:cs="宋体" w:eastAsia="宋体" w:hint="default"/>
                <w:sz w:val="18"/>
                <w:szCs w:val="18"/>
              </w:rPr>
            </w:pPr>
            <w:r>
              <w:rPr>
                <w:rFonts w:ascii="宋体" w:hAnsi="宋体" w:cs="宋体" w:eastAsia="宋体" w:hint="default"/>
                <w:sz w:val="18"/>
                <w:szCs w:val="18"/>
              </w:rPr>
              <w:t>偿还 额</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5"/>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36"/>
              <w:jc w:val="left"/>
              <w:rPr>
                <w:rFonts w:ascii="宋体" w:hAnsi="宋体" w:cs="宋体" w:eastAsia="宋体" w:hint="default"/>
                <w:sz w:val="18"/>
                <w:szCs w:val="18"/>
              </w:rPr>
            </w:pPr>
            <w:r>
              <w:rPr>
                <w:rFonts w:ascii="宋体" w:hAnsi="宋体" w:cs="宋体" w:eastAsia="宋体" w:hint="default"/>
                <w:sz w:val="18"/>
                <w:szCs w:val="18"/>
              </w:rPr>
              <w:t>利息 支出</w:t>
            </w:r>
          </w:p>
        </w:tc>
      </w:tr>
      <w:tr>
        <w:trPr>
          <w:trHeight w:val="403" w:hRule="exact"/>
        </w:trPr>
        <w:tc>
          <w:tcPr>
            <w:tcW w:w="9573"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非经营性</w:t>
            </w:r>
          </w:p>
        </w:tc>
      </w:tr>
      <w:tr>
        <w:trPr>
          <w:trHeight w:val="1025"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杭州万达信息系统有限公 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5,687,3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07.59</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44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7,342,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479.5</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上海万达信息系统有限公 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382,934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.56</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5,933,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439.3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44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6,316,</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373.9</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深圳市万达计算机软件有 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1,516,4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39.97</w:t>
            </w:r>
          </w:p>
        </w:tc>
        <w:tc>
          <w:tcPr>
            <w:tcW w:w="509"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905,</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695.</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610,74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4.18</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宁波万达信息系统有限公 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86,652.</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54</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340,9</w:t>
            </w:r>
          </w:p>
          <w:p>
            <w:pPr>
              <w:pStyle w:val="TableParagraph"/>
              <w:spacing w:line="240" w:lineRule="auto" w:before="103"/>
              <w:ind w:left="69" w:right="0"/>
              <w:jc w:val="left"/>
              <w:rPr>
                <w:rFonts w:ascii="Times New Roman" w:hAnsi="Times New Roman" w:cs="Times New Roman" w:eastAsia="Times New Roman" w:hint="default"/>
                <w:sz w:val="18"/>
                <w:szCs w:val="18"/>
              </w:rPr>
            </w:pPr>
            <w:r>
              <w:rPr>
                <w:rFonts w:ascii="Times New Roman"/>
                <w:sz w:val="18"/>
              </w:rPr>
              <w:t>01.83</w:t>
            </w:r>
          </w:p>
        </w:tc>
        <w:tc>
          <w:tcPr>
            <w:tcW w:w="44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427,55</w:t>
            </w:r>
          </w:p>
          <w:p>
            <w:pPr>
              <w:pStyle w:val="TableParagraph"/>
              <w:spacing w:line="240" w:lineRule="auto" w:before="103"/>
              <w:ind w:left="194" w:right="0"/>
              <w:jc w:val="center"/>
              <w:rPr>
                <w:rFonts w:ascii="Times New Roman" w:hAnsi="Times New Roman" w:cs="Times New Roman" w:eastAsia="Times New Roman" w:hint="default"/>
                <w:sz w:val="18"/>
                <w:szCs w:val="18"/>
              </w:rPr>
            </w:pPr>
            <w:r>
              <w:rPr>
                <w:rFonts w:ascii="Times New Roman"/>
                <w:sz w:val="18"/>
              </w:rPr>
              <w:t>4.37</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上海爱递吉供应链管理服 务有限公司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2,259,5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05.42</w:t>
            </w:r>
          </w:p>
        </w:tc>
        <w:tc>
          <w:tcPr>
            <w:tcW w:w="509"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2,87</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8.42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天津万达信息技术有限责 任公司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229,2</w:t>
            </w:r>
          </w:p>
          <w:p>
            <w:pPr>
              <w:pStyle w:val="TableParagraph"/>
              <w:spacing w:line="240" w:lineRule="auto" w:before="102"/>
              <w:ind w:left="69" w:right="0"/>
              <w:jc w:val="left"/>
              <w:rPr>
                <w:rFonts w:ascii="Times New Roman" w:hAnsi="Times New Roman" w:cs="Times New Roman" w:eastAsia="Times New Roman" w:hint="default"/>
                <w:sz w:val="18"/>
                <w:szCs w:val="18"/>
              </w:rPr>
            </w:pPr>
            <w:r>
              <w:rPr>
                <w:rFonts w:ascii="Times New Roman"/>
                <w:sz w:val="18"/>
              </w:rPr>
              <w:t>39.55</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229,23</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9.55</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南京爱递吉供应链管理服 务有限公司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82,05</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5.21</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82,055</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.21</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2"/>
        <w:gridCol w:w="1106"/>
        <w:gridCol w:w="653"/>
        <w:gridCol w:w="509"/>
        <w:gridCol w:w="444"/>
        <w:gridCol w:w="562"/>
        <w:gridCol w:w="509"/>
        <w:gridCol w:w="538"/>
        <w:gridCol w:w="646"/>
        <w:gridCol w:w="506"/>
        <w:gridCol w:w="449"/>
        <w:gridCol w:w="564"/>
        <w:gridCol w:w="509"/>
        <w:gridCol w:w="446"/>
      </w:tblGrid>
      <w:tr>
        <w:trPr>
          <w:trHeight w:val="713"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西藏万达华波美信息技术 有限公司</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16,86</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3.64</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16,863</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.64</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北京万达全城信息系统有 限公司</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11,25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11,250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3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9,932,8</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40.08</w:t>
            </w:r>
          </w:p>
        </w:tc>
        <w:tc>
          <w:tcPr>
            <w:tcW w:w="50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444"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8,57</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4.21</w:t>
            </w:r>
          </w:p>
        </w:tc>
        <w:tc>
          <w:tcPr>
            <w:tcW w:w="5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323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53" w:type="dxa"/>
            <w:vMerge/>
            <w:tcBorders>
              <w:left w:val="single" w:sz="10" w:space="0" w:color="D2D2D2"/>
              <w:right w:val="single" w:sz="4" w:space="0" w:color="000000"/>
            </w:tcBorders>
          </w:tcPr>
          <w:p>
            <w:pPr/>
          </w:p>
        </w:tc>
        <w:tc>
          <w:tcPr>
            <w:tcW w:w="509"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6"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446" w:type="dxa"/>
            <w:vMerge/>
            <w:tcBorders>
              <w:left w:val="single" w:sz="4" w:space="0" w:color="000000"/>
              <w:right w:val="single" w:sz="4" w:space="0" w:color="000000"/>
            </w:tcBorders>
          </w:tcPr>
          <w:p>
            <w:pPr/>
          </w:p>
        </w:tc>
      </w:tr>
      <w:tr>
        <w:trPr>
          <w:trHeight w:val="318" w:hRule="exact"/>
        </w:trPr>
        <w:tc>
          <w:tcPr>
            <w:tcW w:w="323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10" w:space="0" w:color="D2D2D2"/>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444"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506"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564" w:type="dxa"/>
            <w:vMerge/>
            <w:tcBorders>
              <w:left w:val="single" w:sz="4" w:space="0" w:color="000000"/>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446" w:type="dxa"/>
            <w:vMerge/>
            <w:tcBorders>
              <w:left w:val="single" w:sz="4" w:space="0" w:color="000000"/>
              <w:bottom w:val="single" w:sz="4" w:space="0" w:color="000000"/>
              <w:right w:val="single" w:sz="4" w:space="0" w:color="000000"/>
            </w:tcBorders>
          </w:tcPr>
          <w:p>
            <w:pPr/>
          </w:p>
        </w:tc>
      </w:tr>
      <w:tr>
        <w:trPr>
          <w:trHeight w:val="402" w:hRule="exact"/>
        </w:trPr>
        <w:tc>
          <w:tcPr>
            <w:tcW w:w="9573"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经营性</w:t>
            </w:r>
          </w:p>
        </w:tc>
      </w:tr>
      <w:tr>
        <w:trPr>
          <w:trHeight w:val="317" w:hRule="exact"/>
        </w:trPr>
        <w:tc>
          <w:tcPr>
            <w:tcW w:w="323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9,932,8</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40.08</w:t>
            </w:r>
          </w:p>
        </w:tc>
        <w:tc>
          <w:tcPr>
            <w:tcW w:w="50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444"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8,57</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4.21</w:t>
            </w:r>
          </w:p>
        </w:tc>
        <w:tc>
          <w:tcPr>
            <w:tcW w:w="5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323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53" w:type="dxa"/>
            <w:vMerge/>
            <w:tcBorders>
              <w:left w:val="single" w:sz="10" w:space="0" w:color="D2D2D2"/>
              <w:right w:val="single" w:sz="4" w:space="0" w:color="000000"/>
            </w:tcBorders>
          </w:tcPr>
          <w:p>
            <w:pPr/>
          </w:p>
        </w:tc>
        <w:tc>
          <w:tcPr>
            <w:tcW w:w="509"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6"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446" w:type="dxa"/>
            <w:vMerge/>
            <w:tcBorders>
              <w:left w:val="single" w:sz="4" w:space="0" w:color="000000"/>
              <w:right w:val="single" w:sz="4" w:space="0" w:color="000000"/>
            </w:tcBorders>
          </w:tcPr>
          <w:p>
            <w:pPr/>
          </w:p>
        </w:tc>
      </w:tr>
      <w:tr>
        <w:trPr>
          <w:trHeight w:val="317" w:hRule="exact"/>
        </w:trPr>
        <w:tc>
          <w:tcPr>
            <w:tcW w:w="323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10" w:space="0" w:color="D2D2D2"/>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444"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506"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564" w:type="dxa"/>
            <w:vMerge/>
            <w:tcBorders>
              <w:left w:val="single" w:sz="4" w:space="0" w:color="000000"/>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446" w:type="dxa"/>
            <w:vMerge/>
            <w:tcBorders>
              <w:left w:val="single" w:sz="4" w:space="0" w:color="000000"/>
              <w:bottom w:val="single" w:sz="4" w:space="0" w:color="000000"/>
              <w:right w:val="single" w:sz="4" w:space="0" w:color="000000"/>
            </w:tcBorders>
          </w:tcPr>
          <w:p>
            <w:pPr/>
          </w:p>
        </w:tc>
      </w:tr>
      <w:tr>
        <w:trPr>
          <w:trHeight w:val="716" w:hRule="exact"/>
        </w:trPr>
        <w:tc>
          <w:tcPr>
            <w:tcW w:w="3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142"/>
              <w:jc w:val="left"/>
              <w:rPr>
                <w:rFonts w:ascii="宋体" w:hAnsi="宋体" w:cs="宋体" w:eastAsia="宋体" w:hint="default"/>
                <w:sz w:val="18"/>
                <w:szCs w:val="18"/>
              </w:rPr>
            </w:pPr>
            <w:r>
              <w:rPr>
                <w:rFonts w:ascii="宋体" w:hAnsi="宋体" w:cs="宋体" w:eastAsia="宋体" w:hint="default"/>
                <w:sz w:val="18"/>
                <w:szCs w:val="18"/>
              </w:rPr>
              <w:t>报告期内公司向控股股东及其子公司提 供资金的发生额（万元）</w:t>
            </w:r>
          </w:p>
        </w:tc>
        <w:tc>
          <w:tcPr>
            <w:tcW w:w="6335" w:type="dxa"/>
            <w:gridSpan w:val="1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其中：非经营性发生额（万元）</w:t>
            </w:r>
          </w:p>
        </w:tc>
        <w:tc>
          <w:tcPr>
            <w:tcW w:w="6335" w:type="dxa"/>
            <w:gridSpan w:val="1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3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2"/>
              <w:jc w:val="left"/>
              <w:rPr>
                <w:rFonts w:ascii="宋体" w:hAnsi="宋体" w:cs="宋体" w:eastAsia="宋体" w:hint="default"/>
                <w:sz w:val="18"/>
                <w:szCs w:val="18"/>
              </w:rPr>
            </w:pPr>
            <w:r>
              <w:rPr>
                <w:rFonts w:ascii="宋体" w:hAnsi="宋体" w:cs="宋体" w:eastAsia="宋体" w:hint="default"/>
                <w:sz w:val="18"/>
                <w:szCs w:val="18"/>
              </w:rPr>
              <w:t>公司向控股股东及其子公司提供资金的 余额（万元）</w:t>
            </w:r>
          </w:p>
        </w:tc>
        <w:tc>
          <w:tcPr>
            <w:tcW w:w="6335" w:type="dxa"/>
            <w:gridSpan w:val="1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其中：非经营性余额（万元）</w:t>
            </w:r>
          </w:p>
        </w:tc>
        <w:tc>
          <w:tcPr>
            <w:tcW w:w="6335" w:type="dxa"/>
            <w:gridSpan w:val="1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关联债权债务形成原因</w:t>
            </w:r>
          </w:p>
        </w:tc>
        <w:tc>
          <w:tcPr>
            <w:tcW w:w="6335" w:type="dxa"/>
            <w:gridSpan w:val="1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子公司往来</w:t>
            </w:r>
          </w:p>
        </w:tc>
      </w:tr>
      <w:tr>
        <w:trPr>
          <w:trHeight w:val="715" w:hRule="exact"/>
        </w:trPr>
        <w:tc>
          <w:tcPr>
            <w:tcW w:w="3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2"/>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关联债权债务对公司经营成果及财务状 况的影响</w:t>
            </w:r>
          </w:p>
        </w:tc>
        <w:tc>
          <w:tcPr>
            <w:tcW w:w="6335" w:type="dxa"/>
            <w:gridSpan w:val="1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、为公司带来的利润达到公司本期利润总额</w:t>
      </w:r>
      <w:r>
        <w:rPr>
          <w:spacing w:val="-54"/>
        </w:rPr>
        <w:t> </w:t>
      </w:r>
      <w:r>
        <w:rPr>
          <w:rFonts w:ascii="Times New Roman" w:hAnsi="Times New Roman" w:cs="Times New Roman" w:eastAsia="Times New Roman" w:hint="default"/>
        </w:rPr>
        <w:t>10</w:t>
      </w:r>
      <w:r>
        <w:rPr/>
        <w:t>％以上（含</w:t>
      </w:r>
      <w:r>
        <w:rPr>
          <w:spacing w:val="-54"/>
        </w:rPr>
        <w:t> </w:t>
      </w:r>
      <w:r>
        <w:rPr>
          <w:rFonts w:ascii="Times New Roman" w:hAnsi="Times New Roman" w:cs="Times New Roman" w:eastAsia="Times New Roman" w:hint="default"/>
        </w:rPr>
        <w:t>10</w:t>
      </w:r>
      <w:r>
        <w:rPr/>
        <w:t>％）的托管、承包、租赁事项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托管情况说明 无</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承包情况说明 无</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租赁情况说明 无</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3</w:t>
      </w:r>
      <w:r>
        <w:rPr/>
        <w:t>、报告期内或报告期继续发生的委托理财情况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08"/>
        <w:gridCol w:w="797"/>
        <w:gridCol w:w="799"/>
        <w:gridCol w:w="797"/>
        <w:gridCol w:w="799"/>
        <w:gridCol w:w="797"/>
        <w:gridCol w:w="800"/>
        <w:gridCol w:w="785"/>
        <w:gridCol w:w="792"/>
      </w:tblGrid>
      <w:tr>
        <w:trPr>
          <w:trHeight w:val="161" w:hRule="exact"/>
        </w:trPr>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1" w:right="30" w:hanging="272"/>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2" w:right="35"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0"/>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7" w:right="39"/>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1"/>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33"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6" w:right="31"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1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1" w:hRule="exact"/>
        </w:trPr>
        <w:tc>
          <w:tcPr>
            <w:tcW w:w="7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报告期末衍生品投资的持仓情况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86"/>
        <w:gridCol w:w="1265"/>
        <w:gridCol w:w="1277"/>
        <w:gridCol w:w="1277"/>
        <w:gridCol w:w="1270"/>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8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4" w:lineRule="auto"/>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、公司控股股 东上海万豪投 资有限公司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公司实际控制 人史一兵</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、公 司董事、监事、 高级管理人员 陈焕平、李光 </w:t>
            </w:r>
            <w:r>
              <w:rPr>
                <w:rFonts w:ascii="宋体" w:hAnsi="宋体" w:cs="宋体" w:eastAsia="宋体" w:hint="default"/>
                <w:spacing w:val="-7"/>
                <w:sz w:val="18"/>
                <w:szCs w:val="18"/>
              </w:rPr>
              <w:t>亚、刘汝林、罗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伟德、傅强国、 宗宇伟、华志 </w:t>
            </w:r>
            <w:r>
              <w:rPr>
                <w:rFonts w:ascii="宋体" w:hAnsi="宋体" w:cs="宋体" w:eastAsia="宋体" w:hint="default"/>
                <w:spacing w:val="-7"/>
                <w:sz w:val="18"/>
                <w:szCs w:val="18"/>
              </w:rPr>
              <w:t>坚、王晴岗、王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虎、薛莉芳、王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清、闻建中、王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涛、张天仁、张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令庆</w:t>
            </w:r>
          </w:p>
        </w:tc>
        <w:tc>
          <w:tcPr>
            <w:tcW w:w="1265"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 w:right="19"/>
              <w:jc w:val="left"/>
              <w:rPr>
                <w:rFonts w:ascii="宋体" w:hAnsi="宋体" w:cs="宋体" w:eastAsia="宋体" w:hint="default"/>
                <w:sz w:val="18"/>
                <w:szCs w:val="18"/>
              </w:rPr>
            </w:pPr>
            <w:r>
              <w:rPr>
                <w:rFonts w:ascii="宋体" w:hAnsi="宋体" w:cs="宋体" w:eastAsia="宋体" w:hint="default"/>
                <w:spacing w:val="-6"/>
                <w:sz w:val="18"/>
                <w:szCs w:val="18"/>
              </w:rPr>
              <w:t>（一）股份锁定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、公司控 股股东上海万 豪投资有限公 </w:t>
            </w:r>
            <w:r>
              <w:rPr>
                <w:rFonts w:ascii="宋体" w:hAnsi="宋体" w:cs="宋体" w:eastAsia="宋体" w:hint="default"/>
                <w:spacing w:val="-6"/>
                <w:sz w:val="18"/>
                <w:szCs w:val="18"/>
              </w:rPr>
              <w:t>司承诺：自发行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人首次向社会 公开发行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 股票并上市之 日起三十六个 </w:t>
            </w:r>
            <w:r>
              <w:rPr>
                <w:rFonts w:ascii="宋体" w:hAnsi="宋体" w:cs="宋体" w:eastAsia="宋体" w:hint="default"/>
                <w:spacing w:val="-6"/>
                <w:sz w:val="18"/>
                <w:szCs w:val="18"/>
              </w:rPr>
              <w:t>月内，公司不转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让或者委托他 人管理公司在 本次发行前所 持有的发行人 </w:t>
            </w:r>
            <w:r>
              <w:rPr>
                <w:rFonts w:ascii="宋体" w:hAnsi="宋体" w:cs="宋体" w:eastAsia="宋体" w:hint="default"/>
                <w:spacing w:val="-6"/>
                <w:sz w:val="18"/>
                <w:szCs w:val="18"/>
              </w:rPr>
              <w:t>的股份，也不由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发行人回购该 部分股份。</w:t>
            </w:r>
            <w:r>
              <w:rPr>
                <w:rFonts w:ascii="Times New Roman" w:hAnsi="Times New Roman" w:cs="Times New Roman" w:eastAsia="Times New Roman" w:hint="default"/>
                <w:sz w:val="18"/>
                <w:szCs w:val="18"/>
              </w:rPr>
              <w:t>2</w:t>
            </w:r>
            <w:r>
              <w:rPr>
                <w:rFonts w:ascii="宋体" w:hAnsi="宋体" w:cs="宋体" w:eastAsia="宋体" w:hint="default"/>
                <w:sz w:val="18"/>
                <w:szCs w:val="18"/>
              </w:rPr>
              <w:t>、 公司实际控制 人史一兵先生 </w:t>
            </w:r>
            <w:r>
              <w:rPr>
                <w:rFonts w:ascii="宋体" w:hAnsi="宋体" w:cs="宋体" w:eastAsia="宋体" w:hint="default"/>
                <w:spacing w:val="-6"/>
                <w:sz w:val="18"/>
                <w:szCs w:val="18"/>
              </w:rPr>
              <w:t>承诺：自发行人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首次向社会公 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 票并上市之日 起三十六个月 </w:t>
            </w:r>
            <w:r>
              <w:rPr>
                <w:rFonts w:ascii="宋体" w:hAnsi="宋体" w:cs="宋体" w:eastAsia="宋体" w:hint="default"/>
                <w:spacing w:val="-6"/>
                <w:sz w:val="18"/>
                <w:szCs w:val="18"/>
              </w:rPr>
              <w:t>内，本人不转让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或者委托他人 管理本人在本 次发行前直接 或间接所持有 的发行人的股 </w:t>
            </w:r>
            <w:r>
              <w:rPr>
                <w:rFonts w:ascii="宋体" w:hAnsi="宋体" w:cs="宋体" w:eastAsia="宋体" w:hint="default"/>
                <w:spacing w:val="-6"/>
                <w:sz w:val="18"/>
                <w:szCs w:val="18"/>
              </w:rPr>
              <w:t>份，也不由发行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人回购该部分 </w:t>
            </w:r>
            <w:r>
              <w:rPr>
                <w:rFonts w:ascii="宋体" w:hAnsi="宋体" w:cs="宋体" w:eastAsia="宋体" w:hint="default"/>
                <w:spacing w:val="-6"/>
                <w:sz w:val="18"/>
                <w:szCs w:val="18"/>
              </w:rPr>
              <w:t>股份。在上述所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约定的期限届 </w:t>
            </w:r>
            <w:r>
              <w:rPr>
                <w:rFonts w:ascii="宋体" w:hAnsi="宋体" w:cs="宋体" w:eastAsia="宋体" w:hint="default"/>
                <w:spacing w:val="-6"/>
                <w:sz w:val="18"/>
                <w:szCs w:val="18"/>
              </w:rPr>
              <w:t>满的前提下，作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为发行人董事 </w:t>
            </w:r>
            <w:r>
              <w:rPr>
                <w:rFonts w:ascii="宋体" w:hAnsi="宋体" w:cs="宋体" w:eastAsia="宋体" w:hint="default"/>
                <w:spacing w:val="-6"/>
                <w:sz w:val="18"/>
                <w:szCs w:val="18"/>
              </w:rPr>
              <w:t>及高管人员，在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任职期间每年 转让股份不超 过本人所持股 份的百分之二 </w:t>
            </w:r>
            <w:r>
              <w:rPr>
                <w:rFonts w:ascii="宋体" w:hAnsi="宋体" w:cs="宋体" w:eastAsia="宋体" w:hint="default"/>
                <w:spacing w:val="-6"/>
                <w:sz w:val="18"/>
                <w:szCs w:val="18"/>
              </w:rPr>
              <w:t>十五；若本人在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首次公开发行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公司控股股东 及实际控制人 股份锁定承诺 期限为自发行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年；公</w:t>
            </w:r>
            <w:r>
              <w:rPr>
                <w:rFonts w:ascii="宋体" w:hAnsi="宋体" w:cs="宋体" w:eastAsia="宋体" w:hint="default"/>
                <w:sz w:val="18"/>
                <w:szCs w:val="18"/>
              </w:rPr>
              <w:t> 司董事、监事、 高级管理人员 股份锁定承诺 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22"/>
                <w:sz w:val="18"/>
                <w:szCs w:val="18"/>
              </w:rPr>
              <w:t>日；公司</w:t>
            </w:r>
            <w:r>
              <w:rPr>
                <w:rFonts w:ascii="宋体" w:hAnsi="宋体" w:cs="宋体" w:eastAsia="宋体" w:hint="default"/>
                <w:sz w:val="18"/>
                <w:szCs w:val="18"/>
              </w:rPr>
              <w:t> </w:t>
            </w:r>
            <w:r>
              <w:rPr>
                <w:rFonts w:ascii="宋体" w:hAnsi="宋体" w:cs="宋体" w:eastAsia="宋体" w:hint="default"/>
                <w:spacing w:val="-6"/>
                <w:sz w:val="18"/>
                <w:szCs w:val="18"/>
              </w:rPr>
              <w:t>董事、监事及高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级管理人员高 管股份锁定期 限为任职期间</w:t>
            </w:r>
          </w:p>
        </w:tc>
        <w:tc>
          <w:tcPr>
            <w:tcW w:w="127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16" w:right="-25"/>
              <w:jc w:val="left"/>
              <w:rPr>
                <w:rFonts w:ascii="宋体" w:hAnsi="宋体" w:cs="宋体" w:eastAsia="宋体" w:hint="default"/>
                <w:sz w:val="18"/>
                <w:szCs w:val="18"/>
              </w:rPr>
            </w:pPr>
            <w:r>
              <w:rPr>
                <w:rFonts w:ascii="宋体" w:hAnsi="宋体" w:cs="宋体" w:eastAsia="宋体" w:hint="default"/>
                <w:spacing w:val="-7"/>
                <w:sz w:val="18"/>
                <w:szCs w:val="18"/>
              </w:rPr>
              <w:t>截至报告期，前</w:t>
            </w:r>
            <w:r>
              <w:rPr>
                <w:rFonts w:ascii="宋体" w:hAnsi="宋体" w:cs="宋体" w:eastAsia="宋体" w:hint="default"/>
                <w:sz w:val="18"/>
                <w:szCs w:val="18"/>
              </w:rPr>
              <w:t> 述公司控股股 东、实际控制 人、公司董事、 </w:t>
            </w:r>
            <w:r>
              <w:rPr>
                <w:rFonts w:ascii="宋体" w:hAnsi="宋体" w:cs="宋体" w:eastAsia="宋体" w:hint="default"/>
                <w:spacing w:val="-7"/>
                <w:sz w:val="18"/>
                <w:szCs w:val="18"/>
              </w:rPr>
              <w:t>监事、高级管理</w:t>
            </w:r>
            <w:r>
              <w:rPr>
                <w:rFonts w:ascii="宋体" w:hAnsi="宋体" w:cs="宋体" w:eastAsia="宋体" w:hint="default"/>
                <w:sz w:val="18"/>
                <w:szCs w:val="18"/>
              </w:rPr>
              <w:t> 人员均遵守了 相应的承诺。</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20.207001pt;margin-top:72.475983pt;width:87.4pt;height:686.5pt;mso-position-horizontal-relative:page;mso-position-vertical-relative:page;z-index:-10768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董事、</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15" w:hRule="exact"/>
        </w:trPr>
        <w:tc>
          <w:tcPr>
            <w:tcW w:w="3195"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股票并上市之</w:t>
            </w:r>
          </w:p>
        </w:tc>
        <w:tc>
          <w:tcPr>
            <w:tcW w:w="1277"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63.4pt;height:686.5pt;mso-position-horizontal-relative:char;mso-position-vertical-relative:line" coordorigin="0,0" coordsize="1268,13730">
                  <v:group style="position:absolute;left:0;top:0;width:1268;height:13730" coordorigin="0,0" coordsize="1268,13730">
                    <v:shape style="position:absolute;left:0;top:0;width:1268;height:13730" coordorigin="0,0" coordsize="1268,13730" path="m0,13730l1267,13730,1267,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日起六个月内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（含六个月）申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报离职，将自申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报离职之日起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十八个月内（含</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第十八个月）不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转让本人直接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持有的公司股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份；若在首次公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开发行股票并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七个月至第十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二个月内（含第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七个月、第十二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个月）之间申报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离职，将自申报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离职之日起十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二个月内（含第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十二个月）不转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让本人直接持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有的公司股份。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因上市公司进</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行权益分派等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导致本人直接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持有公司股份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发生变化的，本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人仍遵守前款</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承诺。</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监事及高管人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员，陈焕平、李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光亚、刘汝林、</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罗伟德、傅强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国、宗宇伟、华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志坚、王晴岗、</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王虎、薛莉芳、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王清、闻建中、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王涛、张天仁、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张令庆承诺：自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发行人首次向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社会公开发行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股股票并上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市之日起十二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个月内，本人不</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15" w:hRule="exact"/>
        </w:trPr>
        <w:tc>
          <w:tcPr>
            <w:tcW w:w="3195"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转让或者委托</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他人管理本人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在本次发行前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直接或间接所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持有的发行人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的股份，也不由</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发行人回购该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部分股份。在任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职期间每年转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让股份不超过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本人所持股份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的百分之二十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五；若本人在首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次公开发行股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票并上市之日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起六个月内（含</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六个月）申报离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职，将自申报离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职之日起十八</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个月内（含第十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八个月）不转让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本人直接持有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的公司股份；若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在首次公开发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行股票并上市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之日起第七个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月至第十二个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月内（含第七个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月、第十二个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月）之间申报离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职，将自申报离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职之日起十二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个月内（含第十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二个月）不转让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本人直接持有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的公司股份。因</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上市公司进行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权益分派等导</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致本人直接持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有公司股份发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生变化的，本人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仍遵守前款承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4</w:t>
            </w:r>
            <w:r>
              <w:rPr>
                <w:rFonts w:ascii="宋体" w:hAnsi="宋体" w:cs="宋体" w:eastAsia="宋体" w:hint="default"/>
                <w:sz w:val="18"/>
                <w:szCs w:val="18"/>
              </w:rPr>
              <w:t>、承诺期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4" w:hRule="exact"/>
        </w:trPr>
        <w:tc>
          <w:tcPr>
            <w:tcW w:w="319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届满后，上述股</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02.089996pt;margin-top:72.475983pt;width:105.5pt;height:686.5pt;mso-position-horizontal-relative:page;mso-position-vertical-relative:page;z-index:-10768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3"/>
                    <w:ind w:left="0" w:right="0" w:firstLine="360"/>
                    <w:jc w:val="left"/>
                    <w:rPr>
                      <w:rFonts w:ascii="宋体" w:hAnsi="宋体" w:cs="宋体" w:eastAsia="宋体" w:hint="default"/>
                      <w:sz w:val="18"/>
                      <w:szCs w:val="18"/>
                    </w:rPr>
                  </w:pPr>
                  <w:r>
                    <w:rPr>
                      <w:rFonts w:ascii="宋体" w:hAnsi="宋体" w:cs="宋体" w:eastAsia="宋体" w:hint="default"/>
                      <w:sz w:val="18"/>
                      <w:szCs w:val="18"/>
                    </w:rPr>
                    <w:t>（二）</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3"/>
                    <w:ind w:left="0" w:right="0" w:firstLine="0"/>
                    <w:jc w:val="left"/>
                    <w:rPr>
                      <w:rFonts w:ascii="宋体" w:hAnsi="宋体" w:cs="宋体" w:eastAsia="宋体" w:hint="default"/>
                      <w:sz w:val="18"/>
                      <w:szCs w:val="18"/>
                    </w:rPr>
                  </w:pPr>
                  <w:r>
                    <w:rPr>
                      <w:rFonts w:ascii="宋体" w:hAnsi="宋体" w:cs="宋体" w:eastAsia="宋体" w:hint="default"/>
                      <w:sz w:val="18"/>
                      <w:szCs w:val="18"/>
                    </w:rPr>
                    <w:t>承诺如下：</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15" w:hRule="exact"/>
        </w:trPr>
        <w:tc>
          <w:tcPr>
            <w:tcW w:w="3195"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份可以上市流</w:t>
            </w:r>
          </w:p>
        </w:tc>
        <w:tc>
          <w:tcPr>
            <w:tcW w:w="1277"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63.4pt;height:686.5pt;mso-position-horizontal-relative:char;mso-position-vertical-relative:line" coordorigin="0,0" coordsize="1268,13730">
                  <v:group style="position:absolute;left:0;top:0;width:1268;height:13730" coordorigin="0,0" coordsize="1268,13730">
                    <v:shape style="position:absolute;left:0;top:0;width:1268;height:13730" coordorigin="0,0" coordsize="1268,13730" path="m0,13730l1267,13730,1267,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通和转让。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避免同业竞争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的承诺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的控股股东万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豪投资已出具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了《避免同业竞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争的承诺函</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承诺如下：</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公司及由本公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司控制的公司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或其他经营组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织目前未从事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与万达信息股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份有限公司及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万达信息股份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有限公司下属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控股子公司已</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生产经营或将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生产经营的产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品具有同业竞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争或潜在同业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竞争的产品的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生产经营；将来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也不从事与本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公司及本公司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下属控股子公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司已生产经营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或将生产经营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的产品具有同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业竞争或潜在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同业竞争的产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品的生产经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营。</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实际控制人史</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一兵先生已出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具了《避免同业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竞争的承诺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本人及由本人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控制的公司或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其他经营组织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目前未从事与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万达信息股份</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5979"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有限公司及万 达信息股份有 限公司下属控 股子公司已生 产经营或将生 产经营的产品 具有同业竞争 或潜在同业竞 争的产品的生 </w:t>
            </w:r>
            <w:r>
              <w:rPr>
                <w:rFonts w:ascii="宋体" w:hAnsi="宋体" w:cs="宋体" w:eastAsia="宋体" w:hint="default"/>
                <w:spacing w:val="-6"/>
                <w:sz w:val="18"/>
                <w:szCs w:val="18"/>
              </w:rPr>
              <w:t>产经营；将来也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不从事与本公 司及本公司下 属控股子公司 已生产经营或 将生产经营的 产品具有同业 竞争或潜在同 业竞争的产品 的生产经营。</w:t>
            </w:r>
            <w:r>
              <w:rPr>
                <w:rFonts w:ascii="Times New Roman" w:hAnsi="Times New Roman" w:cs="Times New Roman" w:eastAsia="Times New Roman"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0"/>
              <w:ind w:left="24" w:right="-32"/>
              <w:jc w:val="left"/>
              <w:rPr>
                <w:rFonts w:ascii="宋体" w:hAnsi="宋体" w:cs="宋体" w:eastAsia="宋体" w:hint="default"/>
                <w:sz w:val="18"/>
                <w:szCs w:val="18"/>
              </w:rPr>
            </w:pPr>
            <w:r>
              <w:rPr>
                <w:rFonts w:ascii="宋体" w:hAnsi="宋体" w:cs="宋体" w:eastAsia="宋体" w:hint="default"/>
                <w:sz w:val="18"/>
                <w:szCs w:val="18"/>
              </w:rPr>
              <w:t>新任董事潘政、 新任监事楼家</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麟</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1" w:right="-17"/>
              <w:jc w:val="left"/>
              <w:rPr>
                <w:rFonts w:ascii="宋体" w:hAnsi="宋体" w:cs="宋体" w:eastAsia="宋体" w:hint="default"/>
                <w:sz w:val="18"/>
                <w:szCs w:val="18"/>
              </w:rPr>
            </w:pPr>
            <w:r>
              <w:rPr>
                <w:rFonts w:ascii="宋体" w:hAnsi="宋体" w:cs="宋体" w:eastAsia="宋体" w:hint="default"/>
                <w:sz w:val="18"/>
                <w:szCs w:val="18"/>
              </w:rPr>
              <w:t>新任董事潘政、 新任监事楼家 </w:t>
            </w:r>
            <w:r>
              <w:rPr>
                <w:rFonts w:ascii="宋体" w:hAnsi="宋体" w:cs="宋体" w:eastAsia="宋体" w:hint="default"/>
                <w:spacing w:val="-6"/>
                <w:sz w:val="18"/>
                <w:szCs w:val="18"/>
              </w:rPr>
              <w:t>麟承诺：在任职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期间每年转让 股份不超过本 人所持股份的 百分之二十五； 若本人在首次 公开发行股票 并上市之日起 </w:t>
            </w:r>
            <w:r>
              <w:rPr>
                <w:rFonts w:ascii="宋体" w:hAnsi="宋体" w:cs="宋体" w:eastAsia="宋体" w:hint="default"/>
                <w:spacing w:val="-6"/>
                <w:sz w:val="18"/>
                <w:szCs w:val="18"/>
              </w:rPr>
              <w:t>六个月内（含六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个月）申报离 </w:t>
            </w:r>
            <w:r>
              <w:rPr>
                <w:rFonts w:ascii="宋体" w:hAnsi="宋体" w:cs="宋体" w:eastAsia="宋体" w:hint="default"/>
                <w:spacing w:val="-6"/>
                <w:sz w:val="18"/>
                <w:szCs w:val="18"/>
              </w:rPr>
              <w:t>职，将自申报离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职之日起十八 </w:t>
            </w:r>
            <w:r>
              <w:rPr>
                <w:rFonts w:ascii="宋体" w:hAnsi="宋体" w:cs="宋体" w:eastAsia="宋体" w:hint="default"/>
                <w:spacing w:val="-6"/>
                <w:sz w:val="18"/>
                <w:szCs w:val="18"/>
              </w:rPr>
              <w:t>个月内（含第十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八个月）不转让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本人直接持有 </w:t>
            </w:r>
            <w:r>
              <w:rPr>
                <w:rFonts w:ascii="宋体" w:hAnsi="宋体" w:cs="宋体" w:eastAsia="宋体" w:hint="default"/>
                <w:spacing w:val="-6"/>
                <w:sz w:val="18"/>
                <w:szCs w:val="18"/>
              </w:rPr>
              <w:t>的公司股份；若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在首次公开发 行股票并上市 之日起第七个 月至第十二个 </w:t>
            </w:r>
            <w:r>
              <w:rPr>
                <w:rFonts w:ascii="宋体" w:hAnsi="宋体" w:cs="宋体" w:eastAsia="宋体" w:hint="default"/>
                <w:spacing w:val="-6"/>
                <w:sz w:val="18"/>
                <w:szCs w:val="18"/>
              </w:rPr>
              <w:t>月内（含第七个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月、第十二个 </w:t>
            </w:r>
            <w:r>
              <w:rPr>
                <w:rFonts w:ascii="宋体" w:hAnsi="宋体" w:cs="宋体" w:eastAsia="宋体" w:hint="default"/>
                <w:spacing w:val="-6"/>
                <w:sz w:val="18"/>
                <w:szCs w:val="18"/>
              </w:rPr>
              <w:t>月）之间申报离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公司新任董事 </w:t>
            </w:r>
            <w:r>
              <w:rPr>
                <w:rFonts w:ascii="宋体" w:hAnsi="宋体" w:cs="宋体" w:eastAsia="宋体" w:hint="default"/>
                <w:spacing w:val="-6"/>
                <w:sz w:val="18"/>
                <w:szCs w:val="18"/>
              </w:rPr>
              <w:t>潘政、新任监事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楼家麟股份锁 定期限为任职 期间</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截至报告期，新</w:t>
            </w:r>
            <w:r>
              <w:rPr>
                <w:rFonts w:ascii="宋体" w:hAnsi="宋体" w:cs="宋体" w:eastAsia="宋体" w:hint="default"/>
                <w:sz w:val="18"/>
                <w:szCs w:val="18"/>
              </w:rPr>
              <w:t> </w:t>
            </w:r>
            <w:r>
              <w:rPr>
                <w:rFonts w:ascii="宋体" w:hAnsi="宋体" w:cs="宋体" w:eastAsia="宋体" w:hint="default"/>
                <w:spacing w:val="-7"/>
                <w:sz w:val="18"/>
                <w:szCs w:val="18"/>
              </w:rPr>
              <w:t>任董事潘政、新</w:t>
            </w:r>
            <w:r>
              <w:rPr>
                <w:rFonts w:ascii="宋体" w:hAnsi="宋体" w:cs="宋体" w:eastAsia="宋体" w:hint="default"/>
                <w:sz w:val="18"/>
                <w:szCs w:val="18"/>
              </w:rPr>
              <w:t> 任监事楼家麟 均遵守了相应 的承诺。</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36.429993pt;margin-top:277.849976pt;width:71.2pt;height:225.3pt;mso-position-horizontal-relative:page;mso-position-vertical-relative:page;z-index:-1076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0"/>
                    <w:ind w:left="36"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36.429993pt;margin-top:538.276001pt;width:71.2pt;height:225.3pt;mso-position-horizontal-relative:page;mso-position-vertical-relative:page;z-index:-10767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4107"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6"/>
                <w:sz w:val="18"/>
                <w:szCs w:val="18"/>
              </w:rPr>
              <w:t>职，将自申报离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职之日起十二 </w:t>
            </w:r>
            <w:r>
              <w:rPr>
                <w:rFonts w:ascii="宋体" w:hAnsi="宋体" w:cs="宋体" w:eastAsia="宋体" w:hint="default"/>
                <w:spacing w:val="-6"/>
                <w:sz w:val="18"/>
                <w:szCs w:val="18"/>
              </w:rPr>
              <w:t>个月内（含第十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二个月）不转让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本人直接持有 </w:t>
            </w:r>
            <w:r>
              <w:rPr>
                <w:rFonts w:ascii="宋体" w:hAnsi="宋体" w:cs="宋体" w:eastAsia="宋体" w:hint="default"/>
                <w:spacing w:val="-6"/>
                <w:sz w:val="18"/>
                <w:szCs w:val="18"/>
              </w:rPr>
              <w:t>的公司股份。因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上市公司进行 权益分派等导 致本人直接持 有公司股份发 </w:t>
            </w:r>
            <w:r>
              <w:rPr>
                <w:rFonts w:ascii="宋体" w:hAnsi="宋体" w:cs="宋体" w:eastAsia="宋体" w:hint="default"/>
                <w:spacing w:val="-6"/>
                <w:sz w:val="18"/>
                <w:szCs w:val="18"/>
              </w:rPr>
              <w:t>生变化的，本人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仍遵守前款承 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《股权激励计 </w:t>
            </w:r>
            <w:r>
              <w:rPr>
                <w:rFonts w:ascii="宋体" w:hAnsi="宋体" w:cs="宋体" w:eastAsia="宋体" w:hint="default"/>
                <w:spacing w:val="-7"/>
                <w:sz w:val="18"/>
                <w:szCs w:val="18"/>
              </w:rPr>
              <w:t>划》中公司所作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的相关承诺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、行权条件中 关于业绩的承 </w:t>
            </w:r>
            <w:r>
              <w:rPr>
                <w:rFonts w:ascii="宋体" w:hAnsi="宋体" w:cs="宋体" w:eastAsia="宋体" w:hint="default"/>
                <w:spacing w:val="-30"/>
                <w:sz w:val="18"/>
                <w:szCs w:val="18"/>
              </w:rPr>
              <w:t>诺：（</w:t>
            </w:r>
            <w:r>
              <w:rPr>
                <w:rFonts w:ascii="Times New Roman" w:hAnsi="Times New Roman" w:cs="Times New Roman" w:eastAsia="Times New Roman" w:hint="default"/>
                <w:spacing w:val="-30"/>
                <w:sz w:val="18"/>
                <w:szCs w:val="18"/>
              </w:rPr>
              <w:t>1</w:t>
            </w:r>
            <w:r>
              <w:rPr>
                <w:rFonts w:ascii="宋体" w:hAnsi="宋体" w:cs="宋体" w:eastAsia="宋体" w:hint="default"/>
                <w:spacing w:val="-30"/>
                <w:sz w:val="18"/>
                <w:szCs w:val="18"/>
              </w:rPr>
              <w:t>）以</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2010 </w:t>
            </w:r>
            <w:r>
              <w:rPr>
                <w:rFonts w:ascii="宋体" w:hAnsi="宋体" w:cs="宋体" w:eastAsia="宋体" w:hint="default"/>
                <w:sz w:val="18"/>
                <w:szCs w:val="18"/>
              </w:rPr>
              <w:t>年度营业总收 入为固定基数， 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宋体" w:hAnsi="宋体" w:cs="宋体" w:eastAsia="宋体" w:hint="default"/>
                <w:spacing w:val="-86"/>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p>
          <w:p>
            <w:pPr>
              <w:pStyle w:val="TableParagraph"/>
              <w:spacing w:line="316" w:lineRule="auto" w:before="63"/>
              <w:ind w:left="23" w:right="113"/>
              <w:jc w:val="both"/>
              <w:rPr>
                <w:rFonts w:ascii="宋体" w:hAnsi="宋体" w:cs="宋体" w:eastAsia="宋体" w:hint="default"/>
                <w:sz w:val="18"/>
                <w:szCs w:val="18"/>
              </w:rPr>
            </w:pPr>
            <w:r>
              <w:rPr>
                <w:rFonts w:ascii="宋体" w:hAnsi="宋体" w:cs="宋体" w:eastAsia="宋体" w:hint="default"/>
                <w:sz w:val="18"/>
                <w:szCs w:val="18"/>
              </w:rPr>
              <w:t>年度经审计的 营业总收入比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年度增长</w:t>
            </w:r>
          </w:p>
          <w:p>
            <w:pPr>
              <w:pStyle w:val="TableParagraph"/>
              <w:spacing w:line="300" w:lineRule="auto"/>
              <w:ind w:left="23" w:right="84"/>
              <w:jc w:val="left"/>
              <w:rPr>
                <w:rFonts w:ascii="宋体" w:hAnsi="宋体" w:cs="宋体" w:eastAsia="宋体" w:hint="default"/>
                <w:sz w:val="18"/>
                <w:szCs w:val="18"/>
              </w:rPr>
            </w:pPr>
            <w:r>
              <w:rPr>
                <w:rFonts w:ascii="宋体" w:hAnsi="宋体" w:cs="宋体" w:eastAsia="宋体" w:hint="default"/>
                <w:sz w:val="18"/>
                <w:szCs w:val="18"/>
              </w:rPr>
              <w:t>率不低于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p>
            <w:pPr>
              <w:pStyle w:val="TableParagraph"/>
              <w:spacing w:line="314" w:lineRule="auto" w:before="13"/>
              <w:ind w:left="23" w:right="17"/>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度经审计的归 属于上市公司 股东的扣除非 经常性损益后 的净利润为固 定基数，公司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pacing w:val="-12"/>
                <w:sz w:val="18"/>
                <w:szCs w:val="18"/>
              </w:rPr>
              <w:t>年度、</w:t>
            </w:r>
            <w:r>
              <w:rPr>
                <w:rFonts w:ascii="Times New Roman" w:hAnsi="Times New Roman" w:cs="Times New Roman" w:eastAsia="Times New Roman" w:hint="default"/>
                <w:spacing w:val="-12"/>
                <w:sz w:val="18"/>
                <w:szCs w:val="18"/>
              </w:rPr>
              <w:t>2012</w:t>
            </w:r>
          </w:p>
          <w:p>
            <w:pPr>
              <w:pStyle w:val="TableParagraph"/>
              <w:spacing w:line="312" w:lineRule="auto" w:before="1"/>
              <w:ind w:left="23" w:right="17"/>
              <w:jc w:val="left"/>
              <w:rPr>
                <w:rFonts w:ascii="宋体" w:hAnsi="宋体" w:cs="宋体" w:eastAsia="宋体" w:hint="default"/>
                <w:sz w:val="18"/>
                <w:szCs w:val="18"/>
              </w:rPr>
            </w:pPr>
            <w:r>
              <w:rPr>
                <w:rFonts w:ascii="宋体" w:hAnsi="宋体" w:cs="宋体" w:eastAsia="宋体" w:hint="default"/>
                <w:spacing w:val="-12"/>
                <w:sz w:val="18"/>
                <w:szCs w:val="18"/>
              </w:rPr>
              <w:t>年度、</w:t>
            </w:r>
            <w:r>
              <w:rPr>
                <w:rFonts w:ascii="Times New Roman" w:hAnsi="Times New Roman" w:cs="Times New Roman" w:eastAsia="Times New Roman" w:hint="default"/>
                <w:spacing w:val="-12"/>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经审计的归属 于上市公司股 东的扣除非经 常性损益后的 净利润较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年度增长率分 别不低于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w:t>
            </w:r>
            <w:r>
              <w:rPr>
                <w:rFonts w:ascii="宋体" w:hAnsi="宋体" w:cs="宋体" w:eastAsia="宋体" w:hint="default"/>
                <w:sz w:val="18"/>
                <w:szCs w:val="18"/>
              </w:rPr>
              <w:t>；</w:t>
            </w:r>
          </w:p>
          <w:p>
            <w:pPr>
              <w:pStyle w:val="TableParagraph"/>
              <w:spacing w:line="300" w:lineRule="auto" w:before="3"/>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）股票期权 </w:t>
            </w:r>
            <w:r>
              <w:rPr>
                <w:rFonts w:ascii="宋体" w:hAnsi="宋体" w:cs="宋体" w:eastAsia="宋体" w:hint="default"/>
                <w:spacing w:val="-6"/>
                <w:sz w:val="18"/>
                <w:szCs w:val="18"/>
              </w:rPr>
              <w:t>等待期内，归属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450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9"/>
                <w:sz w:val="20"/>
                <w:szCs w:val="20"/>
              </w:rPr>
              <w:pict>
                <v:group style="width:63.4pt;height:225.3pt;mso-position-horizontal-relative:char;mso-position-vertical-relative:line" coordorigin="0,0" coordsize="1268,4506">
                  <v:group style="position:absolute;left:0;top:0;width:1268;height:4506" coordorigin="0,0" coordsize="1268,4506">
                    <v:shape style="position:absolute;left:0;top:0;width:1268;height:4506" coordorigin="0,0" coordsize="1268,4506" path="m0,4505l1267,4505,1267,0,0,0,0,4505xe" filled="true" fillcolor="#ffffff" stroked="false">
                      <v:path arrowok="t"/>
                      <v:fill type="solid"/>
                    </v:shape>
                  </v:group>
                </v:group>
              </w:pict>
            </w:r>
            <w:r>
              <w:rPr>
                <w:rFonts w:ascii="Times New Roman" w:hAnsi="Times New Roman" w:cs="Times New Roman" w:eastAsia="Times New Roman" w:hint="default"/>
                <w:position w:val="-89"/>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450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9"/>
                <w:sz w:val="20"/>
                <w:szCs w:val="20"/>
              </w:rPr>
              <w:pict>
                <v:group style="width:63.4pt;height:225.3pt;mso-position-horizontal-relative:char;mso-position-vertical-relative:line" coordorigin="0,0" coordsize="1268,4506">
                  <v:group style="position:absolute;left:0;top:0;width:1268;height:4506" coordorigin="0,0" coordsize="1268,4506">
                    <v:shape style="position:absolute;left:0;top:0;width:1268;height:4506" coordorigin="0,0" coordsize="1268,4506" path="m0,4505l1267,4505,1267,0,0,0,0,4505xe" filled="true" fillcolor="#ffffff" stroked="false">
                      <v:path arrowok="t"/>
                      <v:fill type="solid"/>
                    </v:shape>
                  </v:group>
                </v:group>
              </w:pict>
            </w:r>
            <w:r>
              <w:rPr>
                <w:rFonts w:ascii="Times New Roman" w:hAnsi="Times New Roman" w:cs="Times New Roman" w:eastAsia="Times New Roman" w:hint="default"/>
                <w:position w:val="-89"/>
                <w:sz w:val="20"/>
                <w:szCs w:val="20"/>
              </w:rPr>
            </w:r>
          </w:p>
        </w:tc>
        <w:tc>
          <w:tcPr>
            <w:tcW w:w="1277"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50"/>
              <w:ind w:left="23" w:right="6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、行权条件中 关于业绩的承 诺期限至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p>
          <w:p>
            <w:pPr>
              <w:pStyle w:val="TableParagraph"/>
              <w:spacing w:line="307" w:lineRule="auto" w:before="7"/>
              <w:ind w:left="23" w:right="-2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w:t>
            </w:r>
            <w:r>
              <w:rPr>
                <w:rFonts w:ascii="Times New Roman" w:hAnsi="Times New Roman" w:cs="Times New Roman" w:eastAsia="Times New Roman" w:hint="default"/>
                <w:sz w:val="18"/>
                <w:szCs w:val="18"/>
              </w:rPr>
              <w:t>2</w:t>
            </w:r>
            <w:r>
              <w:rPr>
                <w:rFonts w:ascii="宋体" w:hAnsi="宋体" w:cs="宋体" w:eastAsia="宋体" w:hint="default"/>
                <w:sz w:val="18"/>
                <w:szCs w:val="18"/>
              </w:rPr>
              <w:t>、不为激励对 象提供财务资 助的承诺期限</w:t>
            </w:r>
          </w:p>
          <w:p>
            <w:pPr>
              <w:pStyle w:val="TableParagraph"/>
              <w:spacing w:line="240" w:lineRule="auto" w:before="26"/>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6" w:right="22"/>
              <w:jc w:val="left"/>
              <w:rPr>
                <w:rFonts w:ascii="宋体" w:hAnsi="宋体" w:cs="宋体" w:eastAsia="宋体" w:hint="default"/>
                <w:sz w:val="18"/>
                <w:szCs w:val="18"/>
              </w:rPr>
            </w:pPr>
            <w:r>
              <w:rPr>
                <w:rFonts w:ascii="宋体" w:hAnsi="宋体" w:cs="宋体" w:eastAsia="宋体" w:hint="default"/>
                <w:spacing w:val="-7"/>
                <w:sz w:val="18"/>
                <w:szCs w:val="18"/>
              </w:rPr>
              <w:t>截至报告期，公</w:t>
            </w:r>
            <w:r>
              <w:rPr>
                <w:rFonts w:ascii="宋体" w:hAnsi="宋体" w:cs="宋体" w:eastAsia="宋体" w:hint="default"/>
                <w:sz w:val="18"/>
                <w:szCs w:val="18"/>
              </w:rPr>
              <w:t> 司遵守了相应 的承诺。</w:t>
            </w:r>
          </w:p>
        </w:tc>
      </w:tr>
    </w:tbl>
    <w:p>
      <w:pPr>
        <w:spacing w:after="0" w:line="316" w:lineRule="auto"/>
        <w:jc w:val="left"/>
        <w:rPr>
          <w:rFonts w:ascii="宋体" w:hAnsi="宋体" w:cs="宋体" w:eastAsia="宋体" w:hint="default"/>
          <w:sz w:val="18"/>
          <w:szCs w:val="18"/>
        </w:rPr>
        <w:sectPr>
          <w:footerReference w:type="default" r:id="rId14"/>
          <w:pgSz w:w="11910" w:h="16840"/>
          <w:pgMar w:footer="980" w:header="745" w:top="1060" w:bottom="1160" w:left="980" w:right="980"/>
          <w:pgNumType w:start="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6915"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于上市公司股 东的净利润及 归属于上市公 司股东的扣除 非经常性损益 的净利润均不 得低于授权日 前最近三年会 计年度的平均 水平且不得为 负。</w:t>
            </w:r>
            <w:r>
              <w:rPr>
                <w:rFonts w:ascii="Times New Roman" w:hAnsi="Times New Roman" w:cs="Times New Roman" w:eastAsia="Times New Roman" w:hint="default"/>
                <w:sz w:val="18"/>
                <w:szCs w:val="18"/>
              </w:rPr>
              <w:t>2</w:t>
            </w:r>
            <w:r>
              <w:rPr>
                <w:rFonts w:ascii="宋体" w:hAnsi="宋体" w:cs="宋体" w:eastAsia="宋体" w:hint="default"/>
                <w:sz w:val="18"/>
                <w:szCs w:val="18"/>
              </w:rPr>
              <w:t>、不为激 励对象提供财 务资助的承诺： 公司承诺不为 激励对象依股 票期权激励计 划获取有关权 益提供贷款以 及其他任何形 式的财务资助， 包括为其贷款 提供担保。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截至报告期，公司及上述控股股东、实际控制人、公司董事、监事、高级管理人 员均遵守了相应的承诺。</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right="10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36"/>
        <w:ind w:right="100"/>
        <w:jc w:val="left"/>
      </w:pPr>
      <w:r>
        <w:rPr>
          <w:rFonts w:ascii="Times New Roman" w:hAnsi="Times New Roman" w:cs="Times New Roman" w:eastAsia="Times New Roman" w:hint="default"/>
        </w:rPr>
        <w:t>1</w:t>
      </w:r>
      <w:r>
        <w:rPr/>
        <w:t>、上海万达全程健康服务有限公司项目</w:t>
      </w:r>
    </w:p>
    <w:p>
      <w:pPr>
        <w:pStyle w:val="BodyText"/>
        <w:spacing w:line="386" w:lineRule="auto" w:before="177"/>
        <w:ind w:right="10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日，公司第四届董事会</w:t>
      </w:r>
      <w:r>
        <w:rPr>
          <w:rFonts w:ascii="Times New Roman" w:hAnsi="Times New Roman" w:cs="Times New Roman" w:eastAsia="Times New Roman" w:hint="default"/>
        </w:rPr>
        <w:t>2012</w:t>
      </w:r>
      <w:r>
        <w:rPr/>
        <w:t>年第二次临时会议审议通过了《关于使用部分超募资金对外投资</w:t>
      </w:r>
      <w:r>
        <w:rPr>
          <w:w w:val="100"/>
        </w:rPr>
        <w:t> </w:t>
      </w:r>
      <w:r>
        <w:rPr/>
        <w:t>设立合资公司的议案》，同意使用超募资金</w:t>
      </w:r>
      <w:r>
        <w:rPr>
          <w:rFonts w:ascii="Times New Roman" w:hAnsi="Times New Roman" w:cs="Times New Roman" w:eastAsia="Times New Roman" w:hint="default"/>
        </w:rPr>
        <w:t>275</w:t>
      </w:r>
      <w:r>
        <w:rPr/>
        <w:t>万元对外投资成立合资公司上海万达全程健康服务有限公</w:t>
      </w:r>
      <w:r>
        <w:rPr>
          <w:w w:val="100"/>
        </w:rPr>
        <w:t> </w:t>
      </w:r>
      <w:r>
        <w:rPr/>
        <w:t>司，并于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日在证监会指定信息披露网站公告。公告中对该项目的盈利情况进行了预测，预测</w:t>
      </w:r>
      <w:r>
        <w:rPr>
          <w:w w:val="100"/>
        </w:rPr>
        <w:t> </w:t>
      </w:r>
      <w:r>
        <w:rPr/>
        <w:t>该项目</w:t>
      </w:r>
      <w:r>
        <w:rPr>
          <w:rFonts w:ascii="Times New Roman" w:hAnsi="Times New Roman" w:cs="Times New Roman" w:eastAsia="Times New Roman" w:hint="default"/>
        </w:rPr>
        <w:t>2012</w:t>
      </w:r>
      <w:r>
        <w:rPr/>
        <w:t>年的净利润为</w:t>
      </w:r>
      <w:r>
        <w:rPr>
          <w:rFonts w:ascii="Times New Roman" w:hAnsi="Times New Roman" w:cs="Times New Roman" w:eastAsia="Times New Roman" w:hint="default"/>
        </w:rPr>
        <w:t>-133</w:t>
      </w:r>
      <w:r>
        <w:rPr/>
        <w:t>万元。</w:t>
      </w:r>
      <w:r>
        <w:rPr>
          <w:w w:val="100"/>
        </w:rPr>
        <w:t>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日，公司第四届董事会</w:t>
      </w:r>
      <w:r>
        <w:rPr>
          <w:rFonts w:ascii="Times New Roman" w:hAnsi="Times New Roman" w:cs="Times New Roman" w:eastAsia="Times New Roman" w:hint="default"/>
          <w:spacing w:val="-2"/>
        </w:rPr>
        <w:t>2012</w:t>
      </w:r>
      <w:r>
        <w:rPr>
          <w:spacing w:val="-2"/>
        </w:rPr>
        <w:t>年第五次临时会议审议通过了《关于超募资金使用计划的议案》，</w:t>
      </w:r>
    </w:p>
    <w:p>
      <w:pPr>
        <w:spacing w:after="0" w:line="386"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386" w:lineRule="auto" w:before="175"/>
        <w:ind w:right="208"/>
        <w:jc w:val="left"/>
      </w:pPr>
      <w:r>
        <w:rPr>
          <w:spacing w:val="-2"/>
        </w:rPr>
        <w:t>同意使用超募资金</w:t>
      </w:r>
      <w:r>
        <w:rPr>
          <w:rFonts w:ascii="Times New Roman" w:hAnsi="Times New Roman" w:cs="Times New Roman" w:eastAsia="Times New Roman" w:hint="default"/>
          <w:spacing w:val="-2"/>
        </w:rPr>
        <w:t>611</w:t>
      </w:r>
      <w:r>
        <w:rPr>
          <w:spacing w:val="-2"/>
        </w:rPr>
        <w:t>万元增资上海万达全程健康服务有限公司，并于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日在证监会指定信息披</w:t>
      </w:r>
      <w:r>
        <w:rPr>
          <w:spacing w:val="-36"/>
        </w:rPr>
        <w:t> </w:t>
      </w:r>
      <w:r>
        <w:rPr>
          <w:spacing w:val="-36"/>
        </w:rPr>
      </w:r>
      <w:r>
        <w:rPr/>
        <w:t>露网站公告。公告中对该项目的盈利情况进行了预测，预测该项目</w:t>
      </w:r>
      <w:r>
        <w:rPr>
          <w:rFonts w:ascii="Times New Roman" w:hAnsi="Times New Roman" w:cs="Times New Roman" w:eastAsia="Times New Roman" w:hint="default"/>
        </w:rPr>
        <w:t>2012</w:t>
      </w:r>
      <w:r>
        <w:rPr/>
        <w:t>年的净利润为</w:t>
      </w:r>
      <w:r>
        <w:rPr>
          <w:rFonts w:ascii="Times New Roman" w:hAnsi="Times New Roman" w:cs="Times New Roman" w:eastAsia="Times New Roman" w:hint="default"/>
        </w:rPr>
        <w:t>-26.24</w:t>
      </w:r>
      <w:r>
        <w:rPr/>
        <w:t>万元。</w:t>
      </w:r>
      <w:r>
        <w:rPr>
          <w:w w:val="100"/>
        </w:rPr>
        <w:t> </w:t>
      </w:r>
      <w:r>
        <w:rPr>
          <w:spacing w:val="-3"/>
        </w:rPr>
        <w:t>截至报告期末，上海万达全程健康服务有限公司的实际净利润为</w:t>
      </w:r>
      <w:r>
        <w:rPr>
          <w:rFonts w:ascii="Times New Roman" w:hAnsi="Times New Roman" w:cs="Times New Roman" w:eastAsia="Times New Roman" w:hint="default"/>
          <w:spacing w:val="-3"/>
        </w:rPr>
        <w:t>-678.38</w:t>
      </w:r>
      <w:r>
        <w:rPr>
          <w:spacing w:val="-3"/>
        </w:rPr>
        <w:t>万元。未能达到原盈利预测的原因</w:t>
      </w:r>
      <w:r>
        <w:rPr>
          <w:spacing w:val="-7"/>
        </w:rPr>
        <w:t> </w:t>
      </w:r>
      <w:r>
        <w:rPr>
          <w:spacing w:val="-7"/>
        </w:rPr>
      </w:r>
      <w:r>
        <w:rPr/>
        <w:t>主要是：上海万达全程健康服务有限公司公司于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日成立，各项工作刚刚起步，还处在初始投</w:t>
      </w:r>
      <w:r>
        <w:rPr>
          <w:w w:val="100"/>
        </w:rPr>
        <w:t> </w:t>
      </w:r>
      <w:r>
        <w:rPr/>
        <w:t>入期。由于市场对全程健康的理念相当认同，初始投入超过原有预期，该公司业务发展态势良好。</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100"/>
        <w:jc w:val="left"/>
      </w:pPr>
      <w:r>
        <w:rPr>
          <w:rFonts w:ascii="Times New Roman" w:hAnsi="Times New Roman" w:cs="Times New Roman" w:eastAsia="Times New Roman" w:hint="default"/>
        </w:rPr>
        <w:t>2</w:t>
      </w:r>
      <w:r>
        <w:rPr/>
        <w:t>、天津万达信息技术有限责任公司项目</w:t>
      </w:r>
    </w:p>
    <w:p>
      <w:pPr>
        <w:pStyle w:val="BodyText"/>
        <w:spacing w:line="386" w:lineRule="auto" w:before="177"/>
        <w:ind w:right="206"/>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日，公司第四届董事会第四次会议审议通过了《关于使用部分超募资金投资设立全资子公司</w:t>
      </w:r>
      <w:r>
        <w:rPr>
          <w:w w:val="100"/>
        </w:rPr>
        <w:t> </w:t>
      </w:r>
      <w:r>
        <w:rPr>
          <w:spacing w:val="-2"/>
        </w:rPr>
        <w:t>天津万达信息技术有限责任公司的议案》，同意使用超募资金</w:t>
      </w:r>
      <w:r>
        <w:rPr>
          <w:rFonts w:ascii="Times New Roman" w:hAnsi="Times New Roman" w:cs="Times New Roman" w:eastAsia="Times New Roman" w:hint="default"/>
          <w:spacing w:val="-2"/>
        </w:rPr>
        <w:t>5000</w:t>
      </w:r>
      <w:r>
        <w:rPr>
          <w:spacing w:val="-2"/>
        </w:rPr>
        <w:t>万元投资设立全资公司天津万达信息技</w:t>
      </w:r>
      <w:r>
        <w:rPr>
          <w:spacing w:val="-38"/>
        </w:rPr>
        <w:t> </w:t>
      </w:r>
      <w:r>
        <w:rPr>
          <w:spacing w:val="-38"/>
        </w:rPr>
      </w:r>
      <w:r>
        <w:rPr/>
        <w:t>术有限责任公司，并于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日在证监会指定信息披露网站公告。公告中对该项目的盈利情况进行</w:t>
      </w:r>
      <w:r>
        <w:rPr>
          <w:w w:val="100"/>
        </w:rPr>
        <w:t> </w:t>
      </w:r>
      <w:r>
        <w:rPr/>
        <w:t>了预测，预测该项目</w:t>
      </w:r>
      <w:r>
        <w:rPr>
          <w:rFonts w:ascii="Times New Roman" w:hAnsi="Times New Roman" w:cs="Times New Roman" w:eastAsia="Times New Roman" w:hint="default"/>
        </w:rPr>
        <w:t>2012</w:t>
      </w:r>
      <w:r>
        <w:rPr/>
        <w:t>年的净利润为</w:t>
      </w:r>
      <w:r>
        <w:rPr>
          <w:rFonts w:ascii="Times New Roman" w:hAnsi="Times New Roman" w:cs="Times New Roman" w:eastAsia="Times New Roman" w:hint="default"/>
        </w:rPr>
        <w:t>694.39</w:t>
      </w:r>
      <w:r>
        <w:rPr/>
        <w:t>万元。</w:t>
      </w:r>
      <w:r>
        <w:rPr>
          <w:w w:val="100"/>
        </w:rPr>
        <w:t> </w:t>
      </w:r>
      <w:r>
        <w:rPr>
          <w:spacing w:val="-2"/>
        </w:rPr>
        <w:t>截至报告期末，天津万达信息技术有限责任公司的实际净利润为</w:t>
      </w:r>
      <w:r>
        <w:rPr>
          <w:rFonts w:ascii="Times New Roman" w:hAnsi="Times New Roman" w:cs="Times New Roman" w:eastAsia="Times New Roman" w:hint="default"/>
          <w:spacing w:val="-2"/>
        </w:rPr>
        <w:t>-20.86</w:t>
      </w:r>
      <w:r>
        <w:rPr>
          <w:spacing w:val="-2"/>
        </w:rPr>
        <w:t>万元。未能达到原盈利预测的原因</w:t>
      </w:r>
      <w:r>
        <w:rPr>
          <w:spacing w:val="-14"/>
        </w:rPr>
        <w:t> </w:t>
      </w:r>
      <w:r>
        <w:rPr>
          <w:spacing w:val="-14"/>
        </w:rPr>
      </w:r>
      <w:r>
        <w:rPr/>
        <w:t>如下：天津万达信息技术有限责任公司于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日成立，各项工作也刚刚起步，预期业务受环境因</w:t>
      </w:r>
      <w:r>
        <w:rPr>
          <w:w w:val="100"/>
        </w:rPr>
        <w:t> </w:t>
      </w:r>
      <w:r>
        <w:rPr/>
        <w:t>素影响，未能在报告期内实现。公司将积极开拓业务，克服不利的环境因素。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100"/>
        <w:jc w:val="left"/>
      </w:pPr>
      <w:r>
        <w:rPr>
          <w:rFonts w:ascii="Times New Roman" w:hAnsi="Times New Roman" w:cs="Times New Roman" w:eastAsia="Times New Roman" w:hint="default"/>
        </w:rPr>
        <w:t>3</w:t>
      </w:r>
      <w:r>
        <w:rPr/>
        <w:t>、西藏万达华波美信息技术有限公司项目</w:t>
      </w:r>
    </w:p>
    <w:p>
      <w:pPr>
        <w:pStyle w:val="BodyText"/>
        <w:spacing w:line="386" w:lineRule="auto" w:before="177"/>
        <w:ind w:right="206"/>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日，公司第四届董事会第四次会议审议通过了《关于使用部分超募资金增资收购西藏新时代</w:t>
      </w:r>
      <w:r>
        <w:rPr>
          <w:w w:val="100"/>
        </w:rPr>
        <w:t> </w:t>
      </w:r>
      <w:r>
        <w:rPr>
          <w:spacing w:val="-2"/>
        </w:rPr>
        <w:t>华波美信息技术有限公司的议案》，同意使用超募资金</w:t>
      </w:r>
      <w:r>
        <w:rPr>
          <w:rFonts w:ascii="Times New Roman" w:hAnsi="Times New Roman" w:cs="Times New Roman" w:eastAsia="Times New Roman" w:hint="default"/>
          <w:spacing w:val="-2"/>
        </w:rPr>
        <w:t>3800</w:t>
      </w:r>
      <w:r>
        <w:rPr>
          <w:spacing w:val="-2"/>
        </w:rPr>
        <w:t>万元增资收购西藏新时代华波美信息技术有限</w:t>
      </w:r>
      <w:r>
        <w:rPr>
          <w:spacing w:val="-40"/>
        </w:rPr>
        <w:t> </w:t>
      </w:r>
      <w:r>
        <w:rPr>
          <w:spacing w:val="-40"/>
        </w:rPr>
      </w:r>
      <w:r>
        <w:rPr/>
        <w:t>公司，收购完成后的新公司为西藏万达华波美信息技术有限公司，并于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日在证监会指定信息</w:t>
      </w:r>
      <w:r>
        <w:rPr>
          <w:w w:val="100"/>
        </w:rPr>
        <w:t> </w:t>
      </w:r>
      <w:r>
        <w:rPr/>
        <w:t>披露网站公告。公告中对该项目的盈利情况进行了预测，预测该项目</w:t>
      </w:r>
      <w:r>
        <w:rPr>
          <w:rFonts w:ascii="Times New Roman" w:hAnsi="Times New Roman" w:cs="Times New Roman" w:eastAsia="Times New Roman" w:hint="default"/>
        </w:rPr>
        <w:t>2012</w:t>
      </w:r>
      <w:r>
        <w:rPr/>
        <w:t>年的净利润为</w:t>
      </w:r>
      <w:r>
        <w:rPr>
          <w:rFonts w:ascii="Times New Roman" w:hAnsi="Times New Roman" w:cs="Times New Roman" w:eastAsia="Times New Roman" w:hint="default"/>
        </w:rPr>
        <w:t>959.43</w:t>
      </w:r>
      <w:r>
        <w:rPr/>
        <w:t>万元。</w:t>
      </w:r>
      <w:r>
        <w:rPr>
          <w:w w:val="100"/>
        </w:rPr>
        <w:t> </w:t>
      </w:r>
      <w:r>
        <w:rPr>
          <w:spacing w:val="-3"/>
        </w:rPr>
        <w:t>截至报告期末，西藏万达华波美信息技术有限公司的实际净利润为</w:t>
      </w:r>
      <w:r>
        <w:rPr>
          <w:rFonts w:ascii="Times New Roman" w:hAnsi="Times New Roman" w:cs="Times New Roman" w:eastAsia="Times New Roman" w:hint="default"/>
          <w:spacing w:val="-3"/>
        </w:rPr>
        <w:t>-432.91</w:t>
      </w:r>
      <w:r>
        <w:rPr>
          <w:spacing w:val="-3"/>
        </w:rPr>
        <w:t>万元。未能达到原盈利预测的原</w:t>
      </w:r>
      <w:r>
        <w:rPr>
          <w:spacing w:val="-6"/>
        </w:rPr>
        <w:t> </w:t>
      </w:r>
      <w:r>
        <w:rPr>
          <w:spacing w:val="-6"/>
        </w:rPr>
      </w:r>
      <w:r>
        <w:rPr/>
        <w:t>因如下：西藏万达华波美信息技术有限公司于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日成立，各项工作也刚刚起步，预期业务受环</w:t>
      </w:r>
      <w:r>
        <w:rPr>
          <w:w w:val="100"/>
        </w:rPr>
        <w:t> </w:t>
      </w:r>
      <w:r>
        <w:rPr/>
        <w:t>境因素影响，未能在报告期内实现，该公司区域业务发展态势良好。</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100"/>
        <w:jc w:val="left"/>
      </w:pPr>
      <w:r>
        <w:rPr>
          <w:rFonts w:ascii="Times New Roman" w:hAnsi="Times New Roman" w:cs="Times New Roman" w:eastAsia="Times New Roman" w:hint="default"/>
        </w:rPr>
        <w:t>4</w:t>
      </w:r>
      <w:r>
        <w:rPr/>
        <w:t>、北京万达全城信息系统有限公司项目</w:t>
      </w:r>
    </w:p>
    <w:p>
      <w:pPr>
        <w:pStyle w:val="BodyText"/>
        <w:spacing w:line="386" w:lineRule="auto" w:before="177"/>
        <w:ind w:right="10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日，公司第四届董事会</w:t>
      </w:r>
      <w:r>
        <w:rPr>
          <w:rFonts w:ascii="Times New Roman" w:hAnsi="Times New Roman" w:cs="Times New Roman" w:eastAsia="Times New Roman" w:hint="default"/>
          <w:spacing w:val="-2"/>
        </w:rPr>
        <w:t>2012</w:t>
      </w:r>
      <w:r>
        <w:rPr>
          <w:spacing w:val="-2"/>
        </w:rPr>
        <w:t>年第五次临时会议审议通过了《关于超募资金使用计划的议案》，</w:t>
      </w:r>
      <w:r>
        <w:rPr>
          <w:spacing w:val="-33"/>
        </w:rPr>
        <w:t> </w:t>
      </w:r>
      <w:r>
        <w:rPr>
          <w:spacing w:val="-33"/>
        </w:rPr>
      </w:r>
      <w:r>
        <w:rPr>
          <w:spacing w:val="-2"/>
        </w:rPr>
        <w:t>同意使用超募资金</w:t>
      </w:r>
      <w:r>
        <w:rPr>
          <w:rFonts w:ascii="Times New Roman" w:hAnsi="Times New Roman" w:cs="Times New Roman" w:eastAsia="Times New Roman" w:hint="default"/>
          <w:spacing w:val="-2"/>
        </w:rPr>
        <w:t>2000</w:t>
      </w:r>
      <w:r>
        <w:rPr>
          <w:spacing w:val="-2"/>
        </w:rPr>
        <w:t>万元投资设立全资子公司北京万达信息技术有限责任公司（暂定名），并于</w:t>
      </w:r>
      <w:r>
        <w:rPr>
          <w:rFonts w:ascii="Times New Roman" w:hAnsi="Times New Roman" w:cs="Times New Roman" w:eastAsia="Times New Roman" w:hint="default"/>
          <w:spacing w:val="-2"/>
        </w:rPr>
        <w:t>2012</w:t>
      </w:r>
      <w:r>
        <w:rPr>
          <w:spacing w:val="-2"/>
        </w:rPr>
        <w:t>年</w:t>
      </w:r>
      <w:r>
        <w:rPr>
          <w:spacing w:val="-36"/>
        </w:rPr>
        <w:t> </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日在证监会指定信息披露网站公告。公告中对该项目的盈利情况进行了预测，预测该项目</w:t>
      </w:r>
      <w:r>
        <w:rPr>
          <w:rFonts w:ascii="Times New Roman" w:hAnsi="Times New Roman" w:cs="Times New Roman" w:eastAsia="Times New Roman" w:hint="default"/>
        </w:rPr>
        <w:t>2012</w:t>
      </w:r>
      <w:r>
        <w:rPr/>
        <w:t>年的</w:t>
      </w:r>
      <w:r>
        <w:rPr>
          <w:spacing w:val="-3"/>
          <w:w w:val="100"/>
        </w:rPr>
        <w:t> </w:t>
      </w:r>
      <w:r>
        <w:rPr/>
        <w:t>净利润为</w:t>
      </w:r>
      <w:r>
        <w:rPr>
          <w:rFonts w:ascii="Times New Roman" w:hAnsi="Times New Roman" w:cs="Times New Roman" w:eastAsia="Times New Roman" w:hint="default"/>
        </w:rPr>
        <w:t>380.80</w:t>
      </w:r>
      <w:r>
        <w:rPr/>
        <w:t>万元。</w:t>
      </w:r>
      <w:r>
        <w:rPr>
          <w:w w:val="100"/>
        </w:rPr>
        <w:t> </w:t>
      </w:r>
      <w:r>
        <w:rPr/>
        <w:t>截至报告期末，北京万达全城信息系统有限公司（工商登记名）的实际净利润为</w:t>
      </w:r>
      <w:r>
        <w:rPr>
          <w:rFonts w:ascii="Times New Roman" w:hAnsi="Times New Roman" w:cs="Times New Roman" w:eastAsia="Times New Roman" w:hint="default"/>
        </w:rPr>
        <w:t>0.17</w:t>
      </w:r>
      <w:r>
        <w:rPr/>
        <w:t>万元。未能达到原盈</w:t>
      </w:r>
    </w:p>
    <w:p>
      <w:pPr>
        <w:spacing w:after="0" w:line="386" w:lineRule="auto"/>
        <w:jc w:val="left"/>
        <w:sectPr>
          <w:footerReference w:type="default" r:id="rId15"/>
          <w:pgSz w:w="11910" w:h="16840"/>
          <w:pgMar w:footer="980" w:header="745" w:top="1060" w:bottom="1160" w:left="980" w:right="920"/>
          <w:pgNumType w:start="42"/>
        </w:sectPr>
      </w:pPr>
    </w:p>
    <w:p>
      <w:pPr>
        <w:spacing w:line="240" w:lineRule="auto" w:before="0"/>
        <w:rPr>
          <w:rFonts w:ascii="宋体" w:hAnsi="宋体" w:cs="宋体" w:eastAsia="宋体" w:hint="default"/>
          <w:sz w:val="20"/>
          <w:szCs w:val="20"/>
        </w:rPr>
      </w:pPr>
    </w:p>
    <w:p>
      <w:pPr>
        <w:pStyle w:val="BodyText"/>
        <w:spacing w:line="386" w:lineRule="auto" w:before="175"/>
        <w:ind w:right="0"/>
        <w:jc w:val="left"/>
      </w:pPr>
      <w:r>
        <w:rPr>
          <w:spacing w:val="-2"/>
        </w:rPr>
        <w:t>利预测的原因如下：北京万达全城信息系统有限公司于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日成立，各项工作也刚刚起步，该公</w:t>
      </w:r>
      <w:r>
        <w:rPr>
          <w:spacing w:val="-35"/>
        </w:rPr>
        <w:t> </w:t>
      </w:r>
      <w:r>
        <w:rPr>
          <w:spacing w:val="-35"/>
        </w:rPr>
      </w:r>
      <w:r>
        <w:rPr/>
        <w:t>司区域业务发展态势良好。</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盈利预测相关披露索引</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盈利预测披露日期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盈利预测披露媒体名称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盈利预测公告名称</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49"/>
              <w:ind w:left="23"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pacing w:val="-1"/>
                  <w:sz w:val="18"/>
                  <w:szCs w:val="18"/>
                </w:rPr>
                <w:t>http://www.cninfo.com.cn/finalpage/2012-</w:t>
              </w:r>
            </w:hyperlink>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3"/>
                <w:sz w:val="18"/>
                <w:szCs w:val="18"/>
              </w:rPr>
            </w:r>
            <w:r>
              <w:rPr>
                <w:rFonts w:ascii="Times New Roman" w:hAnsi="Times New Roman" w:cs="Times New Roman" w:eastAsia="Times New Roman" w:hint="default"/>
                <w:sz w:val="18"/>
                <w:szCs w:val="18"/>
              </w:rPr>
              <w:t>04-16/60838652.PDF</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万达信息股份有限公司关于使用部分超 募资金对外投资的公告</w:t>
            </w:r>
          </w:p>
        </w:tc>
      </w:tr>
      <w:tr>
        <w:trPr>
          <w:trHeight w:val="10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49"/>
              <w:ind w:left="23"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pacing w:val="-1"/>
                  <w:sz w:val="18"/>
                  <w:szCs w:val="18"/>
                </w:rPr>
                <w:t>http://www.cninfo.com.cn/finalpage/2012-</w:t>
              </w:r>
            </w:hyperlink>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3"/>
                <w:sz w:val="18"/>
                <w:szCs w:val="18"/>
              </w:rPr>
            </w:r>
            <w:r>
              <w:rPr>
                <w:rFonts w:ascii="Times New Roman" w:hAnsi="Times New Roman" w:cs="Times New Roman" w:eastAsia="Times New Roman" w:hint="default"/>
                <w:sz w:val="18"/>
                <w:szCs w:val="18"/>
              </w:rPr>
              <w:t>05-30/61067426.PDF</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万达信息股份有限公司关于使用部分超 募资金投资设立全资子公司天津万达信 息技术有限责任公司的公告</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49"/>
              <w:ind w:left="23"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pacing w:val="-1"/>
                  <w:sz w:val="18"/>
                  <w:szCs w:val="18"/>
                </w:rPr>
                <w:t>http://www.cninfo.com.cn/finalpage/2012-</w:t>
              </w:r>
            </w:hyperlink>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3"/>
                <w:sz w:val="18"/>
                <w:szCs w:val="18"/>
              </w:rPr>
            </w:r>
            <w:r>
              <w:rPr>
                <w:rFonts w:ascii="Times New Roman" w:hAnsi="Times New Roman" w:cs="Times New Roman" w:eastAsia="Times New Roman" w:hint="default"/>
                <w:sz w:val="18"/>
                <w:szCs w:val="18"/>
              </w:rPr>
              <w:t>05-30/61067428.PDF</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万达信息股份有限公司关于使用部分超 募资金增资收购西藏新时代华波美信息 技术有限公司的公告</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49"/>
              <w:ind w:left="23"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pacing w:val="-1"/>
                  <w:sz w:val="18"/>
                  <w:szCs w:val="18"/>
                </w:rPr>
                <w:t>http://www.cninfo.com.cn/finalpage/2012-</w:t>
              </w:r>
            </w:hyperlink>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3"/>
                <w:sz w:val="18"/>
                <w:szCs w:val="18"/>
              </w:rPr>
            </w:r>
            <w:r>
              <w:rPr>
                <w:rFonts w:ascii="Times New Roman" w:hAnsi="Times New Roman" w:cs="Times New Roman" w:eastAsia="Times New Roman" w:hint="default"/>
                <w:sz w:val="18"/>
                <w:szCs w:val="18"/>
              </w:rPr>
              <w:t>08-13/61405990.PDF</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万达信息股份有限公司超募资金使用计 划的公告</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单峰、潘时骏</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136"/>
        <w:jc w:val="left"/>
        <w:rPr>
          <w:b w:val="0"/>
          <w:bCs w:val="0"/>
        </w:rPr>
      </w:pPr>
      <w:r>
        <w:rPr/>
        <w:t>十、上市公司及其董事、监事、高级管理人员、公司股东、实际控制人和收购人处罚及整改</w:t>
      </w:r>
      <w:r>
        <w:rPr>
          <w:w w:val="99"/>
        </w:rPr>
        <w:t> </w:t>
      </w:r>
      <w:r>
        <w:rPr/>
        <w:t>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4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上市公司及其子公司是否被列入环保部门公布的污染严重企业名单</w:t>
      </w:r>
    </w:p>
    <w:p>
      <w:pPr>
        <w:spacing w:line="340" w:lineRule="auto" w:before="43"/>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上市公司及其子公司是否存在其他重大社会安全问题</w:t>
      </w:r>
    </w:p>
    <w:p>
      <w:pPr>
        <w:spacing w:line="340" w:lineRule="auto" w:before="39"/>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报告期内是否被行政处罚</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十一、公司股东及其一致行动人在报告期提出或实施股份增持计划的情况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318" w:right="21"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0" w:right="46"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46"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6" w:right="4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其他情况说明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64"/>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3" w:hanging="1"/>
              <w:jc w:val="center"/>
              <w:rPr>
                <w:rFonts w:ascii="宋体" w:hAnsi="宋体" w:cs="宋体" w:eastAsia="宋体" w:hint="default"/>
                <w:sz w:val="18"/>
                <w:szCs w:val="18"/>
              </w:rPr>
            </w:pPr>
            <w:r>
              <w:rPr>
                <w:rFonts w:ascii="宋体" w:hAnsi="宋体" w:cs="宋体" w:eastAsia="宋体" w:hint="default"/>
                <w:sz w:val="18"/>
                <w:szCs w:val="18"/>
              </w:rPr>
              <w:t>董事、监事、高级管理 </w:t>
            </w:r>
            <w:r>
              <w:rPr>
                <w:rFonts w:ascii="宋体" w:hAnsi="宋体" w:cs="宋体" w:eastAsia="宋体" w:hint="default"/>
                <w:spacing w:val="-10"/>
                <w:sz w:val="18"/>
                <w:szCs w:val="18"/>
              </w:rPr>
              <w:t>人员、持股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 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81" w:right="50" w:hanging="629"/>
              <w:jc w:val="left"/>
              <w:rPr>
                <w:rFonts w:ascii="宋体" w:hAnsi="宋体" w:cs="宋体" w:eastAsia="宋体" w:hint="default"/>
                <w:sz w:val="18"/>
                <w:szCs w:val="18"/>
              </w:rPr>
            </w:pPr>
            <w:r>
              <w:rPr>
                <w:rFonts w:ascii="宋体" w:hAnsi="宋体" w:cs="宋体" w:eastAsia="宋体" w:hint="default"/>
                <w:sz w:val="18"/>
                <w:szCs w:val="18"/>
              </w:rPr>
              <w:t>违规买卖公司股票的具 体情况</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81" w:right="51" w:hanging="629"/>
              <w:jc w:val="left"/>
              <w:rPr>
                <w:rFonts w:ascii="宋体" w:hAnsi="宋体" w:cs="宋体" w:eastAsia="宋体" w:hint="default"/>
                <w:sz w:val="18"/>
                <w:szCs w:val="18"/>
              </w:rPr>
            </w:pPr>
            <w:r>
              <w:rPr>
                <w:rFonts w:ascii="宋体" w:hAnsi="宋体" w:cs="宋体" w:eastAsia="宋体" w:hint="default"/>
                <w:sz w:val="18"/>
                <w:szCs w:val="18"/>
              </w:rPr>
              <w:t>涉嫌违规所得收益收回 的时间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涉嫌违规所得收益收回 的金额（元）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53" w:right="0"/>
              <w:jc w:val="left"/>
              <w:rPr>
                <w:rFonts w:ascii="宋体" w:hAnsi="宋体" w:cs="宋体" w:eastAsia="宋体" w:hint="default"/>
                <w:sz w:val="18"/>
                <w:szCs w:val="18"/>
              </w:rPr>
            </w:pPr>
            <w:r>
              <w:rPr>
                <w:rFonts w:ascii="宋体" w:hAnsi="宋体" w:cs="宋体" w:eastAsia="宋体" w:hint="default"/>
                <w:sz w:val="18"/>
                <w:szCs w:val="18"/>
              </w:rPr>
              <w:t>董事会采取的问责措施</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十三、违规对外担保情况</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6"/>
        <w:gridCol w:w="1995"/>
        <w:gridCol w:w="1983"/>
        <w:gridCol w:w="1980"/>
        <w:gridCol w:w="1983"/>
      </w:tblGrid>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违规对外担保类型</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报告期增加金额</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报告期减少金额</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both"/>
              <w:rPr>
                <w:rFonts w:ascii="宋体" w:hAnsi="宋体" w:cs="宋体" w:eastAsia="宋体" w:hint="default"/>
                <w:sz w:val="18"/>
                <w:szCs w:val="18"/>
              </w:rPr>
            </w:pPr>
            <w:r>
              <w:rPr>
                <w:rFonts w:ascii="宋体" w:hAnsi="宋体" w:cs="宋体" w:eastAsia="宋体" w:hint="default"/>
                <w:sz w:val="18"/>
                <w:szCs w:val="18"/>
              </w:rPr>
              <w:t>违规对外担保情况 及解决措施情况说 明</w:t>
            </w:r>
          </w:p>
        </w:tc>
        <w:tc>
          <w:tcPr>
            <w:tcW w:w="7941"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十四、年度报告披露后面临暂停上市和终止上市情况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十五、其他重大事项的说明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TOC_250004"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40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99"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75%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34,968,20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-55,031,80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-20,063,60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69,936,40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29.14%</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29.57%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54,514,96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45.43%</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32,866,70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11,218,44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65,733,40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27.39%</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34.12%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-9,000,000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63,897,20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26.62%</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11.31%</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918,100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1,836,200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0.77%</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2,101,500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2,101,500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4,203,000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4,203,000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25%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85,031,80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55,031,80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140,063,6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170,063,6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70.86%</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25%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85,031,80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55,031,80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140,063,6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170,063,6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70.86%</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00" w:lineRule="auto"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26</w:t>
      </w:r>
      <w:r>
        <w:rPr>
          <w:rFonts w:ascii="宋体" w:hAnsi="宋体" w:cs="宋体" w:eastAsia="宋体" w:hint="default"/>
          <w:spacing w:val="-2"/>
          <w:sz w:val="18"/>
          <w:szCs w:val="18"/>
        </w:rPr>
        <w:t>日，公司实施了</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年半年度权益分派方案：以公司截至</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日的总股本</w:t>
      </w:r>
      <w:r>
        <w:rPr>
          <w:rFonts w:ascii="Times New Roman" w:hAnsi="Times New Roman" w:cs="Times New Roman" w:eastAsia="Times New Roman" w:hint="default"/>
          <w:spacing w:val="-2"/>
          <w:sz w:val="18"/>
          <w:szCs w:val="18"/>
        </w:rPr>
        <w:t>120,000,000</w:t>
      </w:r>
      <w:r>
        <w:rPr>
          <w:rFonts w:ascii="宋体" w:hAnsi="宋体" w:cs="宋体" w:eastAsia="宋体" w:hint="default"/>
          <w:spacing w:val="-2"/>
          <w:sz w:val="18"/>
          <w:szCs w:val="18"/>
        </w:rPr>
        <w:t>股为基数，以资本</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公积金向全体股东每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10</w:t>
      </w:r>
      <w:r>
        <w:rPr>
          <w:rFonts w:ascii="宋体" w:hAnsi="宋体" w:cs="宋体" w:eastAsia="宋体" w:hint="default"/>
          <w:sz w:val="18"/>
          <w:szCs w:val="18"/>
        </w:rPr>
        <w:t>股。权益分派实施后，公司的总股本由</w:t>
      </w:r>
      <w:r>
        <w:rPr>
          <w:rFonts w:ascii="Times New Roman" w:hAnsi="Times New Roman" w:cs="Times New Roman" w:eastAsia="Times New Roman" w:hint="default"/>
          <w:sz w:val="18"/>
          <w:szCs w:val="18"/>
        </w:rPr>
        <w:t>120,000,000</w:t>
      </w:r>
      <w:r>
        <w:rPr>
          <w:rFonts w:ascii="宋体" w:hAnsi="宋体" w:cs="宋体" w:eastAsia="宋体" w:hint="default"/>
          <w:sz w:val="18"/>
          <w:szCs w:val="18"/>
        </w:rPr>
        <w:t>股增至</w:t>
      </w:r>
      <w:r>
        <w:rPr>
          <w:rFonts w:ascii="Times New Roman" w:hAnsi="Times New Roman" w:cs="Times New Roman" w:eastAsia="Times New Roman" w:hint="default"/>
          <w:sz w:val="18"/>
          <w:szCs w:val="18"/>
        </w:rPr>
        <w:t>240,000,000</w:t>
      </w:r>
      <w:r>
        <w:rPr>
          <w:rFonts w:ascii="宋体" w:hAnsi="宋体" w:cs="宋体" w:eastAsia="宋体" w:hint="default"/>
          <w:sz w:val="18"/>
          <w:szCs w:val="18"/>
        </w:rPr>
        <w:t>股。</w:t>
      </w:r>
    </w:p>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r>
        <w:rPr/>
        <w:pict>
          <v:shape style="position:absolute;margin-left:92.279999pt;margin-top:612.255615pt;width:99.9pt;height:22.2pt;mso-position-horizontal-relative:page;mso-position-vertical-relative:page;z-index:-107672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（集团）</w:t>
                  </w:r>
                </w:p>
              </w:txbxContent>
            </v:textbox>
            <w10:wrap type="none"/>
          </v:shape>
        </w:pict>
      </w:r>
      <w:r>
        <w:rPr/>
        <w:pict>
          <v:group style="position:absolute;margin-left:125.419998pt;margin-top:607.029968pt;width:67.850pt;height:28pt;mso-position-horizontal-relative:page;mso-position-vertical-relative:page;z-index:-1076704" coordorigin="2508,12141" coordsize="1357,560">
            <v:group style="position:absolute;left:2508;top:12141;width:1357;height:156" coordorigin="2508,12141" coordsize="1357,156">
              <v:shape style="position:absolute;left:2508;top:12141;width:1357;height:156" coordorigin="2508,12141" coordsize="1357,156" path="m2508,12297l3865,12297,3865,12141,2508,12141,2508,12297xe" filled="true" fillcolor="#ffffff" stroked="false">
                <v:path arrowok="t"/>
                <v:fill type="solid"/>
              </v:shape>
            </v:group>
            <v:group style="position:absolute;left:2520;top:12297;width:2;height:392" coordorigin="2520,12297" coordsize="2,392">
              <v:shape style="position:absolute;left:2520;top:12297;width:2;height:392" coordorigin="2520,12297" coordsize="0,392" path="m2520,12297l2520,12688e" filled="false" stroked="true" strokeweight="1.2pt" strokecolor="#ffffff">
                <v:path arrowok="t"/>
              </v:shape>
            </v:group>
            <v:group style="position:absolute;left:2532;top:12297;width:1311;height:392" coordorigin="2532,12297" coordsize="1311,392">
              <v:shape style="position:absolute;left:2532;top:12297;width:1311;height:392" coordorigin="2532,12297" coordsize="1311,392" path="m2532,12688l3843,12688,3843,12297,2532,12297,2532,12688xe" filled="true" fillcolor="#ffffff" stroked="false">
                <v:path arrowok="t"/>
                <v:fill type="solid"/>
              </v:shape>
            </v:group>
            <w10:wrap type="none"/>
          </v:group>
        </w:pict>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19" w:lineRule="auto" w:before="117"/>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日，公司第四届董事会</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年第五次临时会议审议通过了《关于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年半年度资本公积转增股本预案》，以截 </w:t>
      </w:r>
      <w:r>
        <w:rPr>
          <w:rFonts w:ascii="宋体" w:hAnsi="宋体" w:cs="宋体" w:eastAsia="宋体" w:hint="default"/>
          <w:spacing w:val="-2"/>
          <w:sz w:val="18"/>
          <w:szCs w:val="18"/>
        </w:rPr>
        <w:t>至</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日的公司总股本</w:t>
      </w:r>
      <w:r>
        <w:rPr>
          <w:rFonts w:ascii="Times New Roman" w:hAnsi="Times New Roman" w:cs="Times New Roman" w:eastAsia="Times New Roman" w:hint="default"/>
          <w:spacing w:val="-2"/>
          <w:sz w:val="18"/>
          <w:szCs w:val="18"/>
        </w:rPr>
        <w:t>12,000</w:t>
      </w:r>
      <w:r>
        <w:rPr>
          <w:rFonts w:ascii="宋体" w:hAnsi="宋体" w:cs="宋体" w:eastAsia="宋体" w:hint="default"/>
          <w:spacing w:val="-2"/>
          <w:sz w:val="18"/>
          <w:szCs w:val="18"/>
        </w:rPr>
        <w:t>万股为基数，以资本公积转增股本，每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股转增</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股，共计转增股本</w:t>
      </w:r>
      <w:r>
        <w:rPr>
          <w:rFonts w:ascii="Times New Roman" w:hAnsi="Times New Roman" w:cs="Times New Roman" w:eastAsia="Times New Roman" w:hint="default"/>
          <w:spacing w:val="-2"/>
          <w:sz w:val="18"/>
          <w:szCs w:val="18"/>
        </w:rPr>
        <w:t>12,000</w:t>
      </w:r>
      <w:r>
        <w:rPr>
          <w:rFonts w:ascii="宋体" w:hAnsi="宋体" w:cs="宋体" w:eastAsia="宋体" w:hint="default"/>
          <w:spacing w:val="-2"/>
          <w:sz w:val="18"/>
          <w:szCs w:val="18"/>
        </w:rPr>
        <w:t>万股。转增</w:t>
      </w:r>
    </w:p>
    <w:p>
      <w:pPr>
        <w:spacing w:line="246"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后，公司总股本为</w:t>
      </w:r>
      <w:r>
        <w:rPr>
          <w:rFonts w:ascii="Times New Roman" w:hAnsi="Times New Roman" w:cs="Times New Roman" w:eastAsia="Times New Roman" w:hint="default"/>
          <w:sz w:val="18"/>
          <w:szCs w:val="18"/>
        </w:rPr>
        <w:t>24,000</w:t>
      </w:r>
      <w:r>
        <w:rPr>
          <w:rFonts w:ascii="宋体" w:hAnsi="宋体" w:cs="宋体" w:eastAsia="宋体" w:hint="default"/>
          <w:sz w:val="18"/>
          <w:szCs w:val="18"/>
        </w:rPr>
        <w:t>万股。该分配预案经</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年第二次临时股东大会审议通过。</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spacing w:line="357" w:lineRule="auto" w:before="0"/>
        <w:ind w:left="152" w:right="8154" w:firstLine="0"/>
        <w:jc w:val="left"/>
        <w:rPr>
          <w:rFonts w:ascii="宋体" w:hAnsi="宋体" w:cs="宋体" w:eastAsia="宋体" w:hint="default"/>
          <w:sz w:val="18"/>
          <w:szCs w:val="18"/>
        </w:rPr>
      </w:pPr>
      <w:r>
        <w:rPr>
          <w:rFonts w:ascii="宋体" w:hAnsi="宋体" w:cs="宋体" w:eastAsia="宋体" w:hint="default"/>
          <w:sz w:val="18"/>
          <w:szCs w:val="18"/>
        </w:rPr>
        <w:t>股份变动的过户情况 不适用</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290"/>
        <w:gridCol w:w="1474"/>
        <w:gridCol w:w="1560"/>
        <w:gridCol w:w="1416"/>
        <w:gridCol w:w="1561"/>
      </w:tblGrid>
      <w:tr>
        <w:trPr>
          <w:trHeight w:val="342" w:hRule="exact"/>
        </w:trPr>
        <w:tc>
          <w:tcPr>
            <w:tcW w:w="2290" w:type="dxa"/>
            <w:vMerge w:val="restart"/>
            <w:tcBorders>
              <w:top w:val="single" w:sz="6" w:space="0" w:color="000000"/>
              <w:left w:val="single" w:sz="6" w:space="0" w:color="000000"/>
              <w:right w:val="single" w:sz="6" w:space="0" w:color="000000"/>
            </w:tcBorders>
            <w:shd w:val="clear" w:color="auto" w:fill="DCDCDC"/>
          </w:tcPr>
          <w:p>
            <w:pPr>
              <w:pStyle w:val="TableParagraph"/>
              <w:spacing w:line="268" w:lineRule="exact"/>
              <w:ind w:left="718" w:right="0"/>
              <w:jc w:val="left"/>
              <w:rPr>
                <w:rFonts w:ascii="宋体" w:hAnsi="宋体" w:cs="宋体" w:eastAsia="宋体" w:hint="default"/>
                <w:sz w:val="21"/>
                <w:szCs w:val="21"/>
              </w:rPr>
            </w:pPr>
            <w:r>
              <w:rPr>
                <w:rFonts w:ascii="宋体" w:hAnsi="宋体" w:cs="宋体" w:eastAsia="宋体" w:hint="default"/>
                <w:sz w:val="21"/>
                <w:szCs w:val="21"/>
              </w:rPr>
              <w:t>财务指标</w:t>
            </w:r>
          </w:p>
        </w:tc>
        <w:tc>
          <w:tcPr>
            <w:tcW w:w="3035" w:type="dxa"/>
            <w:gridSpan w:val="2"/>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84"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p>
        </w:tc>
        <w:tc>
          <w:tcPr>
            <w:tcW w:w="2977" w:type="dxa"/>
            <w:gridSpan w:val="2"/>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84" w:lineRule="exact"/>
              <w:ind w:left="7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年第三季度</w:t>
            </w:r>
          </w:p>
        </w:tc>
      </w:tr>
      <w:tr>
        <w:trPr>
          <w:trHeight w:val="347" w:hRule="exact"/>
        </w:trPr>
        <w:tc>
          <w:tcPr>
            <w:tcW w:w="2290" w:type="dxa"/>
            <w:vMerge/>
            <w:tcBorders>
              <w:left w:val="single" w:sz="6" w:space="0" w:color="000000"/>
              <w:bottom w:val="single" w:sz="6" w:space="0" w:color="000000"/>
              <w:right w:val="single" w:sz="6" w:space="0" w:color="000000"/>
            </w:tcBorders>
            <w:shd w:val="clear" w:color="auto" w:fill="DCDCDC"/>
          </w:tcPr>
          <w:p>
            <w:pPr/>
          </w:p>
        </w:tc>
        <w:tc>
          <w:tcPr>
            <w:tcW w:w="1474"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73" w:lineRule="exact"/>
              <w:ind w:left="203" w:right="0"/>
              <w:jc w:val="left"/>
              <w:rPr>
                <w:rFonts w:ascii="宋体" w:hAnsi="宋体" w:cs="宋体" w:eastAsia="宋体" w:hint="default"/>
                <w:sz w:val="21"/>
                <w:szCs w:val="21"/>
              </w:rPr>
            </w:pPr>
            <w:r>
              <w:rPr>
                <w:rFonts w:ascii="宋体" w:hAnsi="宋体" w:cs="宋体" w:eastAsia="宋体" w:hint="default"/>
                <w:sz w:val="21"/>
                <w:szCs w:val="21"/>
              </w:rPr>
              <w:t>股份变动前</w:t>
            </w:r>
          </w:p>
        </w:tc>
        <w:tc>
          <w:tcPr>
            <w:tcW w:w="1560"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73" w:lineRule="exact"/>
              <w:ind w:left="247" w:right="0"/>
              <w:jc w:val="left"/>
              <w:rPr>
                <w:rFonts w:ascii="宋体" w:hAnsi="宋体" w:cs="宋体" w:eastAsia="宋体" w:hint="default"/>
                <w:sz w:val="21"/>
                <w:szCs w:val="21"/>
              </w:rPr>
            </w:pPr>
            <w:r>
              <w:rPr>
                <w:rFonts w:ascii="宋体" w:hAnsi="宋体" w:cs="宋体" w:eastAsia="宋体" w:hint="default"/>
                <w:sz w:val="21"/>
                <w:szCs w:val="21"/>
              </w:rPr>
              <w:t>股份变动后</w:t>
            </w:r>
          </w:p>
        </w:tc>
        <w:tc>
          <w:tcPr>
            <w:tcW w:w="1416"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股份变动前</w:t>
            </w:r>
          </w:p>
        </w:tc>
        <w:tc>
          <w:tcPr>
            <w:tcW w:w="156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73" w:lineRule="exact"/>
              <w:ind w:left="247" w:right="0"/>
              <w:jc w:val="left"/>
              <w:rPr>
                <w:rFonts w:ascii="宋体" w:hAnsi="宋体" w:cs="宋体" w:eastAsia="宋体" w:hint="default"/>
                <w:sz w:val="21"/>
                <w:szCs w:val="21"/>
              </w:rPr>
            </w:pPr>
            <w:r>
              <w:rPr>
                <w:rFonts w:ascii="宋体" w:hAnsi="宋体" w:cs="宋体" w:eastAsia="宋体" w:hint="default"/>
                <w:sz w:val="21"/>
                <w:szCs w:val="21"/>
              </w:rPr>
              <w:t>股份变动后</w:t>
            </w:r>
          </w:p>
        </w:tc>
      </w:tr>
      <w:tr>
        <w:trPr>
          <w:trHeight w:val="347" w:hRule="exact"/>
        </w:trPr>
        <w:tc>
          <w:tcPr>
            <w:tcW w:w="2290"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89"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7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z w:val="21"/>
              </w:rPr>
              <w:t>0.70</w:t>
            </w:r>
          </w:p>
        </w:tc>
        <w:tc>
          <w:tcPr>
            <w:tcW w:w="15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z w:val="21"/>
              </w:rPr>
              <w:t>0.35</w:t>
            </w:r>
          </w:p>
        </w:tc>
        <w:tc>
          <w:tcPr>
            <w:tcW w:w="141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z w:val="21"/>
              </w:rPr>
              <w:t>0.19</w:t>
            </w:r>
          </w:p>
        </w:tc>
        <w:tc>
          <w:tcPr>
            <w:tcW w:w="156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z w:val="21"/>
              </w:rPr>
              <w:t>0.19</w:t>
            </w:r>
          </w:p>
        </w:tc>
      </w:tr>
      <w:tr>
        <w:trPr>
          <w:trHeight w:val="348" w:hRule="exact"/>
        </w:trPr>
        <w:tc>
          <w:tcPr>
            <w:tcW w:w="2290"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0.70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0.35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0.19</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0.19</w:t>
            </w:r>
          </w:p>
        </w:tc>
      </w:tr>
      <w:tr>
        <w:trPr>
          <w:trHeight w:val="658" w:hRule="exact"/>
        </w:trPr>
        <w:tc>
          <w:tcPr>
            <w:tcW w:w="2290"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73" w:lineRule="auto"/>
              <w:ind w:left="4" w:right="110"/>
              <w:jc w:val="left"/>
              <w:rPr>
                <w:rFonts w:ascii="宋体" w:hAnsi="宋体" w:cs="宋体" w:eastAsia="宋体" w:hint="default"/>
                <w:sz w:val="21"/>
                <w:szCs w:val="21"/>
              </w:rPr>
            </w:pPr>
            <w:r>
              <w:rPr>
                <w:rFonts w:ascii="宋体" w:hAnsi="宋体" w:cs="宋体" w:eastAsia="宋体" w:hint="default"/>
                <w:sz w:val="21"/>
                <w:szCs w:val="21"/>
              </w:rPr>
              <w:t>归属于公司普通股股东</w:t>
            </w:r>
            <w:r>
              <w:rPr>
                <w:rFonts w:ascii="宋体" w:hAnsi="宋体" w:cs="宋体" w:eastAsia="宋体" w:hint="default"/>
                <w:w w:val="100"/>
                <w:sz w:val="21"/>
                <w:szCs w:val="21"/>
              </w:rPr>
              <w:t> </w:t>
            </w:r>
            <w:r>
              <w:rPr>
                <w:rFonts w:ascii="宋体" w:hAnsi="宋体" w:cs="宋体" w:eastAsia="宋体" w:hint="default"/>
                <w:spacing w:val="-2"/>
                <w:sz w:val="21"/>
                <w:szCs w:val="21"/>
              </w:rPr>
              <w:t>的每股净资产（元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z w:val="21"/>
                <w:szCs w:val="21"/>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9.34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4.67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4.83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4.83</w:t>
            </w:r>
          </w:p>
        </w:tc>
      </w:tr>
    </w:tbl>
    <w:p>
      <w:pPr>
        <w:spacing w:line="360" w:lineRule="auto" w:before="49"/>
        <w:ind w:left="152" w:right="5814"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 不适用</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7"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上海万豪投资有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31,948,600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31,948,600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63,897,200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2014.01.24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上海科技投资公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15,268,000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15,268,000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上海长安信息技 术咨询开发中心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5,967,354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5,967,354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上海东方传媒集 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4,897,697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4,897,697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12"/>
              <w:jc w:val="left"/>
              <w:rPr>
                <w:rFonts w:ascii="宋体" w:hAnsi="宋体" w:cs="宋体" w:eastAsia="宋体" w:hint="default"/>
                <w:sz w:val="18"/>
                <w:szCs w:val="18"/>
              </w:rPr>
            </w:pPr>
            <w:r>
              <w:rPr>
                <w:rFonts w:ascii="宋体" w:hAnsi="宋体" w:cs="宋体" w:eastAsia="宋体" w:hint="default"/>
                <w:sz w:val="18"/>
                <w:szCs w:val="18"/>
              </w:rPr>
              <w:t>上海机场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4,057,765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4,057,765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北京世纪凯悦投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深圳市中庸实业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上海精文投资有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2,448,848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2,448,848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48"/>
              <w:jc w:val="center"/>
              <w:rPr>
                <w:rFonts w:ascii="宋体" w:hAnsi="宋体" w:cs="宋体" w:eastAsia="宋体" w:hint="default"/>
                <w:sz w:val="18"/>
                <w:szCs w:val="18"/>
              </w:rPr>
            </w:pPr>
            <w:r>
              <w:rPr>
                <w:rFonts w:ascii="宋体" w:hAnsi="宋体" w:cs="宋体" w:eastAsia="宋体" w:hint="default"/>
                <w:sz w:val="18"/>
                <w:szCs w:val="18"/>
              </w:rPr>
              <w:t>北京赛昂传媒投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全国社保基金一 一零组合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1,709,202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1,709,202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薛莉芳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1,337,900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1,337,900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2,006,850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2,006,850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上海计算机软件 技术开发中心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1,136,174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1,136,174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上海燊博投资管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2014.01.24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陈剑辉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陶怀仁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王晴岗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2012.11.04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王齐懿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吴颖健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史习新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戴自强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闻建中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胡怡君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缪前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孙宏明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袁力靖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范春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王旭耀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方小萍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陈焕平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2013.06.19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王英杰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潘文琦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丰收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118,200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118,200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高庆华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118,200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沈宇青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王宣言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晏伟敏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劳诚信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俞文康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邹金宝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聂金标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唐春风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周燕芳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于俊府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庄骐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夏晨冰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金刚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江善标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顾穗临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毕永明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邬斌亮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施寅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钱佩敏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仲震宇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许克军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程馨慧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陈晓嵘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王兆进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查峻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丁佳良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赵树椿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陈庆丰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钱育伟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陈佳音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周恒磊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王壮华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董永刚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方建清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史春晖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邵佩啸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杨琦乐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胡志琴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王宇佳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凌韵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李超逸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白露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滕昕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尤江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黄中慧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徐冬青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陈惠荣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施俊毅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蒋亿文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杜正浩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任宏华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张学强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汤可祥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吴勇庆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陆怀恩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57,133,300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37,069,700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69,936,400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line="357" w:lineRule="auto" w:before="49"/>
        <w:ind w:left="152" w:right="8154" w:firstLine="0"/>
        <w:jc w:val="left"/>
        <w:rPr>
          <w:rFonts w:ascii="宋体" w:hAnsi="宋体" w:cs="宋体" w:eastAsia="宋体" w:hint="default"/>
          <w:sz w:val="18"/>
          <w:szCs w:val="18"/>
        </w:rPr>
      </w:pPr>
      <w:r>
        <w:rPr>
          <w:rFonts w:ascii="宋体" w:hAnsi="宋体" w:cs="宋体" w:eastAsia="宋体" w:hint="default"/>
          <w:sz w:val="18"/>
          <w:szCs w:val="18"/>
        </w:rPr>
        <w:t>证券发行情况的说明 不适用</w:t>
      </w:r>
    </w:p>
    <w:p>
      <w:pPr>
        <w:spacing w:after="0" w:line="35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日，公司第四届董事会</w:t>
      </w:r>
      <w:r>
        <w:rPr>
          <w:rFonts w:ascii="Times New Roman" w:hAnsi="Times New Roman" w:cs="Times New Roman" w:eastAsia="Times New Roman" w:hint="default"/>
        </w:rPr>
        <w:t>2012</w:t>
      </w:r>
      <w:r>
        <w:rPr/>
        <w:t>年第五次临时会议审议通过了《关于</w:t>
      </w:r>
      <w:r>
        <w:rPr>
          <w:rFonts w:ascii="Times New Roman" w:hAnsi="Times New Roman" w:cs="Times New Roman" w:eastAsia="Times New Roman" w:hint="default"/>
        </w:rPr>
        <w:t>2012</w:t>
      </w:r>
      <w:r>
        <w:rPr/>
        <w:t>年半年度资本公积转增</w:t>
      </w:r>
      <w:r>
        <w:rPr>
          <w:w w:val="100"/>
        </w:rPr>
        <w:t> </w:t>
      </w:r>
      <w:r>
        <w:rPr>
          <w:spacing w:val="-3"/>
        </w:rPr>
        <w:t>股本预案》，以截至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30</w:t>
      </w:r>
      <w:r>
        <w:rPr>
          <w:spacing w:val="-3"/>
        </w:rPr>
        <w:t>日的公司总股本</w:t>
      </w:r>
      <w:r>
        <w:rPr>
          <w:rFonts w:ascii="Times New Roman" w:hAnsi="Times New Roman" w:cs="Times New Roman" w:eastAsia="Times New Roman" w:hint="default"/>
          <w:spacing w:val="-3"/>
        </w:rPr>
        <w:t>12,000</w:t>
      </w:r>
      <w:r>
        <w:rPr>
          <w:spacing w:val="-3"/>
        </w:rPr>
        <w:t>万股为基数，以资本公积转增股本，每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18"/>
        </w:rPr>
        <w:t> </w:t>
      </w:r>
      <w:r>
        <w:rPr/>
        <w:t>股，共计转增股本</w:t>
      </w:r>
      <w:r>
        <w:rPr>
          <w:rFonts w:ascii="Times New Roman" w:hAnsi="Times New Roman" w:cs="Times New Roman" w:eastAsia="Times New Roman" w:hint="default"/>
        </w:rPr>
        <w:t>12,000</w:t>
      </w:r>
      <w:r>
        <w:rPr/>
        <w:t>万股。转增后，公司总股本为</w:t>
      </w:r>
      <w:r>
        <w:rPr>
          <w:rFonts w:ascii="Times New Roman" w:hAnsi="Times New Roman" w:cs="Times New Roman" w:eastAsia="Times New Roman" w:hint="default"/>
        </w:rPr>
        <w:t>24,000</w:t>
      </w:r>
      <w:r>
        <w:rPr/>
        <w:t>万股。该分配预案经</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2012</w:t>
      </w:r>
      <w:r>
        <w:rPr>
          <w:rFonts w:ascii="Times New Roman" w:hAnsi="Times New Roman" w:cs="Times New Roman" w:eastAsia="Times New Roman" w:hint="default"/>
          <w:w w:val="100"/>
        </w:rPr>
        <w:t> </w:t>
      </w:r>
      <w:r>
        <w:rPr/>
        <w:t>年第二次临时股东大会审议通过。</w:t>
      </w:r>
      <w:r>
        <w:rPr>
          <w:rFonts w:ascii="Times New Roman" w:hAnsi="Times New Roman" w:cs="Times New Roman" w:eastAsia="Times New Roman" w:hint="default"/>
        </w:rPr>
        <w:t>2012</w:t>
      </w:r>
      <w:r>
        <w:rPr/>
        <w:t>年半年度权益分派方案于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日实施完毕。</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4"/>
        <w:gridCol w:w="1363"/>
        <w:gridCol w:w="1380"/>
        <w:gridCol w:w="1362"/>
        <w:gridCol w:w="1368"/>
        <w:gridCol w:w="1363"/>
        <w:gridCol w:w="1374"/>
      </w:tblGrid>
      <w:tr>
        <w:trPr>
          <w:trHeight w:val="406"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9,995</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7,466</w:t>
            </w:r>
          </w:p>
        </w:tc>
      </w:tr>
      <w:tr>
        <w:trPr>
          <w:trHeight w:val="39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30"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0"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上海万豪投资有 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26.62%</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63,897,200</w:t>
            </w:r>
          </w:p>
        </w:tc>
        <w:tc>
          <w:tcPr>
            <w:tcW w:w="1368"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63,897,200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44,400,000</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上海科技投资公 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27,136,000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上海长安信息技 术咨询开发中心</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4.97%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11,934,708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上海东方传媒集 团有限公司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4.08%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9,795,394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华宝信托有限责 任公司－单一类 资金信托</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R2007ZX111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4.03%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9,661,250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中国银行－嘉实 服务增值行业证 券投资基金</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2.63%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6,305,968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深圳市中庸实业 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中国银行－嘉实 稳健开放式证券 投资基金</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2.37%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5,682,529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中国银行－工银 瑞信核心价值股 票型证券投资基 金</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2.33%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5,602,678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68"/>
        <w:gridCol w:w="1368"/>
        <w:gridCol w:w="1369"/>
        <w:gridCol w:w="1368"/>
      </w:tblGrid>
      <w:tr>
        <w:trPr>
          <w:trHeight w:val="133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中国工商银行－ 鹏华消费优选股 票型证券投资基 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3,140,729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058"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4104" w:type="dxa"/>
            <w:gridSpan w:val="3"/>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上海科技投资公司</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27,136,000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27,136,000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上海长安信息技术咨询开发中心</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11,934,708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11,934,708</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上海东方传媒集团有限公司</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9,795,394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9,795,394</w:t>
            </w:r>
          </w:p>
        </w:tc>
      </w:tr>
      <w:tr>
        <w:trPr>
          <w:trHeight w:val="716"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76"/>
              <w:jc w:val="left"/>
              <w:rPr>
                <w:rFonts w:ascii="Times New Roman" w:hAnsi="Times New Roman" w:cs="Times New Roman" w:eastAsia="Times New Roman" w:hint="default"/>
                <w:sz w:val="18"/>
                <w:szCs w:val="18"/>
              </w:rPr>
            </w:pPr>
            <w:r>
              <w:rPr>
                <w:rFonts w:ascii="宋体" w:hAnsi="宋体" w:cs="宋体" w:eastAsia="宋体" w:hint="default"/>
                <w:sz w:val="18"/>
                <w:szCs w:val="18"/>
              </w:rPr>
              <w:t>华宝信托有限责任公司－单一类 资金信托</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R2007ZX111</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9,661,250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9,661,250</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中国银行－嘉实服务增值行业证 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6,305,968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6,305,968</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深圳市中庸实业有限公司</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中国银行－嘉实稳健开放式证券 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5,682,529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5,682,529</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6"/>
              <w:jc w:val="left"/>
              <w:rPr>
                <w:rFonts w:ascii="宋体" w:hAnsi="宋体" w:cs="宋体" w:eastAsia="宋体" w:hint="default"/>
                <w:sz w:val="18"/>
                <w:szCs w:val="18"/>
              </w:rPr>
            </w:pPr>
            <w:r>
              <w:rPr>
                <w:rFonts w:ascii="宋体" w:hAnsi="宋体" w:cs="宋体" w:eastAsia="宋体" w:hint="default"/>
                <w:sz w:val="18"/>
                <w:szCs w:val="18"/>
              </w:rPr>
              <w:t>中国银行－工银瑞信核心价值股 票型证券投资基金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5,602,678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5,602,678</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中国工商银行－鹏华消费优选股 票型证券投资基金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3,140,729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3,140,729</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16"/>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银河行业优选股票 型证券投资基金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b/>
          <w:bCs/>
          <w:sz w:val="19"/>
          <w:szCs w:val="19"/>
        </w:rPr>
      </w:pPr>
    </w:p>
    <w:p>
      <w:pPr>
        <w:pStyle w:val="Heading4"/>
        <w:spacing w:line="240" w:lineRule="auto" w:before="36"/>
        <w:ind w:right="10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100"/>
        <w:jc w:val="left"/>
      </w:pPr>
      <w:r>
        <w:rPr/>
        <w:t>公司的控股股东为上海万豪投资有限公司，报告期内，万豪投资持有公司股份</w:t>
      </w:r>
      <w:r>
        <w:rPr>
          <w:rFonts w:ascii="Times New Roman" w:hAnsi="Times New Roman" w:cs="Times New Roman" w:eastAsia="Times New Roman" w:hint="default"/>
        </w:rPr>
        <w:t>63,897,200</w:t>
      </w:r>
      <w:r>
        <w:rPr/>
        <w:t>万股，占总股本</w:t>
      </w:r>
      <w:r>
        <w:rPr>
          <w:w w:val="100"/>
        </w:rPr>
        <w:t> </w:t>
      </w:r>
      <w:r>
        <w:rPr>
          <w:spacing w:val="-2"/>
        </w:rPr>
        <w:t>的比例为</w:t>
      </w:r>
      <w:r>
        <w:rPr>
          <w:rFonts w:ascii="Times New Roman" w:hAnsi="Times New Roman" w:cs="Times New Roman" w:eastAsia="Times New Roman" w:hint="default"/>
          <w:spacing w:val="-2"/>
        </w:rPr>
        <w:t>26.62%</w:t>
      </w:r>
      <w:r>
        <w:rPr>
          <w:spacing w:val="-2"/>
        </w:rPr>
        <w:t>。万豪投资成立于</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日，注册资本为人民币</w:t>
      </w:r>
      <w:r>
        <w:rPr>
          <w:rFonts w:ascii="Times New Roman" w:hAnsi="Times New Roman" w:cs="Times New Roman" w:eastAsia="Times New Roman" w:hint="default"/>
          <w:spacing w:val="-2"/>
        </w:rPr>
        <w:t>4,000</w:t>
      </w:r>
      <w:r>
        <w:rPr>
          <w:spacing w:val="-2"/>
        </w:rPr>
        <w:t>万元，法定代表人为李光亚， </w:t>
      </w:r>
      <w:r>
        <w:rPr>
          <w:spacing w:val="-5"/>
        </w:rPr>
        <w:t>住所为宜山路</w:t>
      </w:r>
      <w:r>
        <w:rPr>
          <w:rFonts w:ascii="Times New Roman" w:hAnsi="Times New Roman" w:cs="Times New Roman" w:eastAsia="Times New Roman" w:hint="default"/>
          <w:spacing w:val="-5"/>
        </w:rPr>
        <w:t>705</w:t>
      </w:r>
      <w:r>
        <w:rPr>
          <w:spacing w:val="-5"/>
        </w:rPr>
        <w:t>号</w:t>
      </w:r>
      <w:r>
        <w:rPr>
          <w:rFonts w:ascii="Times New Roman" w:hAnsi="Times New Roman" w:cs="Times New Roman" w:eastAsia="Times New Roman" w:hint="default"/>
          <w:spacing w:val="-5"/>
        </w:rPr>
        <w:t>C</w:t>
      </w:r>
      <w:r>
        <w:rPr>
          <w:spacing w:val="-5"/>
        </w:rPr>
        <w:t>座</w:t>
      </w:r>
      <w:r>
        <w:rPr>
          <w:rFonts w:ascii="Times New Roman" w:hAnsi="Times New Roman" w:cs="Times New Roman" w:eastAsia="Times New Roman" w:hint="default"/>
          <w:spacing w:val="-5"/>
        </w:rPr>
        <w:t>1102M</w:t>
      </w:r>
      <w:r>
        <w:rPr>
          <w:spacing w:val="-5"/>
        </w:rPr>
        <w:t>，经营范围包括高科技投资，实业投资，资产经营管理，投资咨询（除中介）</w:t>
      </w:r>
    </w:p>
    <w:p>
      <w:pPr>
        <w:pStyle w:val="BodyText"/>
        <w:spacing w:line="240" w:lineRule="auto" w:before="35"/>
        <w:ind w:right="100"/>
        <w:jc w:val="left"/>
      </w:pPr>
      <w:r>
        <w:rPr/>
        <w:t>（涉及行政许可的，凭许可证经营）。</w:t>
      </w:r>
    </w:p>
    <w:p>
      <w:pPr>
        <w:spacing w:line="240" w:lineRule="auto" w:before="0"/>
        <w:rPr>
          <w:rFonts w:ascii="宋体" w:hAnsi="宋体" w:cs="宋体" w:eastAsia="宋体" w:hint="default"/>
          <w:sz w:val="20"/>
          <w:szCs w:val="20"/>
        </w:rPr>
      </w:pPr>
    </w:p>
    <w:p>
      <w:pPr>
        <w:pStyle w:val="Heading4"/>
        <w:spacing w:line="240" w:lineRule="auto" w:before="154"/>
        <w:ind w:right="10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0"/>
        <w:jc w:val="left"/>
      </w:pPr>
      <w:r>
        <w:rPr>
          <w:spacing w:val="-2"/>
        </w:rPr>
        <w:t>公司的实际控制人为史一兵先生。史一兵先生，中国国籍，身份证号码</w:t>
      </w:r>
      <w:r>
        <w:rPr>
          <w:rFonts w:ascii="宋体" w:hAnsi="宋体" w:cs="宋体" w:eastAsia="宋体" w:hint="default"/>
          <w:spacing w:val="-2"/>
        </w:rPr>
        <w:t>31010419620505****</w:t>
      </w:r>
      <w:r>
        <w:rPr>
          <w:spacing w:val="-2"/>
        </w:rPr>
        <w:t>，住所为上海</w:t>
      </w:r>
      <w:r>
        <w:rPr>
          <w:spacing w:val="-29"/>
        </w:rPr>
        <w:t> </w:t>
      </w:r>
      <w:r>
        <w:rPr>
          <w:spacing w:val="-29"/>
        </w:rPr>
      </w:r>
      <w:r>
        <w:rPr>
          <w:spacing w:val="-2"/>
        </w:rPr>
        <w:t>市闵行区沪闵路</w:t>
      </w:r>
      <w:r>
        <w:rPr>
          <w:rFonts w:ascii="宋体" w:hAnsi="宋体" w:cs="宋体" w:eastAsia="宋体" w:hint="default"/>
          <w:spacing w:val="-2"/>
        </w:rPr>
        <w:t>6988</w:t>
      </w:r>
      <w:r>
        <w:rPr>
          <w:spacing w:val="-2"/>
        </w:rPr>
        <w:t>弄</w:t>
      </w:r>
      <w:r>
        <w:rPr>
          <w:rFonts w:ascii="宋体" w:hAnsi="宋体" w:cs="宋体" w:eastAsia="宋体" w:hint="default"/>
          <w:spacing w:val="-2"/>
        </w:rPr>
        <w:t>17</w:t>
      </w:r>
      <w:r>
        <w:rPr>
          <w:spacing w:val="-2"/>
        </w:rPr>
        <w:t>号</w:t>
      </w:r>
      <w:r>
        <w:rPr>
          <w:rFonts w:ascii="宋体" w:hAnsi="宋体" w:cs="宋体" w:eastAsia="宋体" w:hint="default"/>
          <w:spacing w:val="-2"/>
        </w:rPr>
        <w:t>601</w:t>
      </w:r>
      <w:r>
        <w:rPr>
          <w:spacing w:val="-2"/>
        </w:rPr>
        <w:t>室。报告期内，史一兵先生直接持有公司股份</w:t>
      </w:r>
      <w:r>
        <w:rPr>
          <w:rFonts w:ascii="宋体" w:hAnsi="宋体" w:cs="宋体" w:eastAsia="宋体" w:hint="default"/>
          <w:spacing w:val="-2"/>
        </w:rPr>
        <w:t>1,836,200</w:t>
      </w:r>
      <w:r>
        <w:rPr>
          <w:spacing w:val="-2"/>
        </w:rPr>
        <w:t>股，占公司总股本</w:t>
      </w:r>
    </w:p>
    <w:p>
      <w:pPr>
        <w:spacing w:after="0" w:line="408"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2"/>
        </w:rPr>
        <w:t>的</w:t>
      </w:r>
      <w:r>
        <w:rPr>
          <w:rFonts w:ascii="宋体" w:hAnsi="宋体" w:cs="宋体" w:eastAsia="宋体" w:hint="default"/>
          <w:spacing w:val="-2"/>
        </w:rPr>
        <w:t>0.77%</w:t>
      </w:r>
      <w:r>
        <w:rPr>
          <w:spacing w:val="-2"/>
        </w:rPr>
        <w:t>；同时持有公司控股股东万豪投资</w:t>
      </w:r>
      <w:r>
        <w:rPr>
          <w:rFonts w:ascii="宋体" w:hAnsi="宋体" w:cs="宋体" w:eastAsia="宋体" w:hint="default"/>
          <w:spacing w:val="-2"/>
        </w:rPr>
        <w:t>52.82%</w:t>
      </w:r>
      <w:r>
        <w:rPr>
          <w:spacing w:val="-2"/>
        </w:rPr>
        <w:t>，并通过万豪投资间接持有公司股份</w:t>
      </w:r>
      <w:r>
        <w:rPr>
          <w:rFonts w:ascii="宋体" w:hAnsi="宋体" w:cs="宋体" w:eastAsia="宋体" w:hint="default"/>
          <w:spacing w:val="-2"/>
        </w:rPr>
        <w:t>26.62%</w:t>
      </w:r>
      <w:r>
        <w:rPr>
          <w:spacing w:val="-2"/>
        </w:rPr>
        <w:t>，对公司拥</w:t>
      </w:r>
      <w:r>
        <w:rPr>
          <w:spacing w:val="-6"/>
        </w:rPr>
        <w:t> </w:t>
      </w:r>
      <w:r>
        <w:rPr>
          <w:spacing w:val="-6"/>
        </w:rPr>
      </w:r>
      <w:r>
        <w:rPr/>
        <w:t>有实际控制权。史一兵先生担任公司的董事长、总裁，是公司的法定代表人。</w:t>
      </w:r>
    </w:p>
    <w:p>
      <w:pPr>
        <w:spacing w:line="240" w:lineRule="auto" w:before="2"/>
        <w:rPr>
          <w:rFonts w:ascii="宋体" w:hAnsi="宋体" w:cs="宋体" w:eastAsia="宋体" w:hint="default"/>
          <w:sz w:val="29"/>
          <w:szCs w:val="2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9"/>
        <w:rPr>
          <w:rFonts w:ascii="宋体" w:hAnsi="宋体" w:cs="宋体" w:eastAsia="宋体" w:hint="default"/>
          <w:sz w:val="24"/>
          <w:szCs w:val="24"/>
        </w:rPr>
      </w:pPr>
    </w:p>
    <w:p>
      <w:pPr>
        <w:spacing w:line="2700" w:lineRule="exact"/>
        <w:ind w:left="1355"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4593589" cy="17145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4593589" cy="1714500"/>
                    </a:xfrm>
                    <a:prstGeom prst="rect">
                      <a:avLst/>
                    </a:prstGeom>
                  </pic:spPr>
                </pic:pic>
              </a:graphicData>
            </a:graphic>
          </wp:inline>
        </w:drawing>
      </w:r>
      <w:r>
        <w:rPr>
          <w:rFonts w:ascii="宋体" w:hAnsi="宋体" w:cs="宋体" w:eastAsia="宋体" w:hint="default"/>
          <w:position w:val="-53"/>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182"/>
        <w:gridCol w:w="1095"/>
        <w:gridCol w:w="888"/>
        <w:gridCol w:w="1800"/>
        <w:gridCol w:w="1801"/>
        <w:gridCol w:w="1802"/>
      </w:tblGrid>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0" w:right="83"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1027"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上海科技投资公司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沈伟国</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13221522-2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55000 </w:t>
            </w:r>
            <w:r>
              <w:rPr>
                <w:rFonts w:ascii="宋体" w:hAnsi="宋体" w:cs="宋体" w:eastAsia="宋体" w:hint="default"/>
                <w:sz w:val="18"/>
                <w:szCs w:val="18"/>
              </w:rPr>
              <w:t>万元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7"/>
              <w:jc w:val="both"/>
              <w:rPr>
                <w:rFonts w:ascii="宋体" w:hAnsi="宋体" w:cs="宋体" w:eastAsia="宋体" w:hint="default"/>
                <w:sz w:val="18"/>
                <w:szCs w:val="18"/>
              </w:rPr>
            </w:pPr>
            <w:r>
              <w:rPr>
                <w:rFonts w:ascii="宋体" w:hAnsi="宋体" w:cs="宋体" w:eastAsia="宋体" w:hint="default"/>
                <w:spacing w:val="-6"/>
                <w:sz w:val="18"/>
                <w:szCs w:val="18"/>
              </w:rPr>
              <w:t>科技产业投资，投资管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理，资产管理，创业投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资业务等</w:t>
            </w:r>
          </w:p>
        </w:tc>
      </w:tr>
      <w:tr>
        <w:trPr>
          <w:trHeight w:val="401"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情况说明</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名有限售条件股东持股数量及限售条件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上海万豪投资有限公司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63,897,200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薛莉芳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334,475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高管股份</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王晴岗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高管股份</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430,950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高管股份</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闻建中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高管股份</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高管股份</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陈焕平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38,225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高管股份</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高管股份</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高管股份</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1679" w:right="0"/>
        <w:jc w:val="left"/>
        <w:rPr>
          <w:b w:val="0"/>
          <w:bCs w:val="0"/>
        </w:rPr>
      </w:pPr>
      <w:bookmarkStart w:name="_TOC_250003"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pict>
          <v:shape style="position:absolute;margin-left:408.553009pt;margin-top:97.415596pt;width:56.7pt;height:15.6pt;mso-position-horizontal-relative:page;mso-position-vertical-relative:paragraph;z-index:-107668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shape style="position:absolute;margin-left:476.983002pt;margin-top:99.461601pt;width:57.75pt;height:31.25pt;mso-position-horizontal-relative:page;mso-position-vertical-relative:paragraph;z-index:-1076656"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682"/>
        <w:gridCol w:w="684"/>
        <w:gridCol w:w="67"/>
        <w:gridCol w:w="615"/>
        <w:gridCol w:w="684"/>
        <w:gridCol w:w="70"/>
        <w:gridCol w:w="614"/>
      </w:tblGrid>
      <w:tr>
        <w:trPr>
          <w:trHeight w:val="1964"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w:t>
            </w:r>
          </w:p>
        </w:tc>
        <w:tc>
          <w:tcPr>
            <w:tcW w:w="67" w:type="dxa"/>
            <w:tcBorders>
              <w:top w:val="single" w:sz="4" w:space="0" w:color="000000"/>
              <w:left w:val="single" w:sz="4" w:space="0" w:color="000000"/>
              <w:bottom w:val="single" w:sz="4" w:space="0" w:color="000000"/>
              <w:right w:val="nil" w:sz="6" w:space="0" w:color="auto"/>
            </w:tcBorders>
            <w:shd w:val="clear" w:color="auto" w:fill="D2D2D2"/>
          </w:tcPr>
          <w:p>
            <w:pPr/>
          </w:p>
        </w:tc>
        <w:tc>
          <w:tcPr>
            <w:tcW w:w="61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4" w:right="63"/>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19"/>
              <w:ind w:left="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 w:right="62"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w:t>
            </w:r>
          </w:p>
        </w:tc>
        <w:tc>
          <w:tcPr>
            <w:tcW w:w="70" w:type="dxa"/>
            <w:tcBorders>
              <w:top w:val="single" w:sz="4" w:space="0" w:color="000000"/>
              <w:left w:val="single" w:sz="4" w:space="0" w:color="000000"/>
              <w:bottom w:val="single" w:sz="4" w:space="0" w:color="000000"/>
              <w:right w:val="nil" w:sz="6" w:space="0" w:color="auto"/>
            </w:tcBorders>
            <w:shd w:val="clear" w:color="auto" w:fill="D2D2D2"/>
          </w:tcPr>
          <w:p>
            <w:pPr/>
          </w:p>
        </w:tc>
        <w:tc>
          <w:tcPr>
            <w:tcW w:w="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84" w:right="62"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196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97" w:lineRule="auto"/>
              <w:ind w:left="23" w:right="57"/>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r>
              <w:rPr>
                <w:rFonts w:ascii="宋体" w:hAnsi="宋体" w:cs="宋体" w:eastAsia="宋体" w:hint="default"/>
                <w:sz w:val="18"/>
                <w:szCs w:val="18"/>
              </w:rPr>
              <w:t>总经理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918,100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918,100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1,836,2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0"/>
              <w:ind w:left="26" w:right="107"/>
              <w:jc w:val="both"/>
              <w:rPr>
                <w:rFonts w:ascii="宋体" w:hAnsi="宋体" w:cs="宋体" w:eastAsia="宋体" w:hint="default"/>
                <w:sz w:val="18"/>
                <w:szCs w:val="18"/>
              </w:rPr>
            </w:pPr>
            <w:r>
              <w:rPr>
                <w:rFonts w:ascii="宋体" w:hAnsi="宋体" w:cs="宋体" w:eastAsia="宋体" w:hint="default"/>
                <w:sz w:val="18"/>
                <w:szCs w:val="18"/>
              </w:rPr>
              <w:t>半年度 权益分 派资本 公积转 增股本</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陈焕平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19"/>
              <w:ind w:left="23" w:right="55"/>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114,675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38,225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229,350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32,000</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1"/>
              <w:ind w:left="26" w:right="107"/>
              <w:jc w:val="left"/>
              <w:rPr>
                <w:rFonts w:ascii="宋体" w:hAnsi="宋体" w:cs="宋体" w:eastAsia="宋体" w:hint="default"/>
                <w:sz w:val="18"/>
                <w:szCs w:val="18"/>
              </w:rPr>
            </w:pPr>
            <w:r>
              <w:rPr>
                <w:rFonts w:ascii="宋体" w:hAnsi="宋体" w:cs="宋体" w:eastAsia="宋体" w:hint="default"/>
                <w:sz w:val="18"/>
                <w:szCs w:val="18"/>
              </w:rPr>
              <w:t>半年度 权益分 派资本 公积转 增股 本，符 合相关 规定的 减持</w:t>
            </w:r>
          </w:p>
        </w:tc>
      </w:tr>
      <w:tr>
        <w:trPr>
          <w:trHeight w:val="196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3" w:right="55"/>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64,000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64,000</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9" w:lineRule="auto" w:before="63"/>
              <w:ind w:left="26" w:right="107"/>
              <w:jc w:val="both"/>
              <w:rPr>
                <w:rFonts w:ascii="宋体" w:hAnsi="宋体" w:cs="宋体" w:eastAsia="宋体" w:hint="default"/>
                <w:sz w:val="18"/>
                <w:szCs w:val="18"/>
              </w:rPr>
            </w:pPr>
            <w:r>
              <w:rPr>
                <w:rFonts w:ascii="宋体" w:hAnsi="宋体" w:cs="宋体" w:eastAsia="宋体" w:hint="default"/>
                <w:sz w:val="18"/>
                <w:szCs w:val="18"/>
              </w:rPr>
              <w:t>半年度 权益分 派资本 公积转 增股本</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罗伟德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682"/>
        <w:gridCol w:w="684"/>
        <w:gridCol w:w="682"/>
        <w:gridCol w:w="684"/>
        <w:gridCol w:w="684"/>
      </w:tblGrid>
      <w:tr>
        <w:trPr>
          <w:trHeight w:val="363"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傅强国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华志坚</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王晴岗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437,900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437,900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875,800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6" w:right="107"/>
              <w:jc w:val="both"/>
              <w:rPr>
                <w:rFonts w:ascii="宋体" w:hAnsi="宋体" w:cs="宋体" w:eastAsia="宋体" w:hint="default"/>
                <w:sz w:val="18"/>
                <w:szCs w:val="18"/>
              </w:rPr>
            </w:pPr>
            <w:r>
              <w:rPr>
                <w:rFonts w:ascii="宋体" w:hAnsi="宋体" w:cs="宋体" w:eastAsia="宋体" w:hint="default"/>
                <w:sz w:val="18"/>
                <w:szCs w:val="18"/>
              </w:rPr>
              <w:t>半年度 权益分 派资本 公积转 增股本</w:t>
            </w:r>
          </w:p>
        </w:tc>
      </w:tr>
      <w:tr>
        <w:trPr>
          <w:trHeight w:val="196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9" w:lineRule="auto" w:before="63"/>
              <w:ind w:left="26" w:right="107"/>
              <w:jc w:val="both"/>
              <w:rPr>
                <w:rFonts w:ascii="宋体" w:hAnsi="宋体" w:cs="宋体" w:eastAsia="宋体" w:hint="default"/>
                <w:sz w:val="18"/>
                <w:szCs w:val="18"/>
              </w:rPr>
            </w:pPr>
            <w:r>
              <w:rPr>
                <w:rFonts w:ascii="宋体" w:hAnsi="宋体" w:cs="宋体" w:eastAsia="宋体" w:hint="default"/>
                <w:sz w:val="18"/>
                <w:szCs w:val="18"/>
              </w:rPr>
              <w:t>半年度 权益分 派资本 公积转 增股本</w:t>
            </w:r>
          </w:p>
        </w:tc>
      </w:tr>
      <w:tr>
        <w:trPr>
          <w:trHeight w:val="320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薛莉芳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73,400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64,000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6" w:right="107"/>
              <w:jc w:val="left"/>
              <w:rPr>
                <w:rFonts w:ascii="宋体" w:hAnsi="宋体" w:cs="宋体" w:eastAsia="宋体" w:hint="default"/>
                <w:sz w:val="18"/>
                <w:szCs w:val="18"/>
              </w:rPr>
            </w:pPr>
            <w:r>
              <w:rPr>
                <w:rFonts w:ascii="宋体" w:hAnsi="宋体" w:cs="宋体" w:eastAsia="宋体" w:hint="default"/>
                <w:sz w:val="18"/>
                <w:szCs w:val="18"/>
              </w:rPr>
              <w:t>半年度 权益分 派资本 公积转 增股 本，符 合相关 规定的 减持</w:t>
            </w:r>
          </w:p>
        </w:tc>
      </w:tr>
      <w:tr>
        <w:trPr>
          <w:trHeight w:val="196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23" w:right="55"/>
              <w:jc w:val="both"/>
              <w:rPr>
                <w:rFonts w:ascii="宋体" w:hAnsi="宋体" w:cs="宋体" w:eastAsia="宋体" w:hint="default"/>
                <w:sz w:val="18"/>
                <w:szCs w:val="18"/>
              </w:rPr>
            </w:pPr>
            <w:r>
              <w:rPr>
                <w:rFonts w:ascii="宋体" w:hAnsi="宋体" w:cs="宋体" w:eastAsia="宋体" w:hint="default"/>
                <w:sz w:val="18"/>
                <w:szCs w:val="18"/>
              </w:rPr>
              <w:t>财务总 监</w:t>
            </w:r>
            <w:r>
              <w:rPr>
                <w:rFonts w:ascii="Times New Roman" w:hAnsi="Times New Roman" w:cs="Times New Roman" w:eastAsia="Times New Roman" w:hint="default"/>
                <w:sz w:val="18"/>
                <w:szCs w:val="18"/>
              </w:rPr>
              <w:t>;</w:t>
            </w:r>
            <w:r>
              <w:rPr>
                <w:rFonts w:ascii="宋体" w:hAnsi="宋体" w:cs="宋体" w:eastAsia="宋体" w:hint="default"/>
                <w:sz w:val="18"/>
                <w:szCs w:val="18"/>
              </w:rPr>
              <w:t>副总 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287,300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287,300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574,600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64,000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6" w:right="107"/>
              <w:jc w:val="both"/>
              <w:rPr>
                <w:rFonts w:ascii="宋体" w:hAnsi="宋体" w:cs="宋体" w:eastAsia="宋体" w:hint="default"/>
                <w:sz w:val="18"/>
                <w:szCs w:val="18"/>
              </w:rPr>
            </w:pPr>
            <w:r>
              <w:rPr>
                <w:rFonts w:ascii="宋体" w:hAnsi="宋体" w:cs="宋体" w:eastAsia="宋体" w:hint="default"/>
                <w:sz w:val="18"/>
                <w:szCs w:val="18"/>
              </w:rPr>
              <w:t>半年度 权益分 派资本 公积转 增股本</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682"/>
        <w:gridCol w:w="684"/>
        <w:gridCol w:w="682"/>
        <w:gridCol w:w="684"/>
        <w:gridCol w:w="684"/>
      </w:tblGrid>
      <w:tr>
        <w:trPr>
          <w:trHeight w:val="320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闻建中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6" w:right="107"/>
              <w:jc w:val="left"/>
              <w:rPr>
                <w:rFonts w:ascii="宋体" w:hAnsi="宋体" w:cs="宋体" w:eastAsia="宋体" w:hint="default"/>
                <w:sz w:val="18"/>
                <w:szCs w:val="18"/>
              </w:rPr>
            </w:pPr>
            <w:r>
              <w:rPr>
                <w:rFonts w:ascii="宋体" w:hAnsi="宋体" w:cs="宋体" w:eastAsia="宋体" w:hint="default"/>
                <w:sz w:val="18"/>
                <w:szCs w:val="18"/>
              </w:rPr>
              <w:t>半年度 权益分 派资本 公积转 增股 本，符 合相关 规定的 减持</w:t>
            </w:r>
          </w:p>
        </w:tc>
      </w:tr>
      <w:tr>
        <w:trPr>
          <w:trHeight w:val="102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王涛</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23" w:right="55"/>
              <w:jc w:val="both"/>
              <w:rPr>
                <w:rFonts w:ascii="宋体" w:hAnsi="宋体" w:cs="宋体" w:eastAsia="宋体" w:hint="default"/>
                <w:sz w:val="18"/>
                <w:szCs w:val="18"/>
              </w:rPr>
            </w:pPr>
            <w:r>
              <w:rPr>
                <w:rFonts w:ascii="宋体" w:hAnsi="宋体" w:cs="宋体" w:eastAsia="宋体" w:hint="default"/>
                <w:sz w:val="18"/>
                <w:szCs w:val="18"/>
              </w:rPr>
              <w:t>副总经 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 会秘书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6" w:right="107"/>
              <w:jc w:val="both"/>
              <w:rPr>
                <w:rFonts w:ascii="宋体" w:hAnsi="宋体" w:cs="宋体" w:eastAsia="宋体" w:hint="default"/>
                <w:sz w:val="18"/>
                <w:szCs w:val="18"/>
              </w:rPr>
            </w:pPr>
            <w:r>
              <w:rPr>
                <w:rFonts w:ascii="宋体" w:hAnsi="宋体" w:cs="宋体" w:eastAsia="宋体" w:hint="default"/>
                <w:sz w:val="18"/>
                <w:szCs w:val="18"/>
              </w:rPr>
              <w:t>半年度 权益分 派资本 公积转 增股本</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0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32,000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163,625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7,112,95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304,000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二、任职情况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240" w:lineRule="auto" w:before="159"/>
        <w:ind w:right="0"/>
        <w:jc w:val="left"/>
      </w:pPr>
      <w:r>
        <w:rPr>
          <w:rFonts w:ascii="Times New Roman" w:hAnsi="Times New Roman" w:cs="Times New Roman" w:eastAsia="Times New Roman" w:hint="default"/>
        </w:rPr>
        <w:t>1</w:t>
      </w:r>
      <w:r>
        <w:rPr/>
        <w:t>、董事会成员</w:t>
      </w:r>
    </w:p>
    <w:p>
      <w:pPr>
        <w:pStyle w:val="BodyText"/>
        <w:spacing w:line="393" w:lineRule="auto" w:before="177"/>
        <w:ind w:left="297" w:right="146" w:firstLine="470"/>
        <w:jc w:val="both"/>
      </w:pPr>
      <w:r>
        <w:rPr>
          <w:rFonts w:ascii="宋体" w:hAnsi="宋体" w:cs="宋体" w:eastAsia="宋体" w:hint="default"/>
          <w:b/>
          <w:bCs/>
          <w:spacing w:val="-2"/>
        </w:rPr>
        <w:t>史一兵</w:t>
      </w:r>
      <w:r>
        <w:rPr>
          <w:spacing w:val="-2"/>
        </w:rPr>
        <w:t>（</w:t>
      </w:r>
      <w:r>
        <w:rPr>
          <w:rFonts w:ascii="宋体" w:hAnsi="宋体" w:cs="宋体" w:eastAsia="宋体" w:hint="default"/>
          <w:b/>
          <w:bCs/>
          <w:spacing w:val="-2"/>
        </w:rPr>
        <w:t>董事长）：</w:t>
      </w:r>
      <w:r>
        <w:rPr>
          <w:spacing w:val="-2"/>
        </w:rPr>
        <w:t>男，</w:t>
      </w:r>
      <w:r>
        <w:rPr>
          <w:rFonts w:ascii="Times New Roman" w:hAnsi="Times New Roman" w:cs="Times New Roman" w:eastAsia="Times New Roman" w:hint="default"/>
          <w:spacing w:val="-2"/>
        </w:rPr>
        <w:t>1962</w:t>
      </w:r>
      <w:r>
        <w:rPr>
          <w:spacing w:val="-2"/>
        </w:rPr>
        <w:t>年生，中国国籍，复旦大学计算机系软件专业研究生班毕业，硕士学</w:t>
      </w:r>
      <w:r>
        <w:rPr>
          <w:w w:val="100"/>
        </w:rPr>
        <w:t> </w:t>
      </w:r>
      <w:r>
        <w:rPr>
          <w:spacing w:val="-2"/>
        </w:rPr>
        <w:t>位，中欧国际工商学院</w:t>
      </w:r>
      <w:r>
        <w:rPr>
          <w:rFonts w:ascii="Times New Roman" w:hAnsi="Times New Roman" w:cs="Times New Roman" w:eastAsia="Times New Roman" w:hint="default"/>
          <w:spacing w:val="-2"/>
        </w:rPr>
        <w:t>EMBA</w:t>
      </w:r>
      <w:r>
        <w:rPr>
          <w:spacing w:val="-2"/>
        </w:rPr>
        <w:t>，研究员。历任上海计算机软件研究所副所长、上海万达信息系统有限公</w:t>
      </w:r>
      <w:r>
        <w:rPr>
          <w:spacing w:val="-20"/>
        </w:rPr>
        <w:t> </w:t>
      </w:r>
      <w:r>
        <w:rPr>
          <w:spacing w:val="-20"/>
        </w:rPr>
      </w:r>
      <w:r>
        <w:rPr>
          <w:spacing w:val="-2"/>
        </w:rPr>
        <w:t>司常务副总经理、总经理；现任本公司董事长兼总裁。史一兵先生现任第十二届上海市政协常务委员。</w:t>
      </w:r>
      <w:r>
        <w:rPr>
          <w:spacing w:val="-21"/>
        </w:rPr>
        <w:t> </w:t>
      </w:r>
      <w:r>
        <w:rPr>
          <w:spacing w:val="-21"/>
        </w:rPr>
      </w:r>
      <w:r>
        <w:rPr>
          <w:spacing w:val="-2"/>
        </w:rPr>
        <w:t>曾先后于</w:t>
      </w:r>
      <w:r>
        <w:rPr>
          <w:rFonts w:ascii="Times New Roman" w:hAnsi="Times New Roman" w:cs="Times New Roman" w:eastAsia="Times New Roman" w:hint="default"/>
          <w:spacing w:val="-2"/>
        </w:rPr>
        <w:t>1998</w:t>
      </w:r>
      <w:r>
        <w:rPr>
          <w:spacing w:val="-2"/>
        </w:rPr>
        <w:t>年获得共青团中央全国青联颁发的第三届中国杰出（优秀）青年科技创业奖、</w:t>
      </w:r>
      <w:r>
        <w:rPr>
          <w:rFonts w:ascii="Times New Roman" w:hAnsi="Times New Roman" w:cs="Times New Roman" w:eastAsia="Times New Roman" w:hint="default"/>
          <w:spacing w:val="-2"/>
        </w:rPr>
        <w:t>2005</w:t>
      </w:r>
      <w:r>
        <w:rPr>
          <w:spacing w:val="-2"/>
        </w:rPr>
        <w:t>年被全</w:t>
      </w:r>
      <w:r>
        <w:rPr>
          <w:spacing w:val="-13"/>
        </w:rPr>
        <w:t> </w:t>
      </w:r>
      <w:r>
        <w:rPr>
          <w:spacing w:val="-13"/>
        </w:rPr>
      </w:r>
      <w:r>
        <w:rPr>
          <w:spacing w:val="-2"/>
        </w:rPr>
        <w:t>国总工会评为全国劳动模范、</w:t>
      </w:r>
      <w:r>
        <w:rPr>
          <w:rFonts w:ascii="Times New Roman" w:hAnsi="Times New Roman" w:cs="Times New Roman" w:eastAsia="Times New Roman" w:hint="default"/>
          <w:spacing w:val="-2"/>
        </w:rPr>
        <w:t>2006</w:t>
      </w:r>
      <w:r>
        <w:rPr>
          <w:spacing w:val="-2"/>
        </w:rPr>
        <w:t>年被中国电子信息产业发展研究院评为中国软件企业十大领军人物、</w:t>
      </w:r>
      <w:r>
        <w:rPr>
          <w:spacing w:val="-17"/>
        </w:rPr>
        <w:t> </w:t>
      </w:r>
      <w:r>
        <w:rPr>
          <w:spacing w:val="-17"/>
        </w:rPr>
      </w:r>
      <w:r>
        <w:rPr>
          <w:spacing w:val="-2"/>
        </w:rPr>
        <w:t>曾任第十届全国人大代表、第十一届上海市政协常务委员、社会和法制委员会副主任、上海市青年联合</w:t>
      </w:r>
      <w:r>
        <w:rPr>
          <w:spacing w:val="-21"/>
        </w:rPr>
        <w:t> </w:t>
      </w:r>
      <w:r>
        <w:rPr>
          <w:spacing w:val="-21"/>
        </w:rPr>
      </w:r>
      <w:r>
        <w:rPr/>
        <w:t>会第九届委员会常务委员，享受政府特殊津贴专家。</w:t>
      </w:r>
    </w:p>
    <w:p>
      <w:pPr>
        <w:pStyle w:val="BodyText"/>
        <w:spacing w:line="386" w:lineRule="auto" w:before="58"/>
        <w:ind w:right="0" w:firstLine="473"/>
        <w:jc w:val="left"/>
      </w:pPr>
      <w:r>
        <w:rPr>
          <w:rFonts w:ascii="宋体" w:hAnsi="宋体" w:cs="宋体" w:eastAsia="宋体" w:hint="default"/>
          <w:b/>
          <w:bCs/>
          <w:spacing w:val="-4"/>
        </w:rPr>
        <w:t>潘政（副董事长）</w:t>
      </w:r>
      <w:r>
        <w:rPr>
          <w:spacing w:val="-4"/>
        </w:rPr>
        <w:t>男，</w:t>
      </w:r>
      <w:r>
        <w:rPr>
          <w:rFonts w:ascii="Times New Roman" w:hAnsi="Times New Roman" w:cs="Times New Roman" w:eastAsia="Times New Roman" w:hint="default"/>
          <w:spacing w:val="-4"/>
        </w:rPr>
        <w:t>1960</w:t>
      </w:r>
      <w:r>
        <w:rPr>
          <w:spacing w:val="-4"/>
        </w:rPr>
        <w:t>年生，中国国籍，硕士学位。曾任七一一研究所六室工程师、副主任、主</w:t>
      </w:r>
      <w:r>
        <w:rPr>
          <w:w w:val="100"/>
        </w:rPr>
        <w:t> </w:t>
      </w:r>
      <w:r>
        <w:rPr>
          <w:spacing w:val="-2"/>
        </w:rPr>
        <w:t>任，十二室主任，副所长；上海市科协副主席、党组纪检组组长；上海科技馆馆长、正局级干部。现任上</w:t>
      </w:r>
    </w:p>
    <w:p>
      <w:pPr>
        <w:spacing w:after="0" w:line="386"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5"/>
        <w:ind w:left="489" w:right="100" w:hanging="337"/>
        <w:jc w:val="left"/>
      </w:pPr>
      <w:r>
        <w:rPr/>
        <w:t>海科技投资公司副总经理，本公司副董事长。</w:t>
      </w:r>
      <w:r>
        <w:rPr>
          <w:w w:val="100"/>
        </w:rPr>
        <w:t> </w:t>
      </w:r>
      <w:r>
        <w:rPr>
          <w:rFonts w:ascii="宋体" w:hAnsi="宋体" w:cs="宋体" w:eastAsia="宋体" w:hint="default"/>
          <w:b/>
          <w:bCs/>
          <w:spacing w:val="-3"/>
        </w:rPr>
        <w:t>李光亚（董事）：</w:t>
      </w:r>
      <w:r>
        <w:rPr>
          <w:spacing w:val="-3"/>
        </w:rPr>
        <w:t>男，</w:t>
      </w:r>
      <w:r>
        <w:rPr>
          <w:rFonts w:ascii="Times New Roman" w:hAnsi="Times New Roman" w:cs="Times New Roman" w:eastAsia="Times New Roman" w:hint="default"/>
          <w:spacing w:val="-3"/>
        </w:rPr>
        <w:t>1973</w:t>
      </w:r>
      <w:r>
        <w:rPr>
          <w:spacing w:val="-3"/>
        </w:rPr>
        <w:t>年生，中国国籍，教授级高级工程师，博士学位。历任本公司副总工程师、</w:t>
      </w:r>
    </w:p>
    <w:p>
      <w:pPr>
        <w:pStyle w:val="BodyText"/>
        <w:spacing w:line="386" w:lineRule="auto" w:before="14"/>
        <w:ind w:right="206"/>
        <w:jc w:val="both"/>
      </w:pPr>
      <w:r>
        <w:rPr>
          <w:w w:val="100"/>
        </w:rPr>
        <w:t>研发中</w:t>
      </w:r>
      <w:r>
        <w:rPr>
          <w:spacing w:val="-3"/>
          <w:w w:val="100"/>
        </w:rPr>
        <w:t>心</w:t>
      </w:r>
      <w:r>
        <w:rPr>
          <w:w w:val="100"/>
        </w:rPr>
        <w:t>主</w:t>
      </w:r>
      <w:r>
        <w:rPr>
          <w:spacing w:val="-3"/>
          <w:w w:val="100"/>
        </w:rPr>
        <w:t>任</w:t>
      </w:r>
      <w:r>
        <w:rPr>
          <w:w w:val="100"/>
        </w:rPr>
        <w:t>；现</w:t>
      </w:r>
      <w:r>
        <w:rPr>
          <w:spacing w:val="-3"/>
          <w:w w:val="100"/>
        </w:rPr>
        <w:t>任</w:t>
      </w:r>
      <w:r>
        <w:rPr>
          <w:w w:val="100"/>
        </w:rPr>
        <w:t>本</w:t>
      </w:r>
      <w:r>
        <w:rPr>
          <w:spacing w:val="-3"/>
          <w:w w:val="100"/>
        </w:rPr>
        <w:t>公</w:t>
      </w:r>
      <w:r>
        <w:rPr>
          <w:w w:val="100"/>
        </w:rPr>
        <w:t>司董事</w:t>
      </w:r>
      <w:r>
        <w:rPr>
          <w:spacing w:val="-3"/>
          <w:w w:val="100"/>
        </w:rPr>
        <w:t>、</w:t>
      </w:r>
      <w:r>
        <w:rPr>
          <w:w w:val="100"/>
        </w:rPr>
        <w:t>首</w:t>
      </w:r>
      <w:r>
        <w:rPr>
          <w:spacing w:val="-3"/>
          <w:w w:val="100"/>
        </w:rPr>
        <w:t>席</w:t>
      </w:r>
      <w:r>
        <w:rPr>
          <w:w w:val="100"/>
        </w:rPr>
        <w:t>技术</w:t>
      </w:r>
      <w:r>
        <w:rPr>
          <w:spacing w:val="-3"/>
          <w:w w:val="100"/>
        </w:rPr>
        <w:t>官</w:t>
      </w:r>
      <w:r>
        <w:rPr>
          <w:w w:val="100"/>
        </w:rPr>
        <w:t>、</w:t>
      </w:r>
      <w:r>
        <w:rPr>
          <w:spacing w:val="-3"/>
          <w:w w:val="100"/>
        </w:rPr>
        <w:t>副</w:t>
      </w:r>
      <w:r>
        <w:rPr>
          <w:w w:val="100"/>
        </w:rPr>
        <w:t>总裁。</w:t>
      </w:r>
      <w:r>
        <w:rPr>
          <w:spacing w:val="-3"/>
          <w:w w:val="100"/>
        </w:rPr>
        <w:t>曾</w:t>
      </w:r>
      <w:r>
        <w:rPr>
          <w:w w:val="100"/>
        </w:rPr>
        <w:t>先</w:t>
      </w:r>
      <w:r>
        <w:rPr>
          <w:spacing w:val="-3"/>
          <w:w w:val="100"/>
        </w:rPr>
        <w:t>后</w:t>
      </w:r>
      <w:r>
        <w:rPr>
          <w:w w:val="100"/>
        </w:rPr>
        <w:t>于</w:t>
      </w:r>
      <w:r>
        <w:rPr>
          <w:rFonts w:ascii="Times New Roman" w:hAnsi="Times New Roman" w:cs="Times New Roman" w:eastAsia="Times New Roman" w:hint="default"/>
          <w:w w:val="100"/>
        </w:rPr>
        <w:t>200</w:t>
      </w:r>
      <w:r>
        <w:rPr>
          <w:rFonts w:ascii="Times New Roman" w:hAnsi="Times New Roman" w:cs="Times New Roman" w:eastAsia="Times New Roman" w:hint="default"/>
          <w:spacing w:val="-3"/>
          <w:w w:val="100"/>
        </w:rPr>
        <w:t>2</w:t>
      </w:r>
      <w:r>
        <w:rPr>
          <w:w w:val="100"/>
        </w:rPr>
        <w:t>年</w:t>
      </w:r>
      <w:r>
        <w:rPr>
          <w:spacing w:val="-3"/>
          <w:w w:val="100"/>
        </w:rPr>
        <w:t>获</w:t>
      </w:r>
      <w:r>
        <w:rPr>
          <w:w w:val="100"/>
        </w:rPr>
        <w:t>首届</w:t>
      </w:r>
      <w:r>
        <w:rPr>
          <w:rFonts w:ascii="Times New Roman" w:hAnsi="Times New Roman" w:cs="Times New Roman" w:eastAsia="Times New Roman" w:hint="default"/>
          <w:spacing w:val="-1"/>
          <w:w w:val="44"/>
        </w:rPr>
        <w:t>―</w:t>
      </w:r>
      <w:r>
        <w:rPr>
          <w:spacing w:val="-3"/>
          <w:w w:val="100"/>
        </w:rPr>
        <w:t>上</w:t>
      </w:r>
      <w:r>
        <w:rPr>
          <w:w w:val="100"/>
        </w:rPr>
        <w:t>海</w:t>
      </w:r>
      <w:r>
        <w:rPr>
          <w:rFonts w:ascii="Times New Roman" w:hAnsi="Times New Roman" w:cs="Times New Roman" w:eastAsia="Times New Roman" w:hint="default"/>
          <w:spacing w:val="-4"/>
          <w:w w:val="100"/>
        </w:rPr>
        <w:t>I</w:t>
      </w:r>
      <w:r>
        <w:rPr>
          <w:rFonts w:ascii="Times New Roman" w:hAnsi="Times New Roman" w:cs="Times New Roman" w:eastAsia="Times New Roman" w:hint="default"/>
          <w:w w:val="100"/>
        </w:rPr>
        <w:t>T</w:t>
      </w:r>
      <w:r>
        <w:rPr>
          <w:w w:val="100"/>
        </w:rPr>
        <w:t>青年十</w:t>
      </w:r>
      <w:r>
        <w:rPr>
          <w:spacing w:val="-3"/>
          <w:w w:val="100"/>
        </w:rPr>
        <w:t>大</w:t>
      </w:r>
      <w:r>
        <w:rPr>
          <w:w w:val="100"/>
        </w:rPr>
        <w:t>新</w:t>
      </w:r>
      <w:r>
        <w:rPr>
          <w:spacing w:val="-3"/>
          <w:w w:val="100"/>
        </w:rPr>
        <w:t>锐</w:t>
      </w:r>
      <w:r>
        <w:rPr>
          <w:rFonts w:ascii="Times New Roman" w:hAnsi="Times New Roman" w:cs="Times New Roman" w:eastAsia="Times New Roman" w:hint="default"/>
          <w:spacing w:val="-1"/>
          <w:w w:val="159"/>
        </w:rPr>
        <w:t>‖</w:t>
      </w:r>
      <w:r>
        <w:rPr>
          <w:w w:val="100"/>
        </w:rPr>
        <w:t>、 </w:t>
      </w:r>
      <w:r>
        <w:rPr>
          <w:rFonts w:ascii="Times New Roman" w:hAnsi="Times New Roman" w:cs="Times New Roman" w:eastAsia="Times New Roman" w:hint="default"/>
          <w:w w:val="100"/>
        </w:rPr>
        <w:t>2005</w:t>
      </w:r>
      <w:r>
        <w:rPr>
          <w:spacing w:val="-3"/>
          <w:w w:val="100"/>
        </w:rPr>
        <w:t>年</w:t>
      </w:r>
      <w:r>
        <w:rPr>
          <w:w w:val="100"/>
        </w:rPr>
        <w:t>获</w:t>
      </w:r>
      <w:r>
        <w:rPr>
          <w:spacing w:val="-3"/>
          <w:w w:val="100"/>
        </w:rPr>
        <w:t>首</w:t>
      </w:r>
      <w:r>
        <w:rPr>
          <w:spacing w:val="-1"/>
          <w:w w:val="100"/>
        </w:rPr>
        <w:t>批</w:t>
      </w:r>
      <w:r>
        <w:rPr>
          <w:rFonts w:ascii="Times New Roman" w:hAnsi="Times New Roman" w:cs="Times New Roman" w:eastAsia="Times New Roman" w:hint="default"/>
          <w:spacing w:val="-3"/>
          <w:w w:val="44"/>
        </w:rPr>
        <w:t>―</w:t>
      </w:r>
      <w:r>
        <w:rPr>
          <w:w w:val="100"/>
        </w:rPr>
        <w:t>上</w:t>
      </w:r>
      <w:r>
        <w:rPr>
          <w:spacing w:val="-3"/>
          <w:w w:val="100"/>
        </w:rPr>
        <w:t>海</w:t>
      </w:r>
      <w:r>
        <w:rPr>
          <w:w w:val="100"/>
        </w:rPr>
        <w:t>市</w:t>
      </w:r>
      <w:r>
        <w:rPr>
          <w:spacing w:val="-3"/>
          <w:w w:val="100"/>
        </w:rPr>
        <w:t>科技</w:t>
      </w:r>
      <w:r>
        <w:rPr>
          <w:w w:val="100"/>
        </w:rPr>
        <w:t>领军</w:t>
      </w:r>
      <w:r>
        <w:rPr>
          <w:spacing w:val="-3"/>
          <w:w w:val="100"/>
        </w:rPr>
        <w:t>人</w:t>
      </w:r>
      <w:r>
        <w:rPr>
          <w:w w:val="100"/>
        </w:rPr>
        <w:t>才</w:t>
      </w:r>
      <w:r>
        <w:rPr>
          <w:rFonts w:ascii="Times New Roman" w:hAnsi="Times New Roman" w:cs="Times New Roman" w:eastAsia="Times New Roman" w:hint="default"/>
          <w:spacing w:val="-3"/>
          <w:w w:val="159"/>
        </w:rPr>
        <w:t>‖</w:t>
      </w:r>
      <w:r>
        <w:rPr>
          <w:spacing w:val="-34"/>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06</w:t>
      </w:r>
      <w:r>
        <w:rPr>
          <w:spacing w:val="-3"/>
          <w:w w:val="100"/>
        </w:rPr>
        <w:t>年</w:t>
      </w:r>
      <w:r>
        <w:rPr>
          <w:w w:val="100"/>
        </w:rPr>
        <w:t>获得</w:t>
      </w:r>
      <w:r>
        <w:rPr>
          <w:rFonts w:ascii="Times New Roman" w:hAnsi="Times New Roman" w:cs="Times New Roman" w:eastAsia="Times New Roman" w:hint="default"/>
          <w:spacing w:val="-3"/>
          <w:w w:val="44"/>
        </w:rPr>
        <w:t>―</w:t>
      </w:r>
      <w:r>
        <w:rPr>
          <w:w w:val="100"/>
        </w:rPr>
        <w:t>中国</w:t>
      </w:r>
      <w:r>
        <w:rPr>
          <w:spacing w:val="-3"/>
          <w:w w:val="100"/>
        </w:rPr>
        <w:t>信</w:t>
      </w:r>
      <w:r>
        <w:rPr>
          <w:w w:val="100"/>
        </w:rPr>
        <w:t>息</w:t>
      </w:r>
      <w:r>
        <w:rPr>
          <w:spacing w:val="-3"/>
          <w:w w:val="100"/>
        </w:rPr>
        <w:t>产</w:t>
      </w:r>
      <w:r>
        <w:rPr>
          <w:w w:val="100"/>
        </w:rPr>
        <w:t>业</w:t>
      </w:r>
      <w:r>
        <w:rPr>
          <w:spacing w:val="-3"/>
          <w:w w:val="100"/>
        </w:rPr>
        <w:t>科</w:t>
      </w:r>
      <w:r>
        <w:rPr>
          <w:w w:val="100"/>
        </w:rPr>
        <w:t>技</w:t>
      </w:r>
      <w:r>
        <w:rPr>
          <w:spacing w:val="-3"/>
          <w:w w:val="100"/>
        </w:rPr>
        <w:t>创</w:t>
      </w:r>
      <w:r>
        <w:rPr>
          <w:w w:val="100"/>
        </w:rPr>
        <w:t>新</w:t>
      </w:r>
      <w:r>
        <w:rPr>
          <w:spacing w:val="-3"/>
          <w:w w:val="100"/>
        </w:rPr>
        <w:t>先</w:t>
      </w:r>
      <w:r>
        <w:rPr>
          <w:w w:val="100"/>
        </w:rPr>
        <w:t>进工</w:t>
      </w:r>
      <w:r>
        <w:rPr>
          <w:spacing w:val="-3"/>
          <w:w w:val="100"/>
        </w:rPr>
        <w:t>作</w:t>
      </w:r>
      <w:r>
        <w:rPr>
          <w:w w:val="100"/>
        </w:rPr>
        <w:t>者</w:t>
      </w:r>
      <w:r>
        <w:rPr>
          <w:rFonts w:ascii="Times New Roman" w:hAnsi="Times New Roman" w:cs="Times New Roman" w:eastAsia="Times New Roman" w:hint="default"/>
          <w:spacing w:val="-3"/>
          <w:w w:val="159"/>
        </w:rPr>
        <w:t>‖</w:t>
      </w:r>
      <w:r>
        <w:rPr>
          <w:spacing w:val="-34"/>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06</w:t>
      </w:r>
      <w:r>
        <w:rPr>
          <w:spacing w:val="-3"/>
          <w:w w:val="100"/>
        </w:rPr>
        <w:t>年</w:t>
      </w:r>
      <w:r>
        <w:rPr>
          <w:w w:val="100"/>
        </w:rPr>
        <w:t>获得</w:t>
      </w:r>
      <w:r>
        <w:rPr>
          <w:rFonts w:ascii="Times New Roman" w:hAnsi="Times New Roman" w:cs="Times New Roman" w:eastAsia="Times New Roman" w:hint="default"/>
          <w:spacing w:val="-3"/>
          <w:w w:val="44"/>
        </w:rPr>
        <w:t>―</w:t>
      </w:r>
      <w:r>
        <w:rPr>
          <w:w w:val="100"/>
        </w:rPr>
        <w:t>第三 届中</w:t>
      </w:r>
      <w:r>
        <w:rPr>
          <w:spacing w:val="-3"/>
          <w:w w:val="100"/>
        </w:rPr>
        <w:t>国</w:t>
      </w:r>
      <w:r>
        <w:rPr>
          <w:w w:val="100"/>
        </w:rPr>
        <w:t>软</w:t>
      </w:r>
      <w:r>
        <w:rPr>
          <w:spacing w:val="-3"/>
          <w:w w:val="100"/>
        </w:rPr>
        <w:t>件</w:t>
      </w:r>
      <w:r>
        <w:rPr>
          <w:w w:val="100"/>
        </w:rPr>
        <w:t>行</w:t>
      </w:r>
      <w:r>
        <w:rPr>
          <w:spacing w:val="-3"/>
          <w:w w:val="100"/>
        </w:rPr>
        <w:t>业</w:t>
      </w:r>
      <w:r>
        <w:rPr>
          <w:w w:val="100"/>
        </w:rPr>
        <w:t>十</w:t>
      </w:r>
      <w:r>
        <w:rPr>
          <w:spacing w:val="-3"/>
          <w:w w:val="100"/>
        </w:rPr>
        <w:t>大</w:t>
      </w:r>
      <w:r>
        <w:rPr>
          <w:w w:val="100"/>
        </w:rPr>
        <w:t>杰</w:t>
      </w:r>
      <w:r>
        <w:rPr>
          <w:spacing w:val="-3"/>
          <w:w w:val="100"/>
        </w:rPr>
        <w:t>出</w:t>
      </w:r>
      <w:r>
        <w:rPr>
          <w:w w:val="100"/>
        </w:rPr>
        <w:t>青年</w:t>
      </w:r>
      <w:r>
        <w:rPr>
          <w:rFonts w:ascii="Times New Roman" w:hAnsi="Times New Roman" w:cs="Times New Roman" w:eastAsia="Times New Roman" w:hint="default"/>
          <w:spacing w:val="-3"/>
          <w:w w:val="159"/>
        </w:rPr>
        <w:t>‖</w:t>
      </w:r>
      <w:r>
        <w:rPr>
          <w:spacing w:val="-5"/>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06</w:t>
      </w:r>
      <w:r>
        <w:rPr>
          <w:spacing w:val="-3"/>
          <w:w w:val="100"/>
        </w:rPr>
        <w:t>年</w:t>
      </w:r>
      <w:r>
        <w:rPr>
          <w:w w:val="100"/>
        </w:rPr>
        <w:t>获</w:t>
      </w:r>
      <w:r>
        <w:rPr>
          <w:spacing w:val="-3"/>
          <w:w w:val="100"/>
        </w:rPr>
        <w:t>得</w:t>
      </w:r>
      <w:r>
        <w:rPr>
          <w:rFonts w:ascii="Times New Roman" w:hAnsi="Times New Roman" w:cs="Times New Roman" w:eastAsia="Times New Roman" w:hint="default"/>
          <w:spacing w:val="-1"/>
          <w:w w:val="44"/>
        </w:rPr>
        <w:t>―</w:t>
      </w:r>
      <w:r>
        <w:rPr>
          <w:spacing w:val="-3"/>
          <w:w w:val="100"/>
        </w:rPr>
        <w:t>上海</w:t>
      </w:r>
      <w:r>
        <w:rPr>
          <w:w w:val="100"/>
        </w:rPr>
        <w:t>市优</w:t>
      </w:r>
      <w:r>
        <w:rPr>
          <w:spacing w:val="-3"/>
          <w:w w:val="100"/>
        </w:rPr>
        <w:t>秀</w:t>
      </w:r>
      <w:r>
        <w:rPr>
          <w:w w:val="100"/>
        </w:rPr>
        <w:t>学</w:t>
      </w:r>
      <w:r>
        <w:rPr>
          <w:spacing w:val="-3"/>
          <w:w w:val="100"/>
        </w:rPr>
        <w:t>科</w:t>
      </w:r>
      <w:r>
        <w:rPr>
          <w:w w:val="100"/>
        </w:rPr>
        <w:t>带</w:t>
      </w:r>
      <w:r>
        <w:rPr>
          <w:spacing w:val="-3"/>
          <w:w w:val="100"/>
        </w:rPr>
        <w:t>头</w:t>
      </w:r>
      <w:r>
        <w:rPr>
          <w:w w:val="100"/>
        </w:rPr>
        <w:t>人</w:t>
      </w:r>
      <w:r>
        <w:rPr>
          <w:spacing w:val="-3"/>
          <w:w w:val="100"/>
        </w:rPr>
        <w:t>计</w:t>
      </w:r>
      <w:r>
        <w:rPr>
          <w:spacing w:val="-8"/>
          <w:w w:val="100"/>
        </w:rPr>
        <w:t>划</w:t>
      </w:r>
      <w:r>
        <w:rPr>
          <w:w w:val="100"/>
        </w:rPr>
        <w:t>（</w:t>
      </w:r>
      <w:r>
        <w:rPr>
          <w:rFonts w:ascii="Times New Roman" w:hAnsi="Times New Roman" w:cs="Times New Roman" w:eastAsia="Times New Roman" w:hint="default"/>
          <w:spacing w:val="-2"/>
          <w:w w:val="100"/>
        </w:rPr>
        <w:t>B</w:t>
      </w:r>
      <w:r>
        <w:rPr>
          <w:w w:val="100"/>
        </w:rPr>
        <w:t>类</w:t>
      </w:r>
      <w:r>
        <w:rPr>
          <w:spacing w:val="-5"/>
          <w:w w:val="100"/>
        </w:rPr>
        <w:t>）</w:t>
      </w:r>
      <w:r>
        <w:rPr>
          <w:rFonts w:ascii="Times New Roman" w:hAnsi="Times New Roman" w:cs="Times New Roman" w:eastAsia="Times New Roman" w:hint="default"/>
          <w:spacing w:val="-3"/>
          <w:w w:val="159"/>
        </w:rPr>
        <w:t>‖</w:t>
      </w:r>
      <w:r>
        <w:rPr>
          <w:spacing w:val="-5"/>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w w:val="100"/>
        </w:rPr>
        <w:t>8</w:t>
      </w:r>
      <w:r>
        <w:rPr>
          <w:w w:val="100"/>
        </w:rPr>
        <w:t>年</w:t>
      </w:r>
      <w:r>
        <w:rPr>
          <w:spacing w:val="-3"/>
          <w:w w:val="100"/>
        </w:rPr>
        <w:t>获</w:t>
      </w:r>
      <w:r>
        <w:rPr>
          <w:w w:val="100"/>
        </w:rPr>
        <w:t>得</w:t>
      </w:r>
      <w:r>
        <w:rPr>
          <w:spacing w:val="-3"/>
          <w:w w:val="100"/>
        </w:rPr>
        <w:t>上</w:t>
      </w:r>
      <w:r>
        <w:rPr>
          <w:w w:val="100"/>
        </w:rPr>
        <w:t>海</w:t>
      </w:r>
      <w:r>
        <w:rPr>
          <w:spacing w:val="-3"/>
          <w:w w:val="100"/>
        </w:rPr>
        <w:t>市</w:t>
      </w:r>
      <w:r>
        <w:rPr>
          <w:w w:val="100"/>
        </w:rPr>
        <w:t>五</w:t>
      </w:r>
      <w:r>
        <w:rPr>
          <w:w w:val="100"/>
        </w:rPr>
        <w:t> 一劳</w:t>
      </w:r>
      <w:r>
        <w:rPr>
          <w:spacing w:val="-3"/>
          <w:w w:val="100"/>
        </w:rPr>
        <w:t>动</w:t>
      </w:r>
      <w:r>
        <w:rPr>
          <w:w w:val="100"/>
        </w:rPr>
        <w:t>奖</w:t>
      </w:r>
      <w:r>
        <w:rPr>
          <w:spacing w:val="-3"/>
          <w:w w:val="100"/>
        </w:rPr>
        <w:t>章</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09</w:t>
      </w:r>
      <w:r>
        <w:rPr>
          <w:spacing w:val="-3"/>
          <w:w w:val="100"/>
        </w:rPr>
        <w:t>年</w:t>
      </w:r>
      <w:r>
        <w:rPr>
          <w:w w:val="100"/>
        </w:rPr>
        <w:t>享</w:t>
      </w:r>
      <w:r>
        <w:rPr>
          <w:spacing w:val="-3"/>
          <w:w w:val="100"/>
        </w:rPr>
        <w:t>受</w:t>
      </w:r>
      <w:r>
        <w:rPr>
          <w:w w:val="100"/>
        </w:rPr>
        <w:t>国务</w:t>
      </w:r>
      <w:r>
        <w:rPr>
          <w:spacing w:val="-3"/>
          <w:w w:val="100"/>
        </w:rPr>
        <w:t>院</w:t>
      </w:r>
      <w:r>
        <w:rPr>
          <w:rFonts w:ascii="Times New Roman" w:hAnsi="Times New Roman" w:cs="Times New Roman" w:eastAsia="Times New Roman" w:hint="default"/>
          <w:w w:val="100"/>
        </w:rPr>
        <w:t>200</w:t>
      </w:r>
      <w:r>
        <w:rPr>
          <w:rFonts w:ascii="Times New Roman" w:hAnsi="Times New Roman" w:cs="Times New Roman" w:eastAsia="Times New Roman" w:hint="default"/>
          <w:spacing w:val="-3"/>
          <w:w w:val="100"/>
        </w:rPr>
        <w:t>8</w:t>
      </w:r>
      <w:r>
        <w:rPr>
          <w:w w:val="100"/>
        </w:rPr>
        <w:t>年</w:t>
      </w:r>
      <w:r>
        <w:rPr>
          <w:spacing w:val="-3"/>
          <w:w w:val="100"/>
        </w:rPr>
        <w:t>度</w:t>
      </w:r>
      <w:r>
        <w:rPr>
          <w:w w:val="100"/>
        </w:rPr>
        <w:t>政</w:t>
      </w:r>
      <w:r>
        <w:rPr>
          <w:spacing w:val="-3"/>
          <w:w w:val="100"/>
        </w:rPr>
        <w:t>府</w:t>
      </w:r>
      <w:r>
        <w:rPr>
          <w:w w:val="100"/>
        </w:rPr>
        <w:t>特</w:t>
      </w:r>
      <w:r>
        <w:rPr>
          <w:spacing w:val="-3"/>
          <w:w w:val="100"/>
        </w:rPr>
        <w:t>殊</w:t>
      </w:r>
      <w:r>
        <w:rPr>
          <w:w w:val="100"/>
        </w:rPr>
        <w:t>津贴</w:t>
      </w:r>
      <w:r>
        <w:rPr>
          <w:spacing w:val="-3"/>
          <w:w w:val="100"/>
        </w:rPr>
        <w:t>等</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10</w:t>
      </w:r>
      <w:r>
        <w:rPr>
          <w:spacing w:val="-3"/>
          <w:w w:val="100"/>
        </w:rPr>
        <w:t>年</w:t>
      </w:r>
      <w:r>
        <w:rPr>
          <w:w w:val="100"/>
        </w:rPr>
        <w:t>入</w:t>
      </w:r>
      <w:r>
        <w:rPr>
          <w:spacing w:val="-3"/>
          <w:w w:val="100"/>
        </w:rPr>
        <w:t>选</w:t>
      </w:r>
      <w:r>
        <w:rPr>
          <w:rFonts w:ascii="Times New Roman" w:hAnsi="Times New Roman" w:cs="Times New Roman" w:eastAsia="Times New Roman" w:hint="default"/>
          <w:w w:val="100"/>
        </w:rPr>
        <w:t>200</w:t>
      </w:r>
      <w:r>
        <w:rPr>
          <w:rFonts w:ascii="Times New Roman" w:hAnsi="Times New Roman" w:cs="Times New Roman" w:eastAsia="Times New Roman" w:hint="default"/>
          <w:spacing w:val="-3"/>
          <w:w w:val="100"/>
        </w:rPr>
        <w:t>9</w:t>
      </w:r>
      <w:r>
        <w:rPr>
          <w:w w:val="100"/>
        </w:rPr>
        <w:t>年</w:t>
      </w:r>
      <w:r>
        <w:rPr>
          <w:rFonts w:ascii="Times New Roman" w:hAnsi="Times New Roman" w:cs="Times New Roman" w:eastAsia="Times New Roman" w:hint="default"/>
          <w:spacing w:val="-1"/>
          <w:w w:val="44"/>
        </w:rPr>
        <w:t>―</w:t>
      </w:r>
      <w:r>
        <w:rPr>
          <w:spacing w:val="-3"/>
          <w:w w:val="100"/>
        </w:rPr>
        <w:t>新</w:t>
      </w:r>
      <w:r>
        <w:rPr>
          <w:w w:val="100"/>
        </w:rPr>
        <w:t>世</w:t>
      </w:r>
      <w:r>
        <w:rPr>
          <w:spacing w:val="-3"/>
          <w:w w:val="100"/>
        </w:rPr>
        <w:t>纪</w:t>
      </w:r>
      <w:r>
        <w:rPr>
          <w:w w:val="100"/>
        </w:rPr>
        <w:t>百千</w:t>
      </w:r>
      <w:r>
        <w:rPr>
          <w:spacing w:val="-3"/>
          <w:w w:val="100"/>
        </w:rPr>
        <w:t>万</w:t>
      </w:r>
      <w:r>
        <w:rPr>
          <w:w w:val="100"/>
        </w:rPr>
        <w:t>人</w:t>
      </w:r>
      <w:r>
        <w:rPr>
          <w:spacing w:val="-3"/>
          <w:w w:val="100"/>
        </w:rPr>
        <w:t>才</w:t>
      </w:r>
      <w:r>
        <w:rPr>
          <w:w w:val="100"/>
        </w:rPr>
        <w:t>工</w:t>
      </w:r>
      <w:r>
        <w:rPr>
          <w:spacing w:val="-3"/>
          <w:w w:val="100"/>
        </w:rPr>
        <w:t>程</w:t>
      </w:r>
      <w:r>
        <w:rPr>
          <w:rFonts w:ascii="Times New Roman" w:hAnsi="Times New Roman" w:cs="Times New Roman" w:eastAsia="Times New Roman" w:hint="default"/>
          <w:spacing w:val="-1"/>
          <w:w w:val="159"/>
        </w:rPr>
        <w:t>‖</w:t>
      </w:r>
      <w:r>
        <w:rPr>
          <w:w w:val="100"/>
        </w:rPr>
        <w:t>国 </w:t>
      </w:r>
      <w:r>
        <w:rPr/>
        <w:t>家级人选名单。曾任共青团上海市第十二届委员会委员。</w:t>
      </w:r>
    </w:p>
    <w:p>
      <w:pPr>
        <w:pStyle w:val="BodyText"/>
        <w:spacing w:line="403" w:lineRule="auto" w:before="65"/>
        <w:ind w:right="100" w:firstLine="473"/>
        <w:jc w:val="left"/>
      </w:pPr>
      <w:r>
        <w:rPr>
          <w:rFonts w:ascii="宋体" w:hAnsi="宋体" w:cs="宋体" w:eastAsia="宋体" w:hint="default"/>
          <w:b/>
          <w:bCs/>
          <w:spacing w:val="-5"/>
        </w:rPr>
        <w:t>刘汝林（独立董事）：</w:t>
      </w:r>
      <w:r>
        <w:rPr>
          <w:spacing w:val="-5"/>
        </w:rPr>
        <w:t>男，</w:t>
      </w:r>
      <w:r>
        <w:rPr>
          <w:rFonts w:ascii="Times New Roman" w:hAnsi="Times New Roman" w:cs="Times New Roman" w:eastAsia="Times New Roman" w:hint="default"/>
          <w:spacing w:val="-5"/>
        </w:rPr>
        <w:t>1945</w:t>
      </w:r>
      <w:r>
        <w:rPr>
          <w:spacing w:val="-5"/>
        </w:rPr>
        <w:t>年生，中国国籍，本科学历，研究员级高级工程师。</w:t>
      </w:r>
      <w:r>
        <w:rPr>
          <w:rFonts w:ascii="宋体" w:hAnsi="宋体" w:cs="宋体" w:eastAsia="宋体" w:hint="default"/>
          <w:spacing w:val="-5"/>
        </w:rPr>
        <w:t>968</w:t>
      </w:r>
      <w:r>
        <w:rPr>
          <w:spacing w:val="-5"/>
        </w:rPr>
        <w:t>年</w:t>
      </w:r>
      <w:r>
        <w:rPr>
          <w:rFonts w:ascii="宋体" w:hAnsi="宋体" w:cs="宋体" w:eastAsia="宋体" w:hint="default"/>
          <w:spacing w:val="-5"/>
        </w:rPr>
        <w:t>12</w:t>
      </w:r>
      <w:r>
        <w:rPr>
          <w:spacing w:val="-5"/>
        </w:rPr>
        <w:t>月至</w:t>
      </w:r>
      <w:r>
        <w:rPr>
          <w:rFonts w:ascii="宋体" w:hAnsi="宋体" w:cs="宋体" w:eastAsia="宋体" w:hint="default"/>
          <w:spacing w:val="-5"/>
        </w:rPr>
        <w:t>1981</w:t>
      </w:r>
      <w:r>
        <w:rPr>
          <w:rFonts w:ascii="宋体" w:hAnsi="宋体" w:cs="宋体" w:eastAsia="宋体" w:hint="default"/>
          <w:w w:val="100"/>
        </w:rPr>
        <w:t> </w:t>
      </w:r>
      <w:r>
        <w:rPr>
          <w:spacing w:val="-4"/>
        </w:rPr>
        <w:t>年</w:t>
      </w:r>
      <w:r>
        <w:rPr>
          <w:rFonts w:ascii="宋体" w:hAnsi="宋体" w:cs="宋体" w:eastAsia="宋体" w:hint="default"/>
          <w:spacing w:val="-4"/>
        </w:rPr>
        <w:t>6</w:t>
      </w:r>
      <w:r>
        <w:rPr>
          <w:spacing w:val="-4"/>
        </w:rPr>
        <w:t>月任北京广播器材厂技术员、工程师，</w:t>
      </w:r>
      <w:r>
        <w:rPr>
          <w:rFonts w:ascii="宋体" w:hAnsi="宋体" w:cs="宋体" w:eastAsia="宋体" w:hint="default"/>
          <w:spacing w:val="-4"/>
        </w:rPr>
        <w:t>1981</w:t>
      </w:r>
      <w:r>
        <w:rPr>
          <w:spacing w:val="-4"/>
        </w:rPr>
        <w:t>年</w:t>
      </w:r>
      <w:r>
        <w:rPr>
          <w:rFonts w:ascii="宋体" w:hAnsi="宋体" w:cs="宋体" w:eastAsia="宋体" w:hint="default"/>
          <w:spacing w:val="-4"/>
        </w:rPr>
        <w:t>7</w:t>
      </w:r>
      <w:r>
        <w:rPr>
          <w:spacing w:val="-4"/>
        </w:rPr>
        <w:t>月至</w:t>
      </w:r>
      <w:r>
        <w:rPr>
          <w:rFonts w:ascii="宋体" w:hAnsi="宋体" w:cs="宋体" w:eastAsia="宋体" w:hint="default"/>
          <w:spacing w:val="-4"/>
        </w:rPr>
        <w:t>1993</w:t>
      </w:r>
      <w:r>
        <w:rPr>
          <w:spacing w:val="-4"/>
        </w:rPr>
        <w:t>年</w:t>
      </w:r>
      <w:r>
        <w:rPr>
          <w:rFonts w:ascii="宋体" w:hAnsi="宋体" w:cs="宋体" w:eastAsia="宋体" w:hint="default"/>
          <w:spacing w:val="-4"/>
        </w:rPr>
        <w:t>9</w:t>
      </w:r>
      <w:r>
        <w:rPr>
          <w:spacing w:val="-4"/>
        </w:rPr>
        <w:t>月任中软总公司工程师、高级工程师，</w:t>
      </w:r>
      <w:r>
        <w:rPr>
          <w:rFonts w:ascii="宋体" w:hAnsi="宋体" w:cs="宋体" w:eastAsia="宋体" w:hint="default"/>
          <w:spacing w:val="-4"/>
        </w:rPr>
        <w:t>1993</w:t>
      </w:r>
      <w:r>
        <w:rPr>
          <w:rFonts w:ascii="宋体" w:hAnsi="宋体" w:cs="宋体" w:eastAsia="宋体" w:hint="default"/>
          <w:spacing w:val="-30"/>
        </w:rPr>
        <w:t> </w:t>
      </w:r>
      <w:r>
        <w:rPr>
          <w:rFonts w:ascii="宋体" w:hAnsi="宋体" w:cs="宋体" w:eastAsia="宋体" w:hint="default"/>
          <w:spacing w:val="-30"/>
        </w:rPr>
      </w:r>
      <w:r>
        <w:rPr/>
        <w:t>年</w:t>
      </w:r>
      <w:r>
        <w:rPr>
          <w:rFonts w:ascii="宋体" w:hAnsi="宋体" w:cs="宋体" w:eastAsia="宋体" w:hint="default"/>
        </w:rPr>
        <w:t>10</w:t>
      </w:r>
      <w:r>
        <w:rPr/>
        <w:t>月至</w:t>
      </w:r>
      <w:r>
        <w:rPr>
          <w:rFonts w:ascii="宋体" w:hAnsi="宋体" w:cs="宋体" w:eastAsia="宋体" w:hint="default"/>
        </w:rPr>
        <w:t>1998</w:t>
      </w:r>
      <w:r>
        <w:rPr/>
        <w:t>年</w:t>
      </w:r>
      <w:r>
        <w:rPr>
          <w:rFonts w:ascii="宋体" w:hAnsi="宋体" w:cs="宋体" w:eastAsia="宋体" w:hint="default"/>
        </w:rPr>
        <w:t>8</w:t>
      </w:r>
      <w:r>
        <w:rPr/>
        <w:t>月任原电子部综合规划司处长、副司长，</w:t>
      </w:r>
      <w:r>
        <w:rPr>
          <w:rFonts w:ascii="宋体" w:hAnsi="宋体" w:cs="宋体" w:eastAsia="宋体" w:hint="default"/>
        </w:rPr>
        <w:t>1998</w:t>
      </w:r>
      <w:r>
        <w:rPr/>
        <w:t>年</w:t>
      </w:r>
      <w:r>
        <w:rPr>
          <w:rFonts w:ascii="宋体" w:hAnsi="宋体" w:cs="宋体" w:eastAsia="宋体" w:hint="default"/>
        </w:rPr>
        <w:t>8</w:t>
      </w:r>
      <w:r>
        <w:rPr/>
        <w:t>月至</w:t>
      </w:r>
      <w:r>
        <w:rPr>
          <w:rFonts w:ascii="宋体" w:hAnsi="宋体" w:cs="宋体" w:eastAsia="宋体" w:hint="default"/>
        </w:rPr>
        <w:t>2005</w:t>
      </w:r>
      <w:r>
        <w:rPr/>
        <w:t>年</w:t>
      </w:r>
      <w:r>
        <w:rPr>
          <w:rFonts w:ascii="宋体" w:hAnsi="宋体" w:cs="宋体" w:eastAsia="宋体" w:hint="default"/>
        </w:rPr>
        <w:t>8</w:t>
      </w:r>
      <w:r>
        <w:rPr/>
        <w:t>月，任原信息产业部综合</w:t>
      </w:r>
      <w:r>
        <w:rPr>
          <w:w w:val="100"/>
        </w:rPr>
        <w:t> </w:t>
      </w:r>
      <w:r>
        <w:rPr>
          <w:spacing w:val="-2"/>
        </w:rPr>
        <w:t>规划司副司长，</w:t>
      </w:r>
      <w:r>
        <w:rPr>
          <w:rFonts w:ascii="宋体" w:hAnsi="宋体" w:cs="宋体" w:eastAsia="宋体" w:hint="default"/>
          <w:spacing w:val="-2"/>
        </w:rPr>
        <w:t>2004</w:t>
      </w:r>
      <w:r>
        <w:rPr>
          <w:spacing w:val="-2"/>
        </w:rPr>
        <w:t>年</w:t>
      </w:r>
      <w:r>
        <w:rPr>
          <w:rFonts w:ascii="宋体" w:hAnsi="宋体" w:cs="宋体" w:eastAsia="宋体" w:hint="default"/>
          <w:spacing w:val="-2"/>
        </w:rPr>
        <w:t>10</w:t>
      </w:r>
      <w:r>
        <w:rPr>
          <w:spacing w:val="-2"/>
        </w:rPr>
        <w:t>月至今，任中国电子学会秘书长、副理事长兼秘书长、副理事长。现任本公司独</w:t>
      </w:r>
      <w:r>
        <w:rPr>
          <w:spacing w:val="-36"/>
        </w:rPr>
        <w:t> </w:t>
      </w:r>
      <w:r>
        <w:rPr>
          <w:spacing w:val="-36"/>
        </w:rPr>
      </w:r>
      <w:r>
        <w:rPr/>
        <w:t>立董事。</w:t>
      </w:r>
    </w:p>
    <w:p>
      <w:pPr>
        <w:pStyle w:val="BodyText"/>
        <w:spacing w:line="405" w:lineRule="auto" w:before="50"/>
        <w:ind w:right="207" w:firstLine="473"/>
        <w:jc w:val="both"/>
      </w:pPr>
      <w:r>
        <w:rPr>
          <w:rFonts w:ascii="宋体" w:hAnsi="宋体" w:cs="宋体" w:eastAsia="宋体" w:hint="default"/>
          <w:b/>
          <w:bCs/>
          <w:spacing w:val="-3"/>
        </w:rPr>
        <w:t>罗伟德（独立董事）：</w:t>
      </w:r>
      <w:r>
        <w:rPr>
          <w:spacing w:val="-3"/>
        </w:rPr>
        <w:t>男，</w:t>
      </w:r>
      <w:r>
        <w:rPr>
          <w:rFonts w:ascii="Times New Roman" w:hAnsi="Times New Roman" w:cs="Times New Roman" w:eastAsia="Times New Roman" w:hint="default"/>
          <w:spacing w:val="-3"/>
        </w:rPr>
        <w:t>1956</w:t>
      </w:r>
      <w:r>
        <w:rPr>
          <w:spacing w:val="-3"/>
        </w:rPr>
        <w:t>年生，中国国籍，工商管理硕士，高级会计师、高级经济师。历任上</w:t>
      </w:r>
      <w:r>
        <w:rPr>
          <w:w w:val="100"/>
        </w:rPr>
        <w:t> </w:t>
      </w:r>
      <w:r>
        <w:rPr>
          <w:spacing w:val="-2"/>
        </w:rPr>
        <w:t>海市税务局普陀分局副局长、上海市普陀区财政局局长兼国资局局长、上海金桥（集团）有限公司常务副</w:t>
      </w:r>
      <w:r>
        <w:rPr>
          <w:spacing w:val="-47"/>
        </w:rPr>
        <w:t> </w:t>
      </w:r>
      <w:r>
        <w:rPr>
          <w:spacing w:val="-47"/>
        </w:rPr>
      </w:r>
      <w:r>
        <w:rPr>
          <w:spacing w:val="-2"/>
        </w:rPr>
        <w:t>总裁兼总会计师、上海浦东发展（集团）有限公司董事、副总裁、上海浦东财务公司董事长兼总经理、中</w:t>
      </w:r>
      <w:r>
        <w:rPr>
          <w:spacing w:val="-42"/>
        </w:rPr>
        <w:t> </w:t>
      </w:r>
      <w:r>
        <w:rPr>
          <w:spacing w:val="-42"/>
        </w:rPr>
      </w:r>
      <w:r>
        <w:rPr>
          <w:spacing w:val="-2"/>
        </w:rPr>
        <w:t>国东方航空股份有限公司总会计师、财务总监；现任中国东方航空股份有限公司（副局级）调研员、中国</w:t>
      </w:r>
      <w:r>
        <w:rPr>
          <w:spacing w:val="-43"/>
        </w:rPr>
        <w:t> </w:t>
      </w:r>
      <w:r>
        <w:rPr>
          <w:spacing w:val="-43"/>
        </w:rPr>
      </w:r>
      <w:r>
        <w:rPr>
          <w:spacing w:val="-2"/>
        </w:rPr>
        <w:t>总会计师协会常务理事、中国民航大学、中国民航管理干部学院、上海立信会计学院客座教授、硕士生导</w:t>
      </w:r>
      <w:r>
        <w:rPr>
          <w:spacing w:val="-50"/>
        </w:rPr>
        <w:t> </w:t>
      </w:r>
      <w:r>
        <w:rPr>
          <w:spacing w:val="-50"/>
        </w:rPr>
      </w:r>
      <w:r>
        <w:rPr>
          <w:spacing w:val="-2"/>
        </w:rPr>
        <w:t>师、上海市高级会计师职称评审领导小组专家、上海海立（集团）股份有限公司及中卫国脉通讯股份有限</w:t>
      </w:r>
      <w:r>
        <w:rPr>
          <w:spacing w:val="-46"/>
        </w:rPr>
        <w:t> </w:t>
      </w:r>
      <w:r>
        <w:rPr>
          <w:spacing w:val="-46"/>
        </w:rPr>
      </w:r>
      <w:r>
        <w:rPr/>
        <w:t>公司独立董事、本公司独立董事。</w:t>
      </w:r>
    </w:p>
    <w:p>
      <w:pPr>
        <w:pStyle w:val="BodyText"/>
        <w:spacing w:line="398" w:lineRule="auto" w:before="48"/>
        <w:ind w:right="206" w:firstLine="473"/>
        <w:jc w:val="both"/>
      </w:pPr>
      <w:r>
        <w:rPr>
          <w:rFonts w:ascii="宋体" w:hAnsi="宋体" w:cs="宋体" w:eastAsia="宋体" w:hint="default"/>
          <w:b/>
          <w:bCs/>
          <w:spacing w:val="-3"/>
        </w:rPr>
        <w:t>傅强国（独立董事）：</w:t>
      </w:r>
      <w:r>
        <w:rPr>
          <w:spacing w:val="-3"/>
        </w:rPr>
        <w:t>男，</w:t>
      </w:r>
      <w:r>
        <w:rPr>
          <w:rFonts w:ascii="Times New Roman" w:hAnsi="Times New Roman" w:cs="Times New Roman" w:eastAsia="Times New Roman" w:hint="default"/>
          <w:spacing w:val="-3"/>
        </w:rPr>
        <w:t>1955</w:t>
      </w:r>
      <w:r>
        <w:rPr>
          <w:spacing w:val="-3"/>
        </w:rPr>
        <w:t>年生，中国国籍，美国俄亥俄首都大学法学博士。历任上海海关监管</w:t>
      </w:r>
      <w:r>
        <w:rPr>
          <w:w w:val="100"/>
        </w:rPr>
        <w:t> </w:t>
      </w:r>
      <w:r>
        <w:rPr>
          <w:spacing w:val="-2"/>
        </w:rPr>
        <w:t>员、上海市高级人民法院审判员；现任上海市华诚律师事务所主管合伙人、浙江刚泰控股（集团）股份有</w:t>
      </w:r>
      <w:r>
        <w:rPr>
          <w:spacing w:val="-43"/>
        </w:rPr>
        <w:t> </w:t>
      </w:r>
      <w:r>
        <w:rPr>
          <w:spacing w:val="-43"/>
        </w:rPr>
      </w:r>
      <w:r>
        <w:rPr/>
        <w:t>限公司独立董事、本公司独立董事。</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386" w:lineRule="auto"/>
        <w:ind w:left="508" w:right="100" w:hanging="356"/>
        <w:jc w:val="left"/>
      </w:pPr>
      <w:r>
        <w:rPr>
          <w:rFonts w:ascii="Times New Roman" w:hAnsi="Times New Roman" w:cs="Times New Roman" w:eastAsia="Times New Roman" w:hint="default"/>
        </w:rPr>
        <w:t>2</w:t>
      </w:r>
      <w:r>
        <w:rPr/>
        <w:t>、监事会成员</w:t>
      </w:r>
      <w:r>
        <w:rPr>
          <w:w w:val="100"/>
        </w:rPr>
        <w:t> </w:t>
      </w:r>
      <w:r>
        <w:rPr>
          <w:rFonts w:ascii="宋体" w:hAnsi="宋体" w:cs="宋体" w:eastAsia="宋体" w:hint="default"/>
          <w:b/>
          <w:bCs/>
          <w:spacing w:val="-3"/>
        </w:rPr>
        <w:t>楼家麟，监事会主席</w:t>
      </w:r>
      <w:r>
        <w:rPr>
          <w:spacing w:val="-3"/>
        </w:rPr>
        <w:t>，男，</w:t>
      </w:r>
      <w:r>
        <w:rPr>
          <w:rFonts w:ascii="Times New Roman" w:hAnsi="Times New Roman" w:cs="Times New Roman" w:eastAsia="Times New Roman" w:hint="default"/>
          <w:spacing w:val="-3"/>
        </w:rPr>
        <w:t>1957</w:t>
      </w:r>
      <w:r>
        <w:rPr>
          <w:spacing w:val="-3"/>
        </w:rPr>
        <w:t>年</w:t>
      </w:r>
      <w:r>
        <w:rPr>
          <w:rFonts w:ascii="Times New Roman" w:hAnsi="Times New Roman" w:cs="Times New Roman" w:eastAsia="Times New Roman" w:hint="default"/>
          <w:spacing w:val="-3"/>
        </w:rPr>
        <w:t>12</w:t>
      </w:r>
      <w:r>
        <w:rPr>
          <w:spacing w:val="-3"/>
        </w:rPr>
        <w:t>月生，中国国籍，本科学历，会计师。历任上海卷尺长财务科长，</w:t>
      </w:r>
    </w:p>
    <w:p>
      <w:pPr>
        <w:pStyle w:val="BodyText"/>
        <w:spacing w:line="408" w:lineRule="auto" w:before="35"/>
        <w:ind w:right="100"/>
        <w:jc w:val="left"/>
      </w:pPr>
      <w:r>
        <w:rPr>
          <w:spacing w:val="-3"/>
        </w:rPr>
        <w:t>上海市电影局计财处副主任科员、上海市广播电视局计财处科员，上海卫星电视中心财务主管，上海电视</w:t>
      </w:r>
      <w:r>
        <w:rPr>
          <w:spacing w:val="-16"/>
        </w:rPr>
        <w:t> </w:t>
      </w:r>
      <w:r>
        <w:rPr>
          <w:spacing w:val="-16"/>
        </w:rPr>
      </w:r>
      <w:r>
        <w:rPr>
          <w:spacing w:val="-3"/>
        </w:rPr>
        <w:t>台计财部财务、副主任，上海文广新闻传媒集团计划财务部副主任、资产管理部主任，上海有线实业公司</w:t>
      </w:r>
      <w:r>
        <w:rPr>
          <w:spacing w:val="-20"/>
        </w:rPr>
        <w:t> </w:t>
      </w:r>
      <w:r>
        <w:rPr>
          <w:spacing w:val="-20"/>
        </w:rPr>
      </w:r>
      <w:r>
        <w:rPr>
          <w:spacing w:val="-5"/>
        </w:rPr>
        <w:t>董事长，上海文广新闻传媒集团计划财务部主任、财务总监，上海广播电视台财务总监、计划财务部主任；</w:t>
      </w:r>
      <w:r>
        <w:rPr>
          <w:spacing w:val="-30"/>
        </w:rPr>
        <w:t> </w:t>
      </w:r>
      <w:r>
        <w:rPr>
          <w:spacing w:val="-30"/>
        </w:rPr>
      </w:r>
      <w:r>
        <w:rPr/>
        <w:t>现任上海广播电视台财务总监、上海东方传媒集团有限公司副总裁。</w:t>
      </w:r>
    </w:p>
    <w:p>
      <w:pPr>
        <w:pStyle w:val="BodyText"/>
        <w:spacing w:line="240" w:lineRule="auto" w:before="46"/>
        <w:ind w:left="626" w:right="0"/>
        <w:jc w:val="left"/>
      </w:pPr>
      <w:r>
        <w:rPr>
          <w:rFonts w:ascii="宋体" w:hAnsi="宋体" w:cs="宋体" w:eastAsia="宋体" w:hint="default"/>
          <w:b/>
          <w:bCs/>
        </w:rPr>
        <w:t>宗宇伟，监事，</w:t>
      </w:r>
      <w:r>
        <w:rPr/>
        <w:t>男，</w:t>
      </w:r>
      <w:r>
        <w:rPr>
          <w:rFonts w:ascii="Times New Roman" w:hAnsi="Times New Roman" w:cs="Times New Roman" w:eastAsia="Times New Roman" w:hint="default"/>
        </w:rPr>
        <w:t>1960</w:t>
      </w:r>
      <w:r>
        <w:rPr/>
        <w:t>年生，中国国籍，教授级高级工程师，华南理工大学本科毕业，学士学位，</w:t>
      </w:r>
    </w:p>
    <w:p>
      <w:pPr>
        <w:spacing w:after="0" w:line="240" w:lineRule="auto"/>
        <w:jc w:val="left"/>
        <w:sectPr>
          <w:footerReference w:type="default" r:id="rId17"/>
          <w:pgSz w:w="11910" w:h="16840"/>
          <w:pgMar w:footer="980" w:header="745" w:top="1060" w:bottom="1160" w:left="980" w:right="920"/>
          <w:pgNumType w:start="58"/>
        </w:sectPr>
      </w:pPr>
    </w:p>
    <w:p>
      <w:pPr>
        <w:spacing w:line="240" w:lineRule="auto" w:before="0"/>
        <w:rPr>
          <w:rFonts w:ascii="宋体" w:hAnsi="宋体" w:cs="宋体" w:eastAsia="宋体" w:hint="default"/>
          <w:sz w:val="20"/>
          <w:szCs w:val="20"/>
        </w:rPr>
      </w:pPr>
    </w:p>
    <w:p>
      <w:pPr>
        <w:pStyle w:val="BodyText"/>
        <w:spacing w:line="403" w:lineRule="auto" w:before="175"/>
        <w:ind w:right="206"/>
        <w:jc w:val="both"/>
      </w:pPr>
      <w:r>
        <w:rPr>
          <w:spacing w:val="-4"/>
        </w:rPr>
        <w:t>中欧国际工商学院</w:t>
      </w:r>
      <w:r>
        <w:rPr>
          <w:rFonts w:ascii="Times New Roman" w:hAnsi="Times New Roman" w:cs="Times New Roman" w:eastAsia="Times New Roman" w:hint="default"/>
          <w:spacing w:val="-4"/>
        </w:rPr>
        <w:t>MBA</w:t>
      </w:r>
      <w:r>
        <w:rPr>
          <w:spacing w:val="-4"/>
        </w:rPr>
        <w:t>硕士。历任华东计算技术研究所项目组长、华普信息技术有限公司董事总经理、华</w:t>
      </w:r>
      <w:r>
        <w:rPr>
          <w:spacing w:val="-9"/>
        </w:rPr>
        <w:t> </w:t>
      </w:r>
      <w:r>
        <w:rPr>
          <w:spacing w:val="-9"/>
        </w:rPr>
      </w:r>
      <w:r>
        <w:rPr>
          <w:spacing w:val="-2"/>
        </w:rPr>
        <w:t>东计算技术研究所重大项目办公室主任、上海中电华东高科技实业有限公司副总经理；现任上海计算机软</w:t>
      </w:r>
      <w:r>
        <w:rPr>
          <w:spacing w:val="-41"/>
        </w:rPr>
        <w:t> </w:t>
      </w:r>
      <w:r>
        <w:rPr>
          <w:spacing w:val="-41"/>
        </w:rPr>
      </w:r>
      <w:r>
        <w:rPr>
          <w:spacing w:val="-2"/>
        </w:rPr>
        <w:t>件技术开发中心党委书记、主任，兼任上海软件园管理办公室常务副主任、上海嵌入式系统应用工程技术</w:t>
      </w:r>
      <w:r>
        <w:rPr>
          <w:spacing w:val="-43"/>
        </w:rPr>
        <w:t> </w:t>
      </w:r>
      <w:r>
        <w:rPr>
          <w:spacing w:val="-43"/>
        </w:rPr>
      </w:r>
      <w:r>
        <w:rPr>
          <w:spacing w:val="-2"/>
        </w:rPr>
        <w:t>研究中心主任、上海嵌入式系统与软件联盟副理事长（主持工作）、上海众恒信息产业股份有限公司独立</w:t>
      </w:r>
      <w:r>
        <w:rPr>
          <w:spacing w:val="-44"/>
        </w:rPr>
        <w:t> </w:t>
      </w:r>
      <w:r>
        <w:rPr>
          <w:spacing w:val="-44"/>
        </w:rPr>
      </w:r>
      <w:r>
        <w:rPr/>
        <w:t>董事、本公司监事。其他社会兼职：中国软件行业协会理事、上海市软件行业协会副会长。</w:t>
      </w:r>
    </w:p>
    <w:p>
      <w:pPr>
        <w:pStyle w:val="BodyText"/>
        <w:spacing w:line="386" w:lineRule="auto" w:before="50"/>
        <w:ind w:right="206" w:firstLine="473"/>
        <w:jc w:val="both"/>
      </w:pPr>
      <w:r>
        <w:rPr>
          <w:rFonts w:ascii="宋体" w:hAnsi="宋体" w:cs="宋体" w:eastAsia="宋体" w:hint="default"/>
          <w:b/>
          <w:bCs/>
          <w:spacing w:val="-3"/>
        </w:rPr>
        <w:t>王晴岗，职工监事，</w:t>
      </w:r>
      <w:r>
        <w:rPr>
          <w:spacing w:val="-3"/>
        </w:rPr>
        <w:t>男，</w:t>
      </w:r>
      <w:r>
        <w:rPr>
          <w:rFonts w:ascii="Times New Roman" w:hAnsi="Times New Roman" w:cs="Times New Roman" w:eastAsia="Times New Roman" w:hint="default"/>
          <w:spacing w:val="-3"/>
        </w:rPr>
        <w:t>1963</w:t>
      </w:r>
      <w:r>
        <w:rPr>
          <w:spacing w:val="-3"/>
        </w:rPr>
        <w:t>年生，中国国籍，复旦大学计算机软件专业研究生学历，硕士学位，高</w:t>
      </w:r>
      <w:r>
        <w:rPr>
          <w:w w:val="100"/>
        </w:rPr>
        <w:t> </w:t>
      </w:r>
      <w:r>
        <w:rPr>
          <w:spacing w:val="-4"/>
        </w:rPr>
        <w:t>级工程师。曾在上海计算机软件研究所、日本</w:t>
      </w:r>
      <w:r>
        <w:rPr>
          <w:rFonts w:ascii="Times New Roman" w:hAnsi="Times New Roman" w:cs="Times New Roman" w:eastAsia="Times New Roman" w:hint="default"/>
          <w:spacing w:val="-4"/>
        </w:rPr>
        <w:t>AOTS</w:t>
      </w:r>
      <w:r>
        <w:rPr>
          <w:spacing w:val="-4"/>
        </w:rPr>
        <w:t>、</w:t>
      </w:r>
      <w:r>
        <w:rPr>
          <w:rFonts w:ascii="Times New Roman" w:hAnsi="Times New Roman" w:cs="Times New Roman" w:eastAsia="Times New Roman" w:hint="default"/>
          <w:spacing w:val="-4"/>
        </w:rPr>
        <w:t>OMRON</w:t>
      </w:r>
      <w:r>
        <w:rPr>
          <w:spacing w:val="-4"/>
        </w:rPr>
        <w:t>株式会社任职；现任本公司监事，商务法律</w:t>
      </w:r>
      <w:r>
        <w:rPr>
          <w:spacing w:val="-16"/>
        </w:rPr>
        <w:t> </w:t>
      </w:r>
      <w:r>
        <w:rPr>
          <w:spacing w:val="-16"/>
        </w:rPr>
      </w:r>
      <w:r>
        <w:rPr/>
        <w:t>部经理。</w:t>
      </w:r>
    </w:p>
    <w:p>
      <w:pPr>
        <w:pStyle w:val="BodyText"/>
        <w:spacing w:line="386" w:lineRule="auto" w:before="65"/>
        <w:ind w:right="100" w:firstLine="473"/>
        <w:jc w:val="left"/>
      </w:pPr>
      <w:r>
        <w:rPr>
          <w:rFonts w:ascii="宋体" w:hAnsi="宋体" w:cs="宋体" w:eastAsia="宋体" w:hint="default"/>
          <w:b/>
          <w:bCs/>
          <w:spacing w:val="-6"/>
        </w:rPr>
        <w:t>王虎，职工监事，</w:t>
      </w:r>
      <w:r>
        <w:rPr>
          <w:spacing w:val="-6"/>
        </w:rPr>
        <w:t>男，</w:t>
      </w:r>
      <w:r>
        <w:rPr>
          <w:rFonts w:ascii="Times New Roman" w:hAnsi="Times New Roman" w:cs="Times New Roman" w:eastAsia="Times New Roman" w:hint="default"/>
          <w:spacing w:val="-6"/>
        </w:rPr>
        <w:t>1976</w:t>
      </w:r>
      <w:r>
        <w:rPr>
          <w:spacing w:val="-6"/>
        </w:rPr>
        <w:t>年生，中国国籍，大学本科学历，上海交通大学计算机科学与工程系毕业，</w:t>
      </w:r>
      <w:r>
        <w:rPr>
          <w:w w:val="100"/>
        </w:rPr>
        <w:t> </w:t>
      </w:r>
      <w:r>
        <w:rPr/>
        <w:t>现任本公司监事，电子政务事业部副总经理。</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100"/>
        <w:jc w:val="left"/>
      </w:pPr>
      <w:r>
        <w:rPr>
          <w:rFonts w:ascii="Times New Roman" w:hAnsi="Times New Roman" w:cs="Times New Roman" w:eastAsia="Times New Roman" w:hint="default"/>
        </w:rPr>
        <w:t>3</w:t>
      </w:r>
      <w:r>
        <w:rPr/>
        <w:t>、高级管理人员</w:t>
      </w:r>
    </w:p>
    <w:p>
      <w:pPr>
        <w:spacing w:line="408" w:lineRule="auto" w:before="177"/>
        <w:ind w:left="621" w:right="4209" w:firstLine="4"/>
        <w:jc w:val="left"/>
        <w:rPr>
          <w:rFonts w:ascii="宋体" w:hAnsi="宋体" w:cs="宋体" w:eastAsia="宋体" w:hint="default"/>
          <w:sz w:val="21"/>
          <w:szCs w:val="21"/>
        </w:rPr>
      </w:pPr>
      <w:r>
        <w:rPr>
          <w:rFonts w:ascii="宋体" w:hAnsi="宋体" w:cs="宋体" w:eastAsia="宋体" w:hint="default"/>
          <w:b/>
          <w:bCs/>
          <w:sz w:val="21"/>
          <w:szCs w:val="21"/>
        </w:rPr>
        <w:t>史一兵，总裁，</w:t>
      </w:r>
      <w:r>
        <w:rPr>
          <w:rFonts w:ascii="宋体" w:hAnsi="宋体" w:cs="宋体" w:eastAsia="宋体" w:hint="default"/>
          <w:sz w:val="21"/>
          <w:szCs w:val="21"/>
        </w:rPr>
        <w:t>主要工作经历见前述。</w:t>
      </w:r>
      <w:r>
        <w:rPr>
          <w:rFonts w:ascii="宋体" w:hAnsi="宋体" w:cs="宋体" w:eastAsia="宋体" w:hint="default"/>
          <w:w w:val="100"/>
          <w:sz w:val="21"/>
          <w:szCs w:val="21"/>
        </w:rPr>
        <w:t> </w:t>
      </w:r>
      <w:r>
        <w:rPr>
          <w:rFonts w:ascii="宋体" w:hAnsi="宋体" w:cs="宋体" w:eastAsia="宋体" w:hint="default"/>
          <w:b/>
          <w:bCs/>
          <w:spacing w:val="-1"/>
          <w:sz w:val="21"/>
          <w:szCs w:val="21"/>
        </w:rPr>
        <w:t>李光亚，副总裁，首席技术官，</w:t>
      </w:r>
      <w:r>
        <w:rPr>
          <w:rFonts w:ascii="宋体" w:hAnsi="宋体" w:cs="宋体" w:eastAsia="宋体" w:hint="default"/>
          <w:spacing w:val="-1"/>
          <w:sz w:val="21"/>
          <w:szCs w:val="21"/>
        </w:rPr>
        <w:t>主要工作经历见前述。</w:t>
      </w:r>
    </w:p>
    <w:p>
      <w:pPr>
        <w:pStyle w:val="BodyText"/>
        <w:spacing w:line="386" w:lineRule="auto" w:before="46"/>
        <w:ind w:right="208" w:firstLine="473"/>
        <w:jc w:val="both"/>
      </w:pPr>
      <w:r>
        <w:rPr>
          <w:rFonts w:ascii="宋体" w:hAnsi="宋体" w:cs="宋体" w:eastAsia="宋体" w:hint="default"/>
          <w:b/>
          <w:bCs/>
          <w:spacing w:val="-4"/>
        </w:rPr>
        <w:t>薛莉芳，副总裁，</w:t>
      </w:r>
      <w:r>
        <w:rPr>
          <w:spacing w:val="-4"/>
        </w:rPr>
        <w:t>女，</w:t>
      </w:r>
      <w:r>
        <w:rPr>
          <w:rFonts w:ascii="Times New Roman" w:hAnsi="Times New Roman" w:cs="Times New Roman" w:eastAsia="Times New Roman" w:hint="default"/>
          <w:spacing w:val="-4"/>
        </w:rPr>
        <w:t>1962</w:t>
      </w:r>
      <w:r>
        <w:rPr>
          <w:spacing w:val="-4"/>
        </w:rPr>
        <w:t>年生，中国国籍，硕士学位，教授级高工。曾任华东理工大学计算机系讲</w:t>
      </w:r>
      <w:r>
        <w:rPr>
          <w:w w:val="100"/>
        </w:rPr>
        <w:t> </w:t>
      </w:r>
      <w:r>
        <w:rPr/>
        <w:t>师、公司事业部总经理；现任本公司副总裁。</w:t>
      </w:r>
    </w:p>
    <w:p>
      <w:pPr>
        <w:pStyle w:val="BodyText"/>
        <w:spacing w:line="386" w:lineRule="auto" w:before="65"/>
        <w:ind w:right="206" w:firstLine="473"/>
        <w:jc w:val="both"/>
      </w:pPr>
      <w:r>
        <w:rPr>
          <w:rFonts w:ascii="宋体" w:hAnsi="宋体" w:cs="宋体" w:eastAsia="宋体" w:hint="default"/>
          <w:b/>
          <w:bCs/>
          <w:spacing w:val="-3"/>
        </w:rPr>
        <w:t>王清，副总裁，</w:t>
      </w:r>
      <w:r>
        <w:rPr>
          <w:spacing w:val="-3"/>
        </w:rPr>
        <w:t>女，</w:t>
      </w:r>
      <w:r>
        <w:rPr>
          <w:rFonts w:ascii="Times New Roman" w:hAnsi="Times New Roman" w:cs="Times New Roman" w:eastAsia="Times New Roman" w:hint="default"/>
          <w:spacing w:val="-3"/>
        </w:rPr>
        <w:t>1972</w:t>
      </w:r>
      <w:r>
        <w:rPr>
          <w:spacing w:val="-3"/>
        </w:rPr>
        <w:t>年生，中国国籍，硕士学位，高级工程师，中欧国际工商学院</w:t>
      </w:r>
      <w:r>
        <w:rPr>
          <w:rFonts w:ascii="Times New Roman" w:hAnsi="Times New Roman" w:cs="Times New Roman" w:eastAsia="Times New Roman" w:hint="default"/>
          <w:spacing w:val="-3"/>
        </w:rPr>
        <w:t>EMBA</w:t>
      </w:r>
      <w:r>
        <w:rPr>
          <w:spacing w:val="-3"/>
        </w:rPr>
        <w:t>。曾任</w:t>
      </w:r>
      <w:r>
        <w:rPr>
          <w:w w:val="100"/>
        </w:rPr>
        <w:t> </w:t>
      </w:r>
      <w:r>
        <w:rPr/>
        <w:t>本公司事业部总经理；现任本公司副总裁，财务负责人。</w:t>
      </w:r>
    </w:p>
    <w:p>
      <w:pPr>
        <w:pStyle w:val="BodyText"/>
        <w:spacing w:line="240" w:lineRule="auto" w:before="65"/>
        <w:ind w:left="626" w:right="0"/>
        <w:jc w:val="left"/>
      </w:pPr>
      <w:r>
        <w:rPr>
          <w:rFonts w:ascii="宋体" w:hAnsi="宋体" w:cs="宋体" w:eastAsia="宋体" w:hint="default"/>
          <w:b/>
          <w:bCs/>
        </w:rPr>
        <w:t>闻建中，副总裁，</w:t>
      </w:r>
      <w:r>
        <w:rPr/>
        <w:t>女，</w:t>
      </w:r>
      <w:r>
        <w:rPr>
          <w:rFonts w:ascii="Times New Roman" w:hAnsi="Times New Roman" w:cs="Times New Roman" w:eastAsia="Times New Roman" w:hint="default"/>
        </w:rPr>
        <w:t>1955</w:t>
      </w:r>
      <w:r>
        <w:rPr/>
        <w:t>年生，中国国籍，本科学历，高级经济师。历任上海科技五七干校教员、</w:t>
      </w:r>
    </w:p>
    <w:p>
      <w:pPr>
        <w:pStyle w:val="BodyText"/>
        <w:spacing w:line="386" w:lineRule="auto" w:before="177"/>
        <w:ind w:left="626" w:right="100" w:hanging="474"/>
        <w:jc w:val="left"/>
        <w:rPr>
          <w:rFonts w:ascii="Times New Roman" w:hAnsi="Times New Roman" w:cs="Times New Roman" w:eastAsia="Times New Roman" w:hint="default"/>
        </w:rPr>
      </w:pPr>
      <w:r>
        <w:rPr>
          <w:rFonts w:ascii="Times New Roman" w:hAnsi="Times New Roman" w:cs="Times New Roman" w:eastAsia="Times New Roman" w:hint="default"/>
        </w:rPr>
        <w:t>711</w:t>
      </w:r>
      <w:r>
        <w:rPr/>
        <w:t>所人事教育处副处长；现任本公司党委书记兼副总裁。</w:t>
      </w:r>
      <w:r>
        <w:rPr>
          <w:w w:val="100"/>
        </w:rPr>
        <w:t> </w:t>
      </w:r>
      <w:r>
        <w:rPr>
          <w:rFonts w:ascii="宋体" w:hAnsi="宋体" w:cs="宋体" w:eastAsia="宋体" w:hint="default"/>
          <w:b/>
          <w:bCs/>
          <w:spacing w:val="-3"/>
        </w:rPr>
        <w:t>王涛，副总裁，</w:t>
      </w:r>
      <w:r>
        <w:rPr>
          <w:spacing w:val="-3"/>
        </w:rPr>
        <w:t>男，</w:t>
      </w:r>
      <w:r>
        <w:rPr>
          <w:rFonts w:ascii="Times New Roman" w:hAnsi="Times New Roman" w:cs="Times New Roman" w:eastAsia="Times New Roman" w:hint="default"/>
          <w:spacing w:val="-3"/>
        </w:rPr>
        <w:t>1969</w:t>
      </w:r>
      <w:r>
        <w:rPr>
          <w:spacing w:val="-3"/>
        </w:rPr>
        <w:t>年生，加拿大国籍，上海交通大学计算机系毕业，硕士学位。历任</w:t>
      </w:r>
      <w:r>
        <w:rPr>
          <w:rFonts w:ascii="Times New Roman" w:hAnsi="Times New Roman" w:cs="Times New Roman" w:eastAsia="Times New Roman" w:hint="default"/>
          <w:spacing w:val="-3"/>
        </w:rPr>
        <w:t>Computer</w:t>
      </w:r>
    </w:p>
    <w:p>
      <w:pPr>
        <w:pStyle w:val="BodyText"/>
        <w:spacing w:line="386" w:lineRule="auto" w:before="35"/>
        <w:ind w:left="626" w:right="100" w:hanging="474"/>
        <w:jc w:val="left"/>
      </w:pPr>
      <w:r>
        <w:rPr>
          <w:rFonts w:ascii="Times New Roman" w:hAnsi="Times New Roman" w:cs="Times New Roman" w:eastAsia="Times New Roman" w:hint="default"/>
        </w:rPr>
        <w:t>Associates</w:t>
      </w:r>
      <w:r>
        <w:rPr/>
        <w:t>中国华东区技术经理、</w:t>
      </w:r>
      <w:r>
        <w:rPr>
          <w:rFonts w:ascii="Times New Roman" w:hAnsi="Times New Roman" w:cs="Times New Roman" w:eastAsia="Times New Roman" w:hint="default"/>
        </w:rPr>
        <w:t>Computer</w:t>
      </w:r>
      <w:r>
        <w:rPr>
          <w:rFonts w:ascii="Times New Roman" w:hAnsi="Times New Roman" w:cs="Times New Roman" w:eastAsia="Times New Roman" w:hint="default"/>
          <w:spacing w:val="-2"/>
        </w:rPr>
        <w:t> </w:t>
      </w:r>
      <w:r>
        <w:rPr>
          <w:rFonts w:ascii="Times New Roman" w:hAnsi="Times New Roman" w:cs="Times New Roman" w:eastAsia="Times New Roman" w:hint="default"/>
        </w:rPr>
        <w:t>Associates</w:t>
      </w:r>
      <w:r>
        <w:rPr/>
        <w:t>加拿大资深技术顾问；现任本公司副总裁。</w:t>
      </w:r>
      <w:r>
        <w:rPr>
          <w:w w:val="100"/>
        </w:rPr>
        <w:t> </w:t>
      </w:r>
      <w:r>
        <w:rPr>
          <w:rFonts w:ascii="宋体" w:hAnsi="宋体" w:cs="宋体" w:eastAsia="宋体" w:hint="default"/>
          <w:b/>
          <w:bCs/>
          <w:spacing w:val="-4"/>
        </w:rPr>
        <w:t>张令庆，副总裁，董事会秘书</w:t>
      </w:r>
      <w:r>
        <w:rPr>
          <w:spacing w:val="-4"/>
        </w:rPr>
        <w:t>，女，</w:t>
      </w:r>
      <w:r>
        <w:rPr>
          <w:rFonts w:ascii="Times New Roman" w:hAnsi="Times New Roman" w:cs="Times New Roman" w:eastAsia="Times New Roman" w:hint="default"/>
          <w:spacing w:val="-4"/>
        </w:rPr>
        <w:t>1955</w:t>
      </w:r>
      <w:r>
        <w:rPr>
          <w:spacing w:val="-4"/>
        </w:rPr>
        <w:t>年生，中国国籍，硕士学位，经济师。曾任天宸股份有限公</w:t>
      </w:r>
    </w:p>
    <w:p>
      <w:pPr>
        <w:pStyle w:val="BodyText"/>
        <w:spacing w:line="386" w:lineRule="auto" w:before="36"/>
        <w:ind w:left="626" w:right="100" w:hanging="474"/>
        <w:jc w:val="left"/>
      </w:pPr>
      <w:r>
        <w:rPr/>
        <w:t>司董事、佳家网络（上海）信息服务有限公司</w:t>
      </w:r>
      <w:r>
        <w:rPr>
          <w:rFonts w:ascii="Times New Roman" w:hAnsi="Times New Roman" w:cs="Times New Roman" w:eastAsia="Times New Roman" w:hint="default"/>
        </w:rPr>
        <w:t>COO</w:t>
      </w:r>
      <w:r>
        <w:rPr/>
        <w:t>；现任本公司副总裁，董事会秘书。</w:t>
      </w:r>
      <w:r>
        <w:rPr>
          <w:w w:val="100"/>
        </w:rPr>
        <w:t> </w:t>
      </w:r>
      <w:r>
        <w:rPr>
          <w:rFonts w:ascii="宋体" w:hAnsi="宋体" w:cs="宋体" w:eastAsia="宋体" w:hint="default"/>
          <w:b/>
          <w:bCs/>
          <w:spacing w:val="-4"/>
        </w:rPr>
        <w:t>张天仁，副总裁，</w:t>
      </w:r>
      <w:r>
        <w:rPr>
          <w:spacing w:val="-4"/>
        </w:rPr>
        <w:t>男，</w:t>
      </w:r>
      <w:r>
        <w:rPr>
          <w:rFonts w:ascii="Times New Roman" w:hAnsi="Times New Roman" w:cs="Times New Roman" w:eastAsia="Times New Roman" w:hint="default"/>
          <w:spacing w:val="-4"/>
        </w:rPr>
        <w:t>1956</w:t>
      </w:r>
      <w:r>
        <w:rPr>
          <w:spacing w:val="-4"/>
        </w:rPr>
        <w:t>年生，中国国籍，副总裁，高级工程师，复旦大学计算机科学系毕业，本</w:t>
      </w:r>
    </w:p>
    <w:p>
      <w:pPr>
        <w:pStyle w:val="BodyText"/>
        <w:spacing w:line="408" w:lineRule="auto" w:before="35"/>
        <w:ind w:left="626" w:right="100" w:hanging="474"/>
        <w:jc w:val="left"/>
      </w:pPr>
      <w:r>
        <w:rPr/>
        <w:t>科学历。曾任深圳市现代计算机有限公司总裁；现任公司副总裁。</w:t>
      </w:r>
      <w:r>
        <w:rPr>
          <w:w w:val="100"/>
        </w:rPr>
        <w:t> </w:t>
      </w:r>
      <w:r>
        <w:rPr>
          <w:rFonts w:ascii="宋体" w:hAnsi="宋体" w:cs="宋体" w:eastAsia="宋体" w:hint="default"/>
          <w:b/>
          <w:bCs/>
        </w:rPr>
        <w:t>翁思跃，副总裁，</w:t>
      </w:r>
      <w:r>
        <w:rPr/>
        <w:t>男，</w:t>
      </w:r>
      <w:r>
        <w:rPr>
          <w:rFonts w:ascii="Times New Roman" w:hAnsi="Times New Roman" w:cs="Times New Roman" w:eastAsia="Times New Roman" w:hint="default"/>
        </w:rPr>
        <w:t>1960</w:t>
      </w:r>
      <w:r>
        <w:rPr/>
        <w:t>年生，中国国籍，硕士（</w:t>
      </w:r>
      <w:r>
        <w:rPr>
          <w:rFonts w:ascii="Times New Roman" w:hAnsi="Times New Roman" w:cs="Times New Roman" w:eastAsia="Times New Roman" w:hint="default"/>
        </w:rPr>
        <w:t>MBA</w:t>
      </w:r>
      <w:r>
        <w:rPr/>
        <w:t>）学位。曾任上海岱嘉医学信息系统有限</w:t>
      </w:r>
    </w:p>
    <w:p>
      <w:pPr>
        <w:pStyle w:val="BodyText"/>
        <w:spacing w:line="408" w:lineRule="auto" w:before="14"/>
        <w:ind w:right="206"/>
        <w:jc w:val="both"/>
      </w:pPr>
      <w:r>
        <w:rPr>
          <w:spacing w:val="-2"/>
        </w:rPr>
        <w:t>公司董事长兼总裁、上海跃亿医学信息咨询服务有限公司董事长、上海跃翊信息科技有限公司董事长；现</w:t>
      </w:r>
      <w:r>
        <w:rPr>
          <w:spacing w:val="-42"/>
        </w:rPr>
        <w:t> </w:t>
      </w:r>
      <w:r>
        <w:rPr>
          <w:spacing w:val="-42"/>
        </w:rPr>
      </w:r>
      <w:r>
        <w:rPr/>
        <w:t>任公司副总裁，兼子公司上海万达全程健康服务有限公司总经理。</w:t>
      </w:r>
    </w:p>
    <w:p>
      <w:pPr>
        <w:spacing w:after="0" w:line="408" w:lineRule="auto"/>
        <w:jc w:val="both"/>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2629"/>
        <w:gridCol w:w="1416"/>
        <w:gridCol w:w="1560"/>
        <w:gridCol w:w="1177"/>
        <w:gridCol w:w="1589"/>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4" w:right="70"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上海科技投资公司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7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上海科技投资公司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7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上海东方传媒集团有限公司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7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上海计算机软件技术开发中心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党委书记、主任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7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除史一兵外，上述其余人员为其所任职的股东单位向公司委派的、并经股东大会选举通过的董监事人员。</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2" w:right="0" w:firstLine="0"/>
        <w:jc w:val="left"/>
        <w:rPr>
          <w:rFonts w:ascii="宋体" w:hAnsi="宋体" w:cs="宋体" w:eastAsia="宋体" w:hint="default"/>
          <w:sz w:val="18"/>
          <w:szCs w:val="18"/>
        </w:rPr>
      </w:pPr>
      <w:r>
        <w:rPr/>
        <w:pict>
          <v:shape style="position:absolute;margin-left:180.382996pt;margin-top:59.201736pt;width:148.85pt;height:78pt;mso-position-horizontal-relative:page;mso-position-vertical-relative:paragraph;z-index:-10766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美国万达信息有限公司、</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09"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35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6" w:right="94"/>
              <w:jc w:val="left"/>
              <w:rPr>
                <w:rFonts w:ascii="宋体" w:hAnsi="宋体" w:cs="宋体" w:eastAsia="宋体" w:hint="default"/>
                <w:sz w:val="18"/>
                <w:szCs w:val="18"/>
              </w:rPr>
            </w:pPr>
            <w:r>
              <w:rPr>
                <w:rFonts w:ascii="宋体" w:hAnsi="宋体" w:cs="宋体" w:eastAsia="宋体" w:hint="default"/>
                <w:sz w:val="18"/>
                <w:szCs w:val="18"/>
              </w:rPr>
              <w:t>上海万达信息系统有限公司、深圳市万 达计算机软件有限公司、上海万达信息 服务有限公司、 上海爱递吉供应链管理服务有限公司、 宁波万达信息系统有限公司、杭州万达 信息系统有限公司、南京爱递吉供应链 管理服务有限公司、天津万达信息技术 有限责任公司、上海万达全程健康服务 有限公司、上海卫生信息工程技术研究 中心有限公司、北京万达全城信息系统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51"/>
              <w:jc w:val="left"/>
              <w:rPr>
                <w:rFonts w:ascii="宋体" w:hAnsi="宋体" w:cs="宋体" w:eastAsia="宋体" w:hint="default"/>
                <w:sz w:val="20"/>
                <w:szCs w:val="20"/>
              </w:rPr>
            </w:pPr>
            <w:r>
              <w:rPr>
                <w:rFonts w:ascii="宋体" w:hAnsi="宋体" w:cs="宋体" w:eastAsia="宋体" w:hint="default"/>
                <w:position w:val="-30"/>
                <w:sz w:val="20"/>
                <w:szCs w:val="20"/>
              </w:rPr>
              <w:pict>
                <v:group style="width:52.75pt;height:78pt;mso-position-horizontal-relative:char;mso-position-vertical-relative:line" coordorigin="0,0" coordsize="1055,1560">
                  <v:group style="position:absolute;left:0;top:0;width:1055;height:1560" coordorigin="0,0" coordsize="1055,1560">
                    <v:shape style="position:absolute;left:0;top:0;width:1055;height:1560" coordorigin="0,0" coordsize="1055,1560" path="m0,1560l1054,1560,1054,0,0,0,0,1560xe" filled="true" fillcolor="#ffffff" stroked="false">
                      <v:path arrowok="t"/>
                      <v:fill type="solid"/>
                    </v:shape>
                  </v:group>
                </v:group>
              </w:pict>
            </w:r>
            <w:r>
              <w:rPr>
                <w:rFonts w:ascii="宋体" w:hAnsi="宋体" w:cs="宋体" w:eastAsia="宋体" w:hint="default"/>
                <w:position w:val="-30"/>
                <w:sz w:val="20"/>
                <w:szCs w:val="20"/>
              </w:rPr>
            </w:r>
          </w:p>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8"/>
                <w:szCs w:val="28"/>
              </w:rPr>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5"/>
              <w:jc w:val="left"/>
              <w:rPr>
                <w:rFonts w:ascii="宋体" w:hAnsi="宋体" w:cs="宋体" w:eastAsia="宋体" w:hint="default"/>
                <w:sz w:val="18"/>
                <w:szCs w:val="18"/>
              </w:rPr>
            </w:pPr>
            <w:r>
              <w:rPr>
                <w:rFonts w:ascii="宋体" w:hAnsi="宋体" w:cs="宋体" w:eastAsia="宋体" w:hint="default"/>
                <w:sz w:val="18"/>
                <w:szCs w:val="18"/>
              </w:rPr>
              <w:t>上海浦江科技投资有限公司、上海申银 万国证券研究所有限公司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94"/>
              <w:jc w:val="both"/>
              <w:rPr>
                <w:rFonts w:ascii="宋体" w:hAnsi="宋体" w:cs="宋体" w:eastAsia="宋体" w:hint="default"/>
                <w:sz w:val="18"/>
                <w:szCs w:val="18"/>
              </w:rPr>
            </w:pPr>
            <w:r>
              <w:rPr>
                <w:rFonts w:ascii="宋体" w:hAnsi="宋体" w:cs="宋体" w:eastAsia="宋体" w:hint="default"/>
                <w:sz w:val="18"/>
                <w:szCs w:val="18"/>
              </w:rPr>
              <w:t>上海浦江科技投资有限公司、上海八六 三软件孵化器有限公司、上海明浦科技 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上海万达信息系统有限公司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94"/>
              <w:jc w:val="both"/>
              <w:rPr>
                <w:rFonts w:ascii="宋体" w:hAnsi="宋体" w:cs="宋体" w:eastAsia="宋体" w:hint="default"/>
                <w:sz w:val="18"/>
                <w:szCs w:val="18"/>
              </w:rPr>
            </w:pPr>
            <w:r>
              <w:rPr>
                <w:rFonts w:ascii="宋体" w:hAnsi="宋体" w:cs="宋体" w:eastAsia="宋体" w:hint="default"/>
                <w:sz w:val="18"/>
                <w:szCs w:val="18"/>
              </w:rPr>
              <w:t>杭州万达信息系统有限公司、宁波万达 信息系统有限公司、上海爱递吉供应链 管理服务有限公司、南京爱递吉供应链 管理服务有限公司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中国电子学会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秘书中、副理</w:t>
            </w:r>
            <w:r>
              <w:rPr>
                <w:rFonts w:ascii="宋体" w:hAnsi="宋体" w:cs="宋体" w:eastAsia="宋体" w:hint="default"/>
                <w:sz w:val="18"/>
                <w:szCs w:val="18"/>
              </w:rPr>
              <w:t> 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山东新北洋信息技术股份有限公司、广</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80.382996pt;margin-top:177.61998pt;width:147.65pt;height:17.650pt;mso-position-horizontal-relative:page;mso-position-vertical-relative:page;z-index:-107656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中国民航管理干部学院、</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987"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94"/>
              <w:jc w:val="both"/>
              <w:rPr>
                <w:rFonts w:ascii="宋体" w:hAnsi="宋体" w:cs="宋体" w:eastAsia="宋体" w:hint="default"/>
                <w:sz w:val="18"/>
                <w:szCs w:val="18"/>
              </w:rPr>
            </w:pPr>
            <w:r>
              <w:rPr>
                <w:rFonts w:ascii="宋体" w:hAnsi="宋体" w:cs="宋体" w:eastAsia="宋体" w:hint="default"/>
                <w:sz w:val="18"/>
                <w:szCs w:val="18"/>
              </w:rPr>
              <w:t>州杰赛科技股份有限公司、北京久其软 件股份有限公司、太极计算机股份有限 公司</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罗伟德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中国东方航空股份有限公司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（副局级）调</w:t>
            </w:r>
            <w:r>
              <w:rPr>
                <w:rFonts w:ascii="宋体" w:hAnsi="宋体" w:cs="宋体" w:eastAsia="宋体" w:hint="default"/>
                <w:sz w:val="18"/>
                <w:szCs w:val="18"/>
              </w:rPr>
              <w:t> 研员</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罗伟德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中国总会计师协会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罗伟德</w:t>
            </w:r>
          </w:p>
        </w:tc>
        <w:tc>
          <w:tcPr>
            <w:tcW w:w="3193"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6" w:right="1707"/>
              <w:jc w:val="left"/>
              <w:rPr>
                <w:rFonts w:ascii="宋体" w:hAnsi="宋体" w:cs="宋体" w:eastAsia="宋体" w:hint="default"/>
                <w:sz w:val="18"/>
                <w:szCs w:val="18"/>
              </w:rPr>
            </w:pPr>
            <w:r>
              <w:rPr>
                <w:rFonts w:ascii="宋体" w:hAnsi="宋体" w:cs="宋体" w:eastAsia="宋体" w:hint="default"/>
                <w:sz w:val="18"/>
                <w:szCs w:val="18"/>
              </w:rPr>
              <w:t>中国民航大学、 上海立信会计学院</w:t>
            </w:r>
          </w:p>
        </w:tc>
        <w:tc>
          <w:tcPr>
            <w:tcW w:w="1064" w:type="dxa"/>
            <w:tcBorders>
              <w:top w:val="single" w:sz="4" w:space="0" w:color="000000"/>
              <w:left w:val="single" w:sz="10" w:space="0" w:color="FFFFFF"/>
              <w:bottom w:val="single" w:sz="4" w:space="0" w:color="000000"/>
              <w:right w:val="single" w:sz="4" w:space="0" w:color="000000"/>
            </w:tcBorders>
          </w:tcPr>
          <w:p>
            <w:pPr>
              <w:pStyle w:val="TableParagraph"/>
              <w:spacing w:line="316" w:lineRule="auto" w:before="49"/>
              <w:ind w:left="16" w:right="21"/>
              <w:jc w:val="left"/>
              <w:rPr>
                <w:rFonts w:ascii="宋体" w:hAnsi="宋体" w:cs="宋体" w:eastAsia="宋体" w:hint="default"/>
                <w:sz w:val="18"/>
                <w:szCs w:val="18"/>
              </w:rPr>
            </w:pPr>
            <w:r>
              <w:rPr>
                <w:rFonts w:ascii="宋体" w:hAnsi="宋体" w:cs="宋体" w:eastAsia="宋体" w:hint="default"/>
                <w:spacing w:val="-12"/>
                <w:sz w:val="18"/>
                <w:szCs w:val="18"/>
              </w:rPr>
              <w:t>客座教授、硕</w:t>
            </w:r>
            <w:r>
              <w:rPr>
                <w:rFonts w:ascii="宋体" w:hAnsi="宋体" w:cs="宋体" w:eastAsia="宋体" w:hint="default"/>
                <w:sz w:val="18"/>
                <w:szCs w:val="18"/>
              </w:rPr>
              <w:t> 士生导师</w:t>
            </w:r>
          </w:p>
          <w:p>
            <w:pPr>
              <w:pStyle w:val="TableParagraph"/>
              <w:spacing w:line="352"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0.35pt;height:17.650pt;mso-position-horizontal-relative:char;mso-position-vertical-relative:line" coordorigin="0,0" coordsize="1007,353">
                  <v:group style="position:absolute;left:0;top:0;width:1007;height:353" coordorigin="0,0" coordsize="1007,353">
                    <v:shape style="position:absolute;left:0;top:0;width:1007;height:353" coordorigin="0,0" coordsize="1007,353" path="m0,353l1006,353,1006,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罗伟德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上海市高级会计师职称评审领导小组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专家</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罗伟德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上海海立（集团）股份有限公司、中卫 国脉通讯股份有限公司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傅强国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上海市华诚律师事务所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主管合伙人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傅强国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浙江刚泰控股（集团）股份有限公司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上海文广传媒有限公司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both"/>
              <w:rPr>
                <w:rFonts w:ascii="宋体" w:hAnsi="宋体" w:cs="宋体" w:eastAsia="宋体" w:hint="default"/>
                <w:sz w:val="18"/>
                <w:szCs w:val="18"/>
              </w:rPr>
            </w:pPr>
            <w:r>
              <w:rPr>
                <w:rFonts w:ascii="宋体" w:hAnsi="宋体" w:cs="宋体" w:eastAsia="宋体" w:hint="default"/>
                <w:sz w:val="18"/>
                <w:szCs w:val="18"/>
              </w:rPr>
              <w:t>上海第一财经传媒有限公司、上海百视 通新媒体股份公司、上海东方希杰商务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上海软件园管理办公室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常务副主任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274"/>
              <w:jc w:val="left"/>
              <w:rPr>
                <w:rFonts w:ascii="宋体" w:hAnsi="宋体" w:cs="宋体" w:eastAsia="宋体" w:hint="default"/>
                <w:sz w:val="18"/>
                <w:szCs w:val="18"/>
              </w:rPr>
            </w:pPr>
            <w:r>
              <w:rPr>
                <w:rFonts w:ascii="宋体" w:hAnsi="宋体" w:cs="宋体" w:eastAsia="宋体" w:hint="default"/>
                <w:sz w:val="18"/>
                <w:szCs w:val="18"/>
              </w:rPr>
              <w:t>上海嵌入式系统应用工程技术研究中 心、上海嵌入式系统与软件联盟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主任、副理事</w:t>
            </w:r>
            <w:r>
              <w:rPr>
                <w:rFonts w:ascii="宋体" w:hAnsi="宋体" w:cs="宋体" w:eastAsia="宋体" w:hint="default"/>
                <w:sz w:val="18"/>
                <w:szCs w:val="18"/>
              </w:rPr>
              <w:t> 长（主持工 作）</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上海众恒信息产业股份有限公司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薛莉芳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杭州万达信息系统有限公司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薛莉芳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both"/>
              <w:rPr>
                <w:rFonts w:ascii="宋体" w:hAnsi="宋体" w:cs="宋体" w:eastAsia="宋体" w:hint="default"/>
                <w:sz w:val="18"/>
                <w:szCs w:val="18"/>
              </w:rPr>
            </w:pPr>
            <w:r>
              <w:rPr>
                <w:rFonts w:ascii="宋体" w:hAnsi="宋体" w:cs="宋体" w:eastAsia="宋体" w:hint="default"/>
                <w:sz w:val="18"/>
                <w:szCs w:val="18"/>
              </w:rPr>
              <w:t>宁波万达信息系统有限公司、天津万达 信息技术有限责任公司、北京万达全城 信息系统有限公司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上海华奕医疗信息技术有限公司、上海 万达全程健康服务有限公司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both"/>
              <w:rPr>
                <w:rFonts w:ascii="宋体" w:hAnsi="宋体" w:cs="宋体" w:eastAsia="宋体" w:hint="default"/>
                <w:sz w:val="18"/>
                <w:szCs w:val="18"/>
              </w:rPr>
            </w:pPr>
            <w:r>
              <w:rPr>
                <w:rFonts w:ascii="宋体" w:hAnsi="宋体" w:cs="宋体" w:eastAsia="宋体" w:hint="default"/>
                <w:sz w:val="18"/>
                <w:szCs w:val="18"/>
              </w:rPr>
              <w:t>宁波万达信息系统有限公司、天津万达 信息技术有限责任公司、北京万达全城 信息系统有限公司、上海卫生信息工程 技术研究中心有限公司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闻建中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both"/>
              <w:rPr>
                <w:rFonts w:ascii="宋体" w:hAnsi="宋体" w:cs="宋体" w:eastAsia="宋体" w:hint="default"/>
                <w:sz w:val="18"/>
                <w:szCs w:val="18"/>
              </w:rPr>
            </w:pPr>
            <w:r>
              <w:rPr>
                <w:rFonts w:ascii="宋体" w:hAnsi="宋体" w:cs="宋体" w:eastAsia="宋体" w:hint="default"/>
                <w:sz w:val="18"/>
                <w:szCs w:val="18"/>
              </w:rPr>
              <w:t>宁波万达信息系统有限公司、上海万达 信息系统有限公司、深圳市万达计算机 软件有限公司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上海卫生信息工程技术研究中心有限公</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上海爱递吉供应链管理服务有限公司、 南京爱递吉供应链管理服务有限公司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上海万达信息服务有限公司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深圳市万达计算机软件有限公司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上海万达全程健康服务有限公司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spacing w:before="44"/>
        <w:ind w:left="0" w:right="158" w:firstLine="0"/>
        <w:jc w:val="right"/>
        <w:rPr>
          <w:rFonts w:ascii="宋体" w:hAnsi="宋体" w:cs="宋体" w:eastAsia="宋体" w:hint="default"/>
          <w:sz w:val="18"/>
          <w:szCs w:val="18"/>
        </w:rPr>
      </w:pPr>
      <w:r>
        <w:rPr/>
        <w:pict>
          <v:shape style="position:absolute;margin-left:56.459999pt;margin-top:-63.008282pt;width:479.2pt;height:232.3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5"/>
                    <w:gridCol w:w="5975"/>
                  </w:tblGrid>
                  <w:tr>
                    <w:trPr>
                      <w:trHeight w:val="2897"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一、董事报酬的决策程序： </w:t>
                        </w:r>
                        <w:r>
                          <w:rPr>
                            <w:rFonts w:ascii="Times New Roman" w:hAnsi="Times New Roman" w:cs="Times New Roman" w:eastAsia="Times New Roman" w:hint="default"/>
                            <w:sz w:val="18"/>
                            <w:szCs w:val="18"/>
                          </w:rPr>
                          <w:t>1. </w:t>
                        </w:r>
                        <w:r>
                          <w:rPr>
                            <w:rFonts w:ascii="宋体" w:hAnsi="宋体" w:cs="宋体" w:eastAsia="宋体" w:hint="default"/>
                            <w:sz w:val="18"/>
                            <w:szCs w:val="18"/>
                          </w:rPr>
                          <w:t>由董事会薪酬与考核委员根据岗位绩效评价 </w:t>
                        </w:r>
                        <w:r>
                          <w:rPr>
                            <w:rFonts w:ascii="宋体" w:hAnsi="宋体" w:cs="宋体" w:eastAsia="宋体" w:hint="default"/>
                            <w:spacing w:val="-1"/>
                            <w:sz w:val="18"/>
                            <w:szCs w:val="18"/>
                          </w:rPr>
                          <w:t>结果及薪酬分配政策提出董事的报酬数额和奖励方式，制定董事的报酬方案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报公司董事会。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董事会审议通过后，提交股东大会审议批准。二、监事</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报酬的决策程序：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由监事会根据岗位绩效评价结果及薪酬分配政策提出</w:t>
                        </w:r>
                      </w:p>
                      <w:p>
                        <w:pPr>
                          <w:pStyle w:val="TableParagraph"/>
                          <w:spacing w:line="314"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监事的报酬数额和奖励方式，制定监事的报酬方案。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监事会审议通过后 </w:t>
                        </w:r>
                        <w:r>
                          <w:rPr>
                            <w:rFonts w:ascii="宋体" w:hAnsi="宋体" w:cs="宋体" w:eastAsia="宋体" w:hint="default"/>
                            <w:spacing w:val="-1"/>
                            <w:sz w:val="18"/>
                            <w:szCs w:val="18"/>
                          </w:rPr>
                          <w:t>提交股东大会审议批准。三、高级管理人员报酬的决策程序：由董事会薪酬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与考核委员会根据岗位绩效评价结果及薪酬分配政策提出高级管理人员的 </w:t>
                        </w:r>
                        <w:r>
                          <w:rPr>
                            <w:rFonts w:ascii="宋体" w:hAnsi="宋体" w:cs="宋体" w:eastAsia="宋体" w:hint="default"/>
                            <w:spacing w:val="-1"/>
                            <w:sz w:val="18"/>
                            <w:szCs w:val="18"/>
                          </w:rPr>
                          <w:t>报酬数额和奖励方式，制定高级管理人员报酬方案，报公司董事会，由董事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会审议通过。</w:t>
                        </w:r>
                      </w:p>
                    </w:tc>
                  </w:tr>
                  <w:tr>
                    <w:trPr>
                      <w:trHeight w:val="1028"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pacing w:val="-7"/>
                            <w:sz w:val="18"/>
                            <w:szCs w:val="18"/>
                          </w:rPr>
                          <w:t>董事、监事、高级管理人员的报酬按照公司《章程》、《董事会薪酬与考核委</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1"/>
                            <w:sz w:val="18"/>
                            <w:szCs w:val="18"/>
                          </w:rPr>
                          <w:t>员会实施细则》等规定，结合其经营绩效、工作能力、岗位职责考核确定并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发放。</w:t>
                        </w:r>
                      </w:p>
                    </w:tc>
                  </w:tr>
                  <w:tr>
                    <w:trPr>
                      <w:trHeight w:val="71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2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报告期内，公司已向董事、监事及高级管理人员全额支付薪酬。</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陈焕平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罗伟德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傅强国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王晴岗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华志坚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薛莉芳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71.54</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财务总监</w:t>
            </w:r>
            <w:r>
              <w:rPr>
                <w:rFonts w:ascii="Times New Roman" w:hAnsi="Times New Roman" w:cs="Times New Roman" w:eastAsia="Times New Roman" w:hint="default"/>
                <w:sz w:val="18"/>
                <w:szCs w:val="18"/>
              </w:rPr>
              <w:t>;</w:t>
            </w:r>
            <w:r>
              <w:rPr>
                <w:rFonts w:ascii="宋体" w:hAnsi="宋体" w:cs="宋体" w:eastAsia="宋体" w:hint="default"/>
                <w:sz w:val="18"/>
                <w:szCs w:val="18"/>
              </w:rPr>
              <w:t>副总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闻建中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73.9</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683.94</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505"/>
        <w:gridCol w:w="1418"/>
        <w:gridCol w:w="1844"/>
        <w:gridCol w:w="3471"/>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3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华志坚</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工作调整</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陈焕平</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董事、常务副总裁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0"/>
        <w:jc w:val="left"/>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日，公司员工总人数为</w:t>
      </w:r>
      <w:r>
        <w:rPr>
          <w:rFonts w:ascii="Times New Roman" w:hAnsi="Times New Roman" w:cs="Times New Roman" w:eastAsia="Times New Roman" w:hint="default"/>
          <w:spacing w:val="-2"/>
        </w:rPr>
        <w:t>1886</w:t>
      </w:r>
      <w:r>
        <w:rPr>
          <w:spacing w:val="-2"/>
        </w:rPr>
        <w:t>人。公司员工按专业构成、教育程度以及年龄结构划分情况</w:t>
      </w:r>
      <w:r>
        <w:rPr>
          <w:spacing w:val="-32"/>
        </w:rPr>
        <w:t> </w:t>
      </w:r>
      <w:r>
        <w:rPr>
          <w:spacing w:val="-32"/>
        </w:rPr>
      </w:r>
      <w:r>
        <w:rPr/>
        <w:t>如下：</w:t>
      </w:r>
    </w:p>
    <w:p>
      <w:pPr>
        <w:spacing w:before="65"/>
        <w:ind w:left="532"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sz w:val="21"/>
          <w:szCs w:val="21"/>
        </w:rPr>
        <w:t>按专业构成划分</w:t>
      </w:r>
    </w:p>
    <w:p>
      <w:pPr>
        <w:spacing w:line="240" w:lineRule="auto" w:before="11"/>
        <w:rPr>
          <w:rFonts w:ascii="宋体" w:hAnsi="宋体" w:cs="宋体" w:eastAsia="宋体" w:hint="default"/>
          <w:sz w:val="9"/>
          <w:szCs w:val="9"/>
        </w:rPr>
      </w:pPr>
    </w:p>
    <w:tbl>
      <w:tblPr>
        <w:tblW w:w="0" w:type="auto"/>
        <w:jc w:val="left"/>
        <w:tblInd w:w="1000" w:type="dxa"/>
        <w:tblLayout w:type="fixed"/>
        <w:tblCellMar>
          <w:top w:w="0" w:type="dxa"/>
          <w:left w:w="0" w:type="dxa"/>
          <w:bottom w:w="0" w:type="dxa"/>
          <w:right w:w="0" w:type="dxa"/>
        </w:tblCellMar>
        <w:tblLook w:val="01E0"/>
      </w:tblPr>
      <w:tblGrid>
        <w:gridCol w:w="1983"/>
        <w:gridCol w:w="1843"/>
        <w:gridCol w:w="1702"/>
      </w:tblGrid>
      <w:tr>
        <w:trPr>
          <w:trHeight w:val="49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占员工总数比例</w:t>
            </w:r>
          </w:p>
        </w:tc>
      </w:tr>
      <w:tr>
        <w:trPr>
          <w:trHeight w:val="497"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研发人员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1154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61.19%</w:t>
            </w:r>
          </w:p>
        </w:tc>
      </w:tr>
      <w:tr>
        <w:trPr>
          <w:trHeight w:val="49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IT</w:t>
            </w:r>
            <w:r>
              <w:rPr>
                <w:rFonts w:ascii="宋体" w:hAnsi="宋体" w:cs="宋体" w:eastAsia="宋体" w:hint="default"/>
                <w:sz w:val="18"/>
                <w:szCs w:val="18"/>
              </w:rPr>
              <w:t>服务人员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 w:right="0"/>
              <w:jc w:val="center"/>
              <w:rPr>
                <w:rFonts w:ascii="Times New Roman" w:hAnsi="Times New Roman" w:cs="Times New Roman" w:eastAsia="Times New Roman" w:hint="default"/>
                <w:sz w:val="18"/>
                <w:szCs w:val="18"/>
              </w:rPr>
            </w:pPr>
            <w:r>
              <w:rPr>
                <w:rFonts w:ascii="Times New Roman"/>
                <w:sz w:val="18"/>
              </w:rPr>
              <w:t>184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 w:right="0"/>
              <w:jc w:val="center"/>
              <w:rPr>
                <w:rFonts w:ascii="Times New Roman" w:hAnsi="Times New Roman" w:cs="Times New Roman" w:eastAsia="Times New Roman" w:hint="default"/>
                <w:sz w:val="18"/>
                <w:szCs w:val="18"/>
              </w:rPr>
            </w:pPr>
            <w:r>
              <w:rPr>
                <w:rFonts w:ascii="Times New Roman"/>
                <w:sz w:val="18"/>
              </w:rPr>
              <w:t>9.76%</w:t>
            </w:r>
          </w:p>
        </w:tc>
      </w:tr>
      <w:tr>
        <w:trPr>
          <w:trHeight w:val="497"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技术实施人员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 w:right="0"/>
              <w:jc w:val="center"/>
              <w:rPr>
                <w:rFonts w:ascii="Times New Roman" w:hAnsi="Times New Roman" w:cs="Times New Roman" w:eastAsia="Times New Roman" w:hint="default"/>
                <w:sz w:val="18"/>
                <w:szCs w:val="18"/>
              </w:rPr>
            </w:pPr>
            <w:r>
              <w:rPr>
                <w:rFonts w:ascii="Times New Roman"/>
                <w:sz w:val="18"/>
              </w:rPr>
              <w:t>216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11.45%</w:t>
            </w:r>
          </w:p>
        </w:tc>
      </w:tr>
      <w:tr>
        <w:trPr>
          <w:trHeight w:val="49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管理及财务人员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 w:right="0"/>
              <w:jc w:val="center"/>
              <w:rPr>
                <w:rFonts w:ascii="Times New Roman" w:hAnsi="Times New Roman" w:cs="Times New Roman" w:eastAsia="Times New Roman" w:hint="default"/>
                <w:sz w:val="18"/>
                <w:szCs w:val="18"/>
              </w:rPr>
            </w:pPr>
            <w:r>
              <w:rPr>
                <w:rFonts w:ascii="Times New Roman"/>
                <w:sz w:val="18"/>
              </w:rPr>
              <w:t>174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 w:right="0"/>
              <w:jc w:val="center"/>
              <w:rPr>
                <w:rFonts w:ascii="Times New Roman" w:hAnsi="Times New Roman" w:cs="Times New Roman" w:eastAsia="Times New Roman" w:hint="default"/>
                <w:sz w:val="18"/>
                <w:szCs w:val="18"/>
              </w:rPr>
            </w:pPr>
            <w:r>
              <w:rPr>
                <w:rFonts w:ascii="Times New Roman"/>
                <w:sz w:val="18"/>
              </w:rPr>
              <w:t>9.23%</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000" w:type="dxa"/>
        <w:tblLayout w:type="fixed"/>
        <w:tblCellMar>
          <w:top w:w="0" w:type="dxa"/>
          <w:left w:w="0" w:type="dxa"/>
          <w:bottom w:w="0" w:type="dxa"/>
          <w:right w:w="0" w:type="dxa"/>
        </w:tblCellMar>
        <w:tblLook w:val="01E0"/>
      </w:tblPr>
      <w:tblGrid>
        <w:gridCol w:w="1983"/>
        <w:gridCol w:w="1843"/>
        <w:gridCol w:w="1702"/>
      </w:tblGrid>
      <w:tr>
        <w:trPr>
          <w:trHeight w:val="497"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 w:right="0"/>
              <w:jc w:val="center"/>
              <w:rPr>
                <w:rFonts w:ascii="Times New Roman" w:hAnsi="Times New Roman" w:cs="Times New Roman" w:eastAsia="Times New Roman" w:hint="default"/>
                <w:sz w:val="18"/>
                <w:szCs w:val="18"/>
              </w:rPr>
            </w:pPr>
            <w:r>
              <w:rPr>
                <w:rFonts w:ascii="Times New Roman"/>
                <w:sz w:val="18"/>
              </w:rPr>
              <w:t>128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14" w:right="0"/>
              <w:jc w:val="left"/>
              <w:rPr>
                <w:rFonts w:ascii="Times New Roman" w:hAnsi="Times New Roman" w:cs="Times New Roman" w:eastAsia="Times New Roman" w:hint="default"/>
                <w:sz w:val="18"/>
                <w:szCs w:val="18"/>
              </w:rPr>
            </w:pPr>
            <w:r>
              <w:rPr>
                <w:rFonts w:ascii="Times New Roman"/>
                <w:sz w:val="18"/>
              </w:rPr>
              <w:t>6.79%</w:t>
            </w:r>
          </w:p>
        </w:tc>
      </w:tr>
      <w:tr>
        <w:trPr>
          <w:trHeight w:val="49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其他人员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 w:right="0"/>
              <w:jc w:val="center"/>
              <w:rPr>
                <w:rFonts w:ascii="Times New Roman" w:hAnsi="Times New Roman" w:cs="Times New Roman" w:eastAsia="Times New Roman" w:hint="default"/>
                <w:sz w:val="18"/>
                <w:szCs w:val="18"/>
              </w:rPr>
            </w:pPr>
            <w:r>
              <w:rPr>
                <w:rFonts w:ascii="Times New Roman"/>
                <w:sz w:val="18"/>
              </w:rPr>
              <w:t>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614" w:right="0"/>
              <w:jc w:val="left"/>
              <w:rPr>
                <w:rFonts w:ascii="Times New Roman" w:hAnsi="Times New Roman" w:cs="Times New Roman" w:eastAsia="Times New Roman" w:hint="default"/>
                <w:sz w:val="18"/>
                <w:szCs w:val="18"/>
              </w:rPr>
            </w:pPr>
            <w:r>
              <w:rPr>
                <w:rFonts w:ascii="Times New Roman"/>
                <w:sz w:val="18"/>
              </w:rPr>
              <w:t>1.59%</w:t>
            </w:r>
          </w:p>
        </w:tc>
      </w:tr>
      <w:tr>
        <w:trPr>
          <w:trHeight w:val="49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 w:right="0"/>
              <w:jc w:val="center"/>
              <w:rPr>
                <w:rFonts w:ascii="Times New Roman" w:hAnsi="Times New Roman" w:cs="Times New Roman" w:eastAsia="Times New Roman" w:hint="default"/>
                <w:sz w:val="18"/>
                <w:szCs w:val="18"/>
              </w:rPr>
            </w:pPr>
            <w:r>
              <w:rPr>
                <w:rFonts w:ascii="Times New Roman"/>
                <w:b/>
                <w:sz w:val="18"/>
              </w:rPr>
              <w:t>1886</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22" w:right="0"/>
              <w:jc w:val="lef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32"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sz w:val="21"/>
          <w:szCs w:val="21"/>
        </w:rPr>
        <w:t>按教育程度划分</w:t>
      </w:r>
    </w:p>
    <w:p>
      <w:pPr>
        <w:spacing w:line="240" w:lineRule="auto" w:before="11"/>
        <w:rPr>
          <w:rFonts w:ascii="宋体" w:hAnsi="宋体" w:cs="宋体" w:eastAsia="宋体" w:hint="default"/>
          <w:sz w:val="9"/>
          <w:szCs w:val="9"/>
        </w:rPr>
      </w:pPr>
    </w:p>
    <w:tbl>
      <w:tblPr>
        <w:tblW w:w="0" w:type="auto"/>
        <w:jc w:val="left"/>
        <w:tblInd w:w="1000" w:type="dxa"/>
        <w:tblLayout w:type="fixed"/>
        <w:tblCellMar>
          <w:top w:w="0" w:type="dxa"/>
          <w:left w:w="0" w:type="dxa"/>
          <w:bottom w:w="0" w:type="dxa"/>
          <w:right w:w="0" w:type="dxa"/>
        </w:tblCellMar>
        <w:tblLook w:val="01E0"/>
      </w:tblPr>
      <w:tblGrid>
        <w:gridCol w:w="1983"/>
        <w:gridCol w:w="1843"/>
        <w:gridCol w:w="1702"/>
      </w:tblGrid>
      <w:tr>
        <w:trPr>
          <w:trHeight w:val="497"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学历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占员工总数比例</w:t>
            </w:r>
          </w:p>
        </w:tc>
      </w:tr>
      <w:tr>
        <w:trPr>
          <w:trHeight w:val="49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博士</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0.42%</w:t>
            </w:r>
          </w:p>
        </w:tc>
      </w:tr>
      <w:tr>
        <w:trPr>
          <w:trHeight w:val="497"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 w:right="0"/>
              <w:jc w:val="center"/>
              <w:rPr>
                <w:rFonts w:ascii="Times New Roman" w:hAnsi="Times New Roman" w:cs="Times New Roman" w:eastAsia="Times New Roman" w:hint="default"/>
                <w:sz w:val="18"/>
                <w:szCs w:val="18"/>
              </w:rPr>
            </w:pPr>
            <w:r>
              <w:rPr>
                <w:rFonts w:ascii="Times New Roman"/>
                <w:sz w:val="18"/>
              </w:rPr>
              <w:t>156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8.27%</w:t>
            </w:r>
          </w:p>
        </w:tc>
      </w:tr>
      <w:tr>
        <w:trPr>
          <w:trHeight w:val="49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1225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64.95%</w:t>
            </w:r>
          </w:p>
        </w:tc>
      </w:tr>
      <w:tr>
        <w:trPr>
          <w:trHeight w:val="497"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本科以下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 w:right="0"/>
              <w:jc w:val="center"/>
              <w:rPr>
                <w:rFonts w:ascii="Times New Roman" w:hAnsi="Times New Roman" w:cs="Times New Roman" w:eastAsia="Times New Roman" w:hint="default"/>
                <w:sz w:val="18"/>
                <w:szCs w:val="18"/>
              </w:rPr>
            </w:pPr>
            <w:r>
              <w:rPr>
                <w:rFonts w:ascii="Times New Roman"/>
                <w:sz w:val="18"/>
              </w:rPr>
              <w:t>497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26.35%</w:t>
            </w:r>
          </w:p>
        </w:tc>
      </w:tr>
      <w:tr>
        <w:trPr>
          <w:trHeight w:val="49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 w:right="0"/>
              <w:jc w:val="center"/>
              <w:rPr>
                <w:rFonts w:ascii="Times New Roman" w:hAnsi="Times New Roman" w:cs="Times New Roman" w:eastAsia="Times New Roman" w:hint="default"/>
                <w:sz w:val="18"/>
                <w:szCs w:val="18"/>
              </w:rPr>
            </w:pPr>
            <w:r>
              <w:rPr>
                <w:rFonts w:ascii="Times New Roman"/>
                <w:b/>
                <w:sz w:val="18"/>
              </w:rPr>
              <w:t>1886</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32" w:right="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sz w:val="21"/>
          <w:szCs w:val="21"/>
        </w:rPr>
        <w:t>按年龄结构划分</w:t>
      </w:r>
    </w:p>
    <w:p>
      <w:pPr>
        <w:spacing w:line="240" w:lineRule="auto" w:before="11"/>
        <w:rPr>
          <w:rFonts w:ascii="宋体" w:hAnsi="宋体" w:cs="宋体" w:eastAsia="宋体" w:hint="default"/>
          <w:sz w:val="9"/>
          <w:szCs w:val="9"/>
        </w:rPr>
      </w:pPr>
    </w:p>
    <w:tbl>
      <w:tblPr>
        <w:tblW w:w="0" w:type="auto"/>
        <w:jc w:val="left"/>
        <w:tblInd w:w="1000" w:type="dxa"/>
        <w:tblLayout w:type="fixed"/>
        <w:tblCellMar>
          <w:top w:w="0" w:type="dxa"/>
          <w:left w:w="0" w:type="dxa"/>
          <w:bottom w:w="0" w:type="dxa"/>
          <w:right w:w="0" w:type="dxa"/>
        </w:tblCellMar>
        <w:tblLook w:val="01E0"/>
      </w:tblPr>
      <w:tblGrid>
        <w:gridCol w:w="1983"/>
        <w:gridCol w:w="1843"/>
        <w:gridCol w:w="1702"/>
      </w:tblGrid>
      <w:tr>
        <w:trPr>
          <w:trHeight w:val="497"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年龄区间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占员工总数比例</w:t>
            </w:r>
          </w:p>
        </w:tc>
      </w:tr>
      <w:tr>
        <w:trPr>
          <w:trHeight w:val="49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30</w:t>
            </w:r>
            <w:r>
              <w:rPr>
                <w:rFonts w:ascii="宋体" w:hAnsi="宋体" w:cs="宋体" w:eastAsia="宋体" w:hint="default"/>
                <w:sz w:val="18"/>
                <w:szCs w:val="18"/>
              </w:rPr>
              <w:t>岁以下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5" w:right="0"/>
              <w:jc w:val="center"/>
              <w:rPr>
                <w:rFonts w:ascii="Times New Roman" w:hAnsi="Times New Roman" w:cs="Times New Roman" w:eastAsia="Times New Roman" w:hint="default"/>
                <w:sz w:val="18"/>
                <w:szCs w:val="18"/>
              </w:rPr>
            </w:pPr>
            <w:r>
              <w:rPr>
                <w:rFonts w:ascii="Times New Roman"/>
                <w:sz w:val="18"/>
              </w:rPr>
              <w:t>1139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 w:right="0"/>
              <w:jc w:val="center"/>
              <w:rPr>
                <w:rFonts w:ascii="Times New Roman" w:hAnsi="Times New Roman" w:cs="Times New Roman" w:eastAsia="Times New Roman" w:hint="default"/>
                <w:sz w:val="18"/>
                <w:szCs w:val="18"/>
              </w:rPr>
            </w:pPr>
            <w:r>
              <w:rPr>
                <w:rFonts w:ascii="Times New Roman"/>
                <w:sz w:val="18"/>
              </w:rPr>
              <w:t>60.39%</w:t>
            </w:r>
          </w:p>
        </w:tc>
      </w:tr>
      <w:tr>
        <w:trPr>
          <w:trHeight w:val="497"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30</w:t>
            </w:r>
            <w:r>
              <w:rPr>
                <w:rFonts w:ascii="宋体" w:hAnsi="宋体" w:cs="宋体" w:eastAsia="宋体" w:hint="default"/>
                <w:sz w:val="18"/>
                <w:szCs w:val="18"/>
              </w:rPr>
              <w:t>～</w:t>
            </w:r>
            <w:r>
              <w:rPr>
                <w:rFonts w:ascii="Times New Roman" w:hAnsi="Times New Roman" w:cs="Times New Roman" w:eastAsia="Times New Roman" w:hint="default"/>
                <w:b/>
                <w:bCs/>
                <w:sz w:val="18"/>
                <w:szCs w:val="18"/>
              </w:rPr>
              <w:t>39</w:t>
            </w:r>
            <w:r>
              <w:rPr>
                <w:rFonts w:ascii="宋体" w:hAnsi="宋体" w:cs="宋体" w:eastAsia="宋体" w:hint="default"/>
                <w:sz w:val="18"/>
                <w:szCs w:val="18"/>
              </w:rPr>
              <w:t>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Times New Roman" w:hAnsi="Times New Roman" w:cs="Times New Roman" w:eastAsia="Times New Roman" w:hint="default"/>
                <w:sz w:val="18"/>
                <w:szCs w:val="18"/>
              </w:rPr>
            </w:pPr>
            <w:r>
              <w:rPr>
                <w:rFonts w:ascii="Times New Roman"/>
                <w:sz w:val="18"/>
              </w:rPr>
              <w:t>653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Times New Roman" w:hAnsi="Times New Roman" w:cs="Times New Roman" w:eastAsia="Times New Roman" w:hint="default"/>
                <w:sz w:val="18"/>
                <w:szCs w:val="18"/>
              </w:rPr>
            </w:pPr>
            <w:r>
              <w:rPr>
                <w:rFonts w:ascii="Times New Roman"/>
                <w:sz w:val="18"/>
              </w:rPr>
              <w:t>34.62%</w:t>
            </w:r>
          </w:p>
        </w:tc>
      </w:tr>
      <w:tr>
        <w:trPr>
          <w:trHeight w:val="49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40</w:t>
            </w:r>
            <w:r>
              <w:rPr>
                <w:rFonts w:ascii="宋体" w:hAnsi="宋体" w:cs="宋体" w:eastAsia="宋体" w:hint="default"/>
                <w:sz w:val="18"/>
                <w:szCs w:val="18"/>
              </w:rPr>
              <w:t>～</w:t>
            </w:r>
            <w:r>
              <w:rPr>
                <w:rFonts w:ascii="Times New Roman" w:hAnsi="Times New Roman" w:cs="Times New Roman" w:eastAsia="Times New Roman" w:hint="default"/>
                <w:b/>
                <w:bCs/>
                <w:sz w:val="18"/>
                <w:szCs w:val="18"/>
              </w:rPr>
              <w:t>49</w:t>
            </w:r>
            <w:r>
              <w:rPr>
                <w:rFonts w:ascii="宋体" w:hAnsi="宋体" w:cs="宋体" w:eastAsia="宋体" w:hint="default"/>
                <w:sz w:val="18"/>
                <w:szCs w:val="18"/>
              </w:rPr>
              <w:t>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 w:right="0"/>
              <w:jc w:val="center"/>
              <w:rPr>
                <w:rFonts w:ascii="Times New Roman" w:hAnsi="Times New Roman" w:cs="Times New Roman" w:eastAsia="Times New Roman" w:hint="default"/>
                <w:sz w:val="18"/>
                <w:szCs w:val="18"/>
              </w:rPr>
            </w:pPr>
            <w:r>
              <w:rPr>
                <w:rFonts w:ascii="Times New Roman"/>
                <w:sz w:val="18"/>
              </w:rPr>
              <w:t>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 w:right="0"/>
              <w:jc w:val="center"/>
              <w:rPr>
                <w:rFonts w:ascii="Times New Roman" w:hAnsi="Times New Roman" w:cs="Times New Roman" w:eastAsia="Times New Roman" w:hint="default"/>
                <w:sz w:val="18"/>
                <w:szCs w:val="18"/>
              </w:rPr>
            </w:pPr>
            <w:r>
              <w:rPr>
                <w:rFonts w:ascii="Times New Roman"/>
                <w:sz w:val="18"/>
              </w:rPr>
              <w:t>3.98%</w:t>
            </w:r>
          </w:p>
        </w:tc>
      </w:tr>
      <w:tr>
        <w:trPr>
          <w:trHeight w:val="497"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50</w:t>
            </w:r>
            <w:r>
              <w:rPr>
                <w:rFonts w:ascii="宋体" w:hAnsi="宋体" w:cs="宋体" w:eastAsia="宋体" w:hint="default"/>
                <w:sz w:val="18"/>
                <w:szCs w:val="18"/>
              </w:rPr>
              <w:t>岁以上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 w:right="0"/>
              <w:jc w:val="center"/>
              <w:rPr>
                <w:rFonts w:ascii="Times New Roman" w:hAnsi="Times New Roman" w:cs="Times New Roman" w:eastAsia="Times New Roman" w:hint="default"/>
                <w:sz w:val="18"/>
                <w:szCs w:val="18"/>
              </w:rPr>
            </w:pPr>
            <w:r>
              <w:rPr>
                <w:rFonts w:ascii="Times New Roman"/>
                <w:sz w:val="18"/>
              </w:rPr>
              <w:t>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1.01%</w:t>
            </w:r>
          </w:p>
        </w:tc>
      </w:tr>
      <w:tr>
        <w:trPr>
          <w:trHeight w:val="49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b/>
                <w:sz w:val="18"/>
              </w:rPr>
              <w:t>1886</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left="532" w:right="0"/>
        <w:jc w:val="left"/>
      </w:pPr>
      <w:r>
        <w:rPr>
          <w:rFonts w:ascii="宋体" w:hAnsi="宋体" w:cs="宋体" w:eastAsia="宋体" w:hint="default"/>
          <w:b/>
          <w:bCs/>
        </w:rPr>
        <w:t>（四）</w:t>
      </w:r>
      <w:r>
        <w:rPr/>
        <w:t>报告期内，公司有需承担费用的离退休职工：</w:t>
      </w:r>
      <w:r>
        <w:rPr>
          <w:rFonts w:ascii="Times New Roman" w:hAnsi="Times New Roman" w:cs="Times New Roman" w:eastAsia="Times New Roman" w:hint="default"/>
          <w:b/>
          <w:bCs/>
        </w:rPr>
        <w:t>4</w:t>
      </w:r>
      <w:r>
        <w:rPr/>
        <w:t>人。</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0" w:right="3646"/>
        <w:jc w:val="center"/>
        <w:rPr>
          <w:b w:val="0"/>
          <w:bCs w:val="0"/>
        </w:rPr>
      </w:pPr>
      <w:bookmarkStart w:name="_TOC_250002"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00"/>
        <w:jc w:val="left"/>
        <w:rPr>
          <w:b w:val="0"/>
          <w:bCs w:val="0"/>
        </w:rPr>
      </w:pPr>
      <w:r>
        <w:rPr/>
        <w:t>一、公司治理的基本状况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03" w:firstLine="379"/>
        <w:jc w:val="both"/>
      </w:pPr>
      <w:r>
        <w:rPr/>
        <w:t>报告期内，公司严格按照《公司法》、《证券法》、《上市公司治理准则》、《深圳证券交易所创业</w:t>
      </w:r>
      <w:r>
        <w:rPr>
          <w:w w:val="100"/>
        </w:rPr>
        <w:t> </w:t>
      </w:r>
      <w:r>
        <w:rPr>
          <w:spacing w:val="-2"/>
        </w:rPr>
        <w:t>板股票上市规则》、《深圳证券交易所创业板上市公司规范运作指引》和其他的有关法律法规、规范性文</w:t>
      </w:r>
      <w:r>
        <w:rPr>
          <w:spacing w:val="-43"/>
        </w:rPr>
        <w:t> </w:t>
      </w:r>
      <w:r>
        <w:rPr>
          <w:spacing w:val="-43"/>
        </w:rPr>
      </w:r>
      <w:r>
        <w:rPr>
          <w:spacing w:val="-2"/>
        </w:rPr>
        <w:t>件的要求，不断地完善公司治理结构，建立健全公司内部控制制度，以进一步提高公司治理水平。截至报</w:t>
      </w:r>
      <w:r>
        <w:rPr>
          <w:spacing w:val="-50"/>
        </w:rPr>
        <w:t> </w:t>
      </w:r>
      <w:r>
        <w:rPr>
          <w:spacing w:val="-50"/>
        </w:rPr>
      </w:r>
      <w:r>
        <w:rPr>
          <w:spacing w:val="-1"/>
        </w:rPr>
        <w:t>告期末，</w:t>
      </w:r>
      <w:r>
        <w:rPr>
          <w:spacing w:val="56"/>
        </w:rPr>
        <w:t> </w:t>
      </w:r>
      <w:r>
        <w:rPr>
          <w:spacing w:val="-2"/>
        </w:rPr>
        <w:t>公司治理的实际情况符合中国证监会、深圳证券交易所等发布的法律法规和规范性文件的要求。</w:t>
      </w:r>
    </w:p>
    <w:p>
      <w:pPr>
        <w:pStyle w:val="BodyText"/>
        <w:spacing w:line="408" w:lineRule="auto" w:before="46"/>
        <w:ind w:left="575" w:right="100" w:hanging="106"/>
        <w:jc w:val="left"/>
      </w:pPr>
      <w:r>
        <w:rPr/>
        <w:t>（一）</w:t>
      </w:r>
      <w:r>
        <w:rPr>
          <w:spacing w:val="-2"/>
        </w:rPr>
        <w:t> </w:t>
      </w:r>
      <w:r>
        <w:rPr/>
        <w:t>关于股东与股东大会</w:t>
      </w:r>
      <w:r>
        <w:rPr>
          <w:spacing w:val="-103"/>
        </w:rPr>
        <w:t> </w:t>
      </w:r>
      <w:r>
        <w:rPr>
          <w:spacing w:val="-103"/>
        </w:rPr>
      </w:r>
      <w:r>
        <w:rPr>
          <w:spacing w:val="-5"/>
        </w:rPr>
        <w:t>公司严格按照《上市公司股东大会规则》、《公司章程》、《股东大会议事规则》的相关规定和要求，</w:t>
      </w:r>
    </w:p>
    <w:p>
      <w:pPr>
        <w:pStyle w:val="BodyText"/>
        <w:spacing w:line="408" w:lineRule="auto" w:before="46"/>
        <w:ind w:right="100"/>
        <w:jc w:val="left"/>
      </w:pPr>
      <w:r>
        <w:rPr>
          <w:spacing w:val="-2"/>
        </w:rPr>
        <w:t>规范地召集、召开股东大会，确保全体股东特别是中小股东享有平等地位，充分行使自己的权利。相关事</w:t>
      </w:r>
      <w:r>
        <w:rPr>
          <w:spacing w:val="-50"/>
        </w:rPr>
        <w:t> </w:t>
      </w:r>
      <w:r>
        <w:rPr>
          <w:spacing w:val="-50"/>
        </w:rPr>
      </w:r>
      <w:r>
        <w:rPr/>
        <w:t>项的决策程序规范，决策科学，效果良好。</w:t>
      </w:r>
    </w:p>
    <w:p>
      <w:pPr>
        <w:pStyle w:val="BodyText"/>
        <w:spacing w:line="408" w:lineRule="auto" w:before="46"/>
        <w:ind w:left="575" w:right="100" w:hanging="106"/>
        <w:jc w:val="left"/>
      </w:pPr>
      <w:r>
        <w:rPr/>
        <w:t>（二）</w:t>
      </w:r>
      <w:r>
        <w:rPr>
          <w:spacing w:val="-2"/>
        </w:rPr>
        <w:t> </w:t>
      </w:r>
      <w:r>
        <w:rPr/>
        <w:t>关于公司与控股股东、实际控制人</w:t>
      </w:r>
      <w:r>
        <w:rPr>
          <w:w w:val="100"/>
        </w:rPr>
        <w:t> </w:t>
      </w:r>
      <w:r>
        <w:rPr>
          <w:spacing w:val="-2"/>
        </w:rPr>
        <w:t>公司控股股东为上海万豪投资有限公司。上海万豪投资有限公司没有超越股东大会直接或间接干预公</w:t>
      </w:r>
    </w:p>
    <w:p>
      <w:pPr>
        <w:pStyle w:val="BodyText"/>
        <w:spacing w:line="408" w:lineRule="auto" w:before="46"/>
        <w:ind w:right="100"/>
        <w:jc w:val="left"/>
      </w:pPr>
      <w:r>
        <w:rPr>
          <w:spacing w:val="-2"/>
        </w:rPr>
        <w:t>司的决策和经营活动，与公司主营业务不存在同业竞争。公司拥有独立完整的业务和自主经营能力，在业</w:t>
      </w:r>
      <w:r>
        <w:rPr>
          <w:spacing w:val="-44"/>
        </w:rPr>
        <w:t> </w:t>
      </w:r>
      <w:r>
        <w:rPr>
          <w:spacing w:val="-44"/>
        </w:rPr>
      </w:r>
      <w:r>
        <w:rPr/>
        <w:t>务、人员、资产、机构、财务上独立于控股股东，公司董事会、监事会和内部机构独立运作。</w:t>
      </w:r>
    </w:p>
    <w:p>
      <w:pPr>
        <w:pStyle w:val="BodyText"/>
        <w:spacing w:line="408" w:lineRule="auto" w:before="46"/>
        <w:ind w:left="575" w:right="100" w:hanging="106"/>
        <w:jc w:val="left"/>
      </w:pPr>
      <w:r>
        <w:rPr/>
        <w:t>（三）</w:t>
      </w:r>
      <w:r>
        <w:rPr>
          <w:spacing w:val="-2"/>
        </w:rPr>
        <w:t> </w:t>
      </w:r>
      <w:r>
        <w:rPr/>
        <w:t>关于董事和董事会</w:t>
      </w:r>
      <w:r>
        <w:rPr>
          <w:w w:val="100"/>
        </w:rPr>
        <w:t> </w:t>
      </w:r>
      <w:r>
        <w:rPr>
          <w:spacing w:val="-2"/>
        </w:rPr>
        <w:t>公司已制订《董事会议事规则》、《独立董事议事规则》、《董事会秘书工作规则》等制度，并不断</w:t>
      </w:r>
    </w:p>
    <w:p>
      <w:pPr>
        <w:pStyle w:val="BodyText"/>
        <w:spacing w:line="408" w:lineRule="auto" w:before="46"/>
        <w:ind w:right="198"/>
        <w:jc w:val="left"/>
      </w:pPr>
      <w:r>
        <w:rPr/>
        <w:t>加以完善和规范，确保董事会规范、高效运作和审慎、科学决策。公司董事会由</w:t>
      </w:r>
      <w:r>
        <w:rPr>
          <w:rFonts w:ascii="宋体" w:hAnsi="宋体" w:cs="宋体" w:eastAsia="宋体" w:hint="default"/>
        </w:rPr>
        <w:t>7</w:t>
      </w:r>
      <w:r>
        <w:rPr>
          <w:rFonts w:ascii="宋体" w:hAnsi="宋体" w:cs="宋体" w:eastAsia="宋体" w:hint="default"/>
          <w:spacing w:val="-26"/>
        </w:rPr>
        <w:t> </w:t>
      </w:r>
      <w:r>
        <w:rPr/>
        <w:t>名成员组成，其中独立</w:t>
      </w:r>
      <w:r>
        <w:rPr>
          <w:w w:val="100"/>
        </w:rPr>
        <w:t> </w:t>
      </w:r>
      <w:r>
        <w:rPr/>
        <w:t>董事</w:t>
      </w:r>
      <w:r>
        <w:rPr>
          <w:rFonts w:ascii="宋体" w:hAnsi="宋体" w:cs="宋体" w:eastAsia="宋体" w:hint="default"/>
        </w:rPr>
        <w:t>3</w:t>
      </w:r>
      <w:r>
        <w:rPr>
          <w:rFonts w:ascii="宋体" w:hAnsi="宋体" w:cs="宋体" w:eastAsia="宋体" w:hint="default"/>
          <w:spacing w:val="-24"/>
        </w:rPr>
        <w:t> </w:t>
      </w:r>
      <w:r>
        <w:rPr/>
        <w:t>名，人员符合有关法律、法规、章程等的要求，具有履行职务所必需的知识、技能和素质。董事会</w:t>
      </w:r>
      <w:r>
        <w:rPr>
          <w:w w:val="100"/>
        </w:rPr>
        <w:t> </w:t>
      </w:r>
      <w:r>
        <w:rPr/>
        <w:t>会议严格按照董事会议事规则召开，报告期内共召开董事会会议</w:t>
      </w:r>
      <w:r>
        <w:rPr>
          <w:rFonts w:ascii="宋体" w:hAnsi="宋体" w:cs="宋体" w:eastAsia="宋体" w:hint="default"/>
        </w:rPr>
        <w:t>14</w:t>
      </w:r>
      <w:r>
        <w:rPr>
          <w:rFonts w:ascii="宋体" w:hAnsi="宋体" w:cs="宋体" w:eastAsia="宋体" w:hint="default"/>
          <w:spacing w:val="-5"/>
        </w:rPr>
        <w:t> </w:t>
      </w:r>
      <w:r>
        <w:rPr/>
        <w:t>次。公司按照《深圳证券交易所创业</w:t>
      </w:r>
      <w:r>
        <w:rPr>
          <w:w w:val="100"/>
        </w:rPr>
        <w:t> </w:t>
      </w:r>
      <w:r>
        <w:rPr>
          <w:spacing w:val="-2"/>
        </w:rPr>
        <w:t>板上市公司规范运作指引》的要求，下设审计委员会、薪酬与考核委员会、提名委员会和战略委员会四个</w:t>
      </w:r>
      <w:r>
        <w:rPr>
          <w:spacing w:val="-44"/>
        </w:rPr>
        <w:t> </w:t>
      </w:r>
      <w:r>
        <w:rPr>
          <w:spacing w:val="-44"/>
        </w:rPr>
      </w:r>
      <w:r>
        <w:rPr/>
        <w:t>专门委员会。</w:t>
      </w:r>
    </w:p>
    <w:p>
      <w:pPr>
        <w:pStyle w:val="BodyText"/>
        <w:spacing w:line="408" w:lineRule="auto" w:before="46"/>
        <w:ind w:left="575" w:right="100" w:hanging="106"/>
        <w:jc w:val="left"/>
      </w:pPr>
      <w:r>
        <w:rPr/>
        <w:t>（四）</w:t>
      </w:r>
      <w:r>
        <w:rPr>
          <w:spacing w:val="-2"/>
        </w:rPr>
        <w:t> </w:t>
      </w:r>
      <w:r>
        <w:rPr/>
        <w:t>关于监事和监事会</w:t>
      </w:r>
      <w:r>
        <w:rPr>
          <w:w w:val="100"/>
        </w:rPr>
        <w:t> </w:t>
      </w:r>
      <w:r>
        <w:rPr>
          <w:spacing w:val="-2"/>
        </w:rPr>
        <w:t>公司已制订《监事会议事规则》等制度确保监事会向全体股东负责，对公司内部控制以及公司董事、</w:t>
      </w:r>
    </w:p>
    <w:p>
      <w:pPr>
        <w:pStyle w:val="BodyText"/>
        <w:spacing w:line="408" w:lineRule="auto" w:before="46"/>
        <w:ind w:right="100"/>
        <w:jc w:val="left"/>
      </w:pPr>
      <w:r>
        <w:rPr>
          <w:spacing w:val="-2"/>
        </w:rPr>
        <w:t>总裁及其他高级管理人员履行职责的合法合规性进行有效监督，维护公司及股东的合法权益。公司也采取</w:t>
      </w:r>
      <w:r>
        <w:rPr>
          <w:spacing w:val="-43"/>
        </w:rPr>
        <w:t> </w:t>
      </w:r>
      <w:r>
        <w:rPr>
          <w:spacing w:val="-43"/>
        </w:rPr>
      </w:r>
      <w:r>
        <w:rPr>
          <w:spacing w:val="-2"/>
        </w:rPr>
        <w:t>了有效措施保障监事的知情权，能够独立有效地行使对董事、总裁及其他高级管理人员的监督职责。报告</w:t>
      </w:r>
      <w:r>
        <w:rPr>
          <w:spacing w:val="-44"/>
        </w:rPr>
        <w:t> </w:t>
      </w:r>
      <w:r>
        <w:rPr>
          <w:spacing w:val="-44"/>
        </w:rPr>
      </w:r>
      <w:r>
        <w:rPr/>
        <w:t>期内，公司共召开监事会会议</w:t>
      </w:r>
      <w:r>
        <w:rPr>
          <w:rFonts w:ascii="宋体" w:hAnsi="宋体" w:cs="宋体" w:eastAsia="宋体" w:hint="default"/>
        </w:rPr>
        <w:t>2011 </w:t>
      </w:r>
      <w:r>
        <w:rPr/>
        <w:t>年年度报告</w:t>
      </w:r>
      <w:r>
        <w:rPr>
          <w:spacing w:val="-2"/>
        </w:rPr>
        <w:t> </w:t>
      </w:r>
      <w:r>
        <w:rPr>
          <w:rFonts w:ascii="宋体" w:hAnsi="宋体" w:cs="宋体" w:eastAsia="宋体" w:hint="default"/>
        </w:rPr>
        <w:t>55</w:t>
      </w:r>
      <w:r>
        <w:rPr>
          <w:rFonts w:ascii="宋体" w:hAnsi="宋体" w:cs="宋体" w:eastAsia="宋体" w:hint="default"/>
          <w:w w:val="100"/>
        </w:rPr>
        <w:t> </w:t>
      </w:r>
      <w:r>
        <w:rPr>
          <w:spacing w:val="-2"/>
        </w:rPr>
        <w:t>行有效监督，维护公司及股东的合法权益。公司也采取了有效措施保障监事的知情权，能够独立有效地行</w:t>
      </w:r>
    </w:p>
    <w:p>
      <w:pPr>
        <w:spacing w:after="0" w:line="408"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149"/>
        <w:jc w:val="left"/>
      </w:pPr>
      <w:r>
        <w:rPr/>
        <w:t>使对董事、总裁及其他高级管理人员的监督职责。报告期内，公司共召开监事会会议</w:t>
      </w:r>
      <w:r>
        <w:rPr>
          <w:rFonts w:ascii="宋体" w:hAnsi="宋体" w:cs="宋体" w:eastAsia="宋体" w:hint="default"/>
        </w:rPr>
        <w:t>8</w:t>
      </w:r>
      <w:r>
        <w:rPr>
          <w:rFonts w:ascii="宋体" w:hAnsi="宋体" w:cs="宋体" w:eastAsia="宋体" w:hint="default"/>
          <w:spacing w:val="-11"/>
        </w:rPr>
        <w:t> </w:t>
      </w:r>
      <w:r>
        <w:rPr>
          <w:spacing w:val="-3"/>
        </w:rPr>
        <w:t>次，公司监事列席</w:t>
      </w:r>
      <w:r>
        <w:rPr>
          <w:w w:val="100"/>
        </w:rPr>
        <w:t> </w:t>
      </w:r>
      <w:r>
        <w:rPr/>
        <w:t>了报告期内的所有董事会和股东大会。</w:t>
      </w:r>
    </w:p>
    <w:p>
      <w:pPr>
        <w:pStyle w:val="BodyText"/>
        <w:spacing w:line="408" w:lineRule="auto" w:before="46"/>
        <w:ind w:left="575" w:right="0" w:hanging="106"/>
        <w:jc w:val="left"/>
      </w:pPr>
      <w:r>
        <w:rPr/>
        <w:t>（五）</w:t>
      </w:r>
      <w:r>
        <w:rPr>
          <w:spacing w:val="-2"/>
        </w:rPr>
        <w:t> </w:t>
      </w:r>
      <w:r>
        <w:rPr/>
        <w:t>关于绩效评价与激励约束机制</w:t>
      </w:r>
      <w:r>
        <w:rPr>
          <w:w w:val="100"/>
        </w:rPr>
        <w:t> </w:t>
      </w:r>
      <w:r>
        <w:rPr>
          <w:spacing w:val="-2"/>
        </w:rPr>
        <w:t>公司已逐步建立并完善公正、透明的高级管理人员的绩效考核标准和激励约束机制。高级管理人员的</w:t>
      </w:r>
    </w:p>
    <w:p>
      <w:pPr>
        <w:pStyle w:val="BodyText"/>
        <w:spacing w:line="240" w:lineRule="auto" w:before="46"/>
        <w:ind w:right="0"/>
        <w:jc w:val="left"/>
      </w:pPr>
      <w:r>
        <w:rPr/>
        <w:t>聘任公开、透明，符合法律、法规的规定。</w:t>
      </w:r>
    </w:p>
    <w:p>
      <w:pPr>
        <w:spacing w:line="240" w:lineRule="auto" w:before="10"/>
        <w:rPr>
          <w:rFonts w:ascii="宋体" w:hAnsi="宋体" w:cs="宋体" w:eastAsia="宋体" w:hint="default"/>
          <w:sz w:val="14"/>
          <w:szCs w:val="14"/>
        </w:rPr>
      </w:pPr>
    </w:p>
    <w:p>
      <w:pPr>
        <w:pStyle w:val="BodyText"/>
        <w:spacing w:line="408" w:lineRule="auto"/>
        <w:ind w:left="575" w:right="0" w:hanging="106"/>
        <w:jc w:val="left"/>
      </w:pPr>
      <w:r>
        <w:rPr/>
        <w:t>（六）</w:t>
      </w:r>
      <w:r>
        <w:rPr>
          <w:spacing w:val="-2"/>
        </w:rPr>
        <w:t> </w:t>
      </w:r>
      <w:r>
        <w:rPr/>
        <w:t>关于经理层</w:t>
      </w:r>
      <w:r>
        <w:rPr>
          <w:w w:val="100"/>
        </w:rPr>
        <w:t> </w:t>
      </w:r>
      <w:r>
        <w:rPr>
          <w:spacing w:val="-2"/>
        </w:rPr>
        <w:t>公司已建立《经理工作细则》等制度，公司管理层能勤勉尽责，切实贯彻、执行董事会的决议。公司</w:t>
      </w:r>
    </w:p>
    <w:p>
      <w:pPr>
        <w:pStyle w:val="BodyText"/>
        <w:spacing w:line="410" w:lineRule="auto" w:before="46"/>
        <w:ind w:right="0"/>
        <w:jc w:val="left"/>
      </w:pPr>
      <w:r>
        <w:rPr>
          <w:spacing w:val="-2"/>
        </w:rPr>
        <w:t>总裁及其他高级管理人员职责清晰，能够严格按照公司各项管理制度履行职责。公司管理层比较稳定，且</w:t>
      </w:r>
      <w:r>
        <w:rPr>
          <w:spacing w:val="-43"/>
        </w:rPr>
        <w:t> </w:t>
      </w:r>
      <w:r>
        <w:rPr>
          <w:spacing w:val="-43"/>
        </w:rPr>
      </w:r>
      <w:r>
        <w:rPr/>
        <w:t>忠实履行诚信义务，没有发现违规行为。</w:t>
      </w:r>
    </w:p>
    <w:p>
      <w:pPr>
        <w:pStyle w:val="BodyText"/>
        <w:spacing w:line="408" w:lineRule="auto" w:before="44"/>
        <w:ind w:left="575" w:right="0" w:hanging="106"/>
        <w:jc w:val="left"/>
      </w:pPr>
      <w:r>
        <w:rPr/>
        <w:t>（七）</w:t>
      </w:r>
      <w:r>
        <w:rPr>
          <w:spacing w:val="-2"/>
        </w:rPr>
        <w:t> </w:t>
      </w:r>
      <w:r>
        <w:rPr/>
        <w:t>关于信息披露与透明度</w:t>
      </w:r>
      <w:r>
        <w:rPr>
          <w:w w:val="100"/>
        </w:rPr>
        <w:t> </w:t>
      </w:r>
      <w:r>
        <w:rPr>
          <w:spacing w:val="-2"/>
        </w:rPr>
        <w:t>公司严格按照有关法律法规以及《信息披露管理制度》、《投资者关系管理制度》等的要求，真实、</w:t>
      </w:r>
    </w:p>
    <w:p>
      <w:pPr>
        <w:pStyle w:val="BodyText"/>
        <w:spacing w:line="408" w:lineRule="auto" w:before="46"/>
        <w:ind w:right="0"/>
        <w:jc w:val="left"/>
      </w:pPr>
      <w:r>
        <w:rPr>
          <w:spacing w:val="-2"/>
        </w:rPr>
        <w:t>准确、及时、公平、完整地披露有关信息；并指定公司董事会秘书负责信息披露工作，协调公司与投资者</w:t>
      </w:r>
      <w:r>
        <w:rPr>
          <w:spacing w:val="-42"/>
        </w:rPr>
        <w:t> </w:t>
      </w:r>
      <w:r>
        <w:rPr>
          <w:spacing w:val="-42"/>
        </w:rPr>
      </w:r>
      <w:r>
        <w:rPr/>
        <w:t>的关系，接待投资者来访，</w:t>
      </w:r>
      <w:r>
        <w:rPr>
          <w:spacing w:val="-9"/>
        </w:rPr>
        <w:t> </w:t>
      </w:r>
      <w:r>
        <w:rPr/>
        <w:t>回答投资者咨询，向投资者提供公司已披露的资料；并指定巨潮资讯网</w:t>
      </w:r>
    </w:p>
    <w:p>
      <w:pPr>
        <w:pStyle w:val="BodyText"/>
        <w:spacing w:line="240" w:lineRule="auto" w:before="46"/>
        <w:ind w:right="0"/>
        <w:jc w:val="left"/>
      </w:pPr>
      <w:r>
        <w:rPr/>
        <w:t>（</w:t>
      </w:r>
      <w:hyperlink r:id="rId11">
        <w:r>
          <w:rPr>
            <w:rFonts w:ascii="宋体" w:hAnsi="宋体" w:cs="宋体" w:eastAsia="宋体" w:hint="default"/>
          </w:rPr>
          <w:t>www.cninfo.com.cn</w:t>
        </w:r>
      </w:hyperlink>
      <w:r>
        <w:rPr/>
        <w:t>）为公司信息披露的指定网站，确保公司所有股东能够有平等的机会获得信息。</w:t>
      </w:r>
    </w:p>
    <w:p>
      <w:pPr>
        <w:spacing w:line="240" w:lineRule="auto" w:before="10"/>
        <w:rPr>
          <w:rFonts w:ascii="宋体" w:hAnsi="宋体" w:cs="宋体" w:eastAsia="宋体" w:hint="default"/>
          <w:sz w:val="14"/>
          <w:szCs w:val="14"/>
        </w:rPr>
      </w:pPr>
    </w:p>
    <w:p>
      <w:pPr>
        <w:pStyle w:val="BodyText"/>
        <w:spacing w:line="408" w:lineRule="auto"/>
        <w:ind w:left="575" w:right="0" w:hanging="106"/>
        <w:jc w:val="left"/>
      </w:pPr>
      <w:r>
        <w:rPr/>
        <w:t>（八）</w:t>
      </w:r>
      <w:r>
        <w:rPr>
          <w:spacing w:val="-2"/>
        </w:rPr>
        <w:t> </w:t>
      </w:r>
      <w:r>
        <w:rPr/>
        <w:t>关于相关利益者</w:t>
      </w:r>
      <w:r>
        <w:rPr>
          <w:w w:val="100"/>
        </w:rPr>
        <w:t> </w:t>
      </w:r>
      <w:r>
        <w:rPr>
          <w:spacing w:val="-2"/>
        </w:rPr>
        <w:t>公司充分尊重和维护相关利益者的合法权益，积极与相关利益者合作，加强与各方的沟通和交流，实</w:t>
      </w:r>
    </w:p>
    <w:p>
      <w:pPr>
        <w:pStyle w:val="BodyText"/>
        <w:spacing w:line="240" w:lineRule="auto" w:before="46"/>
        <w:ind w:right="0"/>
        <w:jc w:val="left"/>
      </w:pPr>
      <w:r>
        <w:rPr/>
        <w:t>现股东、员工、社会等各方利益的协调平衡和共赢，</w:t>
      </w:r>
      <w:r>
        <w:rPr>
          <w:spacing w:val="-7"/>
        </w:rPr>
        <w:t> </w:t>
      </w:r>
      <w:r>
        <w:rPr/>
        <w:t>共同推动公司持续、健康发展。</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33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87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49"/>
              <w:ind w:left="23"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page/2012-04-19/60854525.PD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33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49"/>
              <w:ind w:left="23"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page/2012-08-10/61398604.PD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3"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page/2012-09-04/61526389.PD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r>
      <w:tr>
        <w:trPr>
          <w:trHeight w:val="133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49"/>
              <w:ind w:left="23"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page/2012-09-21/61591770.PD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24" w:right="103"/>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临时会议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49"/>
              <w:ind w:left="23"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page/2012-03-17/60683217.PD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133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103"/>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 临时会议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49"/>
              <w:ind w:left="23"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page/2012-04-16/60838651.PD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103"/>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 临时会议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49"/>
              <w:ind w:left="23" w:right="87"/>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pacing w:val="-1"/>
                  <w:sz w:val="18"/>
                  <w:szCs w:val="18"/>
                </w:rPr>
                <w:t>http://www.cninfo.com.cn/final</w:t>
              </w:r>
            </w:hyperlink>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z w:val="18"/>
                <w:szCs w:val="18"/>
              </w:rPr>
              <w:t>page/2012-04-26/60911526.PD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1340"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第四届董事会第四次会议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49"/>
              <w:ind w:left="23"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page/2012-05-30/61067425.PD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103"/>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 临时会议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49"/>
              <w:ind w:left="23"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page/2012-07-19/61290045.PD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24" w:right="103"/>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 临时会议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49"/>
              <w:ind w:left="23"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page/2012-08-13/61405995.PD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133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24" w:right="103"/>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 临时会议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page/2012-09-05/61532781.PD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103"/>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年第七次 临时会议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49"/>
              <w:ind w:left="23" w:right="87"/>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pacing w:val="-1"/>
                  <w:sz w:val="18"/>
                  <w:szCs w:val="18"/>
                </w:rPr>
                <w:t>http://www.cninfo.com.cn/final</w:t>
              </w:r>
            </w:hyperlink>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z w:val="18"/>
                <w:szCs w:val="18"/>
              </w:rPr>
              <w:t>page/2012-09-11/61558356.PD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133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24" w:right="103"/>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年第八次 临时会议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page/2012-10-25/61701927.PD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四、年度报告重大差错责任追究制度的建立与执行情况</w:t>
      </w:r>
      <w:r>
        <w:rPr>
          <w:b w:val="0"/>
          <w:bCs w:val="0"/>
        </w:rPr>
      </w:r>
    </w:p>
    <w:p>
      <w:pPr>
        <w:spacing w:line="240" w:lineRule="auto" w:before="10"/>
        <w:rPr>
          <w:rFonts w:ascii="宋体" w:hAnsi="宋体" w:cs="宋体" w:eastAsia="宋体" w:hint="default"/>
          <w:b/>
          <w:bCs/>
          <w:sz w:val="30"/>
          <w:szCs w:val="30"/>
        </w:rPr>
      </w:pPr>
    </w:p>
    <w:p>
      <w:pPr>
        <w:pStyle w:val="BodyText"/>
        <w:spacing w:line="403" w:lineRule="auto"/>
        <w:ind w:right="125" w:firstLine="468"/>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51"/>
        </w:rPr>
        <w:t> </w:t>
      </w:r>
      <w:r>
        <w:rPr/>
        <w:t>日，经第四届董事会第二次会议审议批准，公司建立了《年报信息披露重大差错责</w:t>
      </w:r>
      <w:r>
        <w:rPr>
          <w:w w:val="100"/>
        </w:rPr>
        <w:t> </w:t>
      </w:r>
      <w:r>
        <w:rPr>
          <w:spacing w:val="-4"/>
          <w:w w:val="100"/>
        </w:rPr>
        <w:t>任追究制度》，加大对年报信息披露责任人的问责力度，提供年报信息披露的质量和透明度，增强年报信</w:t>
      </w:r>
      <w:r>
        <w:rPr>
          <w:spacing w:val="-91"/>
          <w:w w:val="100"/>
        </w:rPr>
        <w:t> </w:t>
      </w:r>
      <w:r>
        <w:rPr>
          <w:spacing w:val="-91"/>
          <w:w w:val="100"/>
        </w:rPr>
      </w:r>
      <w:r>
        <w:rPr>
          <w:spacing w:val="-2"/>
        </w:rPr>
        <w:t>息披露的真实性、准确性、完整性，并建立了对年报信息披露工作有关人员不履行或者不正确履行职责、</w:t>
      </w:r>
      <w:r>
        <w:rPr>
          <w:spacing w:val="-21"/>
        </w:rPr>
        <w:t> </w:t>
      </w:r>
      <w:r>
        <w:rPr>
          <w:spacing w:val="-21"/>
        </w:rPr>
      </w:r>
      <w:r>
        <w:rPr>
          <w:spacing w:val="-2"/>
        </w:rPr>
        <w:t>义务或其他个人原因，对公司造成重大经济损失或造成不良社会影响时的追究与处理机制。报告期内，公</w:t>
      </w:r>
      <w:r>
        <w:rPr>
          <w:spacing w:val="-44"/>
        </w:rPr>
        <w:t> </w:t>
      </w:r>
      <w:r>
        <w:rPr>
          <w:spacing w:val="-44"/>
        </w:rPr>
      </w:r>
      <w:r>
        <w:rPr/>
        <w:t>司未发生重大会计差错更正、重大遗漏信息补充以及业绩预告修正等情况。</w:t>
      </w: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7"/>
        <w:ind w:left="152" w:right="6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after="0" w:line="3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144"/>
        <w:jc w:val="center"/>
        <w:rPr>
          <w:b w:val="0"/>
          <w:bCs w:val="0"/>
        </w:rPr>
      </w:pPr>
      <w:bookmarkStart w:name="_TOC_250001" w:id="9"/>
      <w:r>
        <w:rPr/>
        <w:t>第九节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112387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2"/>
        <w:rPr>
          <w:rFonts w:ascii="宋体" w:hAnsi="宋体" w:cs="宋体" w:eastAsia="宋体" w:hint="default"/>
          <w:b/>
          <w:bCs/>
          <w:sz w:val="29"/>
          <w:szCs w:val="29"/>
        </w:rPr>
      </w:pPr>
    </w:p>
    <w:p>
      <w:pPr>
        <w:pStyle w:val="Heading4"/>
        <w:spacing w:line="240" w:lineRule="auto"/>
        <w:ind w:right="-4"/>
        <w:jc w:val="left"/>
        <w:rPr>
          <w:b w:val="0"/>
          <w:bCs w:val="0"/>
        </w:rPr>
      </w:pPr>
      <w:r>
        <w:rPr>
          <w:spacing w:val="-1"/>
        </w:rPr>
        <w:t>万达信息股份有限公司全体股东：</w:t>
      </w:r>
      <w:r>
        <w:rPr>
          <w:b w:val="0"/>
          <w:bCs w:val="0"/>
          <w:spacing w:val="-1"/>
        </w:rPr>
      </w:r>
    </w:p>
    <w:p>
      <w:pPr>
        <w:spacing w:before="49"/>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317" w:space="964"/>
            <w:col w:w="5669"/>
          </w:cols>
        </w:sectPr>
      </w:pPr>
    </w:p>
    <w:p>
      <w:pPr>
        <w:spacing w:line="240" w:lineRule="auto" w:before="12"/>
        <w:rPr>
          <w:rFonts w:ascii="宋体" w:hAnsi="宋体" w:cs="宋体" w:eastAsia="宋体" w:hint="default"/>
          <w:sz w:val="23"/>
          <w:szCs w:val="23"/>
        </w:rPr>
      </w:pPr>
    </w:p>
    <w:p>
      <w:pPr>
        <w:pStyle w:val="BodyText"/>
        <w:spacing w:line="256" w:lineRule="auto" w:before="36"/>
        <w:ind w:right="124" w:firstLine="360"/>
        <w:jc w:val="both"/>
      </w:pPr>
      <w:r>
        <w:rPr/>
        <w:t>我们审计了后附的万达信息股份有限公司（以下简称贵公司）财务报表，包括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日的资产</w:t>
      </w:r>
      <w:r>
        <w:rPr>
          <w:w w:val="100"/>
        </w:rPr>
        <w:t> </w:t>
      </w:r>
      <w:r>
        <w:rPr>
          <w:spacing w:val="-2"/>
        </w:rPr>
        <w:t>负债表和合并资产负债表、</w:t>
      </w:r>
      <w:r>
        <w:rPr>
          <w:rFonts w:ascii="Times New Roman" w:hAnsi="Times New Roman" w:cs="Times New Roman" w:eastAsia="Times New Roman" w:hint="default"/>
          <w:spacing w:val="-2"/>
        </w:rPr>
        <w:t>2012</w:t>
      </w:r>
      <w:r>
        <w:rPr>
          <w:spacing w:val="-2"/>
        </w:rPr>
        <w:t>年度的利润表和合并利润表、</w:t>
      </w:r>
      <w:r>
        <w:rPr>
          <w:rFonts w:ascii="Times New Roman" w:hAnsi="Times New Roman" w:cs="Times New Roman" w:eastAsia="Times New Roman" w:hint="default"/>
          <w:spacing w:val="-2"/>
        </w:rPr>
        <w:t>2012</w:t>
      </w:r>
      <w:r>
        <w:rPr>
          <w:spacing w:val="-2"/>
        </w:rPr>
        <w:t>年度的现金流量表和合并现金流量表、</w:t>
      </w:r>
      <w:r>
        <w:rPr>
          <w:spacing w:val="-12"/>
        </w:rPr>
        <w:t> </w:t>
      </w:r>
      <w:r>
        <w:rPr>
          <w:spacing w:val="-12"/>
        </w:rPr>
      </w:r>
      <w:r>
        <w:rPr>
          <w:rFonts w:ascii="Times New Roman" w:hAnsi="Times New Roman" w:cs="Times New Roman" w:eastAsia="Times New Roman" w:hint="default"/>
        </w:rPr>
        <w:t>2012</w:t>
      </w:r>
      <w:r>
        <w:rPr/>
        <w:t>年度的所有者权益变动表和合并所有者权益变动表以及财务报表附注。</w:t>
      </w:r>
    </w:p>
    <w:p>
      <w:pPr>
        <w:spacing w:line="624" w:lineRule="exact" w:before="63"/>
        <w:ind w:left="513" w:right="0" w:firstLine="60"/>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3"/>
          <w:sz w:val="21"/>
          <w:szCs w:val="21"/>
        </w:rPr>
        <w:t>编制和公允列报财务报表是贵公司管理层的责任。这种责任包括：（</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）按照企业会计准则的规定编制</w:t>
      </w:r>
    </w:p>
    <w:p>
      <w:pPr>
        <w:pStyle w:val="BodyText"/>
        <w:spacing w:line="233" w:lineRule="exact"/>
        <w:ind w:right="0"/>
        <w:jc w:val="left"/>
      </w:pPr>
      <w:r>
        <w:rPr/>
        <w:t>财务报表，并使其实现公允反映；（</w:t>
      </w:r>
      <w:r>
        <w:rPr>
          <w:rFonts w:ascii="Times New Roman" w:hAnsi="Times New Roman" w:cs="Times New Roman" w:eastAsia="Times New Roman" w:hint="default"/>
        </w:rPr>
        <w:t>2</w:t>
      </w:r>
      <w:r>
        <w:rPr/>
        <w:t>）设计、执行和维护必要的内部控制，以使财务报表不存在由于舞</w:t>
      </w:r>
    </w:p>
    <w:p>
      <w:pPr>
        <w:spacing w:line="544" w:lineRule="auto" w:before="21"/>
        <w:ind w:left="573" w:right="7245" w:hanging="421"/>
        <w:jc w:val="left"/>
        <w:rPr>
          <w:rFonts w:ascii="宋体" w:hAnsi="宋体" w:cs="宋体" w:eastAsia="宋体" w:hint="default"/>
          <w:sz w:val="21"/>
          <w:szCs w:val="21"/>
        </w:rPr>
      </w:pPr>
      <w:r>
        <w:rPr>
          <w:rFonts w:ascii="宋体" w:hAnsi="宋体" w:cs="宋体" w:eastAsia="宋体" w:hint="default"/>
          <w:spacing w:val="-2"/>
          <w:sz w:val="21"/>
          <w:szCs w:val="21"/>
        </w:rPr>
        <w:t>弊或错误导致的重大错报。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二、注册会计师的责任</w:t>
      </w:r>
      <w:r>
        <w:rPr>
          <w:rFonts w:ascii="宋体" w:hAnsi="宋体" w:cs="宋体" w:eastAsia="宋体" w:hint="default"/>
          <w:sz w:val="21"/>
          <w:szCs w:val="21"/>
        </w:rPr>
      </w:r>
    </w:p>
    <w:p>
      <w:pPr>
        <w:pStyle w:val="BodyText"/>
        <w:spacing w:line="273" w:lineRule="auto" w:before="82"/>
        <w:ind w:right="146" w:firstLine="360"/>
        <w:jc w:val="both"/>
      </w:pPr>
      <w:r>
        <w:rPr>
          <w:spacing w:val="-1"/>
        </w:rPr>
        <w:t>我们的责任是在执行审计工作的基础上对财务报表发表审计意见。我们按照中国注册会计师审计准则</w:t>
      </w:r>
      <w:r>
        <w:rPr>
          <w:w w:val="100"/>
        </w:rPr>
        <w:t> </w:t>
      </w: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spacing w:line="240" w:lineRule="auto" w:before="6"/>
        <w:rPr>
          <w:rFonts w:ascii="宋体" w:hAnsi="宋体" w:cs="宋体" w:eastAsia="宋体" w:hint="default"/>
          <w:sz w:val="24"/>
          <w:szCs w:val="24"/>
        </w:rPr>
      </w:pPr>
    </w:p>
    <w:p>
      <w:pPr>
        <w:pStyle w:val="BodyText"/>
        <w:spacing w:line="273" w:lineRule="auto"/>
        <w:ind w:right="146" w:firstLine="360"/>
        <w:jc w:val="both"/>
      </w:pPr>
      <w:r>
        <w:rPr>
          <w:spacing w:val="-1"/>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spacing w:line="240" w:lineRule="auto" w:before="6"/>
        <w:rPr>
          <w:rFonts w:ascii="宋体" w:hAnsi="宋体" w:cs="宋体" w:eastAsia="宋体" w:hint="default"/>
          <w:sz w:val="24"/>
          <w:szCs w:val="24"/>
        </w:rPr>
      </w:pPr>
    </w:p>
    <w:p>
      <w:pPr>
        <w:pStyle w:val="BodyText"/>
        <w:spacing w:line="544" w:lineRule="auto"/>
        <w:ind w:left="518" w:right="1674" w:hanging="5"/>
        <w:jc w:val="left"/>
        <w:rPr>
          <w:rFonts w:ascii="宋体" w:hAnsi="宋体" w:cs="宋体" w:eastAsia="宋体" w:hint="default"/>
        </w:rPr>
      </w:pPr>
      <w:r>
        <w:rPr>
          <w:spacing w:val="-2"/>
        </w:rPr>
        <w:t>我们相信，我们获取的审计证据是充分、适当的，为发表审计意见提供了基础。</w:t>
      </w:r>
      <w:r>
        <w:rPr>
          <w:spacing w:val="-38"/>
        </w:rPr>
        <w:t> </w:t>
      </w:r>
      <w:r>
        <w:rPr>
          <w:spacing w:val="-38"/>
        </w:rPr>
      </w:r>
      <w:r>
        <w:rPr>
          <w:rFonts w:ascii="宋体" w:hAnsi="宋体" w:cs="宋体" w:eastAsia="宋体" w:hint="default"/>
          <w:b/>
          <w:bCs/>
        </w:rPr>
        <w:t>三、审计意见</w:t>
      </w:r>
      <w:r>
        <w:rPr>
          <w:rFonts w:ascii="宋体" w:hAnsi="宋体" w:cs="宋体" w:eastAsia="宋体" w:hint="default"/>
        </w:rPr>
      </w:r>
    </w:p>
    <w:p>
      <w:pPr>
        <w:pStyle w:val="BodyText"/>
        <w:spacing w:line="240" w:lineRule="auto" w:before="82"/>
        <w:ind w:left="513" w:right="0"/>
        <w:jc w:val="left"/>
      </w:pPr>
      <w:r>
        <w:rPr/>
        <w:t>我们认为，贵公司财务报表在所有重大方面按照企业会计准则的规定编制，公允反映了贵公司</w:t>
      </w:r>
      <w:r>
        <w:rPr>
          <w:rFonts w:ascii="Times New Roman" w:hAnsi="Times New Roman" w:cs="Times New Roman" w:eastAsia="Times New Roman" w:hint="default"/>
        </w:rPr>
        <w:t>2012</w:t>
      </w:r>
      <w:r>
        <w:rPr/>
        <w:t>年</w:t>
      </w:r>
    </w:p>
    <w:p>
      <w:pPr>
        <w:pStyle w:val="BodyText"/>
        <w:spacing w:line="240" w:lineRule="auto" w:before="21"/>
        <w:ind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2012</w:t>
      </w:r>
      <w:r>
        <w:rPr/>
        <w:t>年度的经营成果和现金流量。</w:t>
      </w:r>
    </w:p>
    <w:p>
      <w:pPr>
        <w:spacing w:after="0" w:line="240" w:lineRule="auto"/>
        <w:jc w:val="left"/>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tabs>
          <w:tab w:pos="2253" w:val="left" w:leader="none"/>
        </w:tabs>
        <w:spacing w:line="240" w:lineRule="auto" w:before="36"/>
        <w:ind w:right="0"/>
        <w:jc w:val="left"/>
        <w:rPr>
          <w:b w:val="0"/>
          <w:bCs w:val="0"/>
        </w:rPr>
      </w:pPr>
      <w:r>
        <w:rPr/>
        <w:t>立信会计师事务所</w:t>
        <w:tab/>
        <w:t>中国注册会计师：单峰</w:t>
      </w:r>
      <w:r>
        <w:rPr>
          <w:b w:val="0"/>
          <w:bCs w:val="0"/>
        </w:rPr>
      </w:r>
    </w:p>
    <w:p>
      <w:pPr>
        <w:pStyle w:val="Heading4"/>
        <w:spacing w:line="240" w:lineRule="auto" w:before="37"/>
        <w:ind w:right="0"/>
        <w:jc w:val="left"/>
        <w:rPr>
          <w:b w:val="0"/>
          <w:bCs w:val="0"/>
        </w:rPr>
      </w:pPr>
      <w:r>
        <w:rPr/>
        <w:t>（特殊普通合伙）</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Heading4"/>
        <w:spacing w:line="240" w:lineRule="auto"/>
        <w:ind w:left="2217" w:right="0"/>
        <w:jc w:val="left"/>
        <w:rPr>
          <w:b w:val="0"/>
          <w:bCs w:val="0"/>
        </w:rPr>
      </w:pPr>
      <w:r>
        <w:rPr/>
        <w:t>中国注册会计师：</w:t>
      </w:r>
      <w:r>
        <w:rPr>
          <w:spacing w:val="-13"/>
        </w:rPr>
        <w:t> </w:t>
      </w:r>
      <w:r>
        <w:rPr/>
        <w:t>潘时骏</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8"/>
          <w:szCs w:val="18"/>
        </w:rPr>
      </w:pPr>
    </w:p>
    <w:p>
      <w:pPr>
        <w:pStyle w:val="Heading4"/>
        <w:tabs>
          <w:tab w:pos="3376" w:val="left" w:leader="none"/>
        </w:tabs>
        <w:spacing w:line="240" w:lineRule="auto"/>
        <w:ind w:right="0"/>
        <w:jc w:val="left"/>
        <w:rPr>
          <w:b w:val="0"/>
          <w:bCs w:val="0"/>
        </w:rPr>
      </w:pPr>
      <w:r>
        <w:rPr>
          <w:spacing w:val="-23"/>
        </w:rPr>
        <w:t>中国</w:t>
      </w:r>
      <w:r>
        <w:rPr>
          <w:rFonts w:ascii="Times New Roman" w:hAnsi="Times New Roman" w:cs="Times New Roman" w:eastAsia="Times New Roman" w:hint="default"/>
          <w:spacing w:val="-23"/>
        </w:rPr>
        <w:t>·</w:t>
      </w:r>
      <w:r>
        <w:rPr>
          <w:spacing w:val="-23"/>
        </w:rPr>
        <w:t>上海</w:t>
        <w:tab/>
      </w:r>
      <w:r>
        <w:rPr/>
        <w:t>二</w:t>
      </w:r>
      <w:r>
        <w:rPr>
          <w:rFonts w:ascii="Times New Roman" w:hAnsi="Times New Roman" w:cs="Times New Roman" w:eastAsia="Times New Roman" w:hint="default"/>
        </w:rPr>
        <w:t>O</w:t>
      </w:r>
      <w:r>
        <w:rPr/>
        <w:t>一三年四月十九日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4"/>
          <w:szCs w:val="24"/>
        </w:rPr>
      </w:pPr>
    </w:p>
    <w:p>
      <w:pPr>
        <w:pStyle w:val="Heading2"/>
        <w:spacing w:line="240" w:lineRule="auto"/>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编制单位：万达信息股份有限公司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779,964,737.57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865,821,868.42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158,815.73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114,014.78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255,371,225.21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195,690,724.35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12,039,258.88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960,914.06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9,966,159.98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10,527,269.34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35,650,510.22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30,006,085.52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48,245,401.36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23,738,608.70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1,141,396,108.95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1,126,859,485.17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21,338,883.91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20,443,342.02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120,740,366.58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122,643,767.17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51,657,071.84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17,414,307.70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122,172,099.64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4,106,579.50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53,552,615.80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56,749,784.40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9,681,830.25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1,416,864.24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1,068,227.98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171,757.57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626,964.75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380,731,489.83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223,052,973.52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1,522,127,598.78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1,349,912,458.69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7,631,240.00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17,379,024.68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27,228,212.58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10,835,836.27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7,880,780.33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122,839.38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36,866.37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20,395,684.58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25,456,682.28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32,281,573.98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23,874,488.38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2,619,525.80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213,634,484.69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222,108,269.94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2,860,474.20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6,138,250.00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34,720,474.20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6,138,250.00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248,354,958.89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228,246,519.94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683,101,256.00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793,607,022.46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42,531,754.18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31,416,218.26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265,751,675.40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177,430,579.53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-1,935,249.86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-1,946,530.86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1,229,449,435.72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1,120,507,289.39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44,323,204.17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1,158,649.36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1,273,772,639.89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1,121,665,938.75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1,522,127,598.78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1,349,912,458.69</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718"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法定代表人：史一兵</w:t>
        <w:tab/>
      </w:r>
      <w:r>
        <w:rPr>
          <w:rFonts w:ascii="宋体" w:hAnsi="宋体" w:cs="宋体" w:eastAsia="宋体" w:hint="default"/>
          <w:spacing w:val="-1"/>
          <w:sz w:val="18"/>
          <w:szCs w:val="18"/>
        </w:rPr>
        <w:t>主管会计工作负责人：王清</w:t>
        <w:tab/>
      </w:r>
      <w:r>
        <w:rPr>
          <w:rFonts w:ascii="宋体" w:hAnsi="宋体" w:cs="宋体" w:eastAsia="宋体" w:hint="default"/>
          <w:sz w:val="18"/>
          <w:szCs w:val="18"/>
        </w:rPr>
        <w:t>会计机构负责人：郭伟民</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编制单位：万达信息股份有限公司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590,462,761.36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798,333,820.30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199,942,180.60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182,765,305.48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9,163,451.60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730,921.25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9,966,159.98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10,527,269.34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41,411,505.87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32,955,345.74</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43,742,012.80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23,738,608.70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894,688,072.21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1,049,051,270.81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220,049,699.01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81,484,457.12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117,453,220.60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121,460,623.62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47,942,431.75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17,414,307.70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111,380,682.87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1,698,529.44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53,552,615.80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56,749,784.40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745,902.20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1,068,227.98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551,124,552.23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279,875,930.26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1,445,812,624.44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1,328,927,201.07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3,331,240.00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9,525,511.62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22,468,135.88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8,081,676.27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7,830,780.33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16,992,868.86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22,666,894.65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21,273,259.16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22,542,184.38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2,619,525.80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188,492,841.71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208,839,235.24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2,860,474.20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31,860,000.00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6,138,250.00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34,720,474.20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6,138,250.00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223,213,315.91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214,977,485.24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303"/>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683,082,563.87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793,588,330.33</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42,531,754.18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31,416,218.26</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256,984,990.48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168,945,167.24</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1,222,599,308.53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1,113,949,715.83</w:t>
            </w:r>
          </w:p>
        </w:tc>
      </w:tr>
      <w:tr>
        <w:trPr>
          <w:trHeight w:val="716"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1,445,812,624.44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1,328,927,201.07</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718"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法定代表人：史一兵</w:t>
        <w:tab/>
      </w:r>
      <w:r>
        <w:rPr>
          <w:rFonts w:ascii="宋体" w:hAnsi="宋体" w:cs="宋体" w:eastAsia="宋体" w:hint="default"/>
          <w:spacing w:val="-1"/>
          <w:sz w:val="18"/>
          <w:szCs w:val="18"/>
        </w:rPr>
        <w:t>主管会计工作负责人：王清</w:t>
        <w:tab/>
      </w:r>
      <w:r>
        <w:rPr>
          <w:rFonts w:ascii="宋体" w:hAnsi="宋体" w:cs="宋体" w:eastAsia="宋体" w:hint="default"/>
          <w:sz w:val="18"/>
          <w:szCs w:val="18"/>
        </w:rPr>
        <w:t>会计机构负责人：郭伟民</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编制单位：万达信息股份有限公司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884,744,328.70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694,826,688.38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884,744,328.70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694,826,688.38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767,532,082.86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607,025,780.89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611,776,875.41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483,079,214.55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4,030,741.33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20,725,844.51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37,089,621.25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26,451,697.29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118,103,479.03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80,013,218.98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-5,229,613.52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-6,229,810.35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1,760,979.36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2,985,615.91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44,800.95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5,576.53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-58,291.65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558,225.38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-358,291.65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258,225.38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汇兑收</w:t>
            </w:r>
            <w:r>
              <w:rPr>
                <w:rFonts w:ascii="宋体" w:hAnsi="宋体" w:cs="宋体" w:eastAsia="宋体" w:hint="default"/>
                <w:spacing w:val="-10"/>
                <w:sz w:val="18"/>
                <w:szCs w:val="18"/>
              </w:rPr>
              <w:t>益</w:t>
            </w:r>
            <w:r>
              <w:rPr>
                <w:rFonts w:ascii="宋体" w:hAnsi="宋体" w:cs="宋体" w:eastAsia="宋体" w:hint="default"/>
                <w:sz w:val="18"/>
                <w:szCs w:val="18"/>
              </w:rPr>
              <w:t>（损</w:t>
            </w:r>
            <w:r>
              <w:rPr>
                <w:rFonts w:ascii="宋体" w:hAnsi="宋体" w:cs="宋体" w:eastAsia="宋体" w:hint="default"/>
                <w:spacing w:val="-1"/>
                <w:sz w:val="18"/>
                <w:szCs w:val="18"/>
              </w:rPr>
              <w:t>失</w:t>
            </w:r>
            <w:r>
              <w:rPr>
                <w:rFonts w:ascii="宋体" w:hAnsi="宋体" w:cs="宋体" w:eastAsia="宋体" w:hint="default"/>
                <w:sz w:val="18"/>
                <w:szCs w:val="18"/>
              </w:rPr>
              <w:t>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117,198,755.14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88,364,709.40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8,718,629.22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5,794,642.40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161,378.17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30,155.66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22,878.17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125,756,006.19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94,129,196.14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20,373,978.52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13,095,822.74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105,382,027.67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81,033,373.40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111,436,631.79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81,815,033.64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-6,054,604.12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-781,660.24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0.6963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0.6963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795,114.54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-649,366.32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106,177,142.21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80,384,007.08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112,231,746.33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81,165,667.32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-6,054,604.12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-781,660.24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tabs>
          <w:tab w:pos="3667" w:val="left" w:leader="none"/>
          <w:tab w:pos="7718" w:val="left" w:leader="none"/>
        </w:tabs>
        <w:spacing w:before="138"/>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法定代表人：史一兵</w:t>
        <w:tab/>
      </w:r>
      <w:r>
        <w:rPr>
          <w:rFonts w:ascii="宋体" w:hAnsi="宋体" w:cs="宋体" w:eastAsia="宋体" w:hint="default"/>
          <w:spacing w:val="-1"/>
          <w:sz w:val="18"/>
          <w:szCs w:val="18"/>
        </w:rPr>
        <w:t>主管会计工作负责人：王清</w:t>
        <w:tab/>
      </w:r>
      <w:r>
        <w:rPr>
          <w:rFonts w:ascii="宋体" w:hAnsi="宋体" w:cs="宋体" w:eastAsia="宋体" w:hint="default"/>
          <w:sz w:val="18"/>
          <w:szCs w:val="18"/>
        </w:rPr>
        <w:t>会计机构负责人：郭伟民</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编制单位：万达信息股份有限公司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727,874,259.14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625,769,260.32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498,785,386.86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444,166,326.46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4,084,931.76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18,943,651.86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24,108,874.35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20,989,551.17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83,967,219.27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61,681,114.40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-4,927,055.20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-6,288,717.28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1,200,397.87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2,868,120.32</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-58,291.65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558,225.38</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-358,291.65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258,225.38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120,596,212.58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83,967,438.77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8,688,250.00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5,791,442.40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153,478.17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30,055.66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22,878.17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55.66</w:t>
            </w:r>
          </w:p>
        </w:tc>
      </w:tr>
      <w:tr>
        <w:trPr>
          <w:trHeight w:val="716"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129,130,984.41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89,728,825.51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17,975,625.25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12,430,525.50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2"/>
                <w:sz w:val="18"/>
              </w:rPr>
              <w:t>111,155,359.16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77,298,300.01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0.4632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0.6579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0.4632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0.6579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783,833.54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111,939,192.70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77,298,300.01</w:t>
            </w:r>
          </w:p>
        </w:tc>
      </w:tr>
    </w:tbl>
    <w:p>
      <w:pPr>
        <w:spacing w:line="240" w:lineRule="auto" w:before="2"/>
        <w:rPr>
          <w:rFonts w:ascii="宋体" w:hAnsi="宋体" w:cs="宋体" w:eastAsia="宋体" w:hint="default"/>
          <w:sz w:val="20"/>
          <w:szCs w:val="20"/>
        </w:rPr>
      </w:pPr>
    </w:p>
    <w:p>
      <w:pPr>
        <w:tabs>
          <w:tab w:pos="3667" w:val="left" w:leader="none"/>
          <w:tab w:pos="7718"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法定代表人：史一兵</w:t>
        <w:tab/>
      </w:r>
      <w:r>
        <w:rPr>
          <w:rFonts w:ascii="宋体" w:hAnsi="宋体" w:cs="宋体" w:eastAsia="宋体" w:hint="default"/>
          <w:spacing w:val="-1"/>
          <w:sz w:val="18"/>
          <w:szCs w:val="18"/>
        </w:rPr>
        <w:t>主管会计工作负责人：王清</w:t>
        <w:tab/>
      </w:r>
      <w:r>
        <w:rPr>
          <w:rFonts w:ascii="宋体" w:hAnsi="宋体" w:cs="宋体" w:eastAsia="宋体" w:hint="default"/>
          <w:sz w:val="18"/>
          <w:szCs w:val="18"/>
        </w:rPr>
        <w:t>会计机构负责人：郭伟民</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编制单位：万达信息股份有限公司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290"/>
      </w:tblGrid>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36" w:right="0"/>
              <w:jc w:val="left"/>
              <w:rPr>
                <w:rFonts w:ascii="Times New Roman" w:hAnsi="Times New Roman" w:cs="Times New Roman" w:eastAsia="Times New Roman" w:hint="default"/>
                <w:sz w:val="18"/>
                <w:szCs w:val="18"/>
              </w:rPr>
            </w:pPr>
            <w:r>
              <w:rPr>
                <w:rFonts w:ascii="Times New Roman"/>
                <w:sz w:val="18"/>
              </w:rPr>
              <w:t>923,215,478.72</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656,988,805.04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1,165,276.18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77,147,846.51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43,093,953.25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1,000,994,325.23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701,248,034.47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642,462,289.61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454,967,893.53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146,225,983.11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137,015,637.54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54,636,697.50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41,287,486.74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96,699,371.48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52,649,841.81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940,024,341.70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685,920,859.62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60,969,983.53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15,327,174.85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85,816.56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73,118.49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385,816.56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373,118.49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154,540,228.81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80,124,742.83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155,010,228.81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90,124,742.83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-154,624,412.25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-89,751,624.34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776,125,000.00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160,480,000.00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947,125,000.00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159,500,000.00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21,488,198.09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18,657,004.61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176,488,198.09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178,157,004.61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6,241,801.91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768,967,995.39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-34,446.74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-87,415,404.64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694,509,099.16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867,380,142.21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171,312,769.26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779,964,737.57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865,821,868.42</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718"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法定代表人：史一兵</w:t>
        <w:tab/>
      </w:r>
      <w:r>
        <w:rPr>
          <w:rFonts w:ascii="宋体" w:hAnsi="宋体" w:cs="宋体" w:eastAsia="宋体" w:hint="default"/>
          <w:spacing w:val="-1"/>
          <w:sz w:val="18"/>
          <w:szCs w:val="18"/>
        </w:rPr>
        <w:t>主管会计工作负责人：王清</w:t>
        <w:tab/>
      </w:r>
      <w:r>
        <w:rPr>
          <w:rFonts w:ascii="宋体" w:hAnsi="宋体" w:cs="宋体" w:eastAsia="宋体" w:hint="default"/>
          <w:sz w:val="18"/>
          <w:szCs w:val="18"/>
        </w:rPr>
        <w:t>会计机构负责人：郭伟民</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编制单位：万达信息股份有限公司</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784,697,199.52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582,311,261.39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74,538,501.57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46,014,116.40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859,235,701.09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628,325,377.79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511,733,666.14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418,371,196.90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109,890,964.42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108,487,710.55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50,084,649.79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36,269,270.80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94,372,425.11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52,964,830.49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766,081,705.46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616,093,008.74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93,153,995.63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12,232,369.05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81,928.24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381,928.24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147,566,019.41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79,107,484.58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285,396,019.41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99,107,484.58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-285,014,091.17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-98,741,484.58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776,125,000.00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171,000,000.00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160,480,000.00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947,125,000.00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159,500,000.00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21,488,198.09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18,657,004.61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176,488,198.09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178,157,004.61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-16,008,198.09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768,967,995.39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-34,125.55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-207,871,058.94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682,424,754.31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798,333,820.30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115,909,065.99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590,462,761.36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798,333,820.30</w:t>
            </w:r>
          </w:p>
        </w:tc>
      </w:tr>
    </w:tbl>
    <w:p>
      <w:pPr>
        <w:spacing w:line="240" w:lineRule="auto" w:before="2"/>
        <w:rPr>
          <w:rFonts w:ascii="宋体" w:hAnsi="宋体" w:cs="宋体" w:eastAsia="宋体" w:hint="default"/>
          <w:sz w:val="20"/>
          <w:szCs w:val="20"/>
        </w:rPr>
      </w:pPr>
    </w:p>
    <w:p>
      <w:pPr>
        <w:tabs>
          <w:tab w:pos="3667" w:val="left" w:leader="none"/>
          <w:tab w:pos="7718"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法定代表人：史一兵</w:t>
        <w:tab/>
      </w:r>
      <w:r>
        <w:rPr>
          <w:rFonts w:ascii="宋体" w:hAnsi="宋体" w:cs="宋体" w:eastAsia="宋体" w:hint="default"/>
          <w:spacing w:val="-1"/>
          <w:sz w:val="18"/>
          <w:szCs w:val="18"/>
        </w:rPr>
        <w:t>主管会计工作负责人：王清</w:t>
        <w:tab/>
      </w:r>
      <w:r>
        <w:rPr>
          <w:rFonts w:ascii="宋体" w:hAnsi="宋体" w:cs="宋体" w:eastAsia="宋体" w:hint="default"/>
          <w:sz w:val="18"/>
          <w:szCs w:val="18"/>
        </w:rPr>
        <w:t>会计机构负责人：郭伟民</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编制单位：万达信息股份有限公司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853" w:space="6067"/>
            <w:col w:w="10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3"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9"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793,607,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022.46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31,416,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218.26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177,430,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579.53</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-1,946,5</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30.86</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1,158,649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1,121,665,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938.75</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793,607,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022.46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31,416,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218.26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177,430,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579.53</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-1,946,5</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30.86</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1,158,649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1,121,665,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938.75</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-110,50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5,766.46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11,115,5</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35.92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88,321,0</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95.87</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43,164,55</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4.81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152,106,70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1.14</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111,436,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631.79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-6,054,60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4.12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105,382,02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7.67</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z w:val="18"/>
              </w:rPr>
              <w:t>783,833.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 w:right="0"/>
              <w:jc w:val="center"/>
              <w:rPr>
                <w:rFonts w:ascii="Times New Roman" w:hAnsi="Times New Roman" w:cs="Times New Roman" w:eastAsia="Times New Roman" w:hint="default"/>
                <w:sz w:val="18"/>
                <w:szCs w:val="18"/>
              </w:rPr>
            </w:pPr>
            <w:r>
              <w:rPr>
                <w:rFonts w:ascii="Times New Roman"/>
                <w:sz w:val="18"/>
              </w:rPr>
              <w:t>11,281.0</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795,114.54</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36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54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783,833.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111,436,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631.79</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-6,054,60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4.12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106,177,14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2.21</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8,710,40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49,219,15</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8.93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57,929,558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49,219,15</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8.93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49,219,158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8,710,40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8,710,400.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11,115,5</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35.92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-23,115,</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535.92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11,115,5</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35.92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-11,115,</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535.92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683,101,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256.00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42,531,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754.18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265,751,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675.40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-1,935,2</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49.86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44,323,20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4.17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1,273,772,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639.89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5"/>
      </w:tblGrid>
      <w:tr>
        <w:trPr>
          <w:trHeight w:val="402" w:hRule="exact"/>
        </w:trPr>
        <w:tc>
          <w:tcPr>
            <w:tcW w:w="2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02" w:type="dxa"/>
            <w:gridSpan w:val="10"/>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366" w:type="dxa"/>
            <w:vMerge/>
            <w:tcBorders>
              <w:left w:val="single" w:sz="4" w:space="0" w:color="000000"/>
              <w:right w:val="single" w:sz="4" w:space="0" w:color="000000"/>
            </w:tcBorders>
            <w:shd w:val="clear" w:color="auto" w:fill="D2D2D2"/>
          </w:tcPr>
          <w:p>
            <w:pPr/>
          </w:p>
        </w:tc>
        <w:tc>
          <w:tcPr>
            <w:tcW w:w="5488" w:type="dxa"/>
            <w:gridSpan w:val="8"/>
            <w:tcBorders>
              <w:top w:val="single" w:sz="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vMerge w:val="restart"/>
            <w:tcBorders>
              <w:top w:val="single" w:sz="5" w:space="0" w:color="FFFFFF"/>
              <w:left w:val="single" w:sz="4" w:space="0" w:color="000000"/>
              <w:right w:val="single" w:sz="4" w:space="0" w:color="000000"/>
            </w:tcBorders>
            <w:shd w:val="clear" w:color="auto" w:fill="D2D2D2"/>
          </w:tcPr>
          <w:p>
            <w:pPr>
              <w:pStyle w:val="TableParagraph"/>
              <w:spacing w:line="316" w:lineRule="auto" w:before="9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5" w:type="dxa"/>
            <w:vMerge w:val="restart"/>
            <w:tcBorders>
              <w:top w:val="single" w:sz="5" w:space="0" w:color="FFFFFF"/>
              <w:left w:val="single" w:sz="4" w:space="0" w:color="000000"/>
              <w:right w:val="single" w:sz="4" w:space="0" w:color="000000"/>
            </w:tcBorders>
            <w:shd w:val="clear" w:color="auto" w:fill="D2D2D2"/>
          </w:tcPr>
          <w:p>
            <w:pPr>
              <w:pStyle w:val="TableParagraph"/>
              <w:spacing w:line="316" w:lineRule="auto" w:before="92"/>
              <w:ind w:left="172" w:right="83"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2366" w:type="dxa"/>
            <w:vMerge/>
            <w:tcBorders>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7" w:right="0"/>
              <w:jc w:val="left"/>
              <w:rPr>
                <w:rFonts w:ascii="宋体" w:hAnsi="宋体" w:cs="宋体" w:eastAsia="宋体" w:hint="default"/>
                <w:sz w:val="18"/>
                <w:szCs w:val="18"/>
              </w:rPr>
            </w:pPr>
            <w:r>
              <w:rPr>
                <w:rFonts w:ascii="宋体" w:hAnsi="宋体" w:cs="宋体" w:eastAsia="宋体" w:hint="default"/>
                <w:sz w:val="18"/>
                <w:szCs w:val="18"/>
              </w:rPr>
              <w:t>实收资</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9"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92"/>
                <w:sz w:val="18"/>
                <w:szCs w:val="18"/>
              </w:rPr>
              <w:t>：</w:t>
            </w:r>
            <w:r>
              <w:rPr>
                <w:rFonts w:ascii="宋体" w:hAnsi="宋体" w:cs="宋体" w:eastAsia="宋体" w:hint="default"/>
                <w:sz w:val="18"/>
                <w:szCs w:val="18"/>
              </w:rPr>
              <w:t>库存</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9"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7"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9"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1"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67"/>
        <w:gridCol w:w="687"/>
        <w:gridCol w:w="686"/>
        <w:gridCol w:w="686"/>
        <w:gridCol w:w="686"/>
        <w:gridCol w:w="684"/>
        <w:gridCol w:w="684"/>
        <w:gridCol w:w="686"/>
        <w:gridCol w:w="687"/>
        <w:gridCol w:w="818"/>
        <w:gridCol w:w="893"/>
      </w:tblGrid>
      <w:tr>
        <w:trPr>
          <w:trHeight w:val="358" w:hRule="exact"/>
        </w:trPr>
        <w:tc>
          <w:tcPr>
            <w:tcW w:w="2367" w:type="dxa"/>
            <w:vMerge w:val="restart"/>
            <w:tcBorders>
              <w:top w:val="single" w:sz="4" w:space="0" w:color="000000"/>
              <w:left w:val="single" w:sz="4" w:space="0" w:color="000000"/>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67" w:right="68"/>
              <w:jc w:val="left"/>
              <w:rPr>
                <w:rFonts w:ascii="宋体" w:hAnsi="宋体" w:cs="宋体" w:eastAsia="宋体" w:hint="default"/>
                <w:sz w:val="18"/>
                <w:szCs w:val="18"/>
              </w:rPr>
            </w:pPr>
            <w:r>
              <w:rPr>
                <w:rFonts w:ascii="宋体" w:hAnsi="宋体" w:cs="宋体" w:eastAsia="宋体" w:hint="default"/>
                <w:sz w:val="18"/>
                <w:szCs w:val="18"/>
              </w:rPr>
              <w:t>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69"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single" w:sz="4" w:space="0" w:color="000000"/>
              <w:left w:val="single" w:sz="4" w:space="0" w:color="000000"/>
              <w:right w:val="single" w:sz="4" w:space="0" w:color="000000"/>
            </w:tcBorders>
            <w:shd w:val="clear" w:color="auto" w:fill="D2D2D2"/>
          </w:tcPr>
          <w:p>
            <w:pPr/>
          </w:p>
        </w:tc>
        <w:tc>
          <w:tcPr>
            <w:tcW w:w="893" w:type="dxa"/>
            <w:vMerge w:val="restart"/>
            <w:tcBorders>
              <w:top w:val="single" w:sz="4" w:space="0" w:color="000000"/>
              <w:left w:val="single" w:sz="4" w:space="0" w:color="000000"/>
              <w:right w:val="single" w:sz="4" w:space="0" w:color="000000"/>
            </w:tcBorders>
            <w:shd w:val="clear" w:color="auto" w:fill="D2D2D2"/>
          </w:tcPr>
          <w:p>
            <w:pPr/>
          </w:p>
        </w:tc>
      </w:tr>
      <w:tr>
        <w:trPr>
          <w:trHeight w:val="317" w:hRule="exact"/>
        </w:trPr>
        <w:tc>
          <w:tcPr>
            <w:tcW w:w="2367"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45,600,0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22.46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23,686,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388.26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115,345,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375.89</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-1,297,1</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64.54</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1,940,309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275,274,93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1.67</w:t>
            </w:r>
          </w:p>
        </w:tc>
      </w:tr>
      <w:tr>
        <w:trPr>
          <w:trHeight w:val="391" w:hRule="exact"/>
        </w:trPr>
        <w:tc>
          <w:tcPr>
            <w:tcW w:w="2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45,600,0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22.46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23,686,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388.26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115,345,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375.89</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-1,297,1</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64.54</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1,940,309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275,274,93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1.67</w:t>
            </w:r>
          </w:p>
        </w:tc>
      </w:tr>
      <w:tr>
        <w:trPr>
          <w:trHeight w:val="394" w:hRule="exact"/>
        </w:trPr>
        <w:tc>
          <w:tcPr>
            <w:tcW w:w="2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748,007,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7,729,8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62,085,2</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03.64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-649,36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6.32</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-781,660.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846,391,00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7.08</w:t>
            </w:r>
          </w:p>
        </w:tc>
      </w:tr>
      <w:tr>
        <w:trPr>
          <w:trHeight w:val="161" w:hRule="exact"/>
        </w:trPr>
        <w:tc>
          <w:tcPr>
            <w:tcW w:w="2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81,815,0</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33.64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-781,660.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81,033,373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r>
      <w:tr>
        <w:trPr>
          <w:trHeight w:val="394" w:hRule="exact"/>
        </w:trPr>
        <w:tc>
          <w:tcPr>
            <w:tcW w:w="2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-649,36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6.32</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-649,366.3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391" w:hRule="exact"/>
        </w:trPr>
        <w:tc>
          <w:tcPr>
            <w:tcW w:w="2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81,815,0</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33.64</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-649,36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6.32</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-781,660.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80,384,007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r>
      <w:tr>
        <w:trPr>
          <w:trHeight w:val="394" w:hRule="exact"/>
        </w:trPr>
        <w:tc>
          <w:tcPr>
            <w:tcW w:w="2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748,007,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778,007,00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746,125,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776,125,00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1,882,00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1,882,000.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7,729,8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30.00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-19,729,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830.00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7,729,8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30.00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7,729,83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36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793,607,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022.46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31,416,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218.26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177,430,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579.53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-1,946,5</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30.86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1,158,649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1,121,665,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938.75</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718"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法定代表人：史一兵</w:t>
        <w:tab/>
      </w:r>
      <w:r>
        <w:rPr>
          <w:rFonts w:ascii="宋体" w:hAnsi="宋体" w:cs="宋体" w:eastAsia="宋体" w:hint="default"/>
          <w:spacing w:val="-1"/>
          <w:sz w:val="18"/>
          <w:szCs w:val="18"/>
        </w:rPr>
        <w:t>主管会计工作负责人：王清</w:t>
        <w:tab/>
      </w:r>
      <w:r>
        <w:rPr>
          <w:rFonts w:ascii="宋体" w:hAnsi="宋体" w:cs="宋体" w:eastAsia="宋体" w:hint="default"/>
          <w:sz w:val="18"/>
          <w:szCs w:val="18"/>
        </w:rPr>
        <w:t>会计机构负责人：郭伟民</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编制单位：万达信息股份有限公司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853" w:space="606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793,588,33</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0.33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31,416,218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168,945,16</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7.24</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1,113,949,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715.83</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793,588,33</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0.33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31,416,218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168,945,16</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7.24</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1,113,949,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715.83</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w:t>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-110,505,7</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66.46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11,115,535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88,039,823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108,649,59</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2.70</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111,155,35</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9.16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111,155,35</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9.16</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783,833.54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783,833.54</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783,833.54</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111,155,35</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9.16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111,939,19</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2.70</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8,710,400.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128,710,40</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3"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r>
        <w:rPr/>
        <w:pict>
          <v:shape style="position:absolute;margin-left:138.600006pt;margin-top:295.72998pt;width:84.8pt;height:19.6pt;mso-position-horizontal-relative:page;mso-position-vertical-relative:page;z-index:-107651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8.600006pt;margin-top:315.889984pt;width:84.8pt;height:19.6pt;mso-position-horizontal-relative:page;mso-position-vertical-relative:page;z-index:-107648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0.740005pt;margin-top:295.129974pt;width:42.65pt;height:40.950pt;mso-position-horizontal-relative:page;mso-position-vertical-relative:page;z-index:-1076464" coordorigin="3615,5903" coordsize="853,819">
            <v:group style="position:absolute;left:3627;top:5915;width:2;height:392" coordorigin="3627,5915" coordsize="2,392">
              <v:shape style="position:absolute;left:3627;top:5915;width:2;height:392" coordorigin="3627,5915" coordsize="0,392" path="m3627,5915l3627,6306e" filled="false" stroked="true" strokeweight="1.2pt" strokecolor="#ffffff">
                <v:path arrowok="t"/>
              </v:shape>
            </v:group>
            <v:group style="position:absolute;left:3639;top:5915;width:829;height:392" coordorigin="3639,5915" coordsize="829,392">
              <v:shape style="position:absolute;left:3639;top:5915;width:829;height:392" coordorigin="3639,5915" coordsize="829,392" path="m3639,6306l4467,6306,4467,5915,3639,5915,3639,6306xe" filled="true" fillcolor="#ffffff" stroked="false">
                <v:path arrowok="t"/>
                <v:fill type="solid"/>
              </v:shape>
            </v:group>
            <v:group style="position:absolute;left:3627;top:6318;width:2;height:392" coordorigin="3627,6318" coordsize="2,392">
              <v:shape style="position:absolute;left:3627;top:6318;width:2;height:392" coordorigin="3627,6318" coordsize="0,392" path="m3627,6318l3627,6709e" filled="false" stroked="true" strokeweight="1.2pt" strokecolor="#ffffff">
                <v:path arrowok="t"/>
              </v:shape>
            </v:group>
            <v:group style="position:absolute;left:3639;top:6318;width:829;height:392" coordorigin="3639,6318" coordsize="829,392">
              <v:shape style="position:absolute;left:3639;top:6318;width:829;height:392" coordorigin="3639,6318" coordsize="829,392" path="m3639,6709l4467,6709,4467,6318,3639,6318,3639,670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8,710,400.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8,710,400.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11,115,535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-23,115,53</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5.92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-132,000,0</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11,115,535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-11,115,53</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5.92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-132,000,0</w:t>
            </w:r>
          </w:p>
          <w:p>
            <w:pPr>
              <w:pStyle w:val="TableParagraph"/>
              <w:spacing w:line="240" w:lineRule="auto" w:before="102"/>
              <w:ind w:left="45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240,000,00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683,082,56</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3.87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42,531,754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256,984,99</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0.48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1,222,599,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308.53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6"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45,581,330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.33</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23,686,388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111,376,69</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7.23</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270,644,41</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5.82</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45,581,330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.33</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23,686,388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111,376,69</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7.23</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270,644,41</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5.82</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748,007,00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7,729,830.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57,568,470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843,305,30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39.554001pt;margin-top:458.709991pt;width:84.8pt;height:19.6pt;mso-position-horizontal-relative:page;mso-position-vertical-relative:page;z-index:-107644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554001pt;margin-top:478.749969pt;width:84.8pt;height:19.6pt;mso-position-horizontal-relative:page;mso-position-vertical-relative:page;z-index:-107641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2.899994pt;margin-top:458.709991pt;width:41.45pt;height:39.6pt;mso-position-horizontal-relative:page;mso-position-vertical-relative:page;z-index:-1076392" coordorigin="3658,9174" coordsize="829,792">
            <v:group style="position:absolute;left:3658;top:9174;width:829;height:392" coordorigin="3658,9174" coordsize="829,392">
              <v:shape style="position:absolute;left:3658;top:9174;width:829;height:392" coordorigin="3658,9174" coordsize="829,392" path="m3658,9565l4486,9565,4486,9174,3658,9174,3658,9565xe" filled="true" fillcolor="#ffffff" stroked="false">
                <v:path arrowok="t"/>
                <v:fill type="solid"/>
              </v:shape>
            </v:group>
            <v:group style="position:absolute;left:3658;top:9575;width:829;height:392" coordorigin="3658,9575" coordsize="829,392">
              <v:shape style="position:absolute;left:3658;top:9575;width:829;height:392" coordorigin="3658,9575" coordsize="829,392" path="m3658,9966l4486,9966,4486,9575,3658,9575,3658,996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77,298,300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77,298,300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77,298,300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77,298,300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748,007,00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778,007,00</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746,125,00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776,125,00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1,882,000.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1,882,000.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7,729,830.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-19,729,83</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7,729,830.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-19,729,83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 w:right="0"/>
              <w:jc w:val="left"/>
              <w:rPr>
                <w:rFonts w:ascii="Times New Roman" w:hAnsi="Times New Roman" w:cs="Times New Roman" w:eastAsia="Times New Roman" w:hint="default"/>
                <w:sz w:val="18"/>
                <w:szCs w:val="18"/>
              </w:rPr>
            </w:pPr>
            <w:r>
              <w:rPr>
                <w:rFonts w:ascii="Times New Roman"/>
                <w:sz w:val="18"/>
              </w:rPr>
              <w:t>793,588,33</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0.33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31,416,218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.26</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 w:right="0"/>
              <w:jc w:val="left"/>
              <w:rPr>
                <w:rFonts w:ascii="Times New Roman" w:hAnsi="Times New Roman" w:cs="Times New Roman" w:eastAsia="Times New Roman" w:hint="default"/>
                <w:sz w:val="18"/>
                <w:szCs w:val="18"/>
              </w:rPr>
            </w:pPr>
            <w:r>
              <w:rPr>
                <w:rFonts w:ascii="Times New Roman"/>
                <w:sz w:val="18"/>
              </w:rPr>
              <w:t>168,945,16</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7.24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1" w:right="0"/>
              <w:jc w:val="left"/>
              <w:rPr>
                <w:rFonts w:ascii="Times New Roman" w:hAnsi="Times New Roman" w:cs="Times New Roman" w:eastAsia="Times New Roman" w:hint="default"/>
                <w:sz w:val="18"/>
                <w:szCs w:val="18"/>
              </w:rPr>
            </w:pPr>
            <w:r>
              <w:rPr>
                <w:rFonts w:ascii="Times New Roman"/>
                <w:sz w:val="18"/>
              </w:rPr>
              <w:t>1,113,949,</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715.83</w:t>
            </w:r>
          </w:p>
        </w:tc>
      </w:tr>
    </w:tbl>
    <w:p>
      <w:pPr>
        <w:spacing w:line="240" w:lineRule="auto" w:before="2"/>
        <w:rPr>
          <w:rFonts w:ascii="宋体" w:hAnsi="宋体" w:cs="宋体" w:eastAsia="宋体" w:hint="default"/>
          <w:sz w:val="20"/>
          <w:szCs w:val="20"/>
        </w:rPr>
      </w:pPr>
    </w:p>
    <w:p>
      <w:pPr>
        <w:tabs>
          <w:tab w:pos="3667" w:val="left" w:leader="none"/>
          <w:tab w:pos="7718"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法定代表人：史一兵</w:t>
        <w:tab/>
      </w:r>
      <w:r>
        <w:rPr>
          <w:rFonts w:ascii="宋体" w:hAnsi="宋体" w:cs="宋体" w:eastAsia="宋体" w:hint="default"/>
          <w:spacing w:val="-1"/>
          <w:sz w:val="18"/>
          <w:szCs w:val="18"/>
        </w:rPr>
        <w:t>主管会计工作负责人：王清</w:t>
        <w:tab/>
      </w:r>
      <w:r>
        <w:rPr>
          <w:rFonts w:ascii="宋体" w:hAnsi="宋体" w:cs="宋体" w:eastAsia="宋体" w:hint="default"/>
          <w:sz w:val="18"/>
          <w:szCs w:val="18"/>
        </w:rPr>
        <w:t>会计机构负责人：郭伟民</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0"/>
        <w:jc w:val="left"/>
      </w:pPr>
      <w:r>
        <w:rPr>
          <w:spacing w:val="-2"/>
        </w:rPr>
        <w:t>万达信息股份有限公司前身系上海万达信息系统有限公司，</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日经上海市人民政府以沪府体改</w:t>
      </w:r>
      <w:r>
        <w:rPr>
          <w:spacing w:val="-35"/>
        </w:rPr>
        <w:t> </w:t>
      </w:r>
      <w:r>
        <w:rPr>
          <w:spacing w:val="-35"/>
        </w:rPr>
      </w:r>
      <w:r>
        <w:rPr>
          <w:spacing w:val="-34"/>
          <w:w w:val="100"/>
        </w:rPr>
        <w:t>审</w:t>
      </w:r>
      <w:r>
        <w:rPr>
          <w:spacing w:val="-2"/>
          <w:w w:val="100"/>
        </w:rPr>
        <w:t>（</w:t>
      </w:r>
      <w:r>
        <w:rPr>
          <w:rFonts w:ascii="Times New Roman" w:hAnsi="Times New Roman" w:cs="Times New Roman" w:eastAsia="Times New Roman" w:hint="default"/>
          <w:w w:val="100"/>
        </w:rPr>
        <w:t>199</w:t>
      </w:r>
      <w:r>
        <w:rPr>
          <w:rFonts w:ascii="Times New Roman" w:hAnsi="Times New Roman" w:cs="Times New Roman" w:eastAsia="Times New Roman" w:hint="default"/>
          <w:spacing w:val="-3"/>
          <w:w w:val="100"/>
        </w:rPr>
        <w:t>8</w:t>
      </w:r>
      <w:r>
        <w:rPr>
          <w:spacing w:val="-34"/>
          <w:w w:val="100"/>
        </w:rPr>
        <w:t>）</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73</w:t>
      </w:r>
      <w:r>
        <w:rPr>
          <w:spacing w:val="-3"/>
          <w:w w:val="100"/>
        </w:rPr>
        <w:t>号</w:t>
      </w:r>
      <w:r>
        <w:rPr>
          <w:rFonts w:ascii="Times New Roman" w:hAnsi="Times New Roman" w:cs="Times New Roman" w:eastAsia="Times New Roman" w:hint="default"/>
          <w:spacing w:val="-1"/>
          <w:w w:val="44"/>
        </w:rPr>
        <w:t>―</w:t>
      </w:r>
      <w:r>
        <w:rPr>
          <w:spacing w:val="-3"/>
          <w:w w:val="100"/>
        </w:rPr>
        <w:t>关</w:t>
      </w:r>
      <w:r>
        <w:rPr>
          <w:w w:val="100"/>
        </w:rPr>
        <w:t>于</w:t>
      </w:r>
      <w:r>
        <w:rPr>
          <w:spacing w:val="-3"/>
          <w:w w:val="100"/>
        </w:rPr>
        <w:t>同意</w:t>
      </w:r>
      <w:r>
        <w:rPr>
          <w:w w:val="100"/>
        </w:rPr>
        <w:t>设立</w:t>
      </w:r>
      <w:r>
        <w:rPr>
          <w:spacing w:val="-3"/>
          <w:w w:val="100"/>
        </w:rPr>
        <w:t>上</w:t>
      </w:r>
      <w:r>
        <w:rPr>
          <w:w w:val="100"/>
        </w:rPr>
        <w:t>海</w:t>
      </w:r>
      <w:r>
        <w:rPr>
          <w:spacing w:val="-3"/>
          <w:w w:val="100"/>
        </w:rPr>
        <w:t>万</w:t>
      </w:r>
      <w:r>
        <w:rPr>
          <w:w w:val="100"/>
        </w:rPr>
        <w:t>达</w:t>
      </w:r>
      <w:r>
        <w:rPr>
          <w:spacing w:val="-3"/>
          <w:w w:val="100"/>
        </w:rPr>
        <w:t>信</w:t>
      </w:r>
      <w:r>
        <w:rPr>
          <w:w w:val="100"/>
        </w:rPr>
        <w:t>息</w:t>
      </w:r>
      <w:r>
        <w:rPr>
          <w:spacing w:val="-3"/>
          <w:w w:val="100"/>
        </w:rPr>
        <w:t>股</w:t>
      </w:r>
      <w:r>
        <w:rPr>
          <w:w w:val="100"/>
        </w:rPr>
        <w:t>份</w:t>
      </w:r>
      <w:r>
        <w:rPr>
          <w:spacing w:val="-3"/>
          <w:w w:val="100"/>
        </w:rPr>
        <w:t>有</w:t>
      </w:r>
      <w:r>
        <w:rPr>
          <w:w w:val="100"/>
        </w:rPr>
        <w:t>限公</w:t>
      </w:r>
      <w:r>
        <w:rPr>
          <w:spacing w:val="-3"/>
          <w:w w:val="100"/>
        </w:rPr>
        <w:t>司</w:t>
      </w:r>
      <w:r>
        <w:rPr>
          <w:w w:val="100"/>
        </w:rPr>
        <w:t>的</w:t>
      </w:r>
      <w:r>
        <w:rPr>
          <w:spacing w:val="-3"/>
          <w:w w:val="100"/>
        </w:rPr>
        <w:t>批</w:t>
      </w:r>
      <w:r>
        <w:rPr>
          <w:w w:val="100"/>
        </w:rPr>
        <w:t>复</w:t>
      </w:r>
      <w:r>
        <w:rPr>
          <w:rFonts w:ascii="Times New Roman" w:hAnsi="Times New Roman" w:cs="Times New Roman" w:eastAsia="Times New Roman" w:hint="default"/>
          <w:spacing w:val="-3"/>
          <w:w w:val="159"/>
        </w:rPr>
        <w:t>‖</w:t>
      </w:r>
      <w:r>
        <w:rPr>
          <w:w w:val="100"/>
        </w:rPr>
        <w:t>批</w:t>
      </w:r>
      <w:r>
        <w:rPr>
          <w:spacing w:val="-3"/>
          <w:w w:val="100"/>
        </w:rPr>
        <w:t>准</w:t>
      </w:r>
      <w:r>
        <w:rPr>
          <w:spacing w:val="-34"/>
          <w:w w:val="100"/>
        </w:rPr>
        <w:t>，</w:t>
      </w:r>
      <w:r>
        <w:rPr>
          <w:spacing w:val="-3"/>
          <w:w w:val="100"/>
        </w:rPr>
        <w:t>公司</w:t>
      </w:r>
      <w:r>
        <w:rPr>
          <w:w w:val="100"/>
        </w:rPr>
        <w:t>转制</w:t>
      </w:r>
      <w:r>
        <w:rPr>
          <w:spacing w:val="-3"/>
          <w:w w:val="100"/>
        </w:rPr>
        <w:t>成</w:t>
      </w:r>
      <w:r>
        <w:rPr>
          <w:w w:val="100"/>
        </w:rPr>
        <w:t>为</w:t>
      </w:r>
      <w:r>
        <w:rPr>
          <w:spacing w:val="-3"/>
          <w:w w:val="100"/>
        </w:rPr>
        <w:t>上</w:t>
      </w:r>
      <w:r>
        <w:rPr>
          <w:w w:val="100"/>
        </w:rPr>
        <w:t>海</w:t>
      </w:r>
      <w:r>
        <w:rPr>
          <w:spacing w:val="-3"/>
          <w:w w:val="100"/>
        </w:rPr>
        <w:t>万</w:t>
      </w:r>
      <w:r>
        <w:rPr>
          <w:w w:val="100"/>
        </w:rPr>
        <w:t>达</w:t>
      </w:r>
      <w:r>
        <w:rPr>
          <w:spacing w:val="-3"/>
          <w:w w:val="100"/>
        </w:rPr>
        <w:t>信</w:t>
      </w:r>
      <w:r>
        <w:rPr>
          <w:w w:val="100"/>
        </w:rPr>
        <w:t>息</w:t>
      </w:r>
      <w:r>
        <w:rPr>
          <w:spacing w:val="-3"/>
          <w:w w:val="100"/>
        </w:rPr>
        <w:t>股</w:t>
      </w:r>
      <w:r>
        <w:rPr>
          <w:w w:val="100"/>
        </w:rPr>
        <w:t>份</w:t>
      </w:r>
    </w:p>
    <w:p>
      <w:pPr>
        <w:spacing w:after="0" w:line="25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61" w:lineRule="auto" w:before="36"/>
        <w:ind w:right="100"/>
        <w:jc w:val="left"/>
      </w:pPr>
      <w:r>
        <w:rPr>
          <w:spacing w:val="-5"/>
        </w:rPr>
        <w:t>有限公司，由上海科技投资公司、上海申能科技发展有限公司、上海浦东国际机场公司、上海有线电视台、</w:t>
      </w:r>
      <w:r>
        <w:rPr>
          <w:spacing w:val="-11"/>
        </w:rPr>
        <w:t> </w:t>
      </w:r>
      <w:r>
        <w:rPr>
          <w:spacing w:val="-11"/>
        </w:rPr>
      </w:r>
      <w:r>
        <w:rPr>
          <w:spacing w:val="-2"/>
        </w:rPr>
        <w:t>上海精文投资有限公司、上海长安信息技术咨询开发中心、上海计算机软件研究所、上海万达信息股份有</w:t>
      </w:r>
      <w:r>
        <w:rPr>
          <w:spacing w:val="-42"/>
        </w:rPr>
        <w:t> </w:t>
      </w:r>
      <w:r>
        <w:rPr>
          <w:spacing w:val="-42"/>
        </w:rPr>
      </w:r>
      <w:r>
        <w:rPr>
          <w:spacing w:val="-2"/>
        </w:rPr>
        <w:t>限公司职工持股会等八方作为发起人。根据发起人协议，以原上海万达信息系统有限公司</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spacing w:val="-38"/>
        </w:rPr>
        <w:t> </w:t>
      </w:r>
      <w:r>
        <w:rPr/>
        <w:t>的账面净资产为人民币</w:t>
      </w:r>
      <w:r>
        <w:rPr>
          <w:rFonts w:ascii="Times New Roman" w:hAnsi="Times New Roman" w:cs="Times New Roman" w:eastAsia="Times New Roman" w:hint="default"/>
        </w:rPr>
        <w:t>46,401,637.39</w:t>
      </w:r>
      <w:r>
        <w:rPr/>
        <w:t>元按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的比例折合为万达信息股份有限公司</w:t>
      </w:r>
      <w:r>
        <w:rPr>
          <w:rFonts w:ascii="Times New Roman" w:hAnsi="Times New Roman" w:cs="Times New Roman" w:eastAsia="Times New Roman" w:hint="default"/>
        </w:rPr>
        <w:t>4,640</w:t>
      </w:r>
      <w:r>
        <w:rPr/>
        <w:t>万股发起人法人</w:t>
      </w:r>
      <w:r>
        <w:rPr>
          <w:spacing w:val="66"/>
        </w:rPr>
        <w:t> </w:t>
      </w:r>
      <w:r>
        <w:rPr>
          <w:spacing w:val="66"/>
        </w:rPr>
      </w:r>
      <w:r>
        <w:rPr>
          <w:spacing w:val="-3"/>
        </w:rPr>
        <w:t>股，溢余部分列入资本公积</w:t>
      </w:r>
      <w:r>
        <w:rPr>
          <w:rFonts w:ascii="Times New Roman" w:hAnsi="Times New Roman" w:cs="Times New Roman" w:eastAsia="Times New Roman" w:hint="default"/>
          <w:spacing w:val="-3"/>
        </w:rPr>
        <w:t>,</w:t>
      </w:r>
      <w:r>
        <w:rPr>
          <w:spacing w:val="-3"/>
        </w:rPr>
        <w:t>货币资金出资</w:t>
      </w:r>
      <w:r>
        <w:rPr>
          <w:rFonts w:ascii="Times New Roman" w:hAnsi="Times New Roman" w:cs="Times New Roman" w:eastAsia="Times New Roman" w:hint="default"/>
          <w:spacing w:val="-3"/>
        </w:rPr>
        <w:t>860</w:t>
      </w:r>
      <w:r>
        <w:rPr>
          <w:spacing w:val="-3"/>
        </w:rPr>
        <w:t>万元按</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1</w:t>
      </w:r>
      <w:r>
        <w:rPr>
          <w:spacing w:val="-3"/>
        </w:rPr>
        <w:t>的比例折合为万达信息股份有限公司</w:t>
      </w:r>
      <w:r>
        <w:rPr>
          <w:rFonts w:ascii="Times New Roman" w:hAnsi="Times New Roman" w:cs="Times New Roman" w:eastAsia="Times New Roman" w:hint="default"/>
          <w:spacing w:val="-3"/>
        </w:rPr>
        <w:t>860</w:t>
      </w:r>
      <w:r>
        <w:rPr>
          <w:spacing w:val="-3"/>
        </w:rPr>
        <w:t>万股发起</w:t>
      </w:r>
      <w:r>
        <w:rPr>
          <w:spacing w:val="-38"/>
        </w:rPr>
        <w:t> </w:t>
      </w:r>
      <w:r>
        <w:rPr>
          <w:spacing w:val="-38"/>
        </w:rPr>
      </w:r>
      <w:r>
        <w:rPr/>
        <w:t>人法人股。股份公司于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日取得换发后的企业法人营业执照，公司注册资本为</w:t>
      </w:r>
      <w:r>
        <w:rPr>
          <w:rFonts w:ascii="Times New Roman" w:hAnsi="Times New Roman" w:cs="Times New Roman" w:eastAsia="Times New Roman" w:hint="default"/>
        </w:rPr>
        <w:t>5,500</w:t>
      </w:r>
      <w:r>
        <w:rPr/>
        <w:t>万元。</w:t>
      </w:r>
      <w:r>
        <w:rPr>
          <w:w w:val="100"/>
        </w:rPr>
        <w:t> </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日经上海万达信息股份有限公司临时股东大会决议、上海市经济体制改革委员会于</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9</w:t>
      </w:r>
      <w:r>
        <w:rPr>
          <w:spacing w:val="-2"/>
        </w:rPr>
        <w:t>月</w:t>
      </w:r>
    </w:p>
    <w:p>
      <w:pPr>
        <w:pStyle w:val="BodyText"/>
        <w:spacing w:line="261" w:lineRule="auto"/>
        <w:ind w:right="100"/>
        <w:jc w:val="left"/>
      </w:pPr>
      <w:r>
        <w:rPr>
          <w:rFonts w:ascii="Times New Roman" w:hAnsi="Times New Roman" w:cs="Times New Roman" w:eastAsia="Times New Roman" w:hint="default"/>
        </w:rPr>
        <w:t>30</w:t>
      </w:r>
      <w:r>
        <w:rPr/>
        <w:t>日以沪体改批字（</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015</w:t>
      </w:r>
      <w:r>
        <w:rPr/>
        <w:t>号文《关于同意上海万达信息股份有限公司职工持股会持股还原为自然人</w:t>
      </w:r>
      <w:r>
        <w:rPr>
          <w:spacing w:val="-29"/>
        </w:rPr>
        <w:t> </w:t>
      </w:r>
      <w:r>
        <w:rPr>
          <w:spacing w:val="-29"/>
        </w:rPr>
      </w:r>
      <w:r>
        <w:rPr>
          <w:spacing w:val="-5"/>
        </w:rPr>
        <w:t>持股的批复》，同意将职工持股会所持有万达股份公司</w:t>
      </w:r>
      <w:r>
        <w:rPr>
          <w:rFonts w:ascii="Times New Roman" w:hAnsi="Times New Roman" w:cs="Times New Roman" w:eastAsia="Times New Roman" w:hint="default"/>
          <w:spacing w:val="-5"/>
        </w:rPr>
        <w:t>24.27%</w:t>
      </w:r>
      <w:r>
        <w:rPr>
          <w:spacing w:val="-5"/>
        </w:rPr>
        <w:t>的股份（共计</w:t>
      </w:r>
      <w:r>
        <w:rPr>
          <w:rFonts w:ascii="Times New Roman" w:hAnsi="Times New Roman" w:cs="Times New Roman" w:eastAsia="Times New Roman" w:hint="default"/>
          <w:spacing w:val="-5"/>
        </w:rPr>
        <w:t>1,335</w:t>
      </w:r>
      <w:r>
        <w:rPr>
          <w:spacing w:val="-5"/>
        </w:rPr>
        <w:t>万元）还原到自然人持有，</w:t>
      </w:r>
      <w:r>
        <w:rPr>
          <w:spacing w:val="-47"/>
        </w:rPr>
        <w:t> </w:t>
      </w:r>
      <w:r>
        <w:rPr>
          <w:spacing w:val="-47"/>
        </w:rPr>
      </w:r>
      <w:r>
        <w:rPr/>
        <w:t>还原后注册资本仍为人民币</w:t>
      </w:r>
      <w:r>
        <w:rPr>
          <w:rFonts w:ascii="Times New Roman" w:hAnsi="Times New Roman" w:cs="Times New Roman" w:eastAsia="Times New Roman" w:hint="default"/>
        </w:rPr>
        <w:t>5,500</w:t>
      </w:r>
      <w:r>
        <w:rPr/>
        <w:t>万元。</w:t>
      </w:r>
      <w:r>
        <w:rPr>
          <w:w w:val="100"/>
        </w:rPr>
        <w:t>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日根据公司</w:t>
      </w:r>
      <w:r>
        <w:rPr>
          <w:rFonts w:ascii="Times New Roman" w:hAnsi="Times New Roman" w:cs="Times New Roman" w:eastAsia="Times New Roman" w:hint="default"/>
        </w:rPr>
        <w:t>2001</w:t>
      </w:r>
      <w:r>
        <w:rPr/>
        <w:t>年度第四次临时股东大会决议，公司由原股东增加股本人民币</w:t>
      </w:r>
      <w:r>
        <w:rPr>
          <w:rFonts w:ascii="Times New Roman" w:hAnsi="Times New Roman" w:cs="Times New Roman" w:eastAsia="Times New Roman" w:hint="default"/>
        </w:rPr>
        <w:t>1,000</w:t>
      </w:r>
      <w:r>
        <w:rPr/>
        <w:t>万元，变</w:t>
      </w:r>
      <w:r>
        <w:rPr>
          <w:spacing w:val="-81"/>
        </w:rPr>
        <w:t> </w:t>
      </w:r>
      <w:r>
        <w:rPr>
          <w:spacing w:val="-81"/>
        </w:rPr>
      </w:r>
      <w:r>
        <w:rPr/>
        <w:t>更后的股本为人民币</w:t>
      </w:r>
      <w:r>
        <w:rPr>
          <w:rFonts w:ascii="Times New Roman" w:hAnsi="Times New Roman" w:cs="Times New Roman" w:eastAsia="Times New Roman" w:hint="default"/>
        </w:rPr>
        <w:t>6,500</w:t>
      </w:r>
      <w:r>
        <w:rPr/>
        <w:t>万元</w:t>
      </w:r>
      <w:r>
        <w:rPr>
          <w:rFonts w:ascii="Times New Roman" w:hAnsi="Times New Roman" w:cs="Times New Roman" w:eastAsia="Times New Roman" w:hint="default"/>
        </w:rPr>
        <w:t>,</w:t>
      </w:r>
      <w:r>
        <w:rPr/>
        <w:t>根据上海市国有资产管理委员会沪国资委授</w:t>
      </w:r>
      <w:r>
        <w:rPr>
          <w:rFonts w:ascii="Times New Roman" w:hAnsi="Times New Roman" w:cs="Times New Roman" w:eastAsia="Times New Roman" w:hint="default"/>
        </w:rPr>
        <w:t>[1998]5</w:t>
      </w:r>
      <w:r>
        <w:rPr/>
        <w:t>号文《关于授权上海机</w:t>
      </w:r>
      <w:r>
        <w:rPr>
          <w:spacing w:val="-60"/>
        </w:rPr>
        <w:t> </w:t>
      </w:r>
      <w:r>
        <w:rPr>
          <w:spacing w:val="-2"/>
        </w:rPr>
        <w:t>场（集团）有限公司统一经营上海机场（集团）有限公司国有资产的批复》，公司股东上海浦东国际机场</w:t>
      </w:r>
      <w:r>
        <w:rPr>
          <w:spacing w:val="-42"/>
        </w:rPr>
        <w:t> </w:t>
      </w:r>
      <w:r>
        <w:rPr>
          <w:spacing w:val="-42"/>
        </w:rPr>
      </w:r>
      <w:r>
        <w:rPr/>
        <w:t>公司改为上海机场（集团）有限公司</w:t>
      </w:r>
      <w:r>
        <w:rPr>
          <w:rFonts w:ascii="Times New Roman" w:hAnsi="Times New Roman" w:cs="Times New Roman" w:eastAsia="Times New Roman" w:hint="default"/>
        </w:rPr>
        <w:t>, 2001</w:t>
      </w:r>
      <w:r>
        <w:rPr/>
        <w:t>年，公司股东由上海有线电视台改为上海电视台；根据《中共</w:t>
      </w:r>
      <w:r>
        <w:rPr>
          <w:spacing w:val="-72"/>
        </w:rPr>
        <w:t> </w:t>
      </w:r>
      <w:r>
        <w:rPr>
          <w:spacing w:val="-72"/>
        </w:rPr>
      </w:r>
      <w:r>
        <w:rPr>
          <w:spacing w:val="-2"/>
        </w:rPr>
        <w:t>上海市委、上海市人民政府关于组建上海电影（集团）公司和上海文广新闻传媒集团的批复》，公司股东</w:t>
      </w:r>
      <w:r>
        <w:rPr>
          <w:spacing w:val="-43"/>
        </w:rPr>
        <w:t> </w:t>
      </w:r>
      <w:r>
        <w:rPr>
          <w:spacing w:val="-43"/>
        </w:rPr>
      </w:r>
      <w:r>
        <w:rPr/>
        <w:t>上海电视台后改为上海文广新闻传媒集团。</w:t>
      </w:r>
      <w:r>
        <w:rPr>
          <w:w w:val="100"/>
        </w:rPr>
        <w:t> </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月，经万达信息股东大会审议通过，同意上海万豪投资有限公司受让其他股东持有的部分股权，</w:t>
      </w:r>
      <w:r>
        <w:rPr>
          <w:w w:val="100"/>
        </w:rPr>
        <w:t> </w:t>
      </w:r>
      <w:r>
        <w:rPr/>
        <w:t>股权转让后，上海万豪投资有限公司共计持有万达信息股权比例为</w:t>
      </w:r>
      <w:r>
        <w:rPr>
          <w:rFonts w:ascii="Times New Roman" w:hAnsi="Times New Roman" w:cs="Times New Roman" w:eastAsia="Times New Roman" w:hint="default"/>
        </w:rPr>
        <w:t>45.26%</w:t>
      </w:r>
      <w:r>
        <w:rPr/>
        <w:t>。</w:t>
      </w:r>
      <w:r>
        <w:rPr>
          <w:w w:val="100"/>
        </w:rPr>
        <w:t> </w:t>
      </w:r>
      <w:r>
        <w:rPr>
          <w:spacing w:val="-3"/>
        </w:rPr>
        <w:t>根据公司</w:t>
      </w:r>
      <w:r>
        <w:rPr>
          <w:rFonts w:ascii="Times New Roman" w:hAnsi="Times New Roman" w:cs="Times New Roman" w:eastAsia="Times New Roman" w:hint="default"/>
          <w:spacing w:val="-3"/>
        </w:rPr>
        <w:t>2006</w:t>
      </w:r>
      <w:r>
        <w:rPr>
          <w:spacing w:val="-3"/>
        </w:rPr>
        <w:t>年第一次股东大会决议和修改后章程的规定，公司申请增加注册资本人民币</w:t>
      </w:r>
      <w:r>
        <w:rPr>
          <w:rFonts w:ascii="Times New Roman" w:hAnsi="Times New Roman" w:cs="Times New Roman" w:eastAsia="Times New Roman" w:hint="default"/>
          <w:spacing w:val="-3"/>
        </w:rPr>
        <w:t>1,400</w:t>
      </w:r>
      <w:r>
        <w:rPr>
          <w:spacing w:val="-3"/>
        </w:rPr>
        <w:t>万元，变更</w:t>
      </w:r>
      <w:r>
        <w:rPr>
          <w:spacing w:val="-34"/>
        </w:rPr>
        <w:t> </w:t>
      </w:r>
      <w:r>
        <w:rPr>
          <w:spacing w:val="-34"/>
        </w:rPr>
      </w:r>
      <w:r>
        <w:rPr/>
        <w:t>后的注册资本为人民币</w:t>
      </w:r>
      <w:r>
        <w:rPr>
          <w:rFonts w:ascii="Times New Roman" w:hAnsi="Times New Roman" w:cs="Times New Roman" w:eastAsia="Times New Roman" w:hint="default"/>
        </w:rPr>
        <w:t>7,900</w:t>
      </w:r>
      <w:r>
        <w:rPr/>
        <w:t>万元。</w:t>
      </w:r>
      <w:r>
        <w:rPr>
          <w:w w:val="100"/>
        </w:rPr>
        <w:t> </w:t>
      </w:r>
      <w:r>
        <w:rPr>
          <w:spacing w:val="3"/>
        </w:rPr>
        <w:t>根据公司</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23</w:t>
      </w:r>
      <w:r>
        <w:rPr>
          <w:spacing w:val="3"/>
        </w:rPr>
        <w:t>日召开的临时股东大会决议和修改后章程的规定，公司申请增加注册资本人民币</w:t>
      </w:r>
      <w:r>
        <w:rPr>
          <w:spacing w:val="8"/>
        </w:rPr>
        <w:t> </w:t>
      </w:r>
      <w:r>
        <w:rPr>
          <w:spacing w:val="8"/>
        </w:rPr>
      </w:r>
      <w:r>
        <w:rPr>
          <w:rFonts w:ascii="Times New Roman" w:hAnsi="Times New Roman" w:cs="Times New Roman" w:eastAsia="Times New Roman" w:hint="default"/>
        </w:rPr>
        <w:t>1,100</w:t>
      </w:r>
      <w:r>
        <w:rPr/>
        <w:t>万元，变更后的注册资本为人民币</w:t>
      </w:r>
      <w:r>
        <w:rPr>
          <w:rFonts w:ascii="Times New Roman" w:hAnsi="Times New Roman" w:cs="Times New Roman" w:eastAsia="Times New Roman" w:hint="default"/>
        </w:rPr>
        <w:t>9,000</w:t>
      </w:r>
      <w:r>
        <w:rPr/>
        <w:t>万元。新增注册资本由原股东上海万豪投资有限公司、新股</w:t>
      </w:r>
      <w:r>
        <w:rPr>
          <w:spacing w:val="-24"/>
        </w:rPr>
        <w:t> </w:t>
      </w:r>
      <w:r>
        <w:rPr>
          <w:spacing w:val="-24"/>
        </w:rPr>
      </w:r>
      <w:r>
        <w:rPr>
          <w:spacing w:val="-2"/>
        </w:rPr>
        <w:t>东上海燊博投资管理有限公司、北京赛昂传媒投资有限公司、深圳市中庸实业有限公司和北京世纪凯悦投</w:t>
      </w:r>
      <w:r>
        <w:rPr>
          <w:spacing w:val="-41"/>
        </w:rPr>
        <w:t> </w:t>
      </w:r>
      <w:r>
        <w:rPr>
          <w:spacing w:val="-41"/>
        </w:rPr>
      </w:r>
      <w:r>
        <w:rPr/>
        <w:t>资有限公司认缴。根据上海市科学技术委员会</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日签发的【沪科（</w:t>
      </w:r>
      <w:r>
        <w:rPr>
          <w:rFonts w:ascii="Times New Roman" w:hAnsi="Times New Roman" w:cs="Times New Roman" w:eastAsia="Times New Roman" w:hint="default"/>
        </w:rPr>
        <w:t>2007</w:t>
      </w:r>
      <w:r>
        <w:rPr/>
        <w:t>）第</w:t>
      </w:r>
      <w:r>
        <w:rPr>
          <w:rFonts w:ascii="Times New Roman" w:hAnsi="Times New Roman" w:cs="Times New Roman" w:eastAsia="Times New Roman" w:hint="default"/>
        </w:rPr>
        <w:t>563</w:t>
      </w:r>
      <w:r>
        <w:rPr/>
        <w:t>号】《关于撤</w:t>
      </w:r>
      <w:r>
        <w:rPr>
          <w:spacing w:val="-26"/>
        </w:rPr>
        <w:t> </w:t>
      </w:r>
      <w:r>
        <w:rPr>
          <w:spacing w:val="-26"/>
        </w:rPr>
      </w:r>
      <w:r>
        <w:rPr>
          <w:spacing w:val="-2"/>
        </w:rPr>
        <w:t>销上海计算机软件研究所及资产划转上海计算机软件技术开发中心管理的通知》，万达信息股东上海计算</w:t>
      </w:r>
      <w:r>
        <w:rPr>
          <w:spacing w:val="-44"/>
        </w:rPr>
        <w:t> </w:t>
      </w:r>
      <w:r>
        <w:rPr>
          <w:spacing w:val="-44"/>
        </w:rPr>
      </w:r>
      <w:r>
        <w:rPr>
          <w:spacing w:val="-2"/>
        </w:rPr>
        <w:t>机软件研究所撤销，其资产划转上海计算机软件技术开发中心，其他相关事宜由上海计算机软件技术开发</w:t>
      </w:r>
      <w:r>
        <w:rPr>
          <w:spacing w:val="-43"/>
        </w:rPr>
        <w:t> </w:t>
      </w:r>
      <w:r>
        <w:rPr>
          <w:spacing w:val="-43"/>
        </w:rPr>
      </w:r>
      <w:r>
        <w:rPr>
          <w:spacing w:val="-2"/>
        </w:rPr>
        <w:t>中心办理。万达信息董事会</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日召开临时会议通过了将原股东上海计算机软件研究所变更为上海</w:t>
      </w:r>
      <w:r>
        <w:rPr>
          <w:spacing w:val="-37"/>
        </w:rPr>
        <w:t> </w:t>
      </w:r>
      <w:r>
        <w:rPr>
          <w:spacing w:val="-37"/>
        </w:rPr>
      </w:r>
      <w:r>
        <w:rPr/>
        <w:t>计算机软件技术开发中心的决议。</w:t>
      </w:r>
      <w:r>
        <w:rPr>
          <w:w w:val="100"/>
        </w:rPr>
        <w:t> </w:t>
      </w:r>
      <w:r>
        <w:rPr/>
        <w:t>经中国证券监督管理委员会证监许可</w:t>
      </w:r>
      <w:r>
        <w:rPr>
          <w:rFonts w:ascii="Times New Roman" w:hAnsi="Times New Roman" w:cs="Times New Roman" w:eastAsia="Times New Roman" w:hint="default"/>
        </w:rPr>
        <w:t>[2010]1905</w:t>
      </w:r>
      <w:r>
        <w:rPr/>
        <w:t>号文《关于核准万达信息股份有限公司首次公开发行股票</w:t>
      </w:r>
      <w:r>
        <w:rPr>
          <w:spacing w:val="-56"/>
        </w:rPr>
        <w:t> </w:t>
      </w:r>
      <w:r>
        <w:rPr>
          <w:spacing w:val="-56"/>
        </w:rPr>
      </w:r>
      <w:r>
        <w:rPr>
          <w:spacing w:val="-2"/>
        </w:rPr>
        <w:t>并在创业板上市的批复》的核准，公司采用网下向股票配售对象询价配售发行与网上向社会公众投资者定</w:t>
      </w:r>
      <w:r>
        <w:rPr>
          <w:spacing w:val="-43"/>
        </w:rPr>
        <w:t> </w:t>
      </w:r>
      <w:r>
        <w:rPr>
          <w:spacing w:val="-43"/>
        </w:rPr>
      </w:r>
      <w:r>
        <w:rPr/>
        <w:t>价发行相结合的方式向社会公开发行</w:t>
      </w:r>
      <w:r>
        <w:rPr>
          <w:rFonts w:ascii="Times New Roman" w:hAnsi="Times New Roman" w:cs="Times New Roman" w:eastAsia="Times New Roman" w:hint="default"/>
        </w:rPr>
        <w:t>3,000</w:t>
      </w:r>
      <w:r>
        <w:rPr/>
        <w:t>万股普通股并于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日起在深圳证券交易所上市交易，</w:t>
      </w:r>
      <w:r>
        <w:rPr>
          <w:spacing w:val="-77"/>
        </w:rPr>
        <w:t> </w:t>
      </w:r>
      <w:r>
        <w:rPr>
          <w:spacing w:val="-77"/>
        </w:rPr>
      </w:r>
      <w:r>
        <w:rPr>
          <w:spacing w:val="2"/>
        </w:rPr>
        <w:t>发行价格为每股</w:t>
      </w:r>
      <w:r>
        <w:rPr>
          <w:rFonts w:ascii="Times New Roman" w:hAnsi="Times New Roman" w:cs="Times New Roman" w:eastAsia="Times New Roman" w:hint="default"/>
          <w:spacing w:val="2"/>
        </w:rPr>
        <w:t>28.00</w:t>
      </w:r>
      <w:r>
        <w:rPr>
          <w:spacing w:val="2"/>
        </w:rPr>
        <w:t>元，募集资金总额为</w:t>
      </w:r>
      <w:r>
        <w:rPr>
          <w:rFonts w:ascii="Times New Roman" w:hAnsi="Times New Roman" w:cs="Times New Roman" w:eastAsia="Times New Roman" w:hint="default"/>
          <w:spacing w:val="2"/>
        </w:rPr>
        <w:t>84,000</w:t>
      </w:r>
      <w:r>
        <w:rPr>
          <w:spacing w:val="2"/>
        </w:rPr>
        <w:t>万元。扣除发行费用</w:t>
      </w:r>
      <w:r>
        <w:rPr>
          <w:rFonts w:ascii="Times New Roman" w:hAnsi="Times New Roman" w:cs="Times New Roman" w:eastAsia="Times New Roman" w:hint="default"/>
          <w:spacing w:val="2"/>
        </w:rPr>
        <w:t>6,387.50</w:t>
      </w:r>
      <w:r>
        <w:rPr>
          <w:spacing w:val="2"/>
        </w:rPr>
        <w:t>万元</w:t>
      </w:r>
      <w:r>
        <w:rPr>
          <w:rFonts w:ascii="Times New Roman" w:hAnsi="Times New Roman" w:cs="Times New Roman" w:eastAsia="Times New Roman" w:hint="default"/>
          <w:spacing w:val="2"/>
        </w:rPr>
        <w:t>,</w:t>
      </w:r>
      <w:r>
        <w:rPr>
          <w:spacing w:val="2"/>
        </w:rPr>
        <w:t>实际募集资金净额为</w:t>
      </w:r>
      <w:r>
        <w:rPr>
          <w:spacing w:val="-3"/>
        </w:rPr>
        <w:t> </w:t>
      </w:r>
      <w:r>
        <w:rPr>
          <w:spacing w:val="-3"/>
        </w:rPr>
      </w:r>
      <w:r>
        <w:rPr>
          <w:rFonts w:ascii="Times New Roman" w:hAnsi="Times New Roman" w:cs="Times New Roman" w:eastAsia="Times New Roman" w:hint="default"/>
        </w:rPr>
        <w:t>77,612.50</w:t>
      </w:r>
      <w:r>
        <w:rPr/>
        <w:t>万元。立信会计师事务所有限公司已于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日对公司本次发行募集资金到位情况进行了</w:t>
      </w:r>
      <w:r>
        <w:rPr>
          <w:spacing w:val="-26"/>
        </w:rPr>
        <w:t> </w:t>
      </w:r>
      <w:r>
        <w:rPr>
          <w:spacing w:val="-26"/>
        </w:rPr>
      </w:r>
      <w:r>
        <w:rPr/>
        <w:t>审验，并出具了信会师报字（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10154</w:t>
      </w:r>
      <w:r>
        <w:rPr/>
        <w:t>号《验资报告》。变更后的注册资本为人民币</w:t>
      </w:r>
      <w:r>
        <w:rPr>
          <w:rFonts w:ascii="Times New Roman" w:hAnsi="Times New Roman" w:cs="Times New Roman" w:eastAsia="Times New Roman" w:hint="default"/>
        </w:rPr>
        <w:t>12,000</w:t>
      </w:r>
      <w:r>
        <w:rPr/>
        <w:t>万元。</w:t>
      </w:r>
      <w:r>
        <w:rPr>
          <w:w w:val="100"/>
        </w:rPr>
        <w:t> </w:t>
      </w:r>
      <w:r>
        <w:rPr/>
        <w:t>根据公司</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3 </w:t>
      </w:r>
      <w:r>
        <w:rPr/>
        <w:t>日召开的</w:t>
      </w:r>
      <w:r>
        <w:rPr>
          <w:rFonts w:ascii="Times New Roman" w:hAnsi="Times New Roman" w:cs="Times New Roman" w:eastAsia="Times New Roman" w:hint="default"/>
        </w:rPr>
        <w:t>2012 </w:t>
      </w:r>
      <w:r>
        <w:rPr/>
        <w:t>年第二次临时股东大会审议通过：以公司原有总股本</w:t>
      </w:r>
      <w:r>
        <w:rPr>
          <w:rFonts w:ascii="Times New Roman" w:hAnsi="Times New Roman" w:cs="Times New Roman" w:eastAsia="Times New Roman" w:hint="default"/>
        </w:rPr>
        <w:t>120,000,000</w:t>
      </w:r>
      <w:r>
        <w:rPr>
          <w:rFonts w:ascii="Times New Roman" w:hAnsi="Times New Roman" w:cs="Times New Roman" w:eastAsia="Times New Roman" w:hint="default"/>
          <w:spacing w:val="25"/>
        </w:rPr>
        <w:t> </w:t>
      </w:r>
      <w:r>
        <w:rPr/>
        <w:t>股</w:t>
      </w:r>
      <w:r>
        <w:rPr>
          <w:w w:val="100"/>
        </w:rPr>
        <w:t> </w:t>
      </w:r>
      <w:r>
        <w:rPr/>
        <w:t>为基数，以资本公积金向全体股东每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w:t>
      </w:r>
    </w:p>
    <w:p>
      <w:pPr>
        <w:pStyle w:val="BodyText"/>
        <w:spacing w:line="256" w:lineRule="auto"/>
        <w:ind w:right="101"/>
        <w:jc w:val="both"/>
      </w:pPr>
      <w:r>
        <w:rPr/>
        <w:t>分红前本公司总股本为</w:t>
      </w:r>
      <w:r>
        <w:rPr>
          <w:rFonts w:ascii="Times New Roman" w:hAnsi="Times New Roman" w:cs="Times New Roman" w:eastAsia="Times New Roman" w:hint="default"/>
        </w:rPr>
        <w:t>120,000,000 </w:t>
      </w:r>
      <w:r>
        <w:rPr>
          <w:spacing w:val="-4"/>
        </w:rPr>
        <w:t>股，分红后总股本增至</w:t>
      </w:r>
      <w:r>
        <w:rPr>
          <w:rFonts w:ascii="Times New Roman" w:hAnsi="Times New Roman" w:cs="Times New Roman" w:eastAsia="Times New Roman" w:hint="default"/>
          <w:spacing w:val="-4"/>
        </w:rPr>
        <w:t>240,000,000 </w:t>
      </w:r>
      <w:r>
        <w:rPr>
          <w:spacing w:val="-4"/>
        </w:rPr>
        <w:t>股。公司已于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26</w:t>
      </w:r>
      <w:r>
        <w:rPr>
          <w:spacing w:val="-4"/>
        </w:rPr>
        <w:t>日实施完</w:t>
      </w:r>
      <w:r>
        <w:rPr>
          <w:spacing w:val="-78"/>
        </w:rPr>
        <w:t> </w:t>
      </w:r>
      <w:r>
        <w:rPr>
          <w:spacing w:val="-78"/>
        </w:rPr>
      </w:r>
      <w:r>
        <w:rPr/>
        <w:t>成了上述</w:t>
      </w:r>
      <w:r>
        <w:rPr>
          <w:rFonts w:ascii="Times New Roman" w:hAnsi="Times New Roman" w:cs="Times New Roman" w:eastAsia="Times New Roman" w:hint="default"/>
        </w:rPr>
        <w:t>2012</w:t>
      </w:r>
      <w:r>
        <w:rPr/>
        <w:t>年半年度权益分派。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日，公司已取得了上海市工商行政管理局换发的《企业法</w:t>
      </w:r>
      <w:r>
        <w:rPr>
          <w:spacing w:val="-28"/>
        </w:rPr>
        <w:t> </w:t>
      </w:r>
      <w:r>
        <w:rPr>
          <w:spacing w:val="-28"/>
        </w:rPr>
      </w:r>
      <w:r>
        <w:rPr/>
        <w:t>人营业执照》，完成了工商变更登记手续。</w:t>
      </w:r>
    </w:p>
    <w:p>
      <w:pPr>
        <w:spacing w:line="240" w:lineRule="auto" w:before="7"/>
        <w:rPr>
          <w:rFonts w:ascii="宋体" w:hAnsi="宋体" w:cs="宋体" w:eastAsia="宋体" w:hint="default"/>
          <w:sz w:val="25"/>
          <w:szCs w:val="25"/>
        </w:rPr>
      </w:pPr>
    </w:p>
    <w:p>
      <w:pPr>
        <w:pStyle w:val="BodyText"/>
        <w:spacing w:line="273" w:lineRule="auto"/>
        <w:ind w:right="100"/>
        <w:jc w:val="left"/>
      </w:pPr>
      <w:r>
        <w:rPr>
          <w:spacing w:val="-5"/>
        </w:rPr>
        <w:t>公司所属行业为信息服务业。公司经营范围为：计算机专业领域内的技术咨询、开发、转让、培训、承包、</w:t>
      </w:r>
      <w:r>
        <w:rPr>
          <w:spacing w:val="-6"/>
        </w:rPr>
        <w:t> </w:t>
      </w:r>
      <w:r>
        <w:rPr>
          <w:spacing w:val="-6"/>
        </w:rPr>
      </w:r>
      <w:r>
        <w:rPr>
          <w:spacing w:val="-2"/>
        </w:rPr>
        <w:t>中介、入股及新产品的研制、试销，计算机及配件，普通机械及电器机械与器材，经济信息咨询服务，机</w:t>
      </w:r>
      <w:r>
        <w:rPr>
          <w:spacing w:val="-45"/>
        </w:rPr>
        <w:t> </w:t>
      </w:r>
      <w:r>
        <w:rPr>
          <w:spacing w:val="-45"/>
        </w:rPr>
      </w:r>
      <w:r>
        <w:rPr>
          <w:spacing w:val="-9"/>
          <w:w w:val="100"/>
        </w:rPr>
        <w:t>械电器设备租赁，电子产品及通信设备销售，计算机信息系统集成，建筑智能化系统集成，（设计、施工），</w:t>
      </w:r>
      <w:r>
        <w:rPr>
          <w:spacing w:val="-77"/>
          <w:w w:val="100"/>
        </w:rPr>
        <w:t> </w:t>
      </w:r>
      <w:r>
        <w:rPr>
          <w:spacing w:val="-77"/>
          <w:w w:val="100"/>
        </w:rPr>
      </w:r>
      <w:r>
        <w:rPr/>
        <w:t>机场空管工程及航站楼弱电系统工程，自营进出口（企业经营涉及行政许可的，凭许可证件经营）。</w:t>
      </w:r>
    </w:p>
    <w:p>
      <w:pPr>
        <w:spacing w:after="0" w:line="273"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66" w:lineRule="auto" w:before="36"/>
        <w:ind w:right="4209"/>
        <w:jc w:val="left"/>
      </w:pPr>
      <w:r>
        <w:rPr/>
        <w:t>公司法定代表人：史一兵</w:t>
      </w:r>
      <w:r>
        <w:rPr>
          <w:w w:val="100"/>
        </w:rPr>
        <w:t> </w:t>
      </w:r>
      <w:r>
        <w:rPr/>
        <w:t>公司注册地址：上海市桂平路</w:t>
      </w:r>
      <w:r>
        <w:rPr>
          <w:rFonts w:ascii="Times New Roman" w:hAnsi="Times New Roman" w:cs="Times New Roman" w:eastAsia="Times New Roman" w:hint="default"/>
        </w:rPr>
        <w:t>481</w:t>
      </w:r>
      <w:r>
        <w:rPr/>
        <w:t>号</w:t>
      </w:r>
      <w:r>
        <w:rPr>
          <w:rFonts w:ascii="Times New Roman" w:hAnsi="Times New Roman" w:cs="Times New Roman" w:eastAsia="Times New Roman" w:hint="default"/>
        </w:rPr>
        <w:t>20</w:t>
      </w:r>
      <w:r>
        <w:rPr/>
        <w:t>号楼</w:t>
      </w:r>
      <w:r>
        <w:rPr>
          <w:rFonts w:ascii="Times New Roman" w:hAnsi="Times New Roman" w:cs="Times New Roman" w:eastAsia="Times New Roman" w:hint="default"/>
        </w:rPr>
        <w:t>5</w:t>
      </w:r>
      <w:r>
        <w:rPr/>
        <w:t>层</w:t>
      </w:r>
      <w:r>
        <w:rPr>
          <w:w w:val="100"/>
        </w:rPr>
        <w:t> </w:t>
      </w:r>
      <w:r>
        <w:rPr/>
        <w:t>公司办公地址：上海市联航路</w:t>
      </w:r>
      <w:r>
        <w:rPr>
          <w:rFonts w:ascii="Times New Roman" w:hAnsi="Times New Roman" w:cs="Times New Roman" w:eastAsia="Times New Roman" w:hint="default"/>
        </w:rPr>
        <w:t>1518</w:t>
      </w:r>
      <w:r>
        <w:rPr/>
        <w:t>号</w:t>
      </w:r>
    </w:p>
    <w:p>
      <w:pPr>
        <w:spacing w:line="240" w:lineRule="auto" w:before="9"/>
        <w:rPr>
          <w:rFonts w:ascii="宋体" w:hAnsi="宋体" w:cs="宋体" w:eastAsia="宋体" w:hint="default"/>
          <w:sz w:val="20"/>
          <w:szCs w:val="20"/>
        </w:rPr>
      </w:pPr>
    </w:p>
    <w:p>
      <w:pPr>
        <w:pStyle w:val="Heading2"/>
        <w:spacing w:line="240" w:lineRule="auto"/>
        <w:ind w:right="100"/>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0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206"/>
        <w:jc w:val="both"/>
      </w:pPr>
      <w:r>
        <w:rPr/>
        <w:t>公司以持续经营为基础，根据实际发生的交易和事项，按照财政部于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日颁布的《企业会计准</w:t>
      </w:r>
      <w:r>
        <w:rPr>
          <w:spacing w:val="-24"/>
        </w:rPr>
        <w:t> </w:t>
      </w:r>
      <w:r>
        <w:rPr>
          <w:spacing w:val="-24"/>
        </w:rPr>
      </w:r>
      <w:r>
        <w:rPr>
          <w:spacing w:val="-2"/>
        </w:rPr>
        <w:t>则</w:t>
      </w:r>
      <w:r>
        <w:rPr>
          <w:rFonts w:ascii="Times New Roman" w:hAnsi="Times New Roman" w:cs="Times New Roman" w:eastAsia="Times New Roman" w:hint="default"/>
          <w:spacing w:val="-2"/>
        </w:rPr>
        <w:t>——</w:t>
      </w:r>
      <w:r>
        <w:rPr>
          <w:spacing w:val="-2"/>
        </w:rPr>
        <w:t>基本准则》和</w:t>
      </w:r>
      <w:r>
        <w:rPr>
          <w:rFonts w:ascii="Times New Roman" w:hAnsi="Times New Roman" w:cs="Times New Roman" w:eastAsia="Times New Roman" w:hint="default"/>
          <w:spacing w:val="-2"/>
        </w:rPr>
        <w:t>38</w:t>
      </w:r>
      <w:r>
        <w:rPr>
          <w:spacing w:val="-2"/>
        </w:rPr>
        <w:t>项具体会计准则、其后颁布的企业会计准则应用指南、企业会计准则解释及其他相</w:t>
      </w:r>
      <w:r>
        <w:rPr>
          <w:spacing w:val="-43"/>
        </w:rPr>
        <w:t> </w:t>
      </w:r>
      <w:r>
        <w:rPr>
          <w:spacing w:val="-43"/>
        </w:rPr>
      </w:r>
      <w:r>
        <w:rPr>
          <w:w w:val="100"/>
        </w:rPr>
        <w:t>关规</w:t>
      </w:r>
      <w:r>
        <w:rPr>
          <w:spacing w:val="2"/>
          <w:w w:val="100"/>
        </w:rPr>
        <w:t>定</w:t>
      </w:r>
      <w:r>
        <w:rPr>
          <w:rFonts w:ascii="Times New Roman" w:hAnsi="Times New Roman" w:cs="Times New Roman" w:eastAsia="Times New Roman" w:hint="default"/>
          <w:spacing w:val="-1"/>
          <w:w w:val="100"/>
        </w:rPr>
        <w:t>(</w:t>
      </w:r>
      <w:r>
        <w:rPr>
          <w:spacing w:val="2"/>
          <w:w w:val="100"/>
        </w:rPr>
        <w:t>以</w:t>
      </w:r>
      <w:r>
        <w:rPr>
          <w:w w:val="100"/>
        </w:rPr>
        <w:t>下合称</w:t>
      </w:r>
      <w:r>
        <w:rPr>
          <w:rFonts w:ascii="Times New Roman" w:hAnsi="Times New Roman" w:cs="Times New Roman" w:eastAsia="Times New Roman" w:hint="default"/>
          <w:spacing w:val="2"/>
          <w:w w:val="44"/>
        </w:rPr>
        <w:t>―</w:t>
      </w:r>
      <w:r>
        <w:rPr>
          <w:w w:val="100"/>
        </w:rPr>
        <w:t>企业会计准</w:t>
      </w:r>
      <w:r>
        <w:rPr>
          <w:spacing w:val="3"/>
          <w:w w:val="100"/>
        </w:rPr>
        <w:t>则</w:t>
      </w:r>
      <w:r>
        <w:rPr>
          <w:rFonts w:ascii="Times New Roman" w:hAnsi="Times New Roman" w:cs="Times New Roman" w:eastAsia="Times New Roman" w:hint="default"/>
          <w:spacing w:val="-1"/>
          <w:w w:val="159"/>
        </w:rPr>
        <w:t>‖</w:t>
      </w:r>
      <w:r>
        <w:rPr>
          <w:rFonts w:ascii="Times New Roman" w:hAnsi="Times New Roman" w:cs="Times New Roman" w:eastAsia="Times New Roman" w:hint="default"/>
          <w:spacing w:val="-1"/>
          <w:w w:val="100"/>
        </w:rPr>
        <w:t>)</w:t>
      </w:r>
      <w:r>
        <w:rPr>
          <w:w w:val="100"/>
        </w:rPr>
        <w:t>、</w:t>
      </w:r>
      <w:r>
        <w:rPr>
          <w:spacing w:val="2"/>
          <w:w w:val="100"/>
        </w:rPr>
        <w:t>以</w:t>
      </w:r>
      <w:r>
        <w:rPr>
          <w:w w:val="100"/>
        </w:rPr>
        <w:t>及中国证券监督</w:t>
      </w:r>
      <w:r>
        <w:rPr>
          <w:spacing w:val="2"/>
          <w:w w:val="100"/>
        </w:rPr>
        <w:t>管</w:t>
      </w:r>
      <w:r>
        <w:rPr>
          <w:w w:val="100"/>
        </w:rPr>
        <w:t>理委员会《</w:t>
      </w:r>
      <w:r>
        <w:rPr>
          <w:spacing w:val="2"/>
          <w:w w:val="100"/>
        </w:rPr>
        <w:t>公</w:t>
      </w:r>
      <w:r>
        <w:rPr>
          <w:w w:val="100"/>
        </w:rPr>
        <w:t>开发行证</w:t>
      </w:r>
      <w:r>
        <w:rPr>
          <w:spacing w:val="2"/>
          <w:w w:val="100"/>
        </w:rPr>
        <w:t>券</w:t>
      </w:r>
      <w:r>
        <w:rPr>
          <w:w w:val="100"/>
        </w:rPr>
        <w:t>的公司信息</w:t>
      </w:r>
      <w:r>
        <w:rPr>
          <w:spacing w:val="2"/>
          <w:w w:val="100"/>
        </w:rPr>
        <w:t>披</w:t>
      </w:r>
      <w:r>
        <w:rPr>
          <w:w w:val="100"/>
        </w:rPr>
        <w:t>露编</w:t>
      </w:r>
      <w:r>
        <w:rPr>
          <w:spacing w:val="2"/>
          <w:w w:val="100"/>
        </w:rPr>
        <w:t>报</w:t>
      </w:r>
      <w:r>
        <w:rPr>
          <w:w w:val="100"/>
        </w:rPr>
        <w:t>规</w:t>
      </w:r>
      <w:r>
        <w:rPr>
          <w:w w:val="100"/>
        </w:rPr>
        <w:t> </w:t>
      </w:r>
      <w:r>
        <w:rPr/>
        <w:t>则第</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的披露规定编制财务报表。</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4"/>
        <w:spacing w:line="240" w:lineRule="auto"/>
        <w:ind w:right="10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0"/>
        <w:jc w:val="left"/>
      </w:pPr>
      <w:r>
        <w:rPr>
          <w:spacing w:val="-5"/>
        </w:rPr>
        <w:t>公司所编制的财务报表符合企业会计准则的要求，真实、完整地反映了报告期公司的财务状况、经营成果、</w:t>
      </w:r>
      <w:r>
        <w:rPr>
          <w:spacing w:val="-3"/>
        </w:rPr>
        <w:t> </w:t>
      </w:r>
      <w:r>
        <w:rPr>
          <w:spacing w:val="-3"/>
        </w:rPr>
      </w:r>
      <w:r>
        <w:rPr/>
        <w:t>现金流量等有关信息。</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506" w:lineRule="auto" w:before="0"/>
        <w:ind w:left="152" w:right="49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1"/>
          <w:sz w:val="21"/>
          <w:szCs w:val="21"/>
        </w:rPr>
        <w:t>自公历</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日至</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日止为一个会计年度。</w:t>
      </w:r>
    </w:p>
    <w:p>
      <w:pPr>
        <w:spacing w:line="240" w:lineRule="auto" w:before="9"/>
        <w:rPr>
          <w:rFonts w:ascii="宋体" w:hAnsi="宋体" w:cs="宋体" w:eastAsia="宋体" w:hint="default"/>
          <w:sz w:val="28"/>
          <w:szCs w:val="28"/>
        </w:rPr>
      </w:pPr>
    </w:p>
    <w:p>
      <w:pPr>
        <w:pStyle w:val="Heading4"/>
        <w:spacing w:line="240" w:lineRule="auto"/>
        <w:ind w:right="10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0"/>
        <w:jc w:val="left"/>
      </w:pPr>
      <w:r>
        <w:rPr>
          <w:spacing w:val="-2"/>
        </w:rPr>
        <w:t>采用人民币为记账本位币。境外子公司以其经营所处的主要经济环境中的货币为记账本位币，编制财务报</w:t>
      </w:r>
      <w:r>
        <w:rPr>
          <w:spacing w:val="-44"/>
        </w:rPr>
        <w:t> </w:t>
      </w:r>
      <w:r>
        <w:rPr>
          <w:spacing w:val="-44"/>
        </w:rPr>
      </w:r>
      <w:r>
        <w:rPr/>
        <w:t>表时折算为人民币。</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0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0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0"/>
        <w:jc w:val="left"/>
      </w:pPr>
      <w:r>
        <w:rPr>
          <w:spacing w:val="-2"/>
        </w:rPr>
        <w:t>本公司在企业合并中取得的资产和负债，按照合并日在被合并方的账面价值计量。被合并各方采用的会计</w:t>
      </w:r>
      <w:r>
        <w:rPr>
          <w:spacing w:val="-42"/>
        </w:rPr>
        <w:t> </w:t>
      </w:r>
      <w:r>
        <w:rPr>
          <w:spacing w:val="-42"/>
        </w:rPr>
      </w:r>
      <w:r>
        <w:rPr>
          <w:spacing w:val="-2"/>
        </w:rPr>
        <w:t>政策与本公司不一致的，本公司在合并日按照本公司会计政策进行调整，在此基础上按照调整后的账面价</w:t>
      </w:r>
      <w:r>
        <w:rPr>
          <w:spacing w:val="-43"/>
        </w:rPr>
        <w:t> </w:t>
      </w:r>
      <w:r>
        <w:rPr>
          <w:spacing w:val="-43"/>
        </w:rPr>
      </w:r>
      <w:r>
        <w:rPr/>
        <w:t>值确认。</w:t>
      </w:r>
      <w:r>
        <w:rPr>
          <w:w w:val="100"/>
        </w:rPr>
        <w:t> </w:t>
      </w:r>
      <w:r>
        <w:rPr>
          <w:spacing w:val="-2"/>
        </w:rPr>
        <w:t>在合并中取得的净资产账面价值与支付的合并对价账面价值（或发行股份面值总额）的差额，调整资本公</w:t>
      </w:r>
      <w:r>
        <w:rPr>
          <w:spacing w:val="-42"/>
        </w:rPr>
        <w:t> </w:t>
      </w:r>
      <w:r>
        <w:rPr>
          <w:spacing w:val="-42"/>
        </w:rPr>
      </w:r>
      <w:r>
        <w:rPr/>
        <w:t>积中的股本溢价，资本公积中的股本溢价不足冲减的，调整留存收益。</w:t>
      </w:r>
      <w:r>
        <w:rPr>
          <w:w w:val="100"/>
        </w:rPr>
        <w:t> </w:t>
      </w:r>
      <w:r>
        <w:rPr>
          <w:spacing w:val="-2"/>
        </w:rPr>
        <w:t>本公司为进行企业合并而发生的各项直接相关费用，包括为进行企业合并而支付的审计费用、评估费用、</w:t>
      </w:r>
      <w:r>
        <w:rPr>
          <w:spacing w:val="-21"/>
        </w:rPr>
        <w:t> </w:t>
      </w:r>
      <w:r>
        <w:rPr>
          <w:spacing w:val="-21"/>
        </w:rPr>
      </w:r>
      <w:r>
        <w:rPr/>
        <w:t>法律服务费等，于发生时计入当期损益。</w:t>
      </w:r>
      <w:r>
        <w:rPr>
          <w:w w:val="100"/>
        </w:rPr>
        <w:t> </w:t>
      </w:r>
      <w:r>
        <w:rPr>
          <w:spacing w:val="-2"/>
        </w:rPr>
        <w:t>企业合并中发行权益性证券发生的手续费、佣金等，抵减权益性证券溢价收入，溢价收入不足冲减的，冲</w:t>
      </w:r>
      <w:r>
        <w:rPr>
          <w:spacing w:val="-47"/>
        </w:rPr>
        <w:t> </w:t>
      </w:r>
      <w:r>
        <w:rPr>
          <w:spacing w:val="-47"/>
        </w:rPr>
      </w:r>
      <w:r>
        <w:rPr/>
        <w:t>减留存收益。</w:t>
      </w:r>
    </w:p>
    <w:p>
      <w:pPr>
        <w:spacing w:after="0" w:line="273"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10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10"/>
        <w:rPr>
          <w:rFonts w:ascii="宋体" w:hAnsi="宋体" w:cs="宋体" w:eastAsia="宋体" w:hint="default"/>
          <w:b/>
          <w:bCs/>
          <w:sz w:val="24"/>
          <w:szCs w:val="24"/>
        </w:rPr>
      </w:pPr>
    </w:p>
    <w:p>
      <w:pPr>
        <w:pStyle w:val="BodyText"/>
        <w:spacing w:line="271" w:lineRule="auto"/>
        <w:ind w:right="100"/>
        <w:jc w:val="left"/>
      </w:pPr>
      <w:r>
        <w:rPr/>
        <w:t>本公司在购买日对作为企业合并对价付出的资产、发生或承担的负债按照公允价值计量。公允价值与其账</w:t>
      </w:r>
      <w:r>
        <w:rPr>
          <w:w w:val="100"/>
        </w:rPr>
        <w:t> </w:t>
      </w:r>
      <w:r>
        <w:rPr/>
        <w:t>面价值的差额，计入当期损益。</w:t>
      </w:r>
      <w:r>
        <w:rPr>
          <w:w w:val="100"/>
        </w:rPr>
        <w:t> </w:t>
      </w:r>
      <w:r>
        <w:rPr>
          <w:spacing w:val="-2"/>
        </w:rPr>
        <w:t>本公司在购买日对合并成本进行分配，确认所取得的被购买方各项可辨认资产、负债及或有负债的公允价</w:t>
      </w:r>
      <w:r>
        <w:rPr>
          <w:spacing w:val="-44"/>
        </w:rPr>
        <w:t> </w:t>
      </w:r>
      <w:r>
        <w:rPr>
          <w:spacing w:val="-44"/>
        </w:rPr>
      </w:r>
      <w:r>
        <w:rPr/>
        <w:t>值。</w:t>
      </w:r>
      <w:r>
        <w:rPr>
          <w:spacing w:val="-103"/>
        </w:rPr>
        <w:t> </w:t>
      </w:r>
      <w:r>
        <w:rPr/>
        <w:t>本公司对合并成本大于合并中取得的被购买方可辨认净资产公允价值份额的差额，确认为商誉；合并成本</w:t>
      </w:r>
      <w:r>
        <w:rPr>
          <w:w w:val="100"/>
        </w:rPr>
        <w:t> </w:t>
      </w:r>
      <w:r>
        <w:rPr/>
        <w:t>小于合并中取得的被购买方可辨认净资产公允价值份额的差额，经复核后，计入当期损益。企业合并中取</w:t>
      </w:r>
      <w:r>
        <w:rPr>
          <w:w w:val="100"/>
        </w:rPr>
        <w:t> </w:t>
      </w:r>
      <w:r>
        <w:rPr>
          <w:spacing w:val="-2"/>
        </w:rPr>
        <w:t>得的被购买方除无形资产外的其他各项资产（不仅限于被购买方原已确认的资产），其所带来的经济利益</w:t>
      </w:r>
      <w:r>
        <w:rPr>
          <w:spacing w:val="-44"/>
        </w:rPr>
        <w:t> </w:t>
      </w:r>
      <w:r>
        <w:rPr>
          <w:spacing w:val="-44"/>
        </w:rPr>
      </w:r>
      <w:r>
        <w:rPr>
          <w:spacing w:val="-2"/>
        </w:rPr>
        <w:t>很可能流入本公司且公允价值能够可靠计量的，单独确认并按公允价值计量；公允价值能够可靠计量的无</w:t>
      </w:r>
      <w:r>
        <w:rPr>
          <w:spacing w:val="-44"/>
        </w:rPr>
        <w:t> </w:t>
      </w:r>
      <w:r>
        <w:rPr>
          <w:spacing w:val="-44"/>
        </w:rPr>
      </w:r>
      <w:r>
        <w:rPr/>
        <w:t>形资产，单独确认为无形资产并按公允价值计量；取得的被购买方除或有负债以外的其他各项负债，履行</w:t>
      </w:r>
      <w:r>
        <w:rPr>
          <w:w w:val="100"/>
        </w:rPr>
        <w:t> </w:t>
      </w:r>
      <w:r>
        <w:rPr/>
        <w:t>有关义务很可能导致经济利益流出本公司且公允价值能够可靠计量的，单独确认并按照公允价值。</w:t>
      </w:r>
      <w:r>
        <w:rPr>
          <w:w w:val="100"/>
        </w:rPr>
        <w:t> </w:t>
      </w:r>
      <w:r>
        <w:rPr/>
        <w:t>本公司在企业合并中取得的被购买方的可抵扣暂时性差异，在购买日不符合递延所得税资产确认条件的，</w:t>
      </w:r>
      <w:r>
        <w:rPr>
          <w:w w:val="100"/>
        </w:rPr>
        <w:t> </w:t>
      </w:r>
      <w:r>
        <w:rPr/>
        <w:t>不予以确认。购买日后</w:t>
      </w:r>
      <w:r>
        <w:rPr>
          <w:rFonts w:ascii="Times New Roman" w:hAnsi="Times New Roman" w:cs="Times New Roman" w:eastAsia="Times New Roman" w:hint="default"/>
        </w:rPr>
        <w:t>12</w:t>
      </w:r>
      <w:r>
        <w:rPr/>
        <w:t>个月内，如取得新的或进一步的信息表明购买日的相关情况已经存在，预期被购</w:t>
      </w:r>
      <w:r>
        <w:rPr>
          <w:w w:val="100"/>
        </w:rPr>
        <w:t> </w:t>
      </w:r>
      <w:r>
        <w:rPr>
          <w:spacing w:val="-5"/>
        </w:rPr>
        <w:t>买方在购买日可抵扣暂时性差异带来的经济利益能够实现的，确认相关的递延所得税资产，同时减少商誉，</w:t>
      </w:r>
      <w:r>
        <w:rPr>
          <w:spacing w:val="-6"/>
        </w:rPr>
        <w:t> </w:t>
      </w:r>
      <w:r>
        <w:rPr>
          <w:spacing w:val="-6"/>
        </w:rPr>
      </w:r>
      <w:r>
        <w:rPr/>
        <w:t>商誉不足冲减的，差额部分确认为当期损益；除上述情况以外，确认与企业合并相关的递延所得税资产，</w:t>
      </w:r>
      <w:r>
        <w:rPr>
          <w:w w:val="100"/>
        </w:rPr>
        <w:t> </w:t>
      </w:r>
      <w:r>
        <w:rPr/>
        <w:t>计入当期损益。</w:t>
      </w:r>
      <w:r>
        <w:rPr>
          <w:spacing w:val="-103"/>
        </w:rPr>
        <w:t> </w:t>
      </w:r>
      <w:r>
        <w:rPr>
          <w:spacing w:val="-103"/>
        </w:rPr>
      </w:r>
      <w:r>
        <w:rPr>
          <w:spacing w:val="-4"/>
        </w:rPr>
        <w:t>非同一控制下企业合并，购买方为企业合并发生的审计、法律服务、评估咨询等中介费用以及其他相关管</w:t>
      </w:r>
      <w:r>
        <w:rPr>
          <w:spacing w:val="-12"/>
        </w:rPr>
        <w:t> </w:t>
      </w:r>
      <w:r>
        <w:rPr>
          <w:spacing w:val="-12"/>
        </w:rPr>
      </w:r>
      <w:r>
        <w:rPr/>
        <w:t>理费用，应当于发生时计入当期损益；购买方作为合并对价发行的权益性证券或债务性证券的交易费用，</w:t>
      </w:r>
      <w:r>
        <w:rPr>
          <w:w w:val="100"/>
        </w:rPr>
        <w:t> </w:t>
      </w:r>
      <w:r>
        <w:rPr/>
        <w:t>应当计入权益性证券或债务性证券的初始确认金额。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4"/>
        <w:spacing w:line="240" w:lineRule="auto"/>
        <w:ind w:right="10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0"/>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0"/>
        <w:jc w:val="left"/>
      </w:pPr>
      <w:r>
        <w:rPr/>
        <w:t>本公司合并财务报表的合并范围以控制为基础确定，所有子公司均纳入合并财务报表。</w:t>
      </w:r>
      <w:r>
        <w:rPr>
          <w:w w:val="100"/>
        </w:rPr>
        <w:t> </w:t>
      </w:r>
      <w:r>
        <w:rPr>
          <w:spacing w:val="-2"/>
        </w:rPr>
        <w:t>所有纳入合并财务报表合并范围的子公司所采用的会计政策、会计期间与本公司一致，如子公司采用的会</w:t>
      </w:r>
      <w:r>
        <w:rPr>
          <w:spacing w:val="-42"/>
        </w:rPr>
        <w:t> </w:t>
      </w:r>
      <w:r>
        <w:rPr>
          <w:spacing w:val="-42"/>
        </w:rPr>
      </w:r>
      <w:r>
        <w:rPr>
          <w:spacing w:val="-2"/>
        </w:rPr>
        <w:t>计政策、会计期间与本公司不一致的，在编制合并财务报表时，按本公司的会计政策、会计期间进行必要</w:t>
      </w:r>
      <w:r>
        <w:rPr>
          <w:spacing w:val="-50"/>
        </w:rPr>
        <w:t> </w:t>
      </w:r>
      <w:r>
        <w:rPr>
          <w:spacing w:val="-50"/>
        </w:rPr>
      </w:r>
      <w:r>
        <w:rPr>
          <w:spacing w:val="-2"/>
        </w:rPr>
        <w:t>的调整。对于非同一控制下企业合并取得的子公司，以购买日可辨认净资产公允价值为基础对其财务报表</w:t>
      </w:r>
      <w:r>
        <w:rPr>
          <w:spacing w:val="-44"/>
        </w:rPr>
        <w:t> </w:t>
      </w:r>
      <w:r>
        <w:rPr>
          <w:spacing w:val="-44"/>
        </w:rPr>
      </w:r>
      <w:r>
        <w:rPr>
          <w:spacing w:val="-2"/>
        </w:rPr>
        <w:t>进行调整。合并财务报表以本公司及子公司的财务报表为基础，根据其他有关资料，按照权益法调整对子</w:t>
      </w:r>
      <w:r>
        <w:rPr>
          <w:spacing w:val="-43"/>
        </w:rPr>
        <w:t> </w:t>
      </w:r>
      <w:r>
        <w:rPr>
          <w:spacing w:val="-43"/>
        </w:rPr>
      </w:r>
      <w:r>
        <w:rPr/>
        <w:t>公司的长期股权投资后，由本公司编制。</w:t>
      </w:r>
      <w:r>
        <w:rPr>
          <w:w w:val="100"/>
        </w:rPr>
        <w:t> </w:t>
      </w:r>
      <w:r>
        <w:rPr>
          <w:spacing w:val="-2"/>
        </w:rPr>
        <w:t>合并财务报表时抵销本公司与各子公司、各子公司相互之间发生的内部交易对合并资产负债表、合并利润</w:t>
      </w:r>
      <w:r>
        <w:rPr>
          <w:spacing w:val="-42"/>
        </w:rPr>
        <w:t> </w:t>
      </w:r>
      <w:r>
        <w:rPr>
          <w:spacing w:val="-42"/>
        </w:rPr>
      </w:r>
      <w:r>
        <w:rPr/>
        <w:t>表、合并现金流量表、合并所有者权益变动表的影响。</w:t>
      </w:r>
      <w:r>
        <w:rPr>
          <w:w w:val="100"/>
        </w:rPr>
        <w:t> </w:t>
      </w:r>
      <w:r>
        <w:rPr>
          <w:spacing w:val="2"/>
        </w:rPr>
        <w:t>子公司少数股东应占的权益和损益分别在合并资产负债表中所有者权益项目下和合并利润表中净利润项</w:t>
      </w:r>
      <w:r>
        <w:rPr>
          <w:spacing w:val="-16"/>
        </w:rPr>
        <w:t> </w:t>
      </w:r>
      <w:r>
        <w:rPr>
          <w:spacing w:val="-16"/>
        </w:rPr>
      </w:r>
      <w:r>
        <w:rPr>
          <w:spacing w:val="-2"/>
        </w:rPr>
        <w:t>目下单独列示。子公司少数股东分担的当期亏损超过了少数股东在该子公司期初所有者权益中所享有份额</w:t>
      </w:r>
      <w:r>
        <w:rPr>
          <w:spacing w:val="-43"/>
        </w:rPr>
        <w:t> </w:t>
      </w:r>
      <w:r>
        <w:rPr>
          <w:spacing w:val="-43"/>
        </w:rPr>
      </w:r>
      <w:r>
        <w:rPr/>
        <w:t>而形成的余额，冲减少数股东权益。</w:t>
      </w:r>
      <w:r>
        <w:rPr>
          <w:w w:val="100"/>
        </w:rPr>
        <w:t> </w:t>
      </w:r>
      <w:r>
        <w:rPr>
          <w:spacing w:val="-2"/>
        </w:rPr>
        <w:t>在报告期内，若因同一控制下企业合并增加子公司的，则调整合并资产负债表的期初数；将子公司合并当</w:t>
      </w:r>
      <w:r>
        <w:rPr>
          <w:spacing w:val="-42"/>
        </w:rPr>
        <w:t> </w:t>
      </w:r>
      <w:r>
        <w:rPr>
          <w:spacing w:val="-42"/>
        </w:rPr>
      </w:r>
      <w:r>
        <w:rPr>
          <w:spacing w:val="-2"/>
        </w:rPr>
        <w:t>期期初至报告期末的收入、费用、利润纳入合并利润表；将子公司合并当期期初至报告期末的现金流量纳</w:t>
      </w:r>
      <w:r>
        <w:rPr>
          <w:spacing w:val="-44"/>
        </w:rPr>
        <w:t> </w:t>
      </w:r>
      <w:r>
        <w:rPr>
          <w:spacing w:val="-44"/>
        </w:rPr>
      </w:r>
      <w:r>
        <w:rPr>
          <w:spacing w:val="-2"/>
        </w:rPr>
        <w:t>入合并现金流量表，同时对比较报表的相关项目进行调整，视同合并后的报告主体在以前期间一直存在。</w:t>
      </w:r>
      <w:r>
        <w:rPr>
          <w:spacing w:val="-24"/>
        </w:rPr>
        <w:t> </w:t>
      </w:r>
      <w:r>
        <w:rPr>
          <w:spacing w:val="-24"/>
        </w:rPr>
      </w:r>
      <w:r>
        <w:rPr>
          <w:spacing w:val="-2"/>
        </w:rPr>
        <w:t>在报告期内，若因非同一控制下企业合并增加子公司的，则不调整合并资产负债表期初数；将子公司自购</w:t>
      </w:r>
      <w:r>
        <w:rPr>
          <w:spacing w:val="-44"/>
        </w:rPr>
        <w:t> </w:t>
      </w:r>
      <w:r>
        <w:rPr>
          <w:spacing w:val="-44"/>
        </w:rPr>
      </w:r>
      <w:r>
        <w:rPr>
          <w:spacing w:val="-2"/>
        </w:rPr>
        <w:t>买日至报告期末的收入、费用、利润纳入合并利润表；该子公司自购买日至报告期末的现金流量纳入合并</w:t>
      </w:r>
      <w:r>
        <w:rPr>
          <w:spacing w:val="-43"/>
        </w:rPr>
        <w:t> </w:t>
      </w:r>
      <w:r>
        <w:rPr>
          <w:spacing w:val="-43"/>
        </w:rPr>
      </w:r>
      <w:r>
        <w:rPr>
          <w:spacing w:val="-2"/>
        </w:rPr>
        <w:t>现金流量表。通过多次交易分步实现非同一控制下企业合并时，对于购买日之前持有的被购买方的股权，</w:t>
      </w:r>
      <w:r>
        <w:rPr>
          <w:spacing w:val="-21"/>
        </w:rPr>
        <w:t> </w:t>
      </w:r>
      <w:r>
        <w:rPr>
          <w:spacing w:val="-21"/>
        </w:rPr>
      </w:r>
      <w:r>
        <w:rPr>
          <w:spacing w:val="-2"/>
        </w:rPr>
        <w:t>本公司按照该股权在购买日的公允价值进行重新计量，公允价值与其账面价值的差额计入当期投资收益。</w:t>
      </w:r>
    </w:p>
    <w:p>
      <w:pPr>
        <w:spacing w:after="0" w:line="273"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00"/>
        <w:jc w:val="left"/>
      </w:pPr>
      <w:r>
        <w:rPr/>
        <w:t>购买日之前持有的被购买方的股权涉及其他综合收益的，与其相关的其他综合收益转为购买日所属当期投</w:t>
      </w:r>
      <w:r>
        <w:rPr>
          <w:w w:val="100"/>
        </w:rPr>
        <w:t> </w:t>
      </w:r>
      <w:r>
        <w:rPr/>
        <w:t>资收益。</w:t>
      </w:r>
      <w:r>
        <w:rPr>
          <w:w w:val="100"/>
        </w:rPr>
        <w:t> </w:t>
      </w:r>
      <w:r>
        <w:rPr/>
        <w:t>在报告期内，本公司处置子公司，则该子公司期初至处置日的收入、费用、利润纳入合并利润表；该子公</w:t>
      </w:r>
      <w:r>
        <w:rPr>
          <w:w w:val="100"/>
        </w:rPr>
        <w:t> </w:t>
      </w:r>
      <w:r>
        <w:rPr/>
        <w:t>司期初至处置日的现金流量纳入合并现金流量表。因处置部分股权投资或其他原因丧失了对原有子公司控</w:t>
      </w:r>
      <w:r>
        <w:rPr>
          <w:w w:val="100"/>
        </w:rPr>
        <w:t> </w:t>
      </w:r>
      <w:r>
        <w:rPr/>
        <w:t>制权时，对于处置后的剩余股权投资，本公司按照其在丧失控制权日的公允价值进行重新计量。处置股权</w:t>
      </w:r>
      <w:r>
        <w:rPr>
          <w:w w:val="100"/>
        </w:rPr>
        <w:t> </w:t>
      </w:r>
      <w:r>
        <w:rPr/>
        <w:t>取得的对价与剩余股权公允价值之和，减去按原持股比例计算应享有原有子公司自购买日开始持续计算的</w:t>
      </w:r>
      <w:r>
        <w:rPr>
          <w:w w:val="100"/>
        </w:rPr>
        <w:t> </w:t>
      </w:r>
      <w:r>
        <w:rPr>
          <w:spacing w:val="-5"/>
        </w:rPr>
        <w:t>净资产的份额之间的差额，计入丧失控制权当期的投资收益。与原有子公司股权投资相关的其他综合收益，</w:t>
      </w:r>
      <w:r>
        <w:rPr>
          <w:spacing w:val="-6"/>
        </w:rPr>
        <w:t> </w:t>
      </w:r>
      <w:r>
        <w:rPr>
          <w:spacing w:val="-6"/>
        </w:rPr>
      </w:r>
      <w:r>
        <w:rPr/>
        <w:t>在丧失控制权时转为当期投资收益。</w:t>
      </w:r>
      <w:r>
        <w:rPr>
          <w:w w:val="100"/>
        </w:rPr>
        <w:t> </w:t>
      </w:r>
      <w:r>
        <w:rPr>
          <w:spacing w:val="2"/>
        </w:rPr>
        <w:t>本公司因购买少数股权新取得的长期股权投资与按照新增持股比例计算应享有子公司的可辨认净资产份</w:t>
      </w:r>
      <w:r>
        <w:rPr>
          <w:spacing w:val="-30"/>
        </w:rPr>
        <w:t> </w:t>
      </w:r>
      <w:r>
        <w:rPr>
          <w:spacing w:val="-30"/>
        </w:rPr>
      </w:r>
      <w:r>
        <w:rPr/>
        <w:t>额之间的差额，以及在不丧失控制权的情况下因部分处置对子公司的股权投资而取得的处置价款与处置长</w:t>
      </w:r>
      <w:r>
        <w:rPr>
          <w:w w:val="100"/>
        </w:rPr>
        <w:t> </w:t>
      </w:r>
      <w:r>
        <w:rPr/>
        <w:t>期股权投资相对应享有子公司净资产份额的差额，均调整合并资产负债表中的资本公积中的股本溢价，资</w:t>
      </w:r>
      <w:r>
        <w:rPr>
          <w:w w:val="100"/>
        </w:rPr>
        <w:t> </w:t>
      </w:r>
      <w:r>
        <w:rPr/>
        <w:t>本公积中的股本溢价不足冲减的，调整留存收益。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00"/>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4"/>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10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07"/>
        <w:jc w:val="both"/>
      </w:pPr>
      <w:r>
        <w:rPr>
          <w:spacing w:val="-7"/>
        </w:rPr>
        <w:t>在编制现金流量表时，将本公司库存现金以及可以随时用于支付的存款确认为现金。将同时具备期限短（从</w:t>
      </w:r>
      <w:r>
        <w:rPr>
          <w:spacing w:val="-20"/>
        </w:rPr>
        <w:t> </w:t>
      </w:r>
      <w:r>
        <w:rPr>
          <w:spacing w:val="-20"/>
        </w:rPr>
      </w:r>
      <w:r>
        <w:rPr>
          <w:spacing w:val="-2"/>
        </w:rPr>
        <w:t>购买日起三个月内到期）、流动性强、易于转换为已知现金、价值变动风险很小四个条件的投资，确定为</w:t>
      </w:r>
      <w:r>
        <w:rPr>
          <w:spacing w:val="-43"/>
        </w:rPr>
        <w:t> </w:t>
      </w:r>
      <w:r>
        <w:rPr>
          <w:spacing w:val="-43"/>
        </w:rPr>
      </w:r>
      <w:r>
        <w:rPr/>
        <w:t>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7"/>
        <w:ind w:right="10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06"/>
        <w:jc w:val="both"/>
      </w:pPr>
      <w:r>
        <w:rPr>
          <w:spacing w:val="-2"/>
        </w:rPr>
        <w:t>外币业务采用交易发生日的即期汇率作为折算汇率折合成人民币记账。外币货币性项目余额按资产负债表</w:t>
      </w:r>
      <w:r>
        <w:rPr>
          <w:spacing w:val="-43"/>
        </w:rPr>
        <w:t> </w:t>
      </w:r>
      <w:r>
        <w:rPr>
          <w:spacing w:val="-43"/>
        </w:rPr>
      </w:r>
      <w:r>
        <w:rPr>
          <w:spacing w:val="-2"/>
        </w:rPr>
        <w:t>日即期汇率折算，由此产生的汇兑差额，除属于与购建符合资本化条件的资产相关的外币专门借款产生的</w:t>
      </w:r>
      <w:r>
        <w:rPr>
          <w:spacing w:val="-43"/>
        </w:rPr>
        <w:t> </w:t>
      </w:r>
      <w:r>
        <w:rPr>
          <w:spacing w:val="-43"/>
        </w:rPr>
      </w:r>
      <w:r>
        <w:rPr>
          <w:spacing w:val="-2"/>
        </w:rPr>
        <w:t>汇兑差额按照借款费用资本化的原则处理外，均计入当期损益。以历史成本计量的外币非货币性项目，仍</w:t>
      </w:r>
      <w:r>
        <w:rPr>
          <w:spacing w:val="-42"/>
        </w:rPr>
        <w:t> </w:t>
      </w:r>
      <w:r>
        <w:rPr>
          <w:spacing w:val="-42"/>
        </w:rPr>
      </w:r>
      <w:r>
        <w:rPr>
          <w:spacing w:val="-2"/>
        </w:rPr>
        <w:t>采用交易发生日的即期汇率折算，不改变其记账本位币金额。以公允价值计量的外币非货币性项目，采用</w:t>
      </w:r>
      <w:r>
        <w:rPr>
          <w:spacing w:val="-43"/>
        </w:rPr>
        <w:t> </w:t>
      </w:r>
      <w:r>
        <w:rPr>
          <w:spacing w:val="-43"/>
        </w:rPr>
      </w:r>
      <w:r>
        <w:rPr/>
        <w:t>公允价值确定日的即期汇率折算，由此产生的汇兑差额计入当期损益或资本公积。</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0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10"/>
        <w:rPr>
          <w:rFonts w:ascii="宋体" w:hAnsi="宋体" w:cs="宋体" w:eastAsia="宋体" w:hint="default"/>
          <w:b/>
          <w:bCs/>
          <w:sz w:val="24"/>
          <w:szCs w:val="24"/>
        </w:rPr>
      </w:pPr>
    </w:p>
    <w:p>
      <w:pPr>
        <w:pStyle w:val="BodyText"/>
        <w:spacing w:line="268" w:lineRule="auto"/>
        <w:ind w:right="100"/>
        <w:jc w:val="left"/>
      </w:pPr>
      <w:r>
        <w:rPr>
          <w:spacing w:val="-2"/>
          <w:w w:val="100"/>
        </w:rPr>
        <w:t>资产负债表中的资产和负债项目，采用资产负债表日的即期汇率折算；所有者权益项目除</w:t>
      </w:r>
      <w:r>
        <w:rPr>
          <w:rFonts w:ascii="Times New Roman" w:hAnsi="Times New Roman" w:cs="Times New Roman" w:eastAsia="Times New Roman" w:hint="default"/>
          <w:spacing w:val="-2"/>
          <w:w w:val="100"/>
        </w:rPr>
        <w:t>―</w:t>
      </w:r>
      <w:r>
        <w:rPr>
          <w:spacing w:val="-2"/>
          <w:w w:val="100"/>
        </w:rPr>
        <w:t>未分配利润</w:t>
      </w:r>
      <w:r>
        <w:rPr>
          <w:rFonts w:ascii="Times New Roman" w:hAnsi="Times New Roman" w:cs="Times New Roman" w:eastAsia="Times New Roman" w:hint="default"/>
          <w:spacing w:val="-2"/>
          <w:w w:val="100"/>
        </w:rPr>
        <w:t>‖</w:t>
      </w:r>
      <w:r>
        <w:rPr>
          <w:spacing w:val="-2"/>
          <w:w w:val="100"/>
        </w:rPr>
        <w:t>项</w:t>
      </w:r>
      <w:r>
        <w:rPr>
          <w:w w:val="100"/>
        </w:rPr>
        <w:t> </w:t>
      </w:r>
      <w:r>
        <w:rPr>
          <w:spacing w:val="-2"/>
        </w:rPr>
        <w:t>目外，其他项目采用发生时的即期汇率折算。利润表中的收入和费用项目，采用交易发生当期的平均汇率</w:t>
      </w:r>
      <w:r>
        <w:rPr>
          <w:spacing w:val="-43"/>
        </w:rPr>
        <w:t> </w:t>
      </w:r>
      <w:r>
        <w:rPr>
          <w:spacing w:val="-43"/>
        </w:rPr>
      </w:r>
      <w:r>
        <w:rPr/>
        <w:t>折算。按照上述折算产生的外币财务报表折算差额，在资产负债表所有者权益项目下单独列示。</w:t>
      </w:r>
      <w:r>
        <w:rPr>
          <w:w w:val="100"/>
        </w:rPr>
        <w:t> </w:t>
      </w:r>
      <w:r>
        <w:rPr>
          <w:spacing w:val="-5"/>
        </w:rPr>
        <w:t>处置境外经营时，将资产负债表中所有者权益项目下列示的、与该境外经营相关的外币财务报表折算差额， </w:t>
      </w:r>
      <w:r>
        <w:rPr>
          <w:spacing w:val="-5"/>
        </w:rPr>
      </w:r>
      <w:r>
        <w:rPr>
          <w:spacing w:val="-2"/>
        </w:rPr>
        <w:t>自所有者权益项目转入处置当期损益；部分处置境外经营的，按处置的比例计算处置部分的外币财务报表</w:t>
      </w:r>
      <w:r>
        <w:rPr>
          <w:spacing w:val="-43"/>
        </w:rPr>
        <w:t> </w:t>
      </w:r>
      <w:r>
        <w:rPr>
          <w:spacing w:val="-43"/>
        </w:rPr>
      </w:r>
      <w:r>
        <w:rPr/>
        <w:t>折算差额，转入处置当期损益。</w:t>
      </w:r>
    </w:p>
    <w:p>
      <w:pPr>
        <w:spacing w:after="0" w:line="268"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506" w:lineRule="auto" w:before="0"/>
        <w:ind w:left="152" w:right="49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b/>
          <w:bCs/>
          <w:spacing w:val="-104"/>
          <w:sz w:val="21"/>
          <w:szCs w:val="21"/>
        </w:rPr>
        <w:t> </w:t>
      </w:r>
      <w:r>
        <w:rPr>
          <w:rFonts w:ascii="宋体" w:hAnsi="宋体" w:cs="宋体" w:eastAsia="宋体" w:hint="default"/>
          <w:spacing w:val="-2"/>
          <w:sz w:val="21"/>
          <w:szCs w:val="21"/>
        </w:rPr>
        <w:t>金融工具包括金融资产、金融负债和权益工具。</w:t>
      </w:r>
    </w:p>
    <w:p>
      <w:pPr>
        <w:spacing w:line="240" w:lineRule="auto" w:before="0"/>
        <w:rPr>
          <w:rFonts w:ascii="宋体" w:hAnsi="宋体" w:cs="宋体" w:eastAsia="宋体" w:hint="default"/>
          <w:sz w:val="20"/>
          <w:szCs w:val="20"/>
        </w:rPr>
      </w:pPr>
    </w:p>
    <w:p>
      <w:pPr>
        <w:pStyle w:val="Heading4"/>
        <w:spacing w:line="240" w:lineRule="auto" w:before="154"/>
        <w:ind w:right="100"/>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06"/>
        <w:jc w:val="both"/>
      </w:pPr>
      <w:r>
        <w:rPr>
          <w:spacing w:val="-2"/>
        </w:rPr>
        <w:t>管理层按照取得持有金融资产和承担金融负债的目的，将其划分为：以公允价值计量且其变动计入当期损</w:t>
      </w:r>
      <w:r>
        <w:rPr>
          <w:spacing w:val="-43"/>
        </w:rPr>
        <w:t> </w:t>
      </w:r>
      <w:r>
        <w:rPr>
          <w:spacing w:val="-43"/>
        </w:rPr>
      </w:r>
      <w:r>
        <w:rPr>
          <w:spacing w:val="-2"/>
        </w:rPr>
        <w:t>益的金融资产或金融负债，包括交易性金融资产或金融负债；持有至到期投资；应收款项；可供出售金融</w:t>
      </w:r>
      <w:r>
        <w:rPr>
          <w:spacing w:val="-47"/>
        </w:rPr>
        <w:t> </w:t>
      </w:r>
      <w:r>
        <w:rPr>
          <w:spacing w:val="-47"/>
        </w:rPr>
      </w:r>
      <w:r>
        <w:rPr/>
        <w:t>资产；其他金融负债等。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7"/>
        <w:ind w:right="10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10"/>
        <w:rPr>
          <w:rFonts w:ascii="宋体" w:hAnsi="宋体" w:cs="宋体" w:eastAsia="宋体" w:hint="default"/>
          <w:b/>
          <w:bCs/>
          <w:sz w:val="24"/>
          <w:szCs w:val="24"/>
        </w:rPr>
      </w:pPr>
    </w:p>
    <w:p>
      <w:pPr>
        <w:pStyle w:val="BodyText"/>
        <w:spacing w:line="268" w:lineRule="auto"/>
        <w:ind w:left="212" w:right="100" w:hanging="60"/>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4"/>
        </w:rPr>
        <w:t>取得时以公允价值（扣除已宣告但尚未发放的现金股利或已到付息期但尚未领取的债券利息）作为初始确</w:t>
      </w:r>
      <w:r>
        <w:rPr>
          <w:spacing w:val="-74"/>
        </w:rPr>
        <w:t> </w:t>
      </w:r>
      <w:r>
        <w:rPr>
          <w:spacing w:val="-74"/>
        </w:rPr>
      </w:r>
      <w:r>
        <w:rPr/>
        <w:t>认金额，相关的交易费用计入当期损益。</w:t>
      </w:r>
      <w:r>
        <w:rPr>
          <w:w w:val="100"/>
        </w:rPr>
        <w:t> </w:t>
      </w:r>
      <w:r>
        <w:rPr/>
        <w:t>持有期间将取得的利息或现金股利确认为投资收益，期末将公允价值变动计入当期损益。</w:t>
      </w:r>
      <w:r>
        <w:rPr>
          <w:w w:val="100"/>
        </w:rPr>
        <w:t> </w:t>
      </w:r>
      <w:r>
        <w:rPr/>
        <w:t>处置时，其公允价值与初始入账金额之间的差额确认为投资收益，同时调整公允价值变动损益。</w:t>
      </w:r>
    </w:p>
    <w:p>
      <w:pPr>
        <w:spacing w:line="240" w:lineRule="auto" w:before="10"/>
        <w:rPr>
          <w:rFonts w:ascii="宋体" w:hAnsi="宋体" w:cs="宋体" w:eastAsia="宋体" w:hint="default"/>
          <w:sz w:val="24"/>
          <w:szCs w:val="24"/>
        </w:rPr>
      </w:pPr>
    </w:p>
    <w:p>
      <w:pPr>
        <w:pStyle w:val="BodyText"/>
        <w:spacing w:line="268" w:lineRule="auto"/>
        <w:ind w:left="212" w:right="100" w:hanging="60"/>
        <w:jc w:val="left"/>
      </w:pPr>
      <w:r>
        <w:rPr/>
        <w:t>（</w:t>
      </w:r>
      <w:r>
        <w:rPr>
          <w:rFonts w:ascii="Times New Roman" w:hAnsi="Times New Roman" w:cs="Times New Roman" w:eastAsia="Times New Roman" w:hint="default"/>
        </w:rPr>
        <w:t>2</w:t>
      </w:r>
      <w:r>
        <w:rPr/>
        <w:t>）持有至到期投资</w:t>
      </w:r>
      <w:r>
        <w:rPr>
          <w:w w:val="100"/>
        </w:rPr>
        <w:t> </w:t>
      </w:r>
      <w:r>
        <w:rPr/>
        <w:t>取得时按公允价值（扣除已到付息期但尚未领取的债券利息）和相关交易费用之和作为初始确认金额。</w:t>
      </w:r>
      <w:r>
        <w:rPr>
          <w:w w:val="100"/>
        </w:rPr>
        <w:t> </w:t>
      </w:r>
      <w:r>
        <w:rPr>
          <w:spacing w:val="-6"/>
        </w:rPr>
        <w:t>持有期间按照摊余成本和实际利率（如实际利率与票面利率差别较小的，按票面利率）计算确认利息收入，</w:t>
      </w:r>
      <w:r>
        <w:rPr>
          <w:spacing w:val="-78"/>
        </w:rPr>
        <w:t> </w:t>
      </w:r>
      <w:r>
        <w:rPr>
          <w:spacing w:val="-78"/>
        </w:rPr>
      </w:r>
      <w:r>
        <w:rPr/>
        <w:t>计入投资收益。实际利率在取得时确定，在该预期存续期间或适用的更短期间内保持不变。</w:t>
      </w:r>
      <w:r>
        <w:rPr>
          <w:w w:val="100"/>
        </w:rPr>
        <w:t> </w:t>
      </w:r>
      <w:r>
        <w:rPr/>
        <w:t>处置时，将所取得价款与该投资账面价值之间的差额计入投资收益。</w:t>
      </w:r>
    </w:p>
    <w:p>
      <w:pPr>
        <w:spacing w:line="240" w:lineRule="auto" w:before="10"/>
        <w:rPr>
          <w:rFonts w:ascii="宋体" w:hAnsi="宋体" w:cs="宋体" w:eastAsia="宋体" w:hint="default"/>
          <w:sz w:val="24"/>
          <w:szCs w:val="24"/>
        </w:rPr>
      </w:pPr>
    </w:p>
    <w:p>
      <w:pPr>
        <w:pStyle w:val="BodyText"/>
        <w:spacing w:line="268" w:lineRule="auto"/>
        <w:ind w:left="212" w:right="100" w:hanging="60"/>
        <w:jc w:val="left"/>
      </w:pPr>
      <w:r>
        <w:rPr/>
        <w:t>（</w:t>
      </w:r>
      <w:r>
        <w:rPr>
          <w:rFonts w:ascii="Times New Roman" w:hAnsi="Times New Roman" w:cs="Times New Roman" w:eastAsia="Times New Roman" w:hint="default"/>
        </w:rPr>
        <w:t>3</w:t>
      </w:r>
      <w:r>
        <w:rPr/>
        <w:t>）应收款项</w:t>
      </w:r>
      <w:r>
        <w:rPr>
          <w:w w:val="100"/>
        </w:rPr>
        <w:t> </w:t>
      </w:r>
      <w:r>
        <w:rPr>
          <w:spacing w:val="-4"/>
          <w:w w:val="100"/>
        </w:rPr>
        <w:t>公司对外销售商品或提供劳务形成的应收债权，以及公司持有的其他企业的不包括在活跃市场上有报价的</w:t>
      </w:r>
      <w:r>
        <w:rPr>
          <w:w w:val="100"/>
        </w:rPr>
        <w:t> </w:t>
      </w:r>
      <w:r>
        <w:rPr>
          <w:spacing w:val="-4"/>
        </w:rPr>
        <w:t>债务工具的债权，包括应收账款、其他应收款、应收票据、预付账款、长期应收款等，以向购货方应收的</w:t>
      </w:r>
      <w:r>
        <w:rPr>
          <w:spacing w:val="-74"/>
        </w:rPr>
        <w:t> </w:t>
      </w:r>
      <w:r>
        <w:rPr>
          <w:spacing w:val="-74"/>
        </w:rPr>
      </w:r>
      <w:r>
        <w:rPr/>
        <w:t>合同或协议价款作为初始确认金额；具有融资性质的，按其现值进行初始确认。</w:t>
      </w:r>
      <w:r>
        <w:rPr>
          <w:w w:val="100"/>
        </w:rPr>
        <w:t> </w:t>
      </w:r>
      <w:r>
        <w:rPr/>
        <w:t>收回或处置时，将取得的价款与该应收款项账面价值之间的差额计入当期损益。</w:t>
      </w:r>
    </w:p>
    <w:p>
      <w:pPr>
        <w:spacing w:line="240" w:lineRule="auto" w:before="11"/>
        <w:rPr>
          <w:rFonts w:ascii="宋体" w:hAnsi="宋体" w:cs="宋体" w:eastAsia="宋体" w:hint="default"/>
          <w:sz w:val="24"/>
          <w:szCs w:val="24"/>
        </w:rPr>
      </w:pPr>
    </w:p>
    <w:p>
      <w:pPr>
        <w:pStyle w:val="BodyText"/>
        <w:spacing w:line="266" w:lineRule="auto"/>
        <w:ind w:left="212" w:right="100" w:firstLine="24"/>
        <w:jc w:val="left"/>
      </w:pPr>
      <w:r>
        <w:rPr/>
        <w:t>（</w:t>
      </w:r>
      <w:r>
        <w:rPr>
          <w:rFonts w:ascii="Times New Roman" w:hAnsi="Times New Roman" w:cs="Times New Roman" w:eastAsia="Times New Roman" w:hint="default"/>
        </w:rPr>
        <w:t>4</w:t>
      </w:r>
      <w:r>
        <w:rPr/>
        <w:t>）可供出售金融资产</w:t>
      </w:r>
      <w:r>
        <w:rPr>
          <w:w w:val="100"/>
        </w:rPr>
        <w:t> </w:t>
      </w:r>
      <w:r>
        <w:rPr>
          <w:spacing w:val="-4"/>
        </w:rPr>
        <w:t>取得时按公允价值（扣除已宣告但尚未发放的现金股利或已到付息期但尚未领取的债券利息）和相关交易</w:t>
      </w:r>
      <w:r>
        <w:rPr>
          <w:spacing w:val="-14"/>
        </w:rPr>
        <w:t> </w:t>
      </w:r>
      <w:r>
        <w:rPr>
          <w:spacing w:val="-14"/>
        </w:rPr>
      </w:r>
      <w:r>
        <w:rPr/>
        <w:t>费用之和作为初始确认金额。</w:t>
      </w:r>
      <w:r>
        <w:rPr>
          <w:w w:val="100"/>
        </w:rPr>
        <w:t> </w:t>
      </w:r>
      <w:r>
        <w:rPr>
          <w:spacing w:val="-4"/>
          <w:w w:val="100"/>
        </w:rPr>
        <w:t>持有期间将取得的利息或现金股利确认为投资收益。期末以公允价值计量且将公允价值变动计入资本公积</w:t>
      </w:r>
    </w:p>
    <w:p>
      <w:pPr>
        <w:pStyle w:val="BodyText"/>
        <w:spacing w:line="273" w:lineRule="auto" w:before="14"/>
        <w:ind w:left="212" w:right="100"/>
        <w:jc w:val="left"/>
      </w:pPr>
      <w:r>
        <w:rPr/>
        <w:t>（其他资本公积）。</w:t>
      </w:r>
      <w:r>
        <w:rPr>
          <w:w w:val="100"/>
        </w:rPr>
        <w:t> </w:t>
      </w:r>
      <w:r>
        <w:rPr>
          <w:spacing w:val="-4"/>
        </w:rPr>
        <w:t>处置时，将取得的价款与该金融资产账面价值之间的差额，计入投资损益；同时，将原直接计入所有者权</w:t>
      </w:r>
      <w:r>
        <w:rPr>
          <w:spacing w:val="-14"/>
        </w:rPr>
        <w:t> </w:t>
      </w:r>
      <w:r>
        <w:rPr>
          <w:spacing w:val="-14"/>
        </w:rPr>
      </w:r>
      <w:r>
        <w:rPr/>
        <w:t>益的公允价值变动累计额对应处置部分的金额转出，计入投资损益。</w:t>
      </w:r>
    </w:p>
    <w:p>
      <w:pPr>
        <w:spacing w:line="240" w:lineRule="auto" w:before="6"/>
        <w:rPr>
          <w:rFonts w:ascii="宋体" w:hAnsi="宋体" w:cs="宋体" w:eastAsia="宋体" w:hint="default"/>
          <w:sz w:val="24"/>
          <w:szCs w:val="24"/>
        </w:rPr>
      </w:pPr>
    </w:p>
    <w:p>
      <w:pPr>
        <w:pStyle w:val="BodyText"/>
        <w:spacing w:line="256" w:lineRule="auto"/>
        <w:ind w:left="212" w:right="1914" w:firstLine="24"/>
        <w:jc w:val="left"/>
      </w:pPr>
      <w:r>
        <w:rPr/>
        <w:t>（</w:t>
      </w:r>
      <w:r>
        <w:rPr>
          <w:rFonts w:ascii="Times New Roman" w:hAnsi="Times New Roman" w:cs="Times New Roman" w:eastAsia="Times New Roman" w:hint="default"/>
        </w:rPr>
        <w:t>5</w:t>
      </w:r>
      <w:r>
        <w:rPr/>
        <w:t>）其他金融负债</w:t>
      </w:r>
      <w:r>
        <w:rPr>
          <w:w w:val="100"/>
        </w:rPr>
        <w:t> </w:t>
      </w:r>
      <w:r>
        <w:rPr>
          <w:spacing w:val="-2"/>
        </w:rPr>
        <w:t>按其公允价值和相关交易费用之和作为初始确认金额。采用摊余成本进行后续计量。</w:t>
      </w:r>
    </w:p>
    <w:p>
      <w:pPr>
        <w:spacing w:after="0" w:line="256"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before="36"/>
        <w:ind w:right="10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0"/>
        <w:jc w:val="left"/>
      </w:pPr>
      <w:r>
        <w:rPr>
          <w:spacing w:val="-2"/>
        </w:rPr>
        <w:t>公司发生金融资产转移时，如已将金融资产所有权上几乎所有的风险和报酬转移给转入方，则终止确认该</w:t>
      </w:r>
      <w:r>
        <w:rPr>
          <w:spacing w:val="-43"/>
        </w:rPr>
        <w:t> </w:t>
      </w:r>
      <w:r>
        <w:rPr>
          <w:spacing w:val="-43"/>
        </w:rPr>
      </w:r>
      <w:r>
        <w:rPr/>
        <w:t>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在判断金融资产转移是否满足上述金融资产终止确认条件时，采用实质重于形式的原则。公司将金融资产</w:t>
      </w:r>
      <w:r>
        <w:rPr>
          <w:spacing w:val="-43"/>
        </w:rPr>
        <w:t> </w:t>
      </w:r>
      <w:r>
        <w:rPr>
          <w:spacing w:val="-43"/>
        </w:rPr>
      </w:r>
      <w:r>
        <w:rPr>
          <w:spacing w:val="-2"/>
        </w:rPr>
        <w:t>转移区分为金融资产整体转移和部分转移。金融资产整体转移满足终止确认条件的，将下列两项金额的差</w:t>
      </w:r>
      <w:r>
        <w:rPr>
          <w:spacing w:val="-44"/>
        </w:rPr>
        <w:t> </w:t>
      </w:r>
      <w:r>
        <w:rPr>
          <w:spacing w:val="-44"/>
        </w:rPr>
      </w:r>
      <w:r>
        <w:rPr/>
        <w:t>额计入当期损益：</w:t>
      </w:r>
    </w:p>
    <w:p>
      <w:pPr>
        <w:pStyle w:val="BodyText"/>
        <w:spacing w:line="240" w:lineRule="auto" w:before="7"/>
        <w:ind w:right="100"/>
        <w:jc w:val="left"/>
      </w:pPr>
      <w:r>
        <w:rPr/>
        <w:t>（</w:t>
      </w:r>
      <w:r>
        <w:rPr>
          <w:rFonts w:ascii="Times New Roman" w:hAnsi="Times New Roman" w:cs="Times New Roman" w:eastAsia="Times New Roman" w:hint="default"/>
        </w:rPr>
        <w:t>1</w:t>
      </w:r>
      <w:r>
        <w:rPr/>
        <w:t>）所转移金融资产的账面价值；</w:t>
      </w:r>
    </w:p>
    <w:p>
      <w:pPr>
        <w:pStyle w:val="BodyText"/>
        <w:spacing w:line="268" w:lineRule="auto" w:before="21"/>
        <w:ind w:right="10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w:t>
      </w:r>
      <w:r>
        <w:rPr>
          <w:spacing w:val="-25"/>
        </w:rPr>
        <w:t> </w:t>
      </w:r>
      <w:r>
        <w:rPr>
          <w:spacing w:val="-25"/>
        </w:rPr>
      </w:r>
      <w:r>
        <w:rPr/>
        <w:t>供出售金融资产的情形）之和。</w:t>
      </w:r>
      <w:r>
        <w:rPr>
          <w:w w:val="100"/>
        </w:rPr>
        <w:t> </w:t>
      </w:r>
      <w:r>
        <w:rPr>
          <w:spacing w:val="-4"/>
        </w:rPr>
        <w:t>金融资产部分转移满足终止确认条件的，将所转移金融资产整体的账面价值，在终止确认部分和未终止确</w:t>
      </w:r>
      <w:r>
        <w:rPr>
          <w:spacing w:val="-14"/>
        </w:rPr>
        <w:t> </w:t>
      </w:r>
      <w:r>
        <w:rPr>
          <w:spacing w:val="-14"/>
        </w:rPr>
      </w:r>
      <w:r>
        <w:rPr/>
        <w:t>认部分之间，按照各自的相对公允价值进行分摊，并将下列两项金额的差额计入当期损益：</w:t>
      </w:r>
    </w:p>
    <w:p>
      <w:pPr>
        <w:pStyle w:val="BodyText"/>
        <w:spacing w:line="240" w:lineRule="auto" w:before="12"/>
        <w:ind w:right="100"/>
        <w:jc w:val="left"/>
      </w:pPr>
      <w:r>
        <w:rPr/>
        <w:t>（</w:t>
      </w:r>
      <w:r>
        <w:rPr>
          <w:rFonts w:ascii="Times New Roman" w:hAnsi="Times New Roman" w:cs="Times New Roman" w:eastAsia="Times New Roman" w:hint="default"/>
        </w:rPr>
        <w:t>1</w:t>
      </w:r>
      <w:r>
        <w:rPr/>
        <w:t>）终止确认部分的账面价值；</w:t>
      </w:r>
    </w:p>
    <w:p>
      <w:pPr>
        <w:pStyle w:val="BodyText"/>
        <w:spacing w:line="240" w:lineRule="auto" w:before="21"/>
        <w:ind w:left="212" w:right="10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BodyText"/>
        <w:spacing w:line="273" w:lineRule="auto" w:before="21"/>
        <w:ind w:left="212" w:right="100"/>
        <w:jc w:val="left"/>
      </w:pPr>
      <w:r>
        <w:rPr/>
        <w:t>（涉及转移的金融资产为可供出售金融资产的情形）之和。</w:t>
      </w:r>
      <w:r>
        <w:rPr>
          <w:w w:val="100"/>
        </w:rPr>
        <w:t> </w:t>
      </w:r>
      <w:r>
        <w:rPr>
          <w:spacing w:val="-2"/>
        </w:rPr>
        <w:t>金融资产转移不满足终止确认条件的，继续确认该金融资产，所收到的对价确认为一项金融负债。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6"/>
        <w:ind w:right="10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00"/>
        <w:jc w:val="left"/>
      </w:pPr>
      <w:r>
        <w:rPr/>
        <w:t>金融负债的现时义务全部或部分已经解除的，则终止确认该金融负债或其一部分；本公司若与债权人签定</w:t>
      </w:r>
      <w:r>
        <w:rPr>
          <w:w w:val="100"/>
        </w:rPr>
        <w:t> </w:t>
      </w:r>
      <w:r>
        <w:rPr>
          <w:spacing w:val="-5"/>
        </w:rPr>
        <w:t>协议，以承担新金融负债方式替换现存金融负债，且新金融负债与现存金融负债的合同条款实质上不同的， </w:t>
      </w:r>
      <w:r>
        <w:rPr>
          <w:spacing w:val="-5"/>
        </w:rPr>
      </w:r>
      <w:r>
        <w:rPr/>
        <w:t>则终止确认现存金融负债，并同时确认新金融负债。</w:t>
      </w:r>
      <w:r>
        <w:rPr>
          <w:w w:val="100"/>
        </w:rPr>
        <w:t> </w:t>
      </w:r>
      <w:r>
        <w:rPr/>
        <w:t>对现存金融负债全部或部分合同条款作出实质性修改的，则终止确认现存金融负债或其一部分，同时将修</w:t>
      </w:r>
      <w:r>
        <w:rPr>
          <w:w w:val="100"/>
        </w:rPr>
        <w:t> </w:t>
      </w:r>
      <w:r>
        <w:rPr/>
        <w:t>改条款后的金融负债确认为一项新金融负债。</w:t>
      </w:r>
      <w:r>
        <w:rPr>
          <w:w w:val="100"/>
        </w:rPr>
        <w:t> </w:t>
      </w:r>
      <w:r>
        <w:rPr/>
        <w:t>金融负债全部或部分终止确认时，终止确认的金融负债账面价值与支付对价（包括转出的非现金资产或承</w:t>
      </w:r>
      <w:r>
        <w:rPr>
          <w:w w:val="100"/>
        </w:rPr>
        <w:t> </w:t>
      </w:r>
      <w:r>
        <w:rPr/>
        <w:t>担的新金融负债）之间的差额，计入当期损益。</w:t>
      </w:r>
      <w:r>
        <w:rPr>
          <w:w w:val="100"/>
        </w:rPr>
        <w:t> </w:t>
      </w:r>
      <w:r>
        <w:rPr/>
        <w:t>本公司若回购部分金融负债的，在回购日按照继续确认部分与终止确认部分的相对公允价值，将该金融负</w:t>
      </w:r>
      <w:r>
        <w:rPr>
          <w:w w:val="100"/>
        </w:rPr>
        <w:t> </w:t>
      </w:r>
      <w:r>
        <w:rPr/>
        <w:t>债整体的账面价值进行分配。分配给终止确认部分的账面价值与支付的对价（包括转出的非现金资产或承</w:t>
      </w:r>
      <w:r>
        <w:rPr>
          <w:w w:val="100"/>
        </w:rPr>
        <w:t> </w:t>
      </w:r>
      <w:r>
        <w:rPr/>
        <w:t>担的新金融负债）之间的差额，计入当期损益。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06" w:lineRule="auto" w:before="147"/>
        <w:ind w:left="152" w:right="1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本公司采用公允价值计量的金融资产和金融负债全部直接参考年末活跃市场中的报价。</w:t>
      </w:r>
    </w:p>
    <w:p>
      <w:pPr>
        <w:spacing w:line="240" w:lineRule="auto" w:before="0"/>
        <w:rPr>
          <w:rFonts w:ascii="宋体" w:hAnsi="宋体" w:cs="宋体" w:eastAsia="宋体" w:hint="default"/>
          <w:sz w:val="20"/>
          <w:szCs w:val="20"/>
        </w:rPr>
      </w:pPr>
    </w:p>
    <w:p>
      <w:pPr>
        <w:spacing w:line="506" w:lineRule="auto" w:before="154"/>
        <w:ind w:left="152" w:right="1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除以公允价值计量且其变动计入当期损益的金融资产外，本公司于资产负债表日对金融资产的账面价值进</w:t>
      </w:r>
    </w:p>
    <w:p>
      <w:pPr>
        <w:spacing w:after="0" w:line="506" w:lineRule="auto"/>
        <w:jc w:val="left"/>
        <w:rPr>
          <w:rFonts w:ascii="宋体" w:hAnsi="宋体" w:cs="宋体" w:eastAsia="宋体" w:hint="default"/>
          <w:sz w:val="21"/>
          <w:szCs w:val="21"/>
        </w:rPr>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行检查，如果有客观证据表明某项金融资产发生减值的，计提减值准备。</w:t>
      </w:r>
    </w:p>
    <w:p>
      <w:pPr>
        <w:spacing w:line="240" w:lineRule="auto" w:before="9"/>
        <w:rPr>
          <w:rFonts w:ascii="宋体" w:hAnsi="宋体" w:cs="宋体" w:eastAsia="宋体" w:hint="default"/>
          <w:sz w:val="26"/>
          <w:szCs w:val="26"/>
        </w:rPr>
      </w:pPr>
    </w:p>
    <w:p>
      <w:pPr>
        <w:pStyle w:val="BodyText"/>
        <w:spacing w:line="268" w:lineRule="auto"/>
        <w:ind w:right="0"/>
        <w:jc w:val="left"/>
      </w:pPr>
      <w:r>
        <w:rPr/>
        <w:t>（</w:t>
      </w:r>
      <w:r>
        <w:rPr>
          <w:rFonts w:ascii="Times New Roman" w:hAnsi="Times New Roman" w:cs="Times New Roman" w:eastAsia="Times New Roman" w:hint="default"/>
        </w:rPr>
        <w:t>1</w:t>
      </w:r>
      <w:r>
        <w:rPr/>
        <w:t>）可供出售金融资产的减值准备：</w:t>
      </w:r>
      <w:r>
        <w:rPr>
          <w:w w:val="100"/>
        </w:rPr>
        <w:t> </w:t>
      </w:r>
      <w:r>
        <w:rPr>
          <w:spacing w:val="-2"/>
        </w:rPr>
        <w:t>期末如果可供出售金融资产的公允价值发生较大幅度下降，或在综合考虑各种相关因素后，预期这种下降</w:t>
      </w:r>
      <w:r>
        <w:rPr>
          <w:spacing w:val="-43"/>
        </w:rPr>
        <w:t> </w:t>
      </w:r>
      <w:r>
        <w:rPr>
          <w:spacing w:val="-43"/>
        </w:rPr>
      </w:r>
      <w:r>
        <w:rPr>
          <w:spacing w:val="-2"/>
        </w:rPr>
        <w:t>趋势属于非暂时性的，就认定其已发生减值，将原直接计入所有者权益的公允价值下降形成的累计损失一</w:t>
      </w:r>
      <w:r>
        <w:rPr>
          <w:spacing w:val="-43"/>
        </w:rPr>
        <w:t> </w:t>
      </w:r>
      <w:r>
        <w:rPr>
          <w:spacing w:val="-43"/>
        </w:rPr>
      </w:r>
      <w:r>
        <w:rPr/>
        <w:t>并转出，确认减值损失。</w:t>
      </w:r>
      <w:r>
        <w:rPr>
          <w:w w:val="100"/>
        </w:rPr>
        <w:t> </w:t>
      </w:r>
      <w:r>
        <w:rPr>
          <w:spacing w:val="-2"/>
        </w:rPr>
        <w:t>对于已确认减值损失的可供出售债务工具，在随后的会计期间公允价值已上升且客观上与确认原减值损失</w:t>
      </w:r>
      <w:r>
        <w:rPr>
          <w:spacing w:val="-43"/>
        </w:rPr>
        <w:t> </w:t>
      </w:r>
      <w:r>
        <w:rPr>
          <w:spacing w:val="-43"/>
        </w:rPr>
      </w:r>
      <w:r>
        <w:rPr/>
        <w:t>确认后发生的事项有关的，原确认的减值损失予以转回，计入当期损益。</w:t>
      </w:r>
    </w:p>
    <w:p>
      <w:pPr>
        <w:pStyle w:val="BodyText"/>
        <w:spacing w:line="256" w:lineRule="auto" w:before="12"/>
        <w:ind w:left="212" w:right="139" w:hanging="60"/>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2"/>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46"/>
        <w:jc w:val="both"/>
      </w:pPr>
      <w:r>
        <w:rPr>
          <w:spacing w:val="-2"/>
        </w:rPr>
        <w:t>期末如果有客观证据表明应收款项发生减值，则将其账面价值减记至可收回金额，减记的金额确认为资产</w:t>
      </w:r>
      <w:r>
        <w:rPr>
          <w:spacing w:val="-42"/>
        </w:rPr>
        <w:t> </w:t>
      </w:r>
      <w:r>
        <w:rPr>
          <w:spacing w:val="-42"/>
        </w:rPr>
      </w:r>
      <w:r>
        <w:rPr>
          <w:spacing w:val="-2"/>
        </w:rPr>
        <w:t>减值损失，计入当期损益。可收回金额是通过对其未来现金流量（不包括尚未发生的信用损失）按原实际</w:t>
      </w:r>
      <w:r>
        <w:rPr>
          <w:spacing w:val="-50"/>
        </w:rPr>
        <w:t> </w:t>
      </w:r>
      <w:r>
        <w:rPr>
          <w:spacing w:val="-50"/>
        </w:rPr>
      </w:r>
      <w:r>
        <w:rPr>
          <w:spacing w:val="-2"/>
        </w:rPr>
        <w:t>利率折现确定，并考虑相关担保物的价值（扣除预计处置费用等）。原实际利率是初始确认该应收款项时</w:t>
      </w:r>
      <w:r>
        <w:rPr>
          <w:spacing w:val="-47"/>
        </w:rPr>
        <w:t> </w:t>
      </w:r>
      <w:r>
        <w:rPr>
          <w:spacing w:val="-47"/>
        </w:rPr>
      </w:r>
      <w:r>
        <w:rPr/>
        <w:t>计算确定的实际利率。</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401"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应收款项余额前五名</w:t>
            </w:r>
          </w:p>
        </w:tc>
      </w:tr>
      <w:tr>
        <w:trPr>
          <w:trHeight w:val="1651"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价值的差额计提坏账准备，计入当期损益；如经单独测试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后未发现减值迹象的单项金额重大应收款项则按账龄作 </w:t>
            </w:r>
            <w:r>
              <w:rPr>
                <w:rFonts w:ascii="宋体" w:hAnsi="宋体" w:cs="宋体" w:eastAsia="宋体" w:hint="default"/>
                <w:spacing w:val="-2"/>
                <w:sz w:val="18"/>
                <w:szCs w:val="18"/>
              </w:rPr>
              <w:t>为类似信用风险特征划分为若干组合，参照按组合计提坏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账准备的计提方法计提坏账准备。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6"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8"/>
              <w:jc w:val="left"/>
              <w:rPr>
                <w:rFonts w:ascii="宋体" w:hAnsi="宋体" w:cs="宋体" w:eastAsia="宋体" w:hint="default"/>
                <w:sz w:val="18"/>
                <w:szCs w:val="18"/>
              </w:rPr>
            </w:pPr>
            <w:r>
              <w:rPr>
                <w:rFonts w:ascii="宋体" w:hAnsi="宋体" w:cs="宋体" w:eastAsia="宋体" w:hint="default"/>
                <w:sz w:val="18"/>
                <w:szCs w:val="18"/>
              </w:rPr>
              <w:t>其他不重大应收款项及经单独测试后未发现减值迹象的单项 金额重大应收款项</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187"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其他应收款中开立的银行保函，不计提坏账准备</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187"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合并报表范围内</w:t>
            </w:r>
            <w:r>
              <w:rPr>
                <w:rFonts w:ascii="Times New Roman" w:hAnsi="Times New Roman" w:cs="Times New Roman" w:eastAsia="Times New Roman" w:hint="default"/>
                <w:sz w:val="18"/>
                <w:szCs w:val="18"/>
              </w:rPr>
              <w:t>)</w:t>
            </w:r>
            <w:r>
              <w:rPr>
                <w:rFonts w:ascii="宋体" w:hAnsi="宋体" w:cs="宋体" w:eastAsia="宋体" w:hint="default"/>
                <w:sz w:val="18"/>
                <w:szCs w:val="18"/>
              </w:rPr>
              <w:t>，不计提坏账准备</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19"/>
          <w:pgSz w:w="11910" w:h="16840"/>
          <w:pgMar w:footer="980" w:header="745" w:top="1060" w:bottom="1160" w:left="980" w:right="980"/>
          <w:pgNumType w:start="93"/>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401"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单项金额虽不重大但经单项测试后存在减值的应收款项</w:t>
            </w:r>
          </w:p>
        </w:tc>
      </w:tr>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根据其未来现金流量现值低于其账面价值的差额，确认减值损失，计提坏账准 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存货分类为：原材料、低值易耗品、库存商品（包括库存的外购商品、自制商品产品、自制半成品等</w:t>
      </w:r>
      <w:r>
        <w:rPr>
          <w:rFonts w:ascii="宋体" w:hAnsi="宋体" w:cs="宋体" w:eastAsia="宋体" w:hint="default"/>
          <w:spacing w:val="-92"/>
          <w:sz w:val="18"/>
          <w:szCs w:val="18"/>
        </w:rPr>
        <w:t>）</w:t>
      </w:r>
      <w:r>
        <w:rPr>
          <w:rFonts w:ascii="宋体" w:hAnsi="宋体" w:cs="宋体" w:eastAsia="宋体" w:hint="default"/>
          <w:sz w:val="18"/>
          <w:szCs w:val="18"/>
        </w:rPr>
        <w:t>、开发成本等。</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计价方法：</w:t>
      </w:r>
    </w:p>
    <w:p>
      <w:pPr>
        <w:pStyle w:val="BodyText"/>
        <w:spacing w:line="273" w:lineRule="auto" w:before="94"/>
        <w:ind w:right="174"/>
        <w:jc w:val="left"/>
      </w:pPr>
      <w:r>
        <w:rPr/>
        <w:t>存货按实际成本核算。</w:t>
      </w:r>
      <w:r>
        <w:rPr>
          <w:w w:val="100"/>
        </w:rPr>
        <w:t> </w:t>
      </w:r>
      <w:r>
        <w:rPr/>
        <w:t>债务重组取得债务人用以抵债的存货，以存货的公允价值为基础确定其入账价值。</w:t>
      </w:r>
      <w:r>
        <w:rPr>
          <w:w w:val="100"/>
        </w:rPr>
        <w:t> </w:t>
      </w:r>
      <w:r>
        <w:rPr>
          <w:spacing w:val="-2"/>
        </w:rPr>
        <w:t>在非货币性交换具备商业实质和换入资产或换出资产的公允价值能够可靠计量的前提下，非货币性交易换</w:t>
      </w:r>
      <w:r>
        <w:rPr>
          <w:spacing w:val="-43"/>
        </w:rPr>
        <w:t> </w:t>
      </w:r>
      <w:r>
        <w:rPr>
          <w:spacing w:val="-43"/>
        </w:rPr>
      </w:r>
      <w:r>
        <w:rPr>
          <w:spacing w:val="-2"/>
        </w:rPr>
        <w:t>入的存货通常以换出资产的公允价值为基础确定其入账价值，除非有确凿证据表明换入资产的公允价值更</w:t>
      </w:r>
      <w:r>
        <w:rPr>
          <w:spacing w:val="-43"/>
        </w:rPr>
        <w:t> </w:t>
      </w:r>
      <w:r>
        <w:rPr>
          <w:spacing w:val="-43"/>
        </w:rPr>
      </w:r>
      <w:r>
        <w:rPr>
          <w:spacing w:val="-2"/>
        </w:rPr>
        <w:t>加可靠；不满足上述前提的非货币性资产交换，以换出资产的账面价值和应支付的相关税费作为换入存货</w:t>
      </w:r>
      <w:r>
        <w:rPr>
          <w:spacing w:val="-44"/>
        </w:rPr>
        <w:t> </w:t>
      </w:r>
      <w:r>
        <w:rPr>
          <w:spacing w:val="-44"/>
        </w:rPr>
      </w:r>
      <w:r>
        <w:rPr/>
        <w:t>的成本。</w:t>
      </w:r>
    </w:p>
    <w:p>
      <w:pPr>
        <w:spacing w:line="240" w:lineRule="auto" w:before="6"/>
        <w:rPr>
          <w:rFonts w:ascii="宋体" w:hAnsi="宋体" w:cs="宋体" w:eastAsia="宋体" w:hint="default"/>
          <w:sz w:val="24"/>
          <w:szCs w:val="24"/>
        </w:rPr>
      </w:pPr>
    </w:p>
    <w:p>
      <w:pPr>
        <w:pStyle w:val="BodyText"/>
        <w:spacing w:line="273" w:lineRule="auto"/>
        <w:ind w:right="0"/>
        <w:jc w:val="left"/>
      </w:pPr>
      <w:r>
        <w:rPr>
          <w:spacing w:val="-2"/>
        </w:rPr>
        <w:t>以同一控制下的企业吸收合并方式取得的存货按被合并方的账面价值确定其入账价值；以非同一控制下的</w:t>
      </w:r>
      <w:r>
        <w:rPr>
          <w:spacing w:val="-43"/>
        </w:rPr>
        <w:t> </w:t>
      </w:r>
      <w:r>
        <w:rPr>
          <w:spacing w:val="-43"/>
        </w:rPr>
      </w:r>
      <w:r>
        <w:rPr/>
        <w:t>企业吸收合并方式取得的存货按公允价值确定其入账价值。</w:t>
      </w:r>
    </w:p>
    <w:p>
      <w:pPr>
        <w:spacing w:after="0" w:line="273"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t>期末对存货进行全面清查后，按存货的成本与可变现净值孰低提取或调整存货跌价准备。</w:t>
      </w:r>
      <w:r>
        <w:rPr>
          <w:w w:val="100"/>
        </w:rPr>
        <w:t> </w:t>
      </w:r>
      <w:r>
        <w:rPr>
          <w:spacing w:val="-2"/>
        </w:rPr>
        <w:t>库存商品和用于出售的材料等，在正常生产经营过程中，以该存货的估计售价减去估计的销售费用和相关</w:t>
      </w:r>
      <w:r>
        <w:rPr>
          <w:spacing w:val="-42"/>
        </w:rPr>
        <w:t> </w:t>
      </w:r>
      <w:r>
        <w:rPr>
          <w:spacing w:val="-42"/>
        </w:rPr>
      </w:r>
      <w:r>
        <w:rPr>
          <w:spacing w:val="-2"/>
        </w:rPr>
        <w:t>税费后的金额，确定其可变现净值；需要经过加工的材料存货，在正常生产经营过程中，以所生产的产成</w:t>
      </w:r>
      <w:r>
        <w:rPr>
          <w:spacing w:val="-50"/>
        </w:rPr>
        <w:t> </w:t>
      </w:r>
      <w:r>
        <w:rPr>
          <w:spacing w:val="-50"/>
        </w:rPr>
      </w:r>
      <w:r>
        <w:rPr>
          <w:spacing w:val="-2"/>
        </w:rPr>
        <w:t>品的估计售价减去至完工时估计将要发生的成本、估计的销售费用和相关税费后的金额，确定其可变现净</w:t>
      </w:r>
      <w:r>
        <w:rPr>
          <w:spacing w:val="-43"/>
        </w:rPr>
        <w:t> </w:t>
      </w:r>
      <w:r>
        <w:rPr>
          <w:spacing w:val="-43"/>
        </w:rPr>
      </w:r>
      <w:r>
        <w:rPr>
          <w:spacing w:val="-2"/>
        </w:rPr>
        <w:t>值；为执行销售合同或者劳务合同而持有的存货，其可变现净值以合同价格为基础计算，若持有存货的数</w:t>
      </w:r>
      <w:r>
        <w:rPr>
          <w:spacing w:val="-42"/>
        </w:rPr>
        <w:t> </w:t>
      </w:r>
      <w:r>
        <w:rPr>
          <w:spacing w:val="-42"/>
        </w:rPr>
      </w:r>
      <w:r>
        <w:rPr/>
        <w:t>量多于销售合同订购数量的，超出部分的存货的可变现净值以一般销售价格为基础计算。</w:t>
      </w:r>
      <w:r>
        <w:rPr>
          <w:w w:val="100"/>
        </w:rPr>
        <w:t> </w:t>
      </w:r>
      <w:r>
        <w:rPr>
          <w:spacing w:val="-2"/>
        </w:rPr>
        <w:t>期末通常按照单个存货项目计提存货跌价准备；但对于数量繁多、单价较低的存货，按照存货类别计提存</w:t>
      </w:r>
      <w:r>
        <w:rPr>
          <w:spacing w:val="-44"/>
        </w:rPr>
        <w:t> </w:t>
      </w:r>
      <w:r>
        <w:rPr>
          <w:spacing w:val="-44"/>
        </w:rPr>
      </w:r>
      <w:r>
        <w:rPr>
          <w:spacing w:val="-2"/>
        </w:rPr>
        <w:t>货跌价准备；与在同一地区生产和销售的产品系列相关、具有相同或类似最终用途或目的，且难以与其他</w:t>
      </w:r>
      <w:r>
        <w:rPr>
          <w:spacing w:val="-43"/>
        </w:rPr>
        <w:t> </w:t>
      </w:r>
      <w:r>
        <w:rPr>
          <w:spacing w:val="-43"/>
        </w:rPr>
      </w:r>
      <w:r>
        <w:rPr/>
        <w:t>项目分开计量的存货，则合并计提存货跌价准备。</w:t>
      </w:r>
      <w:r>
        <w:rPr>
          <w:w w:val="100"/>
        </w:rPr>
        <w:t> </w:t>
      </w:r>
      <w:r>
        <w:rPr>
          <w:spacing w:val="-2"/>
        </w:rPr>
        <w:t>以前减记存货价值的影响因素已经消失的，减记的金额予以恢复，并在原已计提的存货跌价准备金额内转</w:t>
      </w:r>
      <w:r>
        <w:rPr>
          <w:spacing w:val="-43"/>
        </w:rPr>
        <w:t> </w:t>
      </w:r>
      <w:r>
        <w:rPr>
          <w:spacing w:val="-43"/>
        </w:rPr>
      </w:r>
      <w:r>
        <w:rPr/>
        <w:t>回，转回的金额计入当期损益。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7974"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w:t>
      </w:r>
    </w:p>
    <w:p>
      <w:pPr>
        <w:spacing w:line="240" w:lineRule="auto" w:before="0"/>
        <w:rPr>
          <w:rFonts w:ascii="宋体" w:hAnsi="宋体" w:cs="宋体" w:eastAsia="宋体" w:hint="default"/>
          <w:sz w:val="18"/>
          <w:szCs w:val="18"/>
        </w:rPr>
      </w:pPr>
    </w:p>
    <w:p>
      <w:pPr>
        <w:spacing w:line="357" w:lineRule="auto" w:before="144"/>
        <w:ind w:left="152" w:right="7974" w:firstLine="0"/>
        <w:jc w:val="left"/>
        <w:rPr>
          <w:rFonts w:ascii="宋体" w:hAnsi="宋体" w:cs="宋体" w:eastAsia="宋体" w:hint="default"/>
          <w:sz w:val="18"/>
          <w:szCs w:val="18"/>
        </w:rPr>
      </w:pPr>
      <w:r>
        <w:rPr>
          <w:rFonts w:ascii="宋体" w:hAnsi="宋体" w:cs="宋体" w:eastAsia="宋体" w:hint="default"/>
          <w:sz w:val="18"/>
          <w:szCs w:val="18"/>
        </w:rPr>
        <w:t>包装物 摊销方法：一次摊销法</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10"/>
        <w:rPr>
          <w:rFonts w:ascii="宋体" w:hAnsi="宋体" w:cs="宋体" w:eastAsia="宋体" w:hint="default"/>
          <w:b/>
          <w:bCs/>
          <w:sz w:val="24"/>
          <w:szCs w:val="24"/>
        </w:rPr>
      </w:pPr>
    </w:p>
    <w:p>
      <w:pPr>
        <w:pStyle w:val="BodyText"/>
        <w:spacing w:line="271" w:lineRule="auto"/>
        <w:ind w:right="0"/>
        <w:jc w:val="left"/>
      </w:pPr>
      <w:r>
        <w:rPr/>
        <w:t>（</w:t>
      </w:r>
      <w:r>
        <w:rPr>
          <w:rFonts w:ascii="Times New Roman" w:hAnsi="Times New Roman" w:cs="Times New Roman" w:eastAsia="Times New Roman" w:hint="default"/>
        </w:rPr>
        <w:t>1</w:t>
      </w:r>
      <w:r>
        <w:rPr/>
        <w:t>）企业合并形成的长期股权投资同一控制下的企业合并：公司以支付现金、转让非现金资产或承担债</w:t>
      </w:r>
      <w:r>
        <w:rPr>
          <w:w w:val="100"/>
        </w:rPr>
        <w:t> </w:t>
      </w:r>
      <w:r>
        <w:rPr>
          <w:spacing w:val="-2"/>
        </w:rPr>
        <w:t>务方式以及以发行权益性证券作为合并对价的，在合并日按照取得被合并方所有者权益账面价值的份额作</w:t>
      </w:r>
      <w:r>
        <w:rPr>
          <w:spacing w:val="-43"/>
        </w:rPr>
        <w:t> </w:t>
      </w:r>
      <w:r>
        <w:rPr>
          <w:spacing w:val="-43"/>
        </w:rPr>
      </w:r>
      <w:r>
        <w:rPr>
          <w:spacing w:val="-2"/>
        </w:rPr>
        <w:t>为长期股权投资的初始投资成本。长期股权投资初始投资成本与支付合并对价之间的差额，调整资本公积</w:t>
      </w:r>
      <w:r>
        <w:rPr>
          <w:spacing w:val="-43"/>
        </w:rPr>
        <w:t> </w:t>
      </w:r>
      <w:r>
        <w:rPr>
          <w:spacing w:val="-43"/>
        </w:rPr>
      </w:r>
      <w:r>
        <w:rPr>
          <w:spacing w:val="-2"/>
        </w:rPr>
        <w:t>中的股本溢价；资本公积中的股本溢价不足冲减的，调整留存收益。合并发生的各项直接相关费用，包括</w:t>
      </w:r>
      <w:r>
        <w:rPr>
          <w:spacing w:val="-47"/>
        </w:rPr>
        <w:t> </w:t>
      </w:r>
      <w:r>
        <w:rPr>
          <w:spacing w:val="-47"/>
        </w:rPr>
      </w:r>
      <w:r>
        <w:rPr>
          <w:spacing w:val="-2"/>
        </w:rPr>
        <w:t>为进行合并而支付的审计费用、评估费用、法律服务费用等，于发生时计入当期损益。非同一控制下的企</w:t>
      </w:r>
      <w:r>
        <w:rPr>
          <w:spacing w:val="-47"/>
        </w:rPr>
        <w:t> </w:t>
      </w:r>
      <w:r>
        <w:rPr>
          <w:spacing w:val="-47"/>
        </w:rPr>
      </w:r>
      <w:r>
        <w:rPr>
          <w:spacing w:val="-2"/>
        </w:rPr>
        <w:t>业合并：公司按照购买日确定的合并成本作为长期股权投资的初始投资成本。合并成本为购买日购买方为</w:t>
      </w:r>
      <w:r>
        <w:rPr>
          <w:spacing w:val="-44"/>
        </w:rPr>
        <w:t> </w:t>
      </w:r>
      <w:r>
        <w:rPr>
          <w:spacing w:val="-44"/>
        </w:rPr>
      </w:r>
      <w:r>
        <w:rPr>
          <w:spacing w:val="-2"/>
        </w:rPr>
        <w:t>取得对被购买方的控制权而付出的资产、发生或承担的负债以及发行的权益性证券的公允价值。购买方为</w:t>
      </w:r>
      <w:r>
        <w:rPr>
          <w:spacing w:val="-41"/>
        </w:rPr>
        <w:t> </w:t>
      </w:r>
      <w:r>
        <w:rPr>
          <w:spacing w:val="-41"/>
        </w:rPr>
      </w:r>
      <w:r>
        <w:rPr>
          <w:spacing w:val="-2"/>
        </w:rPr>
        <w:t>企业合并而发生的审计、法律服务、评估咨询等中介费用以及其他相关管理费用于发生时计入当期损益；</w:t>
      </w:r>
      <w:r>
        <w:rPr>
          <w:spacing w:val="-21"/>
        </w:rPr>
        <w:t> </w:t>
      </w:r>
      <w:r>
        <w:rPr>
          <w:spacing w:val="-21"/>
        </w:rPr>
      </w:r>
      <w:r>
        <w:rPr>
          <w:spacing w:val="-2"/>
        </w:rPr>
        <w:t>购买方作为合并对价发行的权益性证券或债务性证券的交易费用，计入权益性证券或债务性证券的初始确</w:t>
      </w:r>
      <w:r>
        <w:rPr>
          <w:spacing w:val="-43"/>
        </w:rPr>
        <w:t> </w:t>
      </w:r>
      <w:r>
        <w:rPr>
          <w:spacing w:val="-43"/>
        </w:rPr>
      </w:r>
      <w:r>
        <w:rPr>
          <w:spacing w:val="-2"/>
        </w:rPr>
        <w:t>认金额。通过多次交易分步实现的非同一控制下企业合并，以购买日之前所持被购买方的股权投资的账面</w:t>
      </w:r>
      <w:r>
        <w:rPr>
          <w:spacing w:val="-44"/>
        </w:rPr>
        <w:t> </w:t>
      </w:r>
      <w:r>
        <w:rPr>
          <w:spacing w:val="-44"/>
        </w:rPr>
      </w:r>
      <w:r>
        <w:rPr>
          <w:spacing w:val="-2"/>
        </w:rPr>
        <w:t>价值与购买日新增投资成本之和，作为该项投资的初始投资成本。本公司将合并协议约定的或有对价作为</w:t>
      </w:r>
    </w:p>
    <w:p>
      <w:pPr>
        <w:spacing w:after="0" w:line="271"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1" w:lineRule="auto" w:before="36"/>
        <w:ind w:right="100"/>
        <w:jc w:val="left"/>
      </w:pPr>
      <w:r>
        <w:rPr>
          <w:spacing w:val="-5"/>
          <w:w w:val="100"/>
        </w:rPr>
        <w:t>企业合并转移对价的一部分，按照其在购买日的公允价值计入企业合并成本。（</w:t>
      </w:r>
      <w:r>
        <w:rPr>
          <w:rFonts w:ascii="Times New Roman" w:hAnsi="Times New Roman" w:cs="Times New Roman" w:eastAsia="Times New Roman" w:hint="default"/>
          <w:spacing w:val="-5"/>
          <w:w w:val="100"/>
        </w:rPr>
        <w:t>2</w:t>
      </w:r>
      <w:r>
        <w:rPr>
          <w:spacing w:val="-5"/>
          <w:w w:val="100"/>
        </w:rPr>
        <w:t>）其他方式取得的长期股</w:t>
      </w:r>
      <w:r>
        <w:rPr>
          <w:spacing w:val="-64"/>
          <w:w w:val="100"/>
        </w:rPr>
        <w:t> </w:t>
      </w:r>
      <w:r>
        <w:rPr>
          <w:spacing w:val="-64"/>
          <w:w w:val="100"/>
        </w:rPr>
      </w:r>
      <w:r>
        <w:rPr>
          <w:spacing w:val="-2"/>
        </w:rPr>
        <w:t>权投资以支付现金方式取得的长期股权投资，按照实际支付的购买价款作为初始投资成本。以发行权益性</w:t>
      </w:r>
      <w:r>
        <w:rPr>
          <w:spacing w:val="-42"/>
        </w:rPr>
        <w:t> </w:t>
      </w:r>
      <w:r>
        <w:rPr>
          <w:spacing w:val="-42"/>
        </w:rPr>
      </w:r>
      <w:r>
        <w:rPr>
          <w:spacing w:val="-2"/>
        </w:rPr>
        <w:t>证券取得的长期股权投资，按照发行权益性证券的公允价值作为初始投资成本。投资者投入的长期股权投</w:t>
      </w:r>
      <w:r>
        <w:rPr>
          <w:spacing w:val="-44"/>
        </w:rPr>
        <w:t> </w:t>
      </w:r>
      <w:r>
        <w:rPr>
          <w:spacing w:val="-44"/>
        </w:rPr>
      </w:r>
      <w:r>
        <w:rPr>
          <w:spacing w:val="-2"/>
        </w:rPr>
        <w:t>资，按照投资合同或协议约定的价值（扣除已宣告但尚未发放的现金股利或利润）作为初始投资成本，但</w:t>
      </w:r>
      <w:r>
        <w:rPr>
          <w:spacing w:val="-47"/>
        </w:rPr>
        <w:t> </w:t>
      </w:r>
      <w:r>
        <w:rPr>
          <w:spacing w:val="-47"/>
        </w:rPr>
      </w:r>
      <w:r>
        <w:rPr/>
        <w:t>合同或协议约定价值不公允的除外。</w:t>
      </w:r>
      <w:r>
        <w:rPr>
          <w:spacing w:val="-5"/>
        </w:rPr>
        <w:t> </w:t>
      </w:r>
      <w:r>
        <w:rPr/>
        <w:t>在非货币性资产交换具备商业实质和换入资产或换出资产的公允价</w:t>
      </w:r>
      <w:r>
        <w:rPr>
          <w:w w:val="100"/>
        </w:rPr>
        <w:t> </w:t>
      </w:r>
      <w:r>
        <w:rPr>
          <w:spacing w:val="-2"/>
        </w:rPr>
        <w:t>值能够可靠计量的前提下，非货币性资产交换换入的长期股权投资以换出资产的公允价值为基础确定其初</w:t>
      </w:r>
      <w:r>
        <w:rPr>
          <w:spacing w:val="-43"/>
        </w:rPr>
        <w:t> </w:t>
      </w:r>
      <w:r>
        <w:rPr>
          <w:spacing w:val="-43"/>
        </w:rPr>
      </w:r>
      <w:r>
        <w:rPr>
          <w:spacing w:val="-2"/>
        </w:rPr>
        <w:t>始投资成本，除非有确凿证据表明换入资产的公允价值更加可靠；不满足上述前提的非货币性资产交换，</w:t>
      </w:r>
      <w:r>
        <w:rPr>
          <w:spacing w:val="-21"/>
        </w:rPr>
        <w:t> </w:t>
      </w:r>
      <w:r>
        <w:rPr>
          <w:spacing w:val="-21"/>
        </w:rPr>
      </w:r>
      <w:r>
        <w:rPr>
          <w:spacing w:val="-2"/>
        </w:rPr>
        <w:t>以换出资产的账面价值和应支付的相关税费作为换入长期股权投资的初始投资成本。通过债务重组取得的</w:t>
      </w:r>
      <w:r>
        <w:rPr>
          <w:spacing w:val="-43"/>
        </w:rPr>
        <w:t> </w:t>
      </w:r>
      <w:r>
        <w:rPr>
          <w:spacing w:val="-43"/>
        </w:rPr>
      </w:r>
      <w:r>
        <w:rPr/>
        <w:t>长期股权投资，其初始投资成本按照公允价值为基础确定。</w:t>
      </w:r>
    </w:p>
    <w:p>
      <w:pPr>
        <w:spacing w:line="240" w:lineRule="auto" w:before="9"/>
        <w:rPr>
          <w:rFonts w:ascii="宋体" w:hAnsi="宋体" w:cs="宋体" w:eastAsia="宋体" w:hint="default"/>
          <w:sz w:val="23"/>
          <w:szCs w:val="23"/>
        </w:rPr>
      </w:pPr>
    </w:p>
    <w:p>
      <w:pPr>
        <w:pStyle w:val="Heading4"/>
        <w:spacing w:line="240" w:lineRule="auto"/>
        <w:ind w:right="10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10"/>
        <w:rPr>
          <w:rFonts w:ascii="宋体" w:hAnsi="宋体" w:cs="宋体" w:eastAsia="宋体" w:hint="default"/>
          <w:b/>
          <w:bCs/>
          <w:sz w:val="24"/>
          <w:szCs w:val="24"/>
        </w:rPr>
      </w:pPr>
    </w:p>
    <w:p>
      <w:pPr>
        <w:pStyle w:val="BodyText"/>
        <w:spacing w:line="271" w:lineRule="auto"/>
        <w:ind w:right="100"/>
        <w:jc w:val="left"/>
      </w:pPr>
      <w:r>
        <w:rPr/>
        <w:t>（</w:t>
      </w:r>
      <w:r>
        <w:rPr>
          <w:rFonts w:ascii="Times New Roman" w:hAnsi="Times New Roman" w:cs="Times New Roman" w:eastAsia="Times New Roman" w:hint="default"/>
        </w:rPr>
        <w:t>1</w:t>
      </w:r>
      <w:r>
        <w:rPr/>
        <w:t>）后续计量公司对子公司的长期股权投资，采用成本法核算，编制合并财务报表时按照权益法进行调</w:t>
      </w:r>
      <w:r>
        <w:rPr>
          <w:w w:val="100"/>
        </w:rPr>
        <w:t> </w:t>
      </w:r>
      <w:r>
        <w:rPr>
          <w:spacing w:val="-2"/>
        </w:rPr>
        <w:t>整。对被投资单位不具有共同控制或重大影响，并且在活跃市场中没有报价、公允价值不能可靠计量的长</w:t>
      </w:r>
      <w:r>
        <w:rPr>
          <w:spacing w:val="-44"/>
        </w:rPr>
        <w:t> </w:t>
      </w:r>
      <w:r>
        <w:rPr>
          <w:spacing w:val="-44"/>
        </w:rPr>
      </w:r>
      <w:r>
        <w:rPr>
          <w:spacing w:val="-5"/>
        </w:rPr>
        <w:t>期股权投资，采用成本法核算。对被投资单位具有共同控制或重大影响的长期股权投资，采用权益法核算。 </w:t>
      </w:r>
      <w:r>
        <w:rPr>
          <w:spacing w:val="-5"/>
        </w:rPr>
      </w:r>
      <w:r>
        <w:rPr>
          <w:spacing w:val="-2"/>
        </w:rPr>
        <w:t>初始投资成本大于投资时应享有被投资单位可辨认净资产公允价值份额的差额，不调整长期股权投资的初</w:t>
      </w:r>
      <w:r>
        <w:rPr>
          <w:spacing w:val="-43"/>
        </w:rPr>
        <w:t> </w:t>
      </w:r>
      <w:r>
        <w:rPr>
          <w:spacing w:val="-43"/>
        </w:rPr>
      </w:r>
      <w:r>
        <w:rPr>
          <w:spacing w:val="-2"/>
        </w:rPr>
        <w:t>始投资成本；初始投资成本小于投资时应享有被投资单位可辨认净资产公允价值份额的差额，计入当期损</w:t>
      </w:r>
      <w:r>
        <w:rPr>
          <w:spacing w:val="-44"/>
        </w:rPr>
        <w:t> </w:t>
      </w:r>
      <w:r>
        <w:rPr>
          <w:spacing w:val="-44"/>
        </w:rPr>
      </w:r>
      <w:r>
        <w:rPr>
          <w:spacing w:val="-2"/>
        </w:rPr>
        <w:t>益。被投资单位除净损益以外所有者权益其他变动的处理：对于被投资单位除净损益以外所有者权益的其</w:t>
      </w:r>
      <w:r>
        <w:rPr>
          <w:spacing w:val="-44"/>
        </w:rPr>
        <w:t> </w:t>
      </w:r>
      <w:r>
        <w:rPr>
          <w:spacing w:val="-44"/>
        </w:rPr>
      </w:r>
      <w:r>
        <w:rPr>
          <w:spacing w:val="-2"/>
        </w:rPr>
        <w:t>他变动，在持股比例不变的情况下，公司按照持股比例计算应享有或承担的部分，调整长期股权投资的账</w:t>
      </w:r>
      <w:r>
        <w:rPr>
          <w:spacing w:val="-44"/>
        </w:rPr>
        <w:t> </w:t>
      </w:r>
      <w:r>
        <w:rPr>
          <w:spacing w:val="-44"/>
        </w:rPr>
      </w:r>
      <w:r>
        <w:rPr>
          <w:spacing w:val="-6"/>
          <w:w w:val="100"/>
        </w:rPr>
        <w:t>面价值，同时增加或减少资本公积（其他资本公积）。（</w:t>
      </w:r>
      <w:r>
        <w:rPr>
          <w:rFonts w:ascii="Times New Roman" w:hAnsi="Times New Roman" w:cs="Times New Roman" w:eastAsia="Times New Roman" w:hint="default"/>
          <w:spacing w:val="-6"/>
          <w:w w:val="100"/>
        </w:rPr>
        <w:t>2</w:t>
      </w:r>
      <w:r>
        <w:rPr>
          <w:spacing w:val="-6"/>
          <w:w w:val="100"/>
        </w:rPr>
        <w:t>）损益确认成本法下，除取得投资时实际支付的</w:t>
      </w:r>
      <w:r>
        <w:rPr>
          <w:spacing w:val="-98"/>
          <w:w w:val="100"/>
        </w:rPr>
        <w:t> </w:t>
      </w:r>
      <w:r>
        <w:rPr>
          <w:spacing w:val="-98"/>
          <w:w w:val="100"/>
        </w:rPr>
      </w:r>
      <w:r>
        <w:rPr>
          <w:spacing w:val="-2"/>
        </w:rPr>
        <w:t>价款或对价中包含的已宣告但尚未发放的现金股利或利润外，公司按照享有被投资单位宣告发放的现金股</w:t>
      </w:r>
      <w:r>
        <w:rPr>
          <w:spacing w:val="-42"/>
        </w:rPr>
        <w:t> </w:t>
      </w:r>
      <w:r>
        <w:rPr>
          <w:spacing w:val="-42"/>
        </w:rPr>
      </w:r>
      <w:r>
        <w:rPr>
          <w:spacing w:val="-2"/>
        </w:rPr>
        <w:t>利或利润确认投资收益。权益法下，在被投资单位账面净利润的基础上考虑：被投资单位与本公司采用的</w:t>
      </w:r>
      <w:r>
        <w:rPr>
          <w:spacing w:val="-44"/>
        </w:rPr>
        <w:t> </w:t>
      </w:r>
      <w:r>
        <w:rPr>
          <w:spacing w:val="-44"/>
        </w:rPr>
      </w:r>
      <w:r>
        <w:rPr>
          <w:spacing w:val="-2"/>
        </w:rPr>
        <w:t>会计政策及会计期间不一致，按本公司的会计政策及会计期间对被投资单位财务报表进行调整；以取得投</w:t>
      </w:r>
      <w:r>
        <w:rPr>
          <w:spacing w:val="-43"/>
        </w:rPr>
        <w:t> </w:t>
      </w:r>
      <w:r>
        <w:rPr>
          <w:spacing w:val="-43"/>
        </w:rPr>
      </w:r>
      <w:r>
        <w:rPr>
          <w:spacing w:val="-2"/>
        </w:rPr>
        <w:t>资时被投资单位固定资产、无形资产的公允价值为基础计提的折旧额或摊销额以及有关资产减值准备金额</w:t>
      </w:r>
      <w:r>
        <w:rPr>
          <w:spacing w:val="-43"/>
        </w:rPr>
        <w:t> </w:t>
      </w:r>
      <w:r>
        <w:rPr>
          <w:spacing w:val="-43"/>
        </w:rPr>
      </w:r>
      <w:r>
        <w:rPr>
          <w:spacing w:val="-2"/>
        </w:rPr>
        <w:t>等对被投资单位净利润的影响；对本公司与联营企业及合营企业之间发生的未实现内部交易予以抵销等事</w:t>
      </w:r>
      <w:r>
        <w:rPr>
          <w:spacing w:val="-43"/>
        </w:rPr>
        <w:t> </w:t>
      </w:r>
      <w:r>
        <w:rPr>
          <w:spacing w:val="-43"/>
        </w:rPr>
      </w:r>
      <w:r>
        <w:rPr>
          <w:spacing w:val="-2"/>
        </w:rPr>
        <w:t>项的适当调整后，确认应享有或应负担被投资单位的净利润或净亏损。在公司确认应分担被投资单位发生</w:t>
      </w:r>
      <w:r>
        <w:rPr>
          <w:spacing w:val="-43"/>
        </w:rPr>
        <w:t> </w:t>
      </w:r>
      <w:r>
        <w:rPr>
          <w:spacing w:val="-43"/>
        </w:rPr>
      </w:r>
      <w:r>
        <w:rPr>
          <w:spacing w:val="-2"/>
        </w:rPr>
        <w:t>的亏损时，按照以下顺序进行处理：首先，冲减长期股权投资的账面价值。其次，长期股权投资的账面价</w:t>
      </w:r>
      <w:r>
        <w:rPr>
          <w:spacing w:val="-42"/>
        </w:rPr>
        <w:t> </w:t>
      </w:r>
      <w:r>
        <w:rPr>
          <w:spacing w:val="-42"/>
        </w:rPr>
      </w:r>
      <w:r>
        <w:rPr>
          <w:spacing w:val="-2"/>
        </w:rPr>
        <w:t>值不足以冲减的，以其他实质上构成对被投资单位净投资的长期权益账面价值为限继续确认投资损失，冲</w:t>
      </w:r>
      <w:r>
        <w:rPr>
          <w:spacing w:val="-44"/>
        </w:rPr>
        <w:t> </w:t>
      </w:r>
      <w:r>
        <w:rPr>
          <w:spacing w:val="-44"/>
        </w:rPr>
      </w:r>
      <w:r>
        <w:rPr/>
        <w:t>减长期应收项目等的账面价值。最后，经过上述处理，按照投资合同或协议约定企业仍承担额外义务的，</w:t>
      </w:r>
      <w:r>
        <w:rPr>
          <w:w w:val="100"/>
        </w:rPr>
        <w:t> </w:t>
      </w:r>
      <w:r>
        <w:rPr>
          <w:spacing w:val="-2"/>
        </w:rPr>
        <w:t>按预计承担的义务确认预计负债，计入当期投资损失。被投资单位以后期间实现盈利的，公司在扣除未确</w:t>
      </w:r>
      <w:r>
        <w:rPr>
          <w:spacing w:val="-42"/>
        </w:rPr>
        <w:t> </w:t>
      </w:r>
      <w:r>
        <w:rPr>
          <w:spacing w:val="-42"/>
        </w:rPr>
      </w:r>
      <w:r>
        <w:rPr>
          <w:spacing w:val="-2"/>
        </w:rPr>
        <w:t>认的亏损分担额后，按与上述相反的顺序处理，减记已确认预计负债的账面余额、恢复其他实质上构成对</w:t>
      </w:r>
      <w:r>
        <w:rPr>
          <w:spacing w:val="-44"/>
        </w:rPr>
        <w:t> </w:t>
      </w:r>
      <w:r>
        <w:rPr>
          <w:spacing w:val="-44"/>
        </w:rPr>
      </w:r>
      <w:r>
        <w:rPr>
          <w:spacing w:val="-2"/>
        </w:rPr>
        <w:t>被投资单位净投资的长期权益及长期股权投资的账面价值，同时确认投资收益。在持有投资期间，被投资</w:t>
      </w:r>
      <w:r>
        <w:rPr>
          <w:spacing w:val="-42"/>
        </w:rPr>
        <w:t> </w:t>
      </w:r>
      <w:r>
        <w:rPr>
          <w:spacing w:val="-42"/>
        </w:rPr>
      </w:r>
      <w:r>
        <w:rPr/>
        <w:t>单位能够提供合并财务报表的，应当以合并财务报表中的净利润和其他权益变动为基础进行核算。</w:t>
      </w:r>
    </w:p>
    <w:p>
      <w:pPr>
        <w:spacing w:line="240" w:lineRule="auto" w:before="7"/>
        <w:rPr>
          <w:rFonts w:ascii="宋体" w:hAnsi="宋体" w:cs="宋体" w:eastAsia="宋体" w:hint="default"/>
          <w:sz w:val="23"/>
          <w:szCs w:val="23"/>
        </w:rPr>
      </w:pPr>
    </w:p>
    <w:p>
      <w:pPr>
        <w:pStyle w:val="Heading4"/>
        <w:spacing w:line="240" w:lineRule="auto"/>
        <w:ind w:right="10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06"/>
        <w:jc w:val="both"/>
      </w:pPr>
      <w:r>
        <w:rPr>
          <w:spacing w:val="-2"/>
        </w:rPr>
        <w:t>共同控制，是指按照合同约定对某项经济活动所共有的控制，仅在与该项经济活动相关的重要财务和经营</w:t>
      </w:r>
      <w:r>
        <w:rPr>
          <w:spacing w:val="-42"/>
        </w:rPr>
        <w:t> </w:t>
      </w:r>
      <w:r>
        <w:rPr>
          <w:spacing w:val="-42"/>
        </w:rPr>
      </w:r>
      <w:r>
        <w:rPr>
          <w:spacing w:val="-2"/>
        </w:rPr>
        <w:t>决策需要分享控制权的投资方一致同意时存在。投资企业与其他方对被投资单位实施共同控制的，被投资</w:t>
      </w:r>
      <w:r>
        <w:rPr>
          <w:spacing w:val="-44"/>
        </w:rPr>
        <w:t> </w:t>
      </w:r>
      <w:r>
        <w:rPr>
          <w:spacing w:val="-44"/>
        </w:rPr>
      </w:r>
      <w:r>
        <w:rPr>
          <w:spacing w:val="-2"/>
        </w:rPr>
        <w:t>单位为其合营企业。重大影响，是指对一个企业的财务和经营决策有参与决策的权力，但并不能够控制或</w:t>
      </w:r>
      <w:r>
        <w:rPr>
          <w:spacing w:val="-44"/>
        </w:rPr>
        <w:t> </w:t>
      </w:r>
      <w:r>
        <w:rPr>
          <w:spacing w:val="-44"/>
        </w:rPr>
      </w:r>
      <w:r>
        <w:rPr>
          <w:spacing w:val="-2"/>
        </w:rPr>
        <w:t>者与其他方一起共同控制这些政策的制定。投资企业能够对被投资单位施加重大影响的，被投资单位为其</w:t>
      </w:r>
      <w:r>
        <w:rPr>
          <w:spacing w:val="-44"/>
        </w:rPr>
        <w:t> </w:t>
      </w:r>
      <w:r>
        <w:rPr>
          <w:spacing w:val="-44"/>
        </w:rPr>
      </w:r>
      <w:r>
        <w:rPr/>
        <w:t>联营企业。</w:t>
      </w:r>
    </w:p>
    <w:p>
      <w:pPr>
        <w:spacing w:line="240" w:lineRule="auto" w:before="7"/>
        <w:rPr>
          <w:rFonts w:ascii="宋体" w:hAnsi="宋体" w:cs="宋体" w:eastAsia="宋体" w:hint="default"/>
          <w:sz w:val="23"/>
          <w:szCs w:val="23"/>
        </w:rPr>
      </w:pPr>
    </w:p>
    <w:p>
      <w:pPr>
        <w:spacing w:line="506" w:lineRule="auto" w:before="0"/>
        <w:ind w:left="152" w:right="1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重大影响以下的、在活跃市场中没有报价、公允价值不能可靠计量的长期股权投资，其减值损失是根据其</w:t>
      </w:r>
    </w:p>
    <w:p>
      <w:pPr>
        <w:spacing w:after="0" w:line="506" w:lineRule="auto"/>
        <w:jc w:val="left"/>
        <w:rPr>
          <w:rFonts w:ascii="宋体" w:hAnsi="宋体" w:cs="宋体" w:eastAsia="宋体" w:hint="default"/>
          <w:sz w:val="21"/>
          <w:szCs w:val="21"/>
        </w:rPr>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00"/>
        <w:jc w:val="left"/>
      </w:pPr>
      <w:r>
        <w:rPr/>
        <w:t>账面价值与按类似金融资产当时市场收益率对未来现金流量折现确定的现值之间的差额进行确定。</w:t>
      </w:r>
      <w:r>
        <w:rPr>
          <w:w w:val="100"/>
        </w:rPr>
        <w:t> </w:t>
      </w:r>
      <w:r>
        <w:rPr>
          <w:spacing w:val="-2"/>
        </w:rPr>
        <w:t>除因企业合并形成的商誉以外的存在减值迹象的其他长期股权投资，如果可收回金额的计量结果表明，该</w:t>
      </w:r>
      <w:r>
        <w:rPr>
          <w:spacing w:val="-44"/>
        </w:rPr>
        <w:t> </w:t>
      </w:r>
      <w:r>
        <w:rPr>
          <w:spacing w:val="-44"/>
        </w:rPr>
      </w:r>
      <w:r>
        <w:rPr/>
        <w:t>长期股权投资的可收回金额低于其账面价值的，将差额确认为减值损失。</w:t>
      </w:r>
      <w:r>
        <w:rPr>
          <w:w w:val="100"/>
        </w:rPr>
        <w:t> </w:t>
      </w:r>
      <w:r>
        <w:rPr/>
        <w:t>长期股权投资减值损失一经确认，不再转回。</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0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0"/>
        <w:jc w:val="left"/>
      </w:pPr>
      <w:r>
        <w:rPr>
          <w:spacing w:val="-2"/>
        </w:rPr>
        <w:t>投资性房地产是指为赚取租金或资本增值，或两者兼有而持有的房地产，包括已出租的土地使用权、持有</w:t>
      </w:r>
      <w:r>
        <w:rPr>
          <w:spacing w:val="-44"/>
        </w:rPr>
        <w:t> </w:t>
      </w:r>
      <w:r>
        <w:rPr>
          <w:spacing w:val="-44"/>
        </w:rPr>
      </w:r>
      <w:r>
        <w:rPr>
          <w:spacing w:val="-2"/>
        </w:rPr>
        <w:t>并准备增值后转让的土地使用权、已出租的建筑物（含自行建造或开发活动完成后用于出租的建筑物以及</w:t>
      </w:r>
      <w:r>
        <w:rPr>
          <w:spacing w:val="-43"/>
        </w:rPr>
        <w:t> </w:t>
      </w:r>
      <w:r>
        <w:rPr>
          <w:spacing w:val="-43"/>
        </w:rPr>
      </w:r>
      <w:r>
        <w:rPr/>
        <w:t>正在建造或开发过程中将来用于出租的建筑物）。</w:t>
      </w:r>
      <w:r>
        <w:rPr>
          <w:w w:val="100"/>
        </w:rPr>
        <w:t> </w:t>
      </w:r>
      <w:r>
        <w:rPr>
          <w:spacing w:val="-2"/>
        </w:rPr>
        <w:t>公司对现有投资性房地产采用成本模式计量。对按照成本模式计量的投资性房地产－出租用建筑物采用与</w:t>
      </w:r>
      <w:r>
        <w:rPr>
          <w:spacing w:val="-43"/>
        </w:rPr>
        <w:t> </w:t>
      </w:r>
      <w:r>
        <w:rPr>
          <w:spacing w:val="-43"/>
        </w:rPr>
      </w:r>
      <w:r>
        <w:rPr/>
        <w:t>本公司固定资产相同的折旧政策，出租用土地使用权按与无形资产相同的摊销政策执行。</w:t>
      </w:r>
      <w:r>
        <w:rPr>
          <w:w w:val="100"/>
        </w:rPr>
        <w:t> </w:t>
      </w:r>
      <w:r>
        <w:rPr/>
        <w:t>公司对存在减值迹象的，估计其可收回金额，可收回金额低于其账面价值的，确认相应的减值损失。</w:t>
      </w:r>
      <w:r>
        <w:rPr>
          <w:w w:val="100"/>
        </w:rPr>
        <w:t> </w:t>
      </w:r>
      <w:r>
        <w:rPr/>
        <w:t>投资性房地产减值损失一经确认，不再转回。</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0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0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ind w:right="100"/>
        <w:jc w:val="left"/>
      </w:pPr>
      <w:r>
        <w:rPr>
          <w:spacing w:val="-5"/>
        </w:rPr>
        <w:t>固定资产指为生产商品、提供劳务、出租或经营管理而持有，并且使用寿命超过一个会计年度的有形资产。</w:t>
      </w:r>
      <w:r>
        <w:rPr>
          <w:spacing w:val="-3"/>
        </w:rPr>
        <w:t> </w:t>
      </w:r>
      <w:r>
        <w:rPr>
          <w:spacing w:val="-3"/>
        </w:rPr>
      </w:r>
      <w:r>
        <w:rPr>
          <w:spacing w:val="-7"/>
          <w:w w:val="100"/>
        </w:rPr>
        <w:t>固定资产在同时满足下列条件时予以确认：（</w:t>
      </w:r>
      <w:r>
        <w:rPr>
          <w:rFonts w:ascii="Times New Roman" w:hAnsi="Times New Roman" w:cs="Times New Roman" w:eastAsia="Times New Roman" w:hint="default"/>
          <w:spacing w:val="-7"/>
          <w:w w:val="100"/>
        </w:rPr>
        <w:t>1</w:t>
      </w:r>
      <w:r>
        <w:rPr>
          <w:spacing w:val="-7"/>
          <w:w w:val="100"/>
        </w:rPr>
        <w:t>）与该固定资产有关的经济利益很可能流入企业；（</w:t>
      </w:r>
      <w:r>
        <w:rPr>
          <w:rFonts w:ascii="Times New Roman" w:hAnsi="Times New Roman" w:cs="Times New Roman" w:eastAsia="Times New Roman" w:hint="default"/>
          <w:spacing w:val="-7"/>
          <w:w w:val="100"/>
        </w:rPr>
        <w:t>2</w:t>
      </w:r>
      <w:r>
        <w:rPr>
          <w:spacing w:val="-7"/>
          <w:w w:val="100"/>
        </w:rPr>
        <w:t>）该固</w:t>
      </w:r>
      <w:r>
        <w:rPr>
          <w:spacing w:val="-66"/>
          <w:w w:val="100"/>
        </w:rPr>
        <w:t> </w:t>
      </w:r>
      <w:r>
        <w:rPr>
          <w:spacing w:val="-66"/>
          <w:w w:val="100"/>
        </w:rPr>
      </w:r>
      <w:r>
        <w:rPr/>
        <w:t>定资产的成本能够可靠地计量。</w:t>
      </w:r>
    </w:p>
    <w:p>
      <w:pPr>
        <w:spacing w:line="240" w:lineRule="auto" w:before="0"/>
        <w:rPr>
          <w:rFonts w:ascii="宋体" w:hAnsi="宋体" w:cs="宋体" w:eastAsia="宋体" w:hint="default"/>
          <w:sz w:val="24"/>
          <w:szCs w:val="24"/>
        </w:rPr>
      </w:pPr>
    </w:p>
    <w:p>
      <w:pPr>
        <w:pStyle w:val="Heading4"/>
        <w:spacing w:line="240" w:lineRule="auto"/>
        <w:ind w:right="10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ind w:right="206"/>
        <w:jc w:val="both"/>
      </w:pPr>
      <w:r>
        <w:rPr>
          <w:spacing w:val="-5"/>
          <w:w w:val="100"/>
        </w:rPr>
        <w:t>公司与租赁方所签订的租赁协议条款中规定了下列条件之一的，确认为融资租入资产：（</w:t>
      </w:r>
      <w:r>
        <w:rPr>
          <w:rFonts w:ascii="Times New Roman" w:hAnsi="Times New Roman" w:cs="Times New Roman" w:eastAsia="Times New Roman" w:hint="default"/>
          <w:spacing w:val="-5"/>
          <w:w w:val="100"/>
        </w:rPr>
        <w:t>1</w:t>
      </w:r>
      <w:r>
        <w:rPr>
          <w:spacing w:val="-5"/>
          <w:w w:val="100"/>
        </w:rPr>
        <w:t>）租赁期满后租</w:t>
      </w:r>
      <w:r>
        <w:rPr>
          <w:spacing w:val="-62"/>
          <w:w w:val="100"/>
        </w:rPr>
        <w:t> </w:t>
      </w:r>
      <w:r>
        <w:rPr>
          <w:spacing w:val="-62"/>
          <w:w w:val="100"/>
        </w:rPr>
      </w:r>
      <w:r>
        <w:rPr>
          <w:spacing w:val="-5"/>
          <w:w w:val="100"/>
        </w:rPr>
        <w:t>赁资产的所有权归属于本公司；（</w:t>
      </w:r>
      <w:r>
        <w:rPr>
          <w:rFonts w:ascii="Times New Roman" w:hAnsi="Times New Roman" w:cs="Times New Roman" w:eastAsia="Times New Roman" w:hint="default"/>
          <w:spacing w:val="-5"/>
          <w:w w:val="100"/>
        </w:rPr>
        <w:t>2</w:t>
      </w:r>
      <w:r>
        <w:rPr>
          <w:spacing w:val="-5"/>
          <w:w w:val="100"/>
        </w:rPr>
        <w:t>）公司具有购买资产的选择权，购买价款远低于行使选择权时该资产的</w:t>
      </w:r>
      <w:r>
        <w:rPr>
          <w:spacing w:val="-63"/>
          <w:w w:val="100"/>
        </w:rPr>
        <w:t> </w:t>
      </w:r>
      <w:r>
        <w:rPr>
          <w:spacing w:val="-63"/>
          <w:w w:val="100"/>
        </w:rPr>
      </w:r>
      <w:r>
        <w:rPr>
          <w:spacing w:val="-7"/>
          <w:w w:val="100"/>
        </w:rPr>
        <w:t>公允价值；（</w:t>
      </w:r>
      <w:r>
        <w:rPr>
          <w:rFonts w:ascii="Times New Roman" w:hAnsi="Times New Roman" w:cs="Times New Roman" w:eastAsia="Times New Roman" w:hint="default"/>
          <w:spacing w:val="-7"/>
          <w:w w:val="100"/>
        </w:rPr>
        <w:t>3</w:t>
      </w:r>
      <w:r>
        <w:rPr>
          <w:spacing w:val="-7"/>
          <w:w w:val="100"/>
        </w:rPr>
        <w:t>）租赁期占所租赁资产使用寿命的大部分；（</w:t>
      </w:r>
      <w:r>
        <w:rPr>
          <w:rFonts w:ascii="Times New Roman" w:hAnsi="Times New Roman" w:cs="Times New Roman" w:eastAsia="Times New Roman" w:hint="default"/>
          <w:spacing w:val="-7"/>
          <w:w w:val="100"/>
        </w:rPr>
        <w:t>4</w:t>
      </w:r>
      <w:r>
        <w:rPr>
          <w:spacing w:val="-7"/>
          <w:w w:val="100"/>
        </w:rPr>
        <w:t>）租赁开始日的最低租赁付款额现值，与该资</w:t>
      </w:r>
      <w:r>
        <w:rPr>
          <w:spacing w:val="-65"/>
          <w:w w:val="100"/>
        </w:rPr>
        <w:t> </w:t>
      </w:r>
      <w:r>
        <w:rPr>
          <w:spacing w:val="-65"/>
          <w:w w:val="100"/>
        </w:rPr>
      </w:r>
      <w:r>
        <w:rPr>
          <w:spacing w:val="-2"/>
        </w:rPr>
        <w:t>产的公允价值不存在较大的差异。公司在承租开始日，将租赁资产公允价值与最低租赁付款额现值两者中</w:t>
      </w:r>
      <w:r>
        <w:rPr>
          <w:spacing w:val="-44"/>
        </w:rPr>
        <w:t> </w:t>
      </w:r>
      <w:r>
        <w:rPr>
          <w:spacing w:val="-44"/>
        </w:rPr>
      </w:r>
      <w:r>
        <w:rPr>
          <w:spacing w:val="-2"/>
        </w:rPr>
        <w:t>较低者作为租入资产的入账价值，将最低租赁付款额作为长期应付款的入账价值，其差额作为未确认的融</w:t>
      </w:r>
      <w:r>
        <w:rPr>
          <w:spacing w:val="-43"/>
        </w:rPr>
        <w:t> </w:t>
      </w:r>
      <w:r>
        <w:rPr>
          <w:spacing w:val="-43"/>
        </w:rPr>
      </w:r>
      <w:r>
        <w:rPr/>
        <w:t>资费。</w:t>
      </w:r>
    </w:p>
    <w:p>
      <w:pPr>
        <w:spacing w:line="240" w:lineRule="auto" w:before="2"/>
        <w:rPr>
          <w:rFonts w:ascii="宋体" w:hAnsi="宋体" w:cs="宋体" w:eastAsia="宋体" w:hint="default"/>
          <w:sz w:val="24"/>
          <w:szCs w:val="24"/>
        </w:rPr>
      </w:pPr>
    </w:p>
    <w:p>
      <w:pPr>
        <w:pStyle w:val="Heading4"/>
        <w:spacing w:line="240" w:lineRule="auto"/>
        <w:ind w:right="10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87"/>
        <w:jc w:val="both"/>
      </w:pPr>
      <w:r>
        <w:rPr>
          <w:spacing w:val="-2"/>
        </w:rPr>
        <w:t>固定资产折旧采用年限平均法分类计提，根据固定资产类别、预计使用寿命和预计净残值率确定折旧率。</w:t>
      </w:r>
      <w:r>
        <w:rPr>
          <w:spacing w:val="-24"/>
        </w:rPr>
        <w:t> </w:t>
      </w:r>
      <w:r>
        <w:rPr>
          <w:spacing w:val="-24"/>
        </w:rPr>
      </w:r>
      <w:r>
        <w:rPr>
          <w:spacing w:val="-2"/>
        </w:rPr>
        <w:t>融资租赁方式租入的固定资产，能合理确定租赁期届满时将会取得租赁资产所有权的，在租赁资产尚可使</w:t>
      </w:r>
      <w:r>
        <w:rPr>
          <w:spacing w:val="-42"/>
        </w:rPr>
        <w:t> </w:t>
      </w:r>
      <w:r>
        <w:rPr>
          <w:spacing w:val="-42"/>
        </w:rPr>
      </w:r>
      <w:r>
        <w:rPr>
          <w:spacing w:val="-2"/>
        </w:rPr>
        <w:t>用年限内计提折旧；无法合理确定租赁期届满时能够取得租赁资产所有权的，在租赁期与租赁资产尚可使</w:t>
      </w:r>
      <w:r>
        <w:rPr>
          <w:spacing w:val="-43"/>
        </w:rPr>
        <w:t> </w:t>
      </w:r>
      <w:r>
        <w:rPr>
          <w:spacing w:val="-43"/>
        </w:rPr>
      </w:r>
      <w:r>
        <w:rPr/>
        <w:t>用年限两者中较短的期间内计提折旧。</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18"/>
        <w:gridCol w:w="2105"/>
        <w:gridCol w:w="2220"/>
        <w:gridCol w:w="2727"/>
      </w:tblGrid>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24%</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19.2%</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19.2%</w:t>
            </w:r>
          </w:p>
        </w:tc>
      </w:tr>
    </w:tbl>
    <w:p>
      <w:pPr>
        <w:spacing w:line="240" w:lineRule="auto" w:before="3"/>
        <w:rPr>
          <w:rFonts w:ascii="宋体" w:hAnsi="宋体" w:cs="宋体" w:eastAsia="宋体" w:hint="default"/>
          <w:sz w:val="19"/>
          <w:szCs w:val="19"/>
        </w:rPr>
      </w:pPr>
    </w:p>
    <w:p>
      <w:pPr>
        <w:pStyle w:val="Heading4"/>
        <w:spacing w:line="240" w:lineRule="auto" w:before="36"/>
        <w:ind w:right="10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0"/>
        <w:jc w:val="left"/>
      </w:pPr>
      <w:r>
        <w:rPr/>
        <w:t>公司在每期末判断固定资产是否存在可能发生减值的迹象。</w:t>
      </w:r>
      <w:r>
        <w:rPr>
          <w:w w:val="100"/>
        </w:rPr>
        <w:t> </w:t>
      </w:r>
      <w:r>
        <w:rPr>
          <w:spacing w:val="-2"/>
        </w:rPr>
        <w:t>固定资产存在减值迹象的，估计其可收回金额。可收回金额根据固定资产的公允价值减去处置费用后的净</w:t>
      </w:r>
      <w:r>
        <w:rPr>
          <w:spacing w:val="-43"/>
        </w:rPr>
        <w:t> </w:t>
      </w:r>
      <w:r>
        <w:rPr>
          <w:spacing w:val="-43"/>
        </w:rPr>
      </w:r>
      <w:r>
        <w:rPr/>
        <w:t>额与固定资产预计未来现金流量的现值两者之间较高者确定。</w:t>
      </w:r>
      <w:r>
        <w:rPr>
          <w:w w:val="100"/>
        </w:rPr>
        <w:t> </w:t>
      </w:r>
      <w:r>
        <w:rPr>
          <w:spacing w:val="-2"/>
        </w:rPr>
        <w:t>当固定资产的可收回金额低于其账面价值的，将固定资产的账面价值减记至可收回金额，减记的金额确认</w:t>
      </w:r>
      <w:r>
        <w:rPr>
          <w:spacing w:val="-43"/>
        </w:rPr>
        <w:t> </w:t>
      </w:r>
      <w:r>
        <w:rPr>
          <w:spacing w:val="-43"/>
        </w:rPr>
      </w:r>
      <w:r>
        <w:rPr/>
        <w:t>为固定资产减值损失，计入当期损益，同时计提相应的固定资产减值准备。</w:t>
      </w:r>
      <w:r>
        <w:rPr>
          <w:w w:val="100"/>
        </w:rPr>
        <w:t> </w:t>
      </w:r>
      <w:r>
        <w:rPr>
          <w:spacing w:val="-2"/>
        </w:rPr>
        <w:t>固定资产减值损失确认后，减值固定资产的折旧在未来期间作相应调整，以使该固定资产在剩余使用寿命</w:t>
      </w:r>
      <w:r>
        <w:rPr>
          <w:spacing w:val="-44"/>
        </w:rPr>
        <w:t> </w:t>
      </w:r>
      <w:r>
        <w:rPr>
          <w:spacing w:val="-44"/>
        </w:rPr>
      </w:r>
      <w:r>
        <w:rPr/>
        <w:t>内，系统地分摊调整后的固定资产账面价值（扣除预计净残值）。</w:t>
      </w:r>
      <w:r>
        <w:rPr>
          <w:w w:val="100"/>
        </w:rPr>
        <w:t> </w:t>
      </w:r>
      <w:r>
        <w:rPr/>
        <w:t>固定资产的减值损失一经确认，在以后会计期间不再转回。</w:t>
      </w:r>
      <w:r>
        <w:rPr>
          <w:w w:val="100"/>
        </w:rPr>
        <w:t> </w:t>
      </w:r>
      <w:r>
        <w:rPr>
          <w:spacing w:val="-2"/>
        </w:rPr>
        <w:t>有迹象表明一项固定资产可能发生减值的，企业以单项固定资产为基础估计其可收回金额。企业难以对单</w:t>
      </w:r>
      <w:r>
        <w:rPr>
          <w:spacing w:val="-43"/>
        </w:rPr>
        <w:t> </w:t>
      </w:r>
      <w:r>
        <w:rPr>
          <w:spacing w:val="-43"/>
        </w:rPr>
      </w:r>
      <w:r>
        <w:rPr/>
        <w:t>项固定资产的可收回金额进行估计的，以该固定资产所属的资产组为基础确定资产组的可收回金额。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6"/>
        <w:ind w:right="10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2"/>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10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2"/>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在建工程以立项项目分类核算。</w:t>
      </w:r>
    </w:p>
    <w:p>
      <w:pPr>
        <w:spacing w:line="240" w:lineRule="auto" w:before="0"/>
        <w:rPr>
          <w:rFonts w:ascii="宋体" w:hAnsi="宋体" w:cs="宋体" w:eastAsia="宋体" w:hint="default"/>
          <w:sz w:val="18"/>
          <w:szCs w:val="18"/>
        </w:rPr>
      </w:pPr>
    </w:p>
    <w:p>
      <w:pPr>
        <w:pStyle w:val="Heading4"/>
        <w:spacing w:line="240" w:lineRule="auto" w:before="120"/>
        <w:ind w:right="10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3"/>
        <w:jc w:val="both"/>
      </w:pPr>
      <w:r>
        <w:rPr>
          <w:spacing w:val="-2"/>
        </w:rPr>
        <w:t>在建工程项目按建造该项资产达到预定可使用状态前所发生的全部支出，作为固定资产的入账价值。所建</w:t>
      </w:r>
      <w:r>
        <w:rPr>
          <w:spacing w:val="-43"/>
        </w:rPr>
        <w:t> </w:t>
      </w:r>
      <w:r>
        <w:rPr>
          <w:spacing w:val="-43"/>
        </w:rPr>
      </w:r>
      <w:r>
        <w:rPr/>
        <w:t>造的固定资产在建工程已达到预定可使用状态，但尚未办理竣工决算的，自达到预定可使用状态之日起，</w:t>
      </w:r>
      <w:r>
        <w:rPr>
          <w:w w:val="100"/>
        </w:rPr>
        <w:t> </w:t>
      </w:r>
      <w:r>
        <w:rPr>
          <w:spacing w:val="-2"/>
        </w:rPr>
        <w:t>根据工程预算、造价或者工程实际成本等，按估计的价值转入固定资产，并按本公司固定资产折旧政策计</w:t>
      </w:r>
      <w:r>
        <w:rPr>
          <w:spacing w:val="-45"/>
        </w:rPr>
        <w:t> </w:t>
      </w:r>
      <w:r>
        <w:rPr>
          <w:spacing w:val="-45"/>
        </w:rPr>
      </w:r>
      <w:r>
        <w:rPr>
          <w:spacing w:val="-5"/>
        </w:rPr>
        <w:t>提固定资产的折旧，待办理竣工决算后，再按实际成本调整原来的暂估价值，但不调整原已计提的折旧额。</w:t>
      </w:r>
    </w:p>
    <w:p>
      <w:pPr>
        <w:spacing w:line="240" w:lineRule="auto" w:before="7"/>
        <w:rPr>
          <w:rFonts w:ascii="宋体" w:hAnsi="宋体" w:cs="宋体" w:eastAsia="宋体" w:hint="default"/>
          <w:sz w:val="23"/>
          <w:szCs w:val="23"/>
        </w:rPr>
      </w:pPr>
    </w:p>
    <w:p>
      <w:pPr>
        <w:pStyle w:val="Heading4"/>
        <w:spacing w:line="240" w:lineRule="auto"/>
        <w:ind w:right="10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0"/>
        <w:jc w:val="left"/>
      </w:pPr>
      <w:r>
        <w:rPr/>
        <w:t>公司在每期末判断在建工程是否存在可能发生减值的迹象。</w:t>
      </w:r>
      <w:r>
        <w:rPr>
          <w:w w:val="100"/>
        </w:rPr>
        <w:t> </w:t>
      </w:r>
      <w:r>
        <w:rPr>
          <w:spacing w:val="-2"/>
        </w:rPr>
        <w:t>在建工程存在减值迹象的，估计其可收回金额。有迹象表明一项在建工程可能发生减值的，企业以单项在</w:t>
      </w:r>
      <w:r>
        <w:rPr>
          <w:spacing w:val="-44"/>
        </w:rPr>
        <w:t> </w:t>
      </w:r>
      <w:r>
        <w:rPr>
          <w:spacing w:val="-44"/>
        </w:rPr>
      </w:r>
      <w:r>
        <w:rPr>
          <w:spacing w:val="-2"/>
        </w:rPr>
        <w:t>建工程为基础估计其可收回金额。企业难以对单项在建工程的可收回金额进行估计的，以该在建工程所属</w:t>
      </w:r>
      <w:r>
        <w:rPr>
          <w:spacing w:val="-43"/>
        </w:rPr>
        <w:t> </w:t>
      </w:r>
      <w:r>
        <w:rPr>
          <w:spacing w:val="-43"/>
        </w:rPr>
      </w:r>
      <w:r>
        <w:rPr/>
        <w:t>的资产组为基础确定资产组的可收回金额。</w:t>
      </w:r>
      <w:r>
        <w:rPr>
          <w:w w:val="100"/>
        </w:rPr>
        <w:t> </w:t>
      </w:r>
      <w:r>
        <w:rPr>
          <w:spacing w:val="2"/>
        </w:rPr>
        <w:t>可收回金额根据在建工程的公允价值减去处置费用后的净额与在建工程预计未来现金流量的现值两者之</w:t>
      </w:r>
    </w:p>
    <w:p>
      <w:pPr>
        <w:spacing w:after="0" w:line="273"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间较高者确定。</w:t>
      </w:r>
    </w:p>
    <w:p>
      <w:pPr>
        <w:spacing w:line="240" w:lineRule="auto" w:before="9"/>
        <w:rPr>
          <w:rFonts w:ascii="宋体" w:hAnsi="宋体" w:cs="宋体" w:eastAsia="宋体" w:hint="default"/>
          <w:sz w:val="26"/>
          <w:szCs w:val="26"/>
        </w:rPr>
      </w:pPr>
    </w:p>
    <w:p>
      <w:pPr>
        <w:pStyle w:val="BodyText"/>
        <w:spacing w:line="273" w:lineRule="auto"/>
        <w:ind w:right="0"/>
        <w:jc w:val="left"/>
      </w:pPr>
      <w:r>
        <w:rPr>
          <w:spacing w:val="-2"/>
        </w:rPr>
        <w:t>当在建工程的可收回金额低于其账面价值的，将在建工程的账面价值减记至可收回金额，减记的金额确认</w:t>
      </w:r>
      <w:r>
        <w:rPr>
          <w:spacing w:val="-43"/>
        </w:rPr>
        <w:t> </w:t>
      </w:r>
      <w:r>
        <w:rPr>
          <w:spacing w:val="-43"/>
        </w:rPr>
      </w:r>
      <w:r>
        <w:rPr/>
        <w:t>为在建工程减值损失，计入当期损益，同时计提相应的在建工程减值准备。</w:t>
      </w:r>
      <w:r>
        <w:rPr>
          <w:w w:val="100"/>
        </w:rPr>
        <w:t> </w:t>
      </w:r>
      <w:r>
        <w:rPr/>
        <w:t>在建工程的减值损失一经确认，在以后会计期间不再转回。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6"/>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0"/>
        <w:jc w:val="left"/>
      </w:pPr>
      <w:r>
        <w:rPr/>
        <w:t>借款费用，包括借款利息、折价或者溢价的摊销、辅助费用以及因外币借款而发生的汇兑差额等。</w:t>
      </w:r>
      <w:r>
        <w:rPr>
          <w:w w:val="100"/>
        </w:rPr>
        <w:t> </w:t>
      </w:r>
      <w:r>
        <w:rPr>
          <w:spacing w:val="-2"/>
        </w:rPr>
        <w:t>公司发生的借款费用，可直接归属于符合资本化条件的资产的购建或者生产的，予以资本化，计入相关资</w:t>
      </w:r>
      <w:r>
        <w:rPr>
          <w:spacing w:val="-43"/>
        </w:rPr>
        <w:t> </w:t>
      </w:r>
      <w:r>
        <w:rPr>
          <w:spacing w:val="-43"/>
        </w:rPr>
      </w:r>
      <w:r>
        <w:rPr/>
        <w:t>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符合资本化条件的资产，是指需要经过相当长时间的购建或者生产活动才能达到预定可使用或者可销售状</w:t>
      </w:r>
      <w:r>
        <w:rPr>
          <w:spacing w:val="-43"/>
        </w:rPr>
        <w:t> </w:t>
      </w:r>
      <w:r>
        <w:rPr>
          <w:spacing w:val="-43"/>
        </w:rPr>
      </w:r>
      <w:r>
        <w:rPr/>
        <w:t>态的固定资产、投资性房地产和存货等资产。</w:t>
      </w:r>
    </w:p>
    <w:p>
      <w:pPr>
        <w:pStyle w:val="BodyText"/>
        <w:spacing w:line="240" w:lineRule="auto" w:before="7"/>
        <w:ind w:right="0"/>
        <w:jc w:val="left"/>
      </w:pPr>
      <w:r>
        <w:rPr/>
        <w:t>借款费用同时满足下列条件时开始资本化：</w:t>
      </w:r>
    </w:p>
    <w:p>
      <w:pPr>
        <w:pStyle w:val="BodyText"/>
        <w:spacing w:line="256" w:lineRule="auto" w:before="37"/>
        <w:ind w:right="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w:t>
      </w:r>
      <w:r>
        <w:rPr>
          <w:spacing w:val="-25"/>
        </w:rPr>
        <w:t> </w:t>
      </w:r>
      <w:r>
        <w:rPr>
          <w:spacing w:val="-25"/>
        </w:rPr>
      </w:r>
      <w:r>
        <w:rPr/>
        <w:t>金资产或者承担带息债务形式发生的支出；</w:t>
      </w:r>
    </w:p>
    <w:p>
      <w:pPr>
        <w:pStyle w:val="BodyText"/>
        <w:spacing w:line="240" w:lineRule="auto" w:before="22"/>
        <w:ind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21"/>
        <w:ind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74"/>
        <w:jc w:val="left"/>
      </w:pPr>
      <w:r>
        <w:rPr>
          <w:spacing w:val="-2"/>
        </w:rPr>
        <w:t>资本化期间，指从借款费用开始资本化时点到停止资本化时点的期间，借款费用暂停资本化的期间不包括</w:t>
      </w:r>
      <w:r>
        <w:rPr>
          <w:spacing w:val="-43"/>
        </w:rPr>
        <w:t> </w:t>
      </w:r>
      <w:r>
        <w:rPr>
          <w:spacing w:val="-43"/>
        </w:rPr>
      </w:r>
      <w:r>
        <w:rPr/>
        <w:t>在内。</w:t>
      </w:r>
      <w:r>
        <w:rPr>
          <w:spacing w:val="-102"/>
        </w:rPr>
        <w:t> </w:t>
      </w: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当购建或者生产符合资本化条件的资产中部分项目分别完工且可单独使用时，该部分资产借款费用停止资</w:t>
      </w:r>
      <w:r>
        <w:rPr>
          <w:spacing w:val="-43"/>
        </w:rPr>
        <w:t> </w:t>
      </w:r>
      <w:r>
        <w:rPr>
          <w:spacing w:val="-43"/>
        </w:rPr>
      </w:r>
      <w:r>
        <w:rPr/>
        <w:t>本化。</w:t>
      </w:r>
      <w:r>
        <w:rPr>
          <w:spacing w:val="-102"/>
        </w:rPr>
        <w:t> </w:t>
      </w:r>
      <w:r>
        <w:rPr>
          <w:spacing w:val="-2"/>
        </w:rPr>
        <w:t>购建或者生产的资产的各部分分别完工，但必须等到整体完工后才可使用或可对外销售的，在该资产整体</w:t>
      </w:r>
      <w:r>
        <w:rPr>
          <w:spacing w:val="-42"/>
        </w:rPr>
        <w:t> </w:t>
      </w:r>
      <w:r>
        <w:rPr>
          <w:spacing w:val="-42"/>
        </w:rPr>
      </w:r>
      <w:r>
        <w:rPr/>
        <w:t>完工时停止借款费用资本化。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7"/>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0"/>
        <w:jc w:val="left"/>
      </w:pP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w:t>
      </w:r>
      <w:r>
        <w:rPr>
          <w:spacing w:val="-20"/>
        </w:rPr>
        <w:t> </w:t>
      </w:r>
      <w:r>
        <w:rPr>
          <w:spacing w:val="-20"/>
        </w:rPr>
      </w:r>
      <w:r>
        <w:rPr/>
        <w:t>用暂停资本化；该项中断如是所购建或生产的</w:t>
      </w:r>
    </w:p>
    <w:p>
      <w:pPr>
        <w:spacing w:line="240" w:lineRule="auto" w:before="7"/>
        <w:rPr>
          <w:rFonts w:ascii="宋体" w:hAnsi="宋体" w:cs="宋体" w:eastAsia="宋体" w:hint="default"/>
          <w:sz w:val="25"/>
          <w:szCs w:val="25"/>
        </w:rPr>
      </w:pPr>
    </w:p>
    <w:p>
      <w:pPr>
        <w:pStyle w:val="BodyText"/>
        <w:spacing w:line="273" w:lineRule="auto"/>
        <w:ind w:right="0"/>
        <w:jc w:val="left"/>
      </w:pPr>
      <w:r>
        <w:rPr>
          <w:spacing w:val="-2"/>
        </w:rPr>
        <w:t>符合资本化条件的资产达到预定可使用状态或者可销售状态必要的程序，则借款费用继续资本化。在中断</w:t>
      </w:r>
      <w:r>
        <w:rPr>
          <w:spacing w:val="-43"/>
        </w:rPr>
        <w:t> </w:t>
      </w:r>
      <w:r>
        <w:rPr>
          <w:spacing w:val="-43"/>
        </w:rPr>
      </w:r>
      <w:r>
        <w:rPr/>
        <w:t>期间发生的借款费用确认为当期损益，直至资产的购建或者生产活动重新开始后借款费用继续资本化。</w:t>
      </w:r>
    </w:p>
    <w:p>
      <w:pPr>
        <w:spacing w:after="0" w:line="273"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spacing w:val="-2"/>
        </w:rPr>
        <w:t>专门借款的利息费用（扣除尚未动用的借款资金存入银行取得的利息收入或者进行暂时性投资取得的投资</w:t>
      </w:r>
      <w:r>
        <w:rPr>
          <w:spacing w:val="-43"/>
        </w:rPr>
        <w:t> </w:t>
      </w:r>
      <w:r>
        <w:rPr>
          <w:spacing w:val="-43"/>
        </w:rPr>
      </w:r>
      <w:r>
        <w:rPr>
          <w:spacing w:val="-2"/>
        </w:rPr>
        <w:t>收益）及其辅助费用在所购建或者生产的符合资本化条件的资产达到预定可使用或者可销售状态前，予以</w:t>
      </w:r>
      <w:r>
        <w:rPr>
          <w:spacing w:val="-42"/>
        </w:rPr>
        <w:t> </w:t>
      </w:r>
      <w:r>
        <w:rPr>
          <w:spacing w:val="-42"/>
        </w:rPr>
      </w:r>
      <w:r>
        <w:rPr/>
        <w:t>资本化。</w:t>
      </w:r>
      <w:r>
        <w:rPr>
          <w:w w:val="100"/>
        </w:rPr>
        <w:t> </w:t>
      </w:r>
      <w:r>
        <w:rPr>
          <w:spacing w:val="-2"/>
        </w:rPr>
        <w:t>根据累计资产支出超过专门借款部分的资产支出加权平均数乘以所占用一般借款的资本化率，计算确定一</w:t>
      </w:r>
      <w:r>
        <w:rPr>
          <w:spacing w:val="-43"/>
        </w:rPr>
        <w:t> </w:t>
      </w:r>
      <w:r>
        <w:rPr>
          <w:spacing w:val="-43"/>
        </w:rPr>
      </w:r>
      <w:r>
        <w:rPr/>
        <w:t>般借款应予资本化的利息金额。资本化率根据一般借款加权平均利率计算确定。</w:t>
      </w:r>
      <w:r>
        <w:rPr>
          <w:w w:val="100"/>
        </w:rPr>
        <w:t> </w:t>
      </w:r>
      <w:r>
        <w:rPr>
          <w:spacing w:val="-2"/>
        </w:rPr>
        <w:t>借款存在折价或者溢价的，按照实际利率法确定每一会计期间应摊销的折价或者溢价金额，调整每期利息</w:t>
      </w:r>
      <w:r>
        <w:rPr>
          <w:spacing w:val="-43"/>
        </w:rPr>
        <w:t> </w:t>
      </w:r>
      <w:r>
        <w:rPr>
          <w:spacing w:val="-43"/>
        </w:rPr>
      </w:r>
      <w:r>
        <w:rPr/>
        <w:t>金额。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10"/>
        <w:rPr>
          <w:rFonts w:ascii="宋体" w:hAnsi="宋体" w:cs="宋体" w:eastAsia="宋体" w:hint="default"/>
          <w:b/>
          <w:bCs/>
          <w:sz w:val="24"/>
          <w:szCs w:val="24"/>
        </w:rPr>
      </w:pPr>
    </w:p>
    <w:p>
      <w:pPr>
        <w:pStyle w:val="BodyText"/>
        <w:spacing w:line="271" w:lineRule="auto"/>
        <w:ind w:right="0"/>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2"/>
        </w:rPr>
        <w:t>外购无形资产的成本，包括购买价款、相关税费以及直接归属于使该项资产达到预定用途所发生的其他支</w:t>
      </w:r>
      <w:r>
        <w:rPr>
          <w:spacing w:val="-44"/>
        </w:rPr>
        <w:t> </w:t>
      </w:r>
      <w:r>
        <w:rPr>
          <w:spacing w:val="-44"/>
        </w:rPr>
      </w:r>
      <w:r>
        <w:rPr>
          <w:spacing w:val="-2"/>
        </w:rPr>
        <w:t>出。购买无形资产的价款超过正常信用条件延期支付，实质上具有融资性质的，无形资产的成本以购买价</w:t>
      </w:r>
      <w:r>
        <w:rPr>
          <w:spacing w:val="-42"/>
        </w:rPr>
        <w:t> </w:t>
      </w:r>
      <w:r>
        <w:rPr>
          <w:spacing w:val="-42"/>
        </w:rPr>
      </w:r>
      <w:r>
        <w:rPr/>
        <w:t>款的现值为基础确定。</w:t>
      </w:r>
      <w:r>
        <w:rPr>
          <w:w w:val="100"/>
        </w:rPr>
        <w:t> </w:t>
      </w:r>
      <w:r>
        <w:rPr>
          <w:spacing w:val="-2"/>
        </w:rPr>
        <w:t>债务重组取得债务人用以抵债的无形资产，以该无形资产的公允价值为基础确定其入账价值，并将重组债</w:t>
      </w:r>
      <w:r>
        <w:rPr>
          <w:spacing w:val="-44"/>
        </w:rPr>
        <w:t> </w:t>
      </w:r>
      <w:r>
        <w:rPr>
          <w:spacing w:val="-44"/>
        </w:rPr>
      </w:r>
      <w:r>
        <w:rPr/>
        <w:t>务的账面价值与该用以抵债的无形资产公允价值之间的差额，计入当期损益；</w:t>
      </w:r>
      <w:r>
        <w:rPr>
          <w:w w:val="100"/>
        </w:rPr>
        <w:t> </w:t>
      </w:r>
      <w:r>
        <w:rPr>
          <w:spacing w:val="-2"/>
        </w:rPr>
        <w:t>在非货币性资产交换具备商业实质且换入资产或换出资产的公允价值能够可靠计量的前提下，非货币性资</w:t>
      </w:r>
      <w:r>
        <w:rPr>
          <w:spacing w:val="-43"/>
        </w:rPr>
        <w:t> </w:t>
      </w:r>
      <w:r>
        <w:rPr>
          <w:spacing w:val="-43"/>
        </w:rPr>
      </w:r>
      <w:r>
        <w:rPr>
          <w:spacing w:val="-2"/>
        </w:rPr>
        <w:t>产交换换入的无形资产以换出资产的公允价值为基础确定其入账价值，除非有确凿证据表明换入资产的公</w:t>
      </w:r>
      <w:r>
        <w:rPr>
          <w:spacing w:val="-43"/>
        </w:rPr>
        <w:t> </w:t>
      </w:r>
      <w:r>
        <w:rPr>
          <w:spacing w:val="-43"/>
        </w:rPr>
      </w:r>
      <w:r>
        <w:rPr>
          <w:spacing w:val="-2"/>
        </w:rPr>
        <w:t>允价值更加可靠；不满足上述前提的非货币性资产交换，以换出资产的账面价值和应支付的相关税费作为</w:t>
      </w:r>
      <w:r>
        <w:rPr>
          <w:spacing w:val="-43"/>
        </w:rPr>
        <w:t> </w:t>
      </w:r>
      <w:r>
        <w:rPr>
          <w:spacing w:val="-43"/>
        </w:rPr>
      </w:r>
      <w:r>
        <w:rPr/>
        <w:t>换入无形资产的成本，不确认损益。</w:t>
      </w:r>
      <w:r>
        <w:rPr>
          <w:w w:val="100"/>
        </w:rPr>
        <w:t> </w:t>
      </w:r>
      <w:r>
        <w:rPr>
          <w:spacing w:val="-2"/>
        </w:rPr>
        <w:t>以同一控制下的企业吸收合并方式取得的无形资产按被合并方的账面价值确定其入账价值；以非同一控制</w:t>
      </w:r>
      <w:r>
        <w:rPr>
          <w:spacing w:val="-43"/>
        </w:rPr>
        <w:t> </w:t>
      </w:r>
      <w:r>
        <w:rPr>
          <w:spacing w:val="-43"/>
        </w:rPr>
      </w:r>
      <w:r>
        <w:rPr/>
        <w:t>下的企业吸收合并方式取得的无形资产按公允价值确定其入账价值。</w:t>
      </w:r>
      <w:r>
        <w:rPr>
          <w:w w:val="100"/>
        </w:rPr>
        <w:t> </w:t>
      </w:r>
      <w:r>
        <w:rPr>
          <w:spacing w:val="-2"/>
        </w:rPr>
        <w:t>内部自行开发的无形资产，其成本包括：开发该无形资产时耗用的材料、劳务成本、注册费、在开发过程</w:t>
      </w:r>
      <w:r>
        <w:rPr>
          <w:spacing w:val="-43"/>
        </w:rPr>
        <w:t> </w:t>
      </w:r>
      <w:r>
        <w:rPr>
          <w:spacing w:val="-43"/>
        </w:rPr>
      </w:r>
      <w:r>
        <w:rPr>
          <w:spacing w:val="-2"/>
        </w:rPr>
        <w:t>中使用的其他专利权和特许权的摊销以及满足资本化条件的利息费用，以及为使该无形资产达到预定用途</w:t>
      </w:r>
      <w:r>
        <w:rPr>
          <w:spacing w:val="-43"/>
        </w:rPr>
        <w:t> </w:t>
      </w:r>
      <w:r>
        <w:rPr>
          <w:spacing w:val="-43"/>
        </w:rPr>
      </w:r>
      <w:r>
        <w:rPr/>
        <w:t>前所发生的其他直接费用。</w:t>
      </w:r>
    </w:p>
    <w:p>
      <w:pPr>
        <w:spacing w:line="240" w:lineRule="auto" w:before="8"/>
        <w:rPr>
          <w:rFonts w:ascii="宋体" w:hAnsi="宋体" w:cs="宋体" w:eastAsia="宋体" w:hint="default"/>
          <w:sz w:val="24"/>
          <w:szCs w:val="24"/>
        </w:rPr>
      </w:pPr>
    </w:p>
    <w:p>
      <w:pPr>
        <w:pStyle w:val="BodyText"/>
        <w:spacing w:line="256" w:lineRule="auto"/>
        <w:ind w:left="212" w:right="5454" w:hanging="60"/>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273" w:lineRule="auto" w:before="22"/>
        <w:ind w:left="212" w:right="0"/>
        <w:jc w:val="left"/>
      </w:pPr>
      <w:r>
        <w:rPr>
          <w:spacing w:val="-4"/>
        </w:rPr>
        <w:t>对于使用寿命有限的无形资产，在为企业带来经济利益的期限内按直线法摊销；无法预见无形资产为企业</w:t>
      </w:r>
      <w:r>
        <w:rPr>
          <w:spacing w:val="-14"/>
        </w:rPr>
        <w:t> </w:t>
      </w:r>
      <w:r>
        <w:rPr>
          <w:spacing w:val="-14"/>
        </w:rPr>
      </w:r>
      <w:r>
        <w:rPr/>
        <w:t>带来经济利益期限的，视为使用寿命不确定的无形资产，不予摊销。</w:t>
      </w:r>
    </w:p>
    <w:p>
      <w:pPr>
        <w:spacing w:after="0" w:line="273" w:lineRule="auto"/>
        <w:jc w:val="left"/>
        <w:sectPr>
          <w:footerReference w:type="default" r:id="rId20"/>
          <w:pgSz w:w="11910" w:h="16840"/>
          <w:pgMar w:footer="980" w:header="745"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863" w:type="dxa"/>
        <w:tblLayout w:type="fixed"/>
        <w:tblCellMar>
          <w:top w:w="0" w:type="dxa"/>
          <w:left w:w="0" w:type="dxa"/>
          <w:bottom w:w="0" w:type="dxa"/>
          <w:right w:w="0" w:type="dxa"/>
        </w:tblCellMar>
        <w:tblLook w:val="01E0"/>
      </w:tblPr>
      <w:tblGrid>
        <w:gridCol w:w="2991"/>
        <w:gridCol w:w="1872"/>
        <w:gridCol w:w="2784"/>
      </w:tblGrid>
      <w:tr>
        <w:trPr>
          <w:trHeight w:val="353" w:hRule="exact"/>
        </w:trPr>
        <w:tc>
          <w:tcPr>
            <w:tcW w:w="2991" w:type="dxa"/>
            <w:tcBorders>
              <w:top w:val="single" w:sz="6" w:space="0" w:color="000000"/>
              <w:left w:val="single" w:sz="6" w:space="0" w:color="000000"/>
              <w:bottom w:val="single" w:sz="12" w:space="0" w:color="000000"/>
              <w:right w:val="single" w:sz="6" w:space="0" w:color="000000"/>
            </w:tcBorders>
          </w:tcPr>
          <w:p>
            <w:pPr>
              <w:pStyle w:val="TableParagraph"/>
              <w:tabs>
                <w:tab w:pos="426" w:val="left" w:leader="none"/>
              </w:tabs>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300"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2784"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依</w:t>
            </w:r>
            <w:r>
              <w:rPr>
                <w:rFonts w:ascii="宋体" w:hAnsi="宋体" w:cs="宋体" w:eastAsia="宋体" w:hint="default"/>
                <w:spacing w:val="65"/>
                <w:sz w:val="21"/>
                <w:szCs w:val="21"/>
              </w:rPr>
              <w:t> </w:t>
            </w:r>
            <w:r>
              <w:rPr>
                <w:rFonts w:ascii="宋体" w:hAnsi="宋体" w:cs="宋体" w:eastAsia="宋体" w:hint="default"/>
                <w:sz w:val="21"/>
                <w:szCs w:val="21"/>
              </w:rPr>
              <w:t>据</w:t>
            </w:r>
          </w:p>
        </w:tc>
      </w:tr>
      <w:tr>
        <w:trPr>
          <w:trHeight w:val="353" w:hRule="exact"/>
        </w:trPr>
        <w:tc>
          <w:tcPr>
            <w:tcW w:w="299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right="-3"/>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c>
          <w:tcPr>
            <w:tcW w:w="278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法定使用年限</w:t>
            </w:r>
          </w:p>
        </w:tc>
      </w:tr>
      <w:tr>
        <w:trPr>
          <w:trHeight w:val="350" w:hRule="exact"/>
        </w:trPr>
        <w:tc>
          <w:tcPr>
            <w:tcW w:w="299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right="-3"/>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278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预计受益年限</w:t>
            </w:r>
          </w:p>
        </w:tc>
      </w:tr>
      <w:tr>
        <w:trPr>
          <w:trHeight w:val="353" w:hRule="exact"/>
        </w:trPr>
        <w:tc>
          <w:tcPr>
            <w:tcW w:w="299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right="-3"/>
              <w:jc w:val="righ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278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法定使用年限</w:t>
            </w:r>
          </w:p>
        </w:tc>
      </w:tr>
      <w:tr>
        <w:trPr>
          <w:trHeight w:val="353" w:hRule="exact"/>
        </w:trPr>
        <w:tc>
          <w:tcPr>
            <w:tcW w:w="299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5-10</w:t>
            </w:r>
            <w:r>
              <w:rPr>
                <w:rFonts w:ascii="宋体" w:hAnsi="宋体" w:cs="宋体" w:eastAsia="宋体" w:hint="default"/>
                <w:spacing w:val="-1"/>
                <w:sz w:val="21"/>
                <w:szCs w:val="21"/>
              </w:rPr>
              <w:t>年</w:t>
            </w:r>
          </w:p>
        </w:tc>
        <w:tc>
          <w:tcPr>
            <w:tcW w:w="278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法定使用年限</w:t>
            </w:r>
          </w:p>
        </w:tc>
      </w:tr>
    </w:tbl>
    <w:p>
      <w:pPr>
        <w:pStyle w:val="BodyText"/>
        <w:spacing w:line="273" w:lineRule="auto"/>
        <w:ind w:left="1413" w:right="0"/>
        <w:jc w:val="left"/>
      </w:pPr>
      <w:r>
        <w:rPr/>
        <w:t>每期末，对使用寿命有限的无形资产的使用寿命及摊销方法进行复核。</w:t>
      </w:r>
      <w:r>
        <w:rPr>
          <w:w w:val="100"/>
        </w:rPr>
        <w:t> </w:t>
      </w:r>
      <w:r>
        <w:rPr>
          <w:spacing w:val="-2"/>
        </w:rPr>
        <w:t>经复核，本年期末无形资产的使用寿命及摊销方法与以前估计未有不同。</w:t>
      </w:r>
    </w:p>
    <w:p>
      <w:pPr>
        <w:spacing w:line="240" w:lineRule="auto" w:before="7"/>
        <w:rPr>
          <w:rFonts w:ascii="宋体" w:hAnsi="宋体" w:cs="宋体" w:eastAsia="宋体" w:hint="default"/>
          <w:sz w:val="23"/>
          <w:szCs w:val="23"/>
        </w:rPr>
      </w:pPr>
    </w:p>
    <w:p>
      <w:pPr>
        <w:spacing w:line="508" w:lineRule="auto"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w w:val="100"/>
          <w:sz w:val="21"/>
          <w:szCs w:val="21"/>
        </w:rPr>
        <w:t> </w:t>
      </w:r>
      <w:r>
        <w:rPr>
          <w:rFonts w:ascii="宋体" w:hAnsi="宋体" w:cs="宋体" w:eastAsia="宋体" w:hint="default"/>
          <w:spacing w:val="-2"/>
          <w:sz w:val="21"/>
          <w:szCs w:val="21"/>
        </w:rPr>
        <w:t>无法预见无形资产为企业带来经济利益期限的，视为使用寿命不确定的无形资产，不予摊销。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t>对于使用寿命确定的无形资产，如有明显减值迹象的，期末进行减值测试。</w:t>
      </w:r>
      <w:r>
        <w:rPr>
          <w:w w:val="100"/>
        </w:rPr>
        <w:t> </w:t>
      </w:r>
      <w:r>
        <w:rPr/>
        <w:t>对于使用寿命不确定的无形资产，每期末进行减值测试。</w:t>
      </w:r>
      <w:r>
        <w:rPr>
          <w:w w:val="100"/>
        </w:rPr>
        <w:t> </w:t>
      </w:r>
      <w:r>
        <w:rPr>
          <w:spacing w:val="-2"/>
        </w:rPr>
        <w:t>对无形资产进行减值测试，估计其可收回金额。有迹象表明一项无形资产可能发生减值的，公司以单项无</w:t>
      </w:r>
      <w:r>
        <w:rPr>
          <w:spacing w:val="-44"/>
        </w:rPr>
        <w:t> </w:t>
      </w:r>
      <w:r>
        <w:rPr>
          <w:spacing w:val="-44"/>
        </w:rPr>
      </w:r>
      <w:r>
        <w:rPr>
          <w:spacing w:val="-2"/>
        </w:rPr>
        <w:t>形资产为基础估计其可收回金额。公司难以对单项资产的可收回金额进行估计的，以该无形资产所属的资</w:t>
      </w:r>
      <w:r>
        <w:rPr>
          <w:spacing w:val="-43"/>
        </w:rPr>
        <w:t> </w:t>
      </w:r>
      <w:r>
        <w:rPr>
          <w:spacing w:val="-43"/>
        </w:rPr>
      </w:r>
      <w:r>
        <w:rPr/>
        <w:t>产组为基础确定无形资产组的可收回金额。</w:t>
      </w:r>
      <w:r>
        <w:rPr>
          <w:w w:val="100"/>
        </w:rPr>
        <w:t> </w:t>
      </w:r>
      <w:r>
        <w:rPr>
          <w:spacing w:val="2"/>
        </w:rPr>
        <w:t>可收回金额根据无形资产的公允价值减去处置费用后的净额与无形资产预计未来现金流量的现值两者之</w:t>
      </w:r>
      <w:r>
        <w:rPr>
          <w:spacing w:val="-30"/>
        </w:rPr>
        <w:t> </w:t>
      </w:r>
      <w:r>
        <w:rPr>
          <w:spacing w:val="-30"/>
        </w:rPr>
      </w:r>
      <w:r>
        <w:rPr/>
        <w:t>间较高者确定。</w:t>
      </w:r>
      <w:r>
        <w:rPr>
          <w:spacing w:val="-103"/>
        </w:rPr>
        <w:t> </w:t>
      </w:r>
      <w:r>
        <w:rPr>
          <w:spacing w:val="-103"/>
        </w:rPr>
      </w:r>
      <w:r>
        <w:rPr>
          <w:spacing w:val="-2"/>
        </w:rPr>
        <w:t>当无形资产的可收回金额低于其账面价值的，将无形资产的账面价值减记至可收回金额，减记的金额确认</w:t>
      </w:r>
      <w:r>
        <w:rPr>
          <w:spacing w:val="-43"/>
        </w:rPr>
        <w:t> </w:t>
      </w:r>
      <w:r>
        <w:rPr>
          <w:spacing w:val="-43"/>
        </w:rPr>
      </w:r>
      <w:r>
        <w:rPr/>
        <w:t>为无形资产减值损失，计入当期损益，同时计提相应的无形资产减值准备。</w:t>
      </w:r>
      <w:r>
        <w:rPr>
          <w:w w:val="100"/>
        </w:rPr>
        <w:t> </w:t>
      </w:r>
      <w:r>
        <w:rPr>
          <w:spacing w:val="-2"/>
        </w:rPr>
        <w:t>无形资产减值损失确认后，减值无形资产的折耗或者摊销费用在未来期间作相应调整，以使该无形资产在</w:t>
      </w:r>
      <w:r>
        <w:rPr>
          <w:spacing w:val="-43"/>
        </w:rPr>
        <w:t> </w:t>
      </w:r>
      <w:r>
        <w:rPr>
          <w:spacing w:val="-43"/>
        </w:rPr>
      </w:r>
      <w:r>
        <w:rPr/>
        <w:t>剩余使用寿命内，系统地分摊调整后的无形资产账面价值（扣除预计净残值）。</w:t>
      </w:r>
      <w:r>
        <w:rPr>
          <w:w w:val="100"/>
        </w:rPr>
        <w:t> </w:t>
      </w:r>
      <w:r>
        <w:rPr/>
        <w:t>无形资产的减值损失一经确认，在以后会计期间不再转回。</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开发阶段：在进行商业性生产或使用前，将研究成果或其他知识应用于某项计划或设计，以生产出新的或</w:t>
      </w:r>
      <w:r>
        <w:rPr>
          <w:spacing w:val="-43"/>
        </w:rPr>
        <w:t> </w:t>
      </w:r>
      <w:r>
        <w:rPr>
          <w:spacing w:val="-43"/>
        </w:rPr>
      </w:r>
      <w:r>
        <w:rPr/>
        <w:t>具有实质性改进的材料、装置、产品等活动的阶段。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506" w:lineRule="auto"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spacing w:after="0" w:line="506" w:lineRule="auto"/>
        <w:jc w:val="left"/>
        <w:rPr>
          <w:rFonts w:ascii="宋体" w:hAnsi="宋体" w:cs="宋体" w:eastAsia="宋体" w:hint="default"/>
          <w:sz w:val="21"/>
          <w:szCs w:val="21"/>
        </w:rPr>
        <w:sectPr>
          <w:footerReference w:type="default" r:id="rId21"/>
          <w:pgSz w:w="11910" w:h="16840"/>
          <w:pgMar w:footer="980" w:header="745"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w:t>
      </w:r>
      <w:r>
        <w:rPr>
          <w:spacing w:val="-25"/>
        </w:rPr>
        <w:t> </w:t>
      </w:r>
      <w:r>
        <w:rPr>
          <w:spacing w:val="-25"/>
        </w:rPr>
      </w:r>
      <w:r>
        <w:rPr/>
        <w:t>存在市场，无形资产将在内部使用的，能够证明其有用性；</w:t>
      </w:r>
    </w:p>
    <w:p>
      <w:pPr>
        <w:pStyle w:val="BodyText"/>
        <w:spacing w:line="256" w:lineRule="auto" w:before="22"/>
        <w:ind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w:t>
      </w:r>
      <w:r>
        <w:rPr>
          <w:spacing w:val="-25"/>
        </w:rPr>
        <w:t> </w:t>
      </w:r>
      <w:r>
        <w:rPr>
          <w:spacing w:val="-25"/>
        </w:rPr>
      </w:r>
      <w:r>
        <w:rPr/>
        <w:t>资产；</w:t>
      </w:r>
    </w:p>
    <w:p>
      <w:pPr>
        <w:pStyle w:val="BodyText"/>
        <w:spacing w:line="264" w:lineRule="auto" w:before="22"/>
        <w:ind w:left="212" w:right="0" w:hanging="60"/>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4"/>
        </w:rPr>
        <w:t>开发阶段的支出，若不满足上列条件的，于发生时计入当期损益。研究阶段的支出，在发生时计入当期损</w:t>
      </w:r>
      <w:r>
        <w:rPr>
          <w:spacing w:val="-74"/>
        </w:rPr>
        <w:t> </w:t>
      </w:r>
      <w:r>
        <w:rPr>
          <w:spacing w:val="-74"/>
        </w:rPr>
      </w:r>
      <w:r>
        <w:rPr/>
        <w:t>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line="600" w:lineRule="atLeast" w:before="0"/>
        <w:ind w:left="152" w:right="13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长期待摊费用为已经发生但应由本期和以后各期负担的分摊期限在一年以上的各项费用。</w:t>
      </w:r>
    </w:p>
    <w:p>
      <w:pPr>
        <w:spacing w:line="264" w:lineRule="auto" w:before="37"/>
        <w:ind w:left="152" w:right="65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摊销方法</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长期待摊费用在受益期内平均摊销</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摊销年限</w:t>
      </w:r>
      <w:r>
        <w:rPr>
          <w:rFonts w:ascii="宋体" w:hAnsi="宋体" w:cs="宋体" w:eastAsia="宋体" w:hint="default"/>
          <w:sz w:val="21"/>
          <w:szCs w:val="21"/>
        </w:rPr>
      </w:r>
    </w:p>
    <w:p>
      <w:pPr>
        <w:pStyle w:val="BodyText"/>
        <w:spacing w:line="273" w:lineRule="auto"/>
        <w:ind w:right="0"/>
        <w:jc w:val="left"/>
      </w:pPr>
      <w:r>
        <w:rPr>
          <w:spacing w:val="2"/>
        </w:rPr>
        <w:t>本公司本报告期内以经营租赁方式租入的固定资产改良支出在剩余租赁期限与租赁资产尚可使用年限两</w:t>
      </w:r>
      <w:r>
        <w:rPr>
          <w:spacing w:val="-30"/>
        </w:rPr>
        <w:t> </w:t>
      </w:r>
      <w:r>
        <w:rPr>
          <w:spacing w:val="-30"/>
        </w:rPr>
      </w:r>
      <w:r>
        <w:rPr/>
        <w:t>者孰短的期限内平均摊销。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6"/>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spacing w:val="-2"/>
        </w:rPr>
        <w:t>因产品质量保证、对外提供担保、未决诉讼等事项形成的现时义务，其履行很可能导致经济利益的流出，</w:t>
      </w:r>
      <w:r>
        <w:rPr>
          <w:spacing w:val="-21"/>
        </w:rPr>
        <w:t> </w:t>
      </w:r>
      <w:r>
        <w:rPr>
          <w:spacing w:val="-21"/>
        </w:rPr>
      </w:r>
      <w:r>
        <w:rPr/>
        <w:t>在该义务的金额能够可靠计量时，确认为预计负债。对于未来经营亏损，不确认预计负债。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6"/>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0"/>
        <w:jc w:val="left"/>
      </w:pPr>
      <w:r>
        <w:rPr/>
        <w:t>预计负债按照履行相关现时义务所需支出的最佳估计数进行初始计量，并综合考虑与或有事项有关的风</w:t>
      </w:r>
      <w:r>
        <w:rPr>
          <w:w w:val="100"/>
        </w:rPr>
        <w:t> </w:t>
      </w:r>
      <w:r>
        <w:rPr>
          <w:spacing w:val="-2"/>
        </w:rPr>
        <w:t>险、不确定性和货币时间价值等因素。货币时间价值影响重大的，通过对相关未来现金流出进行折现后确</w:t>
      </w:r>
      <w:r>
        <w:rPr>
          <w:spacing w:val="-43"/>
        </w:rPr>
        <w:t> </w:t>
      </w:r>
      <w:r>
        <w:rPr>
          <w:spacing w:val="-43"/>
        </w:rPr>
      </w:r>
      <w:r>
        <w:rPr>
          <w:spacing w:val="-2"/>
        </w:rPr>
        <w:t>定最佳估计数；因随着时间推移所进行的折现还原而导致的预计负债账面价值的增加金额，确认为利息费</w:t>
      </w:r>
      <w:r>
        <w:rPr>
          <w:spacing w:val="-42"/>
        </w:rPr>
        <w:t> </w:t>
      </w:r>
      <w:r>
        <w:rPr>
          <w:spacing w:val="-42"/>
        </w:rPr>
      </w:r>
      <w:r>
        <w:rPr/>
        <w:t>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506" w:lineRule="auto"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于资产负债表日，对预计负债的账面价值进行复核并作适当调整，以反映当前的最佳估计数。</w:t>
      </w:r>
    </w:p>
    <w:p>
      <w:pPr>
        <w:spacing w:after="0" w:line="506" w:lineRule="auto"/>
        <w:jc w:val="left"/>
        <w:rPr>
          <w:rFonts w:ascii="宋体" w:hAnsi="宋体" w:cs="宋体" w:eastAsia="宋体" w:hint="default"/>
          <w:sz w:val="21"/>
          <w:szCs w:val="21"/>
        </w:rPr>
        <w:sectPr>
          <w:footerReference w:type="default" r:id="rId22"/>
          <w:pgSz w:w="11910" w:h="16840"/>
          <w:pgMar w:footer="980" w:header="745" w:top="1060" w:bottom="1160" w:left="980" w:right="980"/>
          <w:pgNumType w:start="10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10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right="100"/>
        <w:jc w:val="left"/>
      </w:pPr>
      <w:r>
        <w:rPr/>
        <w:t>股份支付分为以权益结算的股份支付和以现金结算的股份支付。</w:t>
      </w:r>
      <w:r>
        <w:rPr>
          <w:rFonts w:ascii="Times New Roman" w:hAnsi="Times New Roman" w:cs="Times New Roman" w:eastAsia="Times New Roman" w:hint="default"/>
        </w:rPr>
        <w:t>1</w:t>
      </w:r>
      <w:r>
        <w:rPr/>
        <w:t>）以权益结算的股份支付公司的股票期</w:t>
      </w:r>
      <w:r>
        <w:rPr>
          <w:w w:val="100"/>
        </w:rPr>
        <w:t> </w:t>
      </w:r>
      <w:r>
        <w:rPr/>
        <w:t>权计划为用以换取职工提供服务的权益结算的股份支付，以授予职工的权益工具在授予日的公允价值计</w:t>
      </w:r>
      <w:r>
        <w:rPr>
          <w:w w:val="100"/>
        </w:rPr>
        <w:t> </w:t>
      </w:r>
      <w:r>
        <w:rPr>
          <w:spacing w:val="-2"/>
        </w:rPr>
        <w:t>量。在完成等待期内的服务或达到规定业绩条件才可行权，在等待期内以对可行权权益工具数量的最佳估</w:t>
      </w:r>
      <w:r>
        <w:rPr>
          <w:spacing w:val="-44"/>
        </w:rPr>
        <w:t> </w:t>
      </w:r>
      <w:r>
        <w:rPr>
          <w:spacing w:val="-44"/>
        </w:rPr>
      </w:r>
      <w:r>
        <w:rPr>
          <w:spacing w:val="-5"/>
        </w:rPr>
        <w:t>计为基础，按照权益工具授予日的公允价值，将当期取得的服务计入相关成本或费用，相应增加资本公积。</w:t>
      </w:r>
      <w:r>
        <w:rPr>
          <w:spacing w:val="-3"/>
        </w:rPr>
        <w:t> </w:t>
      </w:r>
      <w:r>
        <w:rPr>
          <w:spacing w:val="-3"/>
        </w:rPr>
      </w:r>
      <w:r>
        <w:rPr>
          <w:rFonts w:ascii="Times New Roman" w:hAnsi="Times New Roman" w:cs="Times New Roman" w:eastAsia="Times New Roman" w:hint="default"/>
        </w:rPr>
        <w:t>2</w:t>
      </w:r>
      <w:r>
        <w:rPr/>
        <w:t>）以现金结算的股份支付公司的股票增值权计划为以现金结算的股份支付，按照公司承担的以本公司股</w:t>
      </w:r>
      <w:r>
        <w:rPr>
          <w:w w:val="100"/>
        </w:rPr>
        <w:t> </w:t>
      </w:r>
      <w:r>
        <w:rPr>
          <w:spacing w:val="-2"/>
        </w:rPr>
        <w:t>份数量为基础确定的负债的公允价值计量。该以现金结算的股份支付须完成等待期内的服务或达到规定业</w:t>
      </w:r>
      <w:r>
        <w:rPr>
          <w:spacing w:val="-43"/>
        </w:rPr>
        <w:t> </w:t>
      </w:r>
      <w:r>
        <w:rPr>
          <w:spacing w:val="-43"/>
        </w:rPr>
      </w:r>
      <w:r>
        <w:rPr>
          <w:spacing w:val="-2"/>
        </w:rPr>
        <w:t>绩条件以后才可行权，在等待期的每个资产负债表日以对可行权情况的最佳估计为基础，按照公司承担负</w:t>
      </w:r>
      <w:r>
        <w:rPr>
          <w:spacing w:val="-44"/>
        </w:rPr>
        <w:t> </w:t>
      </w:r>
      <w:r>
        <w:rPr>
          <w:spacing w:val="-44"/>
        </w:rPr>
      </w:r>
      <w:r>
        <w:rPr>
          <w:spacing w:val="-2"/>
        </w:rPr>
        <w:t>债的公允价值金额，将当期取得的服务计入成本或费用，相应增加负债。在相关负债结算前的每个资产负</w:t>
      </w:r>
      <w:r>
        <w:rPr>
          <w:spacing w:val="-43"/>
        </w:rPr>
        <w:t> </w:t>
      </w:r>
      <w:r>
        <w:rPr>
          <w:spacing w:val="-43"/>
        </w:rPr>
      </w:r>
      <w:r>
        <w:rPr/>
        <w:t>债表日以及结算日，对负债的公允价值重新计量，其变动计入当期损益。</w:t>
      </w:r>
    </w:p>
    <w:p>
      <w:pPr>
        <w:spacing w:line="240" w:lineRule="auto" w:before="11"/>
        <w:rPr>
          <w:rFonts w:ascii="宋体" w:hAnsi="宋体" w:cs="宋体" w:eastAsia="宋体" w:hint="default"/>
          <w:sz w:val="23"/>
          <w:szCs w:val="23"/>
        </w:rPr>
      </w:pPr>
    </w:p>
    <w:p>
      <w:pPr>
        <w:pStyle w:val="Heading4"/>
        <w:spacing w:line="240" w:lineRule="auto"/>
        <w:ind w:right="10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0"/>
        <w:jc w:val="left"/>
      </w:pPr>
      <w:r>
        <w:rPr>
          <w:spacing w:val="-2"/>
        </w:rPr>
        <w:t>对于授予职工的股份，其公允价值按公司股份的市场价格计量，同时考虑授予股份所依据的条款和条</w:t>
      </w:r>
      <w:r>
        <w:rPr>
          <w:spacing w:val="-21"/>
        </w:rPr>
        <w:t> </w:t>
      </w:r>
      <w:r>
        <w:rPr>
          <w:spacing w:val="-21"/>
        </w:rPr>
      </w:r>
      <w:r>
        <w:rPr/>
        <w:t>件（不包括市场条件之外的可行权条件）进行调整。</w:t>
      </w:r>
      <w:r>
        <w:rPr>
          <w:w w:val="100"/>
        </w:rPr>
        <w:t> </w:t>
      </w:r>
      <w:r>
        <w:rPr/>
        <w:t>对于授予职工的股票期权，通过期权定价模型估计所授予的期权的公允价值。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7"/>
        <w:ind w:right="10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0"/>
        <w:jc w:val="left"/>
      </w:pPr>
      <w:r>
        <w:rPr>
          <w:spacing w:val="-2"/>
        </w:rPr>
        <w:t>在等待期内每个资产负债表日，公司根据最新取得的可行权职工人数变动等后续信息做出最佳估计，修正</w:t>
      </w:r>
      <w:r>
        <w:rPr>
          <w:spacing w:val="-42"/>
        </w:rPr>
        <w:t> </w:t>
      </w:r>
      <w:r>
        <w:rPr>
          <w:spacing w:val="-42"/>
        </w:rPr>
      </w:r>
      <w:r>
        <w:rPr/>
        <w:t>预计可行权的权益工具数量。</w:t>
      </w:r>
    </w:p>
    <w:p>
      <w:pPr>
        <w:spacing w:line="240" w:lineRule="auto" w:before="7"/>
        <w:rPr>
          <w:rFonts w:ascii="宋体" w:hAnsi="宋体" w:cs="宋体" w:eastAsia="宋体" w:hint="default"/>
          <w:sz w:val="23"/>
          <w:szCs w:val="23"/>
        </w:rPr>
      </w:pPr>
    </w:p>
    <w:p>
      <w:pPr>
        <w:pStyle w:val="Heading4"/>
        <w:spacing w:line="240" w:lineRule="auto"/>
        <w:ind w:right="10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0"/>
        <w:jc w:val="left"/>
      </w:pPr>
      <w:r>
        <w:rPr>
          <w:spacing w:val="-2"/>
        </w:rPr>
        <w:t>如果股份支付计划的修改增加了所授予的权益工具的公允价值，应按照权益工具公允价值的增加相应地确</w:t>
      </w:r>
      <w:r>
        <w:rPr>
          <w:spacing w:val="-42"/>
        </w:rPr>
        <w:t> </w:t>
      </w:r>
      <w:r>
        <w:rPr>
          <w:spacing w:val="-42"/>
        </w:rPr>
      </w:r>
      <w:r>
        <w:rPr/>
        <w:t>认取得服务的增加。</w:t>
      </w:r>
      <w:r>
        <w:rPr>
          <w:w w:val="100"/>
        </w:rPr>
        <w:t> </w:t>
      </w:r>
      <w:r>
        <w:rPr/>
        <w:t>如果股份支付计划的修改增加了所授予的权益工具的数量，应将增加的权益工具的公允价值相应地确</w:t>
      </w:r>
      <w:r>
        <w:rPr>
          <w:w w:val="100"/>
        </w:rPr>
        <w:t> </w:t>
      </w:r>
      <w:r>
        <w:rPr/>
        <w:t>认为取得服务的增加。</w:t>
      </w:r>
      <w:r>
        <w:rPr>
          <w:w w:val="100"/>
        </w:rPr>
        <w:t> </w:t>
      </w:r>
      <w:r>
        <w:rPr/>
        <w:t>如果公司按照有利于职工的方式修改可行权条件，如缩短等待期、变更或取消业绩条件（而非市场条</w:t>
      </w:r>
      <w:r>
        <w:rPr>
          <w:w w:val="100"/>
        </w:rPr>
        <w:t> </w:t>
      </w:r>
      <w:r>
        <w:rPr/>
        <w:t>件），公司在处理可行权条件时，应当考虑修改后的可行权条件。</w:t>
      </w:r>
      <w:r>
        <w:rPr>
          <w:w w:val="100"/>
        </w:rPr>
        <w:t> </w:t>
      </w:r>
      <w:r>
        <w:rPr/>
        <w:t>如果公司以减少股份支付公允价值总额的方式或其他不利于职工的方式修改条款和条件，公司仍应继</w:t>
      </w:r>
      <w:r>
        <w:rPr>
          <w:w w:val="100"/>
        </w:rPr>
        <w:t> </w:t>
      </w:r>
      <w:r>
        <w:rPr/>
        <w:t>续对取得的服务进行会计处理，如同该变更从未发生，除非公司取消了部分或全部已授予的权益工具。</w:t>
      </w:r>
      <w:r>
        <w:rPr>
          <w:w w:val="100"/>
        </w:rPr>
        <w:t> </w:t>
      </w:r>
      <w:r>
        <w:rPr/>
        <w:t>在等待期内如果取消了授予的权益工具，对取消所授予的权益性工具作为加速行权处理，剩余等待期</w:t>
      </w:r>
      <w:r>
        <w:rPr>
          <w:w w:val="100"/>
        </w:rPr>
        <w:t> </w:t>
      </w:r>
      <w:r>
        <w:rPr>
          <w:spacing w:val="-2"/>
        </w:rPr>
        <w:t>内应确认的金额立即计入当期损益，同时确认资本公积。职工或其他方能够选择满足非可行权条件但在等</w:t>
      </w:r>
      <w:r>
        <w:rPr>
          <w:spacing w:val="-45"/>
        </w:rPr>
        <w:t> </w:t>
      </w:r>
      <w:r>
        <w:rPr>
          <w:spacing w:val="-45"/>
        </w:rPr>
      </w:r>
      <w:r>
        <w:rPr/>
        <w:t>待期内未满足的，将其作为授予权益工具的取消处理。</w:t>
      </w:r>
    </w:p>
    <w:p>
      <w:pPr>
        <w:spacing w:after="0" w:line="273"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100"/>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0"/>
        <w:jc w:val="left"/>
      </w:pPr>
      <w:r>
        <w:rPr/>
        <w:t>公司为减少注册资本或奖励本公司职工等原因而收购本公司股份时，按实际支付的金额记入库存股。</w:t>
      </w:r>
      <w:r>
        <w:rPr>
          <w:w w:val="100"/>
        </w:rPr>
        <w:t> </w:t>
      </w:r>
      <w:r>
        <w:rPr>
          <w:spacing w:val="-2"/>
        </w:rPr>
        <w:t>公司根据以权益结算的股份支付协议将收购的股份奖励给本公司职工时，按奖励库存股账面余额与职工所</w:t>
      </w:r>
      <w:r>
        <w:rPr>
          <w:spacing w:val="-43"/>
        </w:rPr>
        <w:t> </w:t>
      </w:r>
      <w:r>
        <w:rPr>
          <w:spacing w:val="-43"/>
        </w:rPr>
      </w:r>
      <w:r>
        <w:rPr/>
        <w:t>支付现金及授予权益工具时确认的资本公积之间的差额，计入资本公积（股本溢价）。</w:t>
      </w:r>
      <w:r>
        <w:rPr>
          <w:w w:val="100"/>
        </w:rPr>
        <w:t> </w:t>
      </w:r>
      <w:r>
        <w:rPr>
          <w:spacing w:val="-2"/>
        </w:rPr>
        <w:t>注销库存股时，按所注销库存股面值总额注销股本，按所注销库存股的账面余额，冲减库存股，按其差额</w:t>
      </w:r>
      <w:r>
        <w:rPr>
          <w:spacing w:val="-47"/>
        </w:rPr>
        <w:t> </w:t>
      </w:r>
      <w:r>
        <w:rPr>
          <w:spacing w:val="-47"/>
        </w:rPr>
      </w:r>
      <w:r>
        <w:rPr/>
        <w:t>冲减资本公积（股本溢价），股本溢价不足冲减的，调整留存收益。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6"/>
        <w:ind w:right="100"/>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85"/>
        <w:jc w:val="both"/>
      </w:pPr>
      <w:r>
        <w:rPr>
          <w:spacing w:val="-2"/>
        </w:rPr>
        <w:t>公司已将商品所有权上的主要风险和报酬转移给购买方；公司既没有保留与所有权相联系的继续管理权，</w:t>
      </w:r>
      <w:r>
        <w:rPr>
          <w:spacing w:val="-21"/>
        </w:rPr>
        <w:t> </w:t>
      </w:r>
      <w:r>
        <w:rPr>
          <w:spacing w:val="-21"/>
        </w:rPr>
      </w:r>
      <w:r>
        <w:rPr>
          <w:spacing w:val="-2"/>
        </w:rPr>
        <w:t>也没有对已售出的商品实施有效控制；收入的金额能够可靠地计量；相关的经济利益很可能流入企业；相</w:t>
      </w:r>
      <w:r>
        <w:rPr>
          <w:spacing w:val="-43"/>
        </w:rPr>
        <w:t> </w:t>
      </w:r>
      <w:r>
        <w:rPr>
          <w:spacing w:val="-43"/>
        </w:rPr>
      </w:r>
      <w:r>
        <w:rPr/>
        <w:t>关的已发生或将发生的成本能够可靠地计量时，确认商品销售收入实现。</w:t>
      </w:r>
    </w:p>
    <w:p>
      <w:pPr>
        <w:spacing w:line="240" w:lineRule="auto" w:before="4"/>
        <w:rPr>
          <w:rFonts w:ascii="宋体" w:hAnsi="宋体" w:cs="宋体" w:eastAsia="宋体" w:hint="default"/>
          <w:sz w:val="23"/>
          <w:szCs w:val="23"/>
        </w:rPr>
      </w:pPr>
    </w:p>
    <w:p>
      <w:pPr>
        <w:pStyle w:val="Heading4"/>
        <w:spacing w:line="240" w:lineRule="auto"/>
        <w:ind w:right="10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0"/>
        <w:jc w:val="left"/>
      </w:pPr>
      <w:r>
        <w:rPr>
          <w:spacing w:val="-2"/>
        </w:rPr>
        <w:t>与交易相关的经济利益很可能流入企业，收入的金额能够可靠地计量时。分别下列情况确定让渡资产使用</w:t>
      </w:r>
      <w:r>
        <w:rPr>
          <w:spacing w:val="-43"/>
        </w:rPr>
        <w:t> </w:t>
      </w:r>
      <w:r>
        <w:rPr>
          <w:spacing w:val="-43"/>
        </w:rPr>
      </w:r>
      <w:r>
        <w:rPr/>
        <w:t>权收入金额：</w:t>
      </w:r>
    </w:p>
    <w:p>
      <w:pPr>
        <w:pStyle w:val="BodyText"/>
        <w:spacing w:line="240" w:lineRule="auto" w:before="7"/>
        <w:ind w:right="10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21"/>
        <w:ind w:right="10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10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10"/>
        <w:rPr>
          <w:rFonts w:ascii="宋体" w:hAnsi="宋体" w:cs="宋体" w:eastAsia="宋体" w:hint="default"/>
          <w:b/>
          <w:bCs/>
          <w:sz w:val="24"/>
          <w:szCs w:val="24"/>
        </w:rPr>
      </w:pPr>
    </w:p>
    <w:p>
      <w:pPr>
        <w:pStyle w:val="BodyText"/>
        <w:tabs>
          <w:tab w:pos="3307" w:val="left" w:leader="none"/>
        </w:tabs>
        <w:spacing w:line="273" w:lineRule="auto"/>
        <w:ind w:right="103"/>
        <w:jc w:val="left"/>
      </w:pPr>
      <w:r>
        <w:rPr>
          <w:spacing w:val="-2"/>
        </w:rPr>
        <w:t>软件开发项目：按照合同约定、在项目实施完成并经对方验收合格后确认收入；跨年度开发合同由公司业</w:t>
      </w:r>
      <w:r>
        <w:rPr>
          <w:spacing w:val="-44"/>
        </w:rPr>
        <w:t> </w:t>
      </w:r>
      <w:r>
        <w:rPr>
          <w:spacing w:val="-44"/>
        </w:rPr>
      </w:r>
      <w:r>
        <w:rPr/>
        <w:t>务技术部门提供项目开发进度，经用户确认后，按照完工百分比法确认收入。</w:t>
      </w:r>
      <w:r>
        <w:rPr>
          <w:w w:val="100"/>
        </w:rPr>
        <w:t> </w:t>
      </w:r>
      <w:r>
        <w:rPr>
          <w:spacing w:val="-2"/>
        </w:rPr>
        <w:t>运营维护收入：按照合同约定、在运营维护服务已经提供，收到价款或取得收取价款的依据时，确认运营</w:t>
      </w:r>
      <w:r>
        <w:rPr>
          <w:spacing w:val="-50"/>
        </w:rPr>
        <w:t> </w:t>
      </w:r>
      <w:r>
        <w:rPr>
          <w:spacing w:val="-50"/>
        </w:rPr>
      </w:r>
      <w:r>
        <w:rPr>
          <w:spacing w:val="-2"/>
        </w:rPr>
        <w:t>维护收入的实现；如运营维护服务的开始和完成分属不同的会计年度，在提供运营维护服务的结果能够可</w:t>
      </w:r>
      <w:r>
        <w:rPr>
          <w:spacing w:val="-43"/>
        </w:rPr>
        <w:t> </w:t>
      </w:r>
      <w:r>
        <w:rPr>
          <w:spacing w:val="-43"/>
        </w:rPr>
      </w:r>
      <w:r>
        <w:rPr>
          <w:spacing w:val="-2"/>
        </w:rPr>
        <w:t>靠估计的情况下，在合同约定的服务期限内，按进度确认相关的运营维护服务收入；合同明确约定服务成</w:t>
      </w:r>
      <w:r>
        <w:rPr>
          <w:spacing w:val="-43"/>
        </w:rPr>
        <w:t> </w:t>
      </w:r>
      <w:r>
        <w:rPr>
          <w:spacing w:val="-43"/>
        </w:rPr>
      </w:r>
      <w:r>
        <w:rPr/>
        <w:t>果需经客户验收确认的，根据客户验收情况确认收入。</w:t>
      </w:r>
      <w:r>
        <w:rPr>
          <w:w w:val="100"/>
        </w:rPr>
        <w:t> </w:t>
      </w:r>
      <w:r>
        <w:rPr>
          <w:spacing w:val="-2"/>
        </w:rPr>
        <w:t>系统集成收入：公司根据合同的约定，在相关货物发出并收取价款或取得收取价款的依据、并经对方用户</w:t>
      </w:r>
      <w:r>
        <w:rPr>
          <w:spacing w:val="-44"/>
        </w:rPr>
        <w:t> </w:t>
      </w:r>
      <w:r>
        <w:rPr>
          <w:spacing w:val="-44"/>
        </w:rPr>
      </w:r>
      <w:r>
        <w:rPr>
          <w:spacing w:val="-2"/>
        </w:rPr>
        <w:t>验收合格后确认系统集成收入</w:t>
        <w:tab/>
      </w:r>
      <w:r>
        <w:rPr>
          <w:spacing w:val="-6"/>
        </w:rPr>
        <w:t>的实现。对于跨年度开发项目，由公司业务技术部门提供项目开发进度，</w:t>
      </w:r>
      <w:r>
        <w:rPr>
          <w:spacing w:val="-50"/>
        </w:rPr>
        <w:t> </w:t>
      </w:r>
      <w:r>
        <w:rPr>
          <w:spacing w:val="-50"/>
        </w:rPr>
      </w:r>
      <w:r>
        <w:rPr/>
        <w:t>经用户确认后，按完工百分比确认收入。</w:t>
      </w:r>
    </w:p>
    <w:p>
      <w:pPr>
        <w:spacing w:line="240" w:lineRule="auto" w:before="7"/>
        <w:rPr>
          <w:rFonts w:ascii="宋体" w:hAnsi="宋体" w:cs="宋体" w:eastAsia="宋体" w:hint="default"/>
          <w:sz w:val="23"/>
          <w:szCs w:val="23"/>
        </w:rPr>
      </w:pPr>
    </w:p>
    <w:p>
      <w:pPr>
        <w:pStyle w:val="Heading4"/>
        <w:spacing w:line="240" w:lineRule="auto"/>
        <w:ind w:right="10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0"/>
        <w:jc w:val="left"/>
      </w:pPr>
      <w:r>
        <w:rPr>
          <w:spacing w:val="-2"/>
        </w:rPr>
        <w:t>在资产负债表日提供劳务交易的结果能够可靠估计的，采用完工百分比法确认提供劳务收入。提供劳务交</w:t>
      </w:r>
      <w:r>
        <w:rPr>
          <w:spacing w:val="-44"/>
        </w:rPr>
        <w:t> </w:t>
      </w:r>
      <w:r>
        <w:rPr>
          <w:spacing w:val="-44"/>
        </w:rPr>
      </w:r>
      <w:r>
        <w:rPr>
          <w:spacing w:val="-2"/>
        </w:rPr>
        <w:t>易的完工进度，依据已完工作的测量或已经提供的劳务占应提供劳务总量的比例或已经发生的成本占估计</w:t>
      </w:r>
      <w:r>
        <w:rPr>
          <w:spacing w:val="-43"/>
        </w:rPr>
        <w:t> </w:t>
      </w:r>
      <w:r>
        <w:rPr>
          <w:spacing w:val="-43"/>
        </w:rPr>
      </w:r>
      <w:r>
        <w:rPr/>
        <w:t>总成本的比例确定。</w:t>
      </w:r>
      <w:r>
        <w:rPr>
          <w:w w:val="100"/>
        </w:rPr>
        <w:t> </w:t>
      </w:r>
      <w:r>
        <w:rPr>
          <w:spacing w:val="2"/>
        </w:rPr>
        <w:t>按照已收或应收的合同或协议价款确定提供劳务收入总额，但已收或应收的合同或协议价款不公允的除</w:t>
      </w:r>
      <w:r>
        <w:rPr>
          <w:spacing w:val="-30"/>
        </w:rPr>
        <w:t> </w:t>
      </w:r>
      <w:r>
        <w:rPr>
          <w:spacing w:val="-30"/>
        </w:rPr>
      </w:r>
      <w:r>
        <w:rPr>
          <w:spacing w:val="-2"/>
        </w:rPr>
        <w:t>外。资产负债表日按照提供劳务收入总额乘以完工进度扣除以前会计期间累计已确认提供劳务收入后的金</w:t>
      </w:r>
    </w:p>
    <w:p>
      <w:pPr>
        <w:spacing w:after="0" w:line="273"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674"/>
        <w:jc w:val="left"/>
      </w:pPr>
      <w:r>
        <w:rPr/>
        <w:t>额，确认当期提供劳务收入。</w:t>
      </w:r>
      <w:r>
        <w:rPr>
          <w:w w:val="100"/>
        </w:rPr>
        <w:t> </w:t>
      </w:r>
      <w:r>
        <w:rPr>
          <w:spacing w:val="-2"/>
        </w:rPr>
        <w:t>在资产负债表日提供劳务交易结果不能够可靠估计的，分别下列情况处理：</w:t>
      </w:r>
    </w:p>
    <w:p>
      <w:pPr>
        <w:pStyle w:val="BodyText"/>
        <w:spacing w:line="256" w:lineRule="auto" w:before="7"/>
        <w:ind w:right="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w:t>
      </w:r>
      <w:r>
        <w:rPr>
          <w:spacing w:val="-25"/>
        </w:rPr>
        <w:t> </w:t>
      </w:r>
      <w:r>
        <w:rPr>
          <w:spacing w:val="-25"/>
        </w:rPr>
      </w:r>
      <w:r>
        <w:rPr/>
        <w:t>相同金额结转劳务成本。</w:t>
      </w:r>
    </w:p>
    <w:p>
      <w:pPr>
        <w:pStyle w:val="BodyText"/>
        <w:spacing w:line="256" w:lineRule="auto" w:before="22"/>
        <w:ind w:right="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w:t>
      </w:r>
      <w:r>
        <w:rPr>
          <w:spacing w:val="-25"/>
        </w:rPr>
        <w:t> </w:t>
      </w:r>
      <w:r>
        <w:rPr>
          <w:spacing w:val="-25"/>
        </w:rPr>
      </w:r>
      <w:r>
        <w:rPr/>
        <w:t>务收入。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0"/>
        <w:jc w:val="left"/>
      </w:pPr>
      <w:r>
        <w:rPr>
          <w:spacing w:val="-2"/>
        </w:rPr>
        <w:t>政府补助，是本公司从政府无偿取得的货币性资产与非货币性资产。分为与资产相关的政府补助和与收益</w:t>
      </w:r>
      <w:r>
        <w:rPr>
          <w:spacing w:val="-43"/>
        </w:rPr>
        <w:t> </w:t>
      </w:r>
      <w:r>
        <w:rPr>
          <w:spacing w:val="-43"/>
        </w:rPr>
      </w:r>
      <w:r>
        <w:rPr/>
        <w:t>相关的政府补助。</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spacing w:val="-2"/>
        </w:rPr>
        <w:t>与购建固定资产、无形资产等长期资产相关的政府补助，确认为递延收益，按照所建造或购买的资产使用</w:t>
      </w:r>
      <w:r>
        <w:rPr>
          <w:spacing w:val="-44"/>
        </w:rPr>
        <w:t> </w:t>
      </w:r>
      <w:r>
        <w:rPr>
          <w:spacing w:val="-44"/>
        </w:rPr>
      </w:r>
      <w:r>
        <w:rPr/>
        <w:t>年限分期计入营业外收入；</w:t>
      </w:r>
      <w:r>
        <w:rPr>
          <w:w w:val="100"/>
        </w:rPr>
        <w:t> </w:t>
      </w:r>
      <w:r>
        <w:rPr>
          <w:spacing w:val="-2"/>
        </w:rPr>
        <w:t>与收益相关的政府补助，用于补偿企业以后期间的相关费用或损失的，取得时确认为递延收益，在确认相</w:t>
      </w:r>
      <w:r>
        <w:rPr>
          <w:spacing w:val="-41"/>
        </w:rPr>
        <w:t> </w:t>
      </w:r>
      <w:r>
        <w:rPr>
          <w:spacing w:val="-41"/>
        </w:rPr>
      </w:r>
      <w:r>
        <w:rPr>
          <w:spacing w:val="-2"/>
        </w:rPr>
        <w:t>关费用的期间计入当期营业外收入；用于补偿企业已发生的相关费用或损失的，取得时直接计入当期营业</w:t>
      </w:r>
      <w:r>
        <w:rPr>
          <w:spacing w:val="-43"/>
        </w:rPr>
        <w:t> </w:t>
      </w:r>
      <w:r>
        <w:rPr>
          <w:spacing w:val="-43"/>
        </w:rPr>
      </w:r>
      <w:r>
        <w:rPr/>
        <w:t>外收入。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spacing w:val="-2"/>
        </w:rPr>
        <w:t>对于可抵扣暂时性差异确认递延所得税资产，以未来期间很可能取得的用来抵扣可抵扣暂时性差异的应纳</w:t>
      </w:r>
      <w:r>
        <w:rPr>
          <w:spacing w:val="-43"/>
        </w:rPr>
        <w:t> </w:t>
      </w:r>
      <w:r>
        <w:rPr>
          <w:spacing w:val="-43"/>
        </w:rPr>
      </w:r>
      <w:r>
        <w:rPr>
          <w:spacing w:val="-2"/>
        </w:rPr>
        <w:t>税所得额为限。不确认递延所得税资产或递延所得税负债的特殊情况包括：商誉的初始确认；除企业合并</w:t>
      </w:r>
      <w:r>
        <w:rPr>
          <w:spacing w:val="-44"/>
        </w:rPr>
        <w:t> </w:t>
      </w:r>
      <w:r>
        <w:rPr>
          <w:spacing w:val="-44"/>
        </w:rPr>
      </w:r>
      <w:r>
        <w:rPr>
          <w:spacing w:val="-2"/>
        </w:rPr>
        <w:t>以外的发生时既不影响会计利润也不影响应纳税所得额（或可抵扣亏损）的其他交易或事项。当拥有以净</w:t>
      </w:r>
      <w:r>
        <w:rPr>
          <w:spacing w:val="-43"/>
        </w:rPr>
        <w:t> </w:t>
      </w:r>
      <w:r>
        <w:rPr>
          <w:spacing w:val="-43"/>
        </w:rPr>
      </w:r>
      <w:r>
        <w:rPr>
          <w:spacing w:val="-2"/>
        </w:rPr>
        <w:t>额结算的法定权利，且意图以净额结算或取得资产、清偿负债同时进行时，当期所得税资产及当期所得税</w:t>
      </w:r>
      <w:r>
        <w:rPr>
          <w:spacing w:val="-43"/>
        </w:rPr>
        <w:t> </w:t>
      </w:r>
      <w:r>
        <w:rPr>
          <w:spacing w:val="-43"/>
        </w:rPr>
      </w:r>
      <w:r>
        <w:rPr>
          <w:spacing w:val="-2"/>
        </w:rPr>
        <w:t>负债以抵销后的净额列报。当拥有以净额结算当期所得税资产及当期所得税负债的法定权利，且递延所得</w:t>
      </w:r>
      <w:r>
        <w:rPr>
          <w:spacing w:val="-44"/>
        </w:rPr>
        <w:t> </w:t>
      </w:r>
      <w:r>
        <w:rPr>
          <w:spacing w:val="-44"/>
        </w:rPr>
      </w:r>
      <w:r>
        <w:rPr/>
        <w:t>税资产及递延所得税负债是与同一税收征管部门对同一纳税主体征收的所得税相关或者是对不同的纳税</w:t>
      </w:r>
      <w:r>
        <w:rPr>
          <w:w w:val="100"/>
        </w:rPr>
        <w:t> </w:t>
      </w:r>
      <w:r>
        <w:rPr>
          <w:spacing w:val="-2"/>
        </w:rPr>
        <w:t>主体相关，但在未来每一具有重要性的递延所得税资产及负债转回的期间内，涉及的纳税主体意图以净额</w:t>
      </w:r>
      <w:r>
        <w:rPr>
          <w:spacing w:val="-43"/>
        </w:rPr>
        <w:t> </w:t>
      </w:r>
      <w:r>
        <w:rPr>
          <w:spacing w:val="-43"/>
        </w:rPr>
      </w:r>
      <w:r>
        <w:rPr>
          <w:spacing w:val="-2"/>
        </w:rPr>
        <w:t>结算当期所得税资产和负债或是同时取得资产、清偿负债时，递延所得税资产及递延所得税负债以抵销后</w:t>
      </w:r>
      <w:r>
        <w:rPr>
          <w:spacing w:val="-43"/>
        </w:rPr>
        <w:t> </w:t>
      </w:r>
      <w:r>
        <w:rPr>
          <w:spacing w:val="-43"/>
        </w:rPr>
      </w:r>
      <w:r>
        <w:rPr/>
        <w:t>的净额列报。</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46"/>
        <w:jc w:val="both"/>
      </w:pPr>
      <w:r>
        <w:rPr>
          <w:spacing w:val="-2"/>
        </w:rPr>
        <w:t>对于应纳税暂时性差异，除特殊情况外，确认递延所得税负债。不确认递延所得税资产或递延所得税负债</w:t>
      </w:r>
      <w:r>
        <w:rPr>
          <w:spacing w:val="-43"/>
        </w:rPr>
        <w:t> </w:t>
      </w:r>
      <w:r>
        <w:rPr>
          <w:spacing w:val="-43"/>
        </w:rPr>
      </w:r>
      <w:r>
        <w:rPr>
          <w:spacing w:val="-7"/>
        </w:rPr>
        <w:t>的特殊情况包括：商誉的初始确认；除企业合并以外的发生时既不影响会计利润也不影响应纳税所得额（或</w:t>
      </w:r>
      <w:r>
        <w:rPr>
          <w:spacing w:val="-17"/>
        </w:rPr>
        <w:t> </w:t>
      </w:r>
      <w:r>
        <w:rPr>
          <w:spacing w:val="-17"/>
        </w:rPr>
      </w:r>
      <w:r>
        <w:rPr>
          <w:spacing w:val="-2"/>
        </w:rPr>
        <w:t>可抵扣亏损）的其他交易或事项。当拥有以净额结算的法定权利，且意图以净额结算或取得资产、清偿负</w:t>
      </w:r>
      <w:r>
        <w:rPr>
          <w:spacing w:val="-50"/>
        </w:rPr>
        <w:t> </w:t>
      </w:r>
      <w:r>
        <w:rPr>
          <w:spacing w:val="-50"/>
        </w:rPr>
      </w:r>
      <w:r>
        <w:rPr>
          <w:spacing w:val="-2"/>
        </w:rPr>
        <w:t>债同时进行时，当期所得税资产及当期所得税负债以抵销后的净额列报。当拥有以净额结算当期所得税资</w:t>
      </w:r>
      <w:r>
        <w:rPr>
          <w:spacing w:val="-43"/>
        </w:rPr>
        <w:t> </w:t>
      </w:r>
      <w:r>
        <w:rPr>
          <w:spacing w:val="-43"/>
        </w:rPr>
      </w:r>
      <w:r>
        <w:rPr>
          <w:spacing w:val="-2"/>
        </w:rPr>
        <w:t>产及当期所得税负债的法定权利，且递延所得税资产及递延所得税负债是与同一税收征管部门对同一纳税</w:t>
      </w:r>
    </w:p>
    <w:p>
      <w:pPr>
        <w:spacing w:after="0" w:line="273"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85"/>
        <w:jc w:val="both"/>
      </w:pPr>
      <w:r>
        <w:rPr>
          <w:spacing w:val="-2"/>
        </w:rPr>
        <w:t>主体征收的所得税相关或者是对不同的纳税主体相关，但在未来每一具有重要性的递延所得税资产及负债</w:t>
      </w:r>
      <w:r>
        <w:rPr>
          <w:spacing w:val="-42"/>
        </w:rPr>
        <w:t> </w:t>
      </w:r>
      <w:r>
        <w:rPr>
          <w:spacing w:val="-42"/>
        </w:rPr>
      </w:r>
      <w:r>
        <w:rPr>
          <w:spacing w:val="-2"/>
        </w:rPr>
        <w:t>转回的期间内，涉及的纳税主体意图以净额结算当期所得税资产和负债或是同时取得资产、清偿负债时，</w:t>
      </w:r>
      <w:r>
        <w:rPr>
          <w:spacing w:val="-21"/>
        </w:rPr>
        <w:t> </w:t>
      </w:r>
      <w:r>
        <w:rPr>
          <w:spacing w:val="-21"/>
        </w:rPr>
      </w:r>
      <w:r>
        <w:rPr/>
        <w:t>递延所得税资产及递延所得税负债以抵销后的净额列报。</w:t>
      </w:r>
    </w:p>
    <w:p>
      <w:pPr>
        <w:spacing w:line="240" w:lineRule="auto" w:before="7"/>
        <w:rPr>
          <w:rFonts w:ascii="宋体" w:hAnsi="宋体" w:cs="宋体" w:eastAsia="宋体" w:hint="default"/>
          <w:sz w:val="23"/>
          <w:szCs w:val="23"/>
        </w:rPr>
      </w:pPr>
    </w:p>
    <w:p>
      <w:pPr>
        <w:pStyle w:val="Heading4"/>
        <w:spacing w:line="240" w:lineRule="auto"/>
        <w:ind w:right="100"/>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right="10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w:t>
      </w:r>
      <w:r>
        <w:rPr>
          <w:spacing w:val="-25"/>
        </w:rPr>
        <w:t> </w:t>
      </w:r>
      <w:r>
        <w:rPr>
          <w:spacing w:val="-25"/>
        </w:rPr>
      </w:r>
      <w:r>
        <w:rPr/>
        <w:t>用。公司支付的与租赁交易相关的初始直接费用，计入当期费用。</w:t>
      </w:r>
      <w:r>
        <w:rPr>
          <w:w w:val="100"/>
        </w:rPr>
        <w:t> </w:t>
      </w:r>
      <w:r>
        <w:rPr>
          <w:spacing w:val="-2"/>
        </w:rPr>
        <w:t>资产出租方承担了应由公司承担的与租赁相关的费用时，公司将该部分费用从租金总额中扣除，按扣除后</w:t>
      </w:r>
      <w:r>
        <w:rPr>
          <w:spacing w:val="-42"/>
        </w:rPr>
        <w:t> </w:t>
      </w:r>
      <w:r>
        <w:rPr>
          <w:spacing w:val="-42"/>
        </w:rPr>
      </w:r>
      <w:r>
        <w:rPr/>
        <w:t>的租金费用在租赁期内分摊，计入当期费用。</w:t>
      </w:r>
    </w:p>
    <w:p>
      <w:pPr>
        <w:spacing w:line="240" w:lineRule="auto" w:before="13"/>
        <w:rPr>
          <w:rFonts w:ascii="宋体" w:hAnsi="宋体" w:cs="宋体" w:eastAsia="宋体" w:hint="default"/>
          <w:sz w:val="24"/>
          <w:szCs w:val="24"/>
        </w:rPr>
      </w:pPr>
    </w:p>
    <w:p>
      <w:pPr>
        <w:pStyle w:val="BodyText"/>
        <w:spacing w:line="268" w:lineRule="auto"/>
        <w:ind w:right="100"/>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w:t>
      </w:r>
      <w:r>
        <w:rPr>
          <w:spacing w:val="-25"/>
        </w:rPr>
        <w:t> </w:t>
      </w:r>
      <w:r>
        <w:rPr>
          <w:spacing w:val="-25"/>
        </w:rPr>
      </w:r>
      <w:r>
        <w:rPr>
          <w:spacing w:val="-2"/>
        </w:rPr>
        <w:t>收入。公司支付的与租赁交易相关的初始直接费用，计入当期费用；如金额较大的，则予以资本化，在整</w:t>
      </w:r>
      <w:r>
        <w:rPr>
          <w:spacing w:val="-43"/>
        </w:rPr>
        <w:t> </w:t>
      </w:r>
      <w:r>
        <w:rPr>
          <w:spacing w:val="-43"/>
        </w:rPr>
      </w:r>
      <w:r>
        <w:rPr/>
        <w:t>个租赁期间内按照与租赁收入确认相同的基础分期计入当期收益。</w:t>
      </w:r>
      <w:r>
        <w:rPr>
          <w:w w:val="100"/>
        </w:rPr>
        <w:t> </w:t>
      </w:r>
      <w:r>
        <w:rPr>
          <w:spacing w:val="-2"/>
        </w:rPr>
        <w:t>公司承担了应由承租方承担的与租赁相关的费用时，公司将该部分费用从租金收入总额中扣除，按扣除后</w:t>
      </w:r>
      <w:r>
        <w:rPr>
          <w:spacing w:val="-43"/>
        </w:rPr>
        <w:t> </w:t>
      </w:r>
      <w:r>
        <w:rPr>
          <w:spacing w:val="-43"/>
        </w:rPr>
      </w:r>
      <w:r>
        <w:rPr/>
        <w:t>的租金费用在租赁期内分配。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1"/>
        <w:ind w:right="10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10"/>
        <w:rPr>
          <w:rFonts w:ascii="宋体" w:hAnsi="宋体" w:cs="宋体" w:eastAsia="宋体" w:hint="default"/>
          <w:b/>
          <w:bCs/>
          <w:sz w:val="24"/>
          <w:szCs w:val="24"/>
        </w:rPr>
      </w:pPr>
    </w:p>
    <w:p>
      <w:pPr>
        <w:pStyle w:val="BodyText"/>
        <w:spacing w:line="268" w:lineRule="auto"/>
        <w:ind w:right="206"/>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w:t>
      </w:r>
      <w:r>
        <w:rPr>
          <w:spacing w:val="-25"/>
        </w:rPr>
        <w:t> </w:t>
      </w:r>
      <w:r>
        <w:rPr>
          <w:spacing w:val="-25"/>
        </w:rPr>
      </w:r>
      <w:r>
        <w:rPr>
          <w:spacing w:val="-2"/>
        </w:rPr>
        <w:t>租入资产的入账价值，将最低租赁付款额作为长期应付款的入账价值，其差额作为未确认的融资费用。公</w:t>
      </w:r>
      <w:r>
        <w:rPr>
          <w:spacing w:val="-43"/>
        </w:rPr>
        <w:t> </w:t>
      </w:r>
      <w:r>
        <w:rPr>
          <w:spacing w:val="-43"/>
        </w:rPr>
      </w:r>
      <w:r>
        <w:rPr>
          <w:spacing w:val="-2"/>
        </w:rPr>
        <w:t>司采用实际利率法对未确认的融资费用，在资产租赁期间内摊销，计入财务费用。公司发生的初始直接费</w:t>
      </w:r>
      <w:r>
        <w:rPr>
          <w:spacing w:val="-45"/>
        </w:rPr>
        <w:t> </w:t>
      </w:r>
      <w:r>
        <w:rPr>
          <w:spacing w:val="-45"/>
        </w:rPr>
      </w:r>
      <w:r>
        <w:rPr/>
        <w:t>用，计入租入资产价值。</w:t>
      </w:r>
    </w:p>
    <w:p>
      <w:pPr>
        <w:pStyle w:val="BodyText"/>
        <w:spacing w:line="264" w:lineRule="auto" w:before="12"/>
        <w:ind w:right="100"/>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w:t>
      </w:r>
      <w:r>
        <w:rPr>
          <w:spacing w:val="-25"/>
        </w:rPr>
        <w:t> </w:t>
      </w:r>
      <w:r>
        <w:rPr>
          <w:spacing w:val="-25"/>
        </w:rPr>
      </w:r>
      <w:r>
        <w:rPr>
          <w:spacing w:val="-5"/>
        </w:rPr>
        <w:t>实现融资收益，在将来收到租金的各期间内确认为租赁收入。公司发生的与出租交易相关的初始直接费用，</w:t>
      </w:r>
      <w:r>
        <w:rPr>
          <w:spacing w:val="-6"/>
        </w:rPr>
        <w:t> </w:t>
      </w:r>
      <w:r>
        <w:rPr>
          <w:spacing w:val="-6"/>
        </w:rPr>
      </w:r>
      <w:r>
        <w:rPr/>
        <w:t>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4"/>
        <w:spacing w:line="240" w:lineRule="auto"/>
        <w:ind w:right="10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2"/>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1"/>
        <w:ind w:right="10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0"/>
        <w:jc w:val="left"/>
      </w:pPr>
      <w:r>
        <w:rPr>
          <w:spacing w:val="-2"/>
        </w:rPr>
        <w:t>同时满足下列条件的固定资产、无形资产和其他非流动资产划分为持有待售资产：一是公司已经就处置该</w:t>
      </w:r>
      <w:r>
        <w:rPr>
          <w:spacing w:val="-42"/>
        </w:rPr>
        <w:t> </w:t>
      </w:r>
      <w:r>
        <w:rPr>
          <w:spacing w:val="-42"/>
        </w:rPr>
      </w:r>
      <w:r>
        <w:rPr>
          <w:spacing w:val="-2"/>
        </w:rPr>
        <w:t>非流动资产作出决议；二是公司已经与受让方签订了不可撤销的转让协议；三是该项转让将在一年内完成</w:t>
      </w:r>
    </w:p>
    <w:p>
      <w:pPr>
        <w:spacing w:after="0" w:line="273"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spacing w:val="-2"/>
        </w:rPr>
        <w:t>持有待售资产不计提折旧或进行摊销，按照账面价值与公允价值减去处置费用后的净额孰低进行计</w:t>
      </w:r>
      <w:r>
        <w:rPr>
          <w:spacing w:val="-25"/>
        </w:rPr>
        <w:t> </w:t>
      </w:r>
      <w:r>
        <w:rPr>
          <w:spacing w:val="-25"/>
        </w:rPr>
      </w:r>
      <w:r>
        <w:rPr/>
        <w:t>量。公允价值减去处置费用的净额低于原账面价值的金额，作为资产减值损失计入当期损益。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line="340" w:lineRule="auto" w:before="115"/>
        <w:ind w:left="152" w:right="88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无</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19" w:lineRule="auto" w:before="49"/>
              <w:ind w:left="16" w:right="17"/>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6"/>
                <w:sz w:val="18"/>
                <w:szCs w:val="18"/>
              </w:rPr>
              <w:t>务收入为基础计算销项税额，在扣除当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期允许抵扣的进项税额后，差额部分为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应交增值税</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17%,6%</w:t>
            </w:r>
          </w:p>
        </w:tc>
      </w:tr>
      <w:tr>
        <w:trPr>
          <w:trHeight w:val="394"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473"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按实际缴纳的流转税计征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5%,7%</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pStyle w:val="BodyText"/>
        <w:spacing w:line="240" w:lineRule="auto" w:before="96"/>
        <w:ind w:right="0"/>
        <w:jc w:val="left"/>
      </w:pPr>
      <w:r>
        <w:rPr>
          <w:rFonts w:ascii="Times New Roman" w:hAnsi="Times New Roman" w:cs="Times New Roman" w:eastAsia="Times New Roman" w:hint="default"/>
          <w:sz w:val="18"/>
          <w:szCs w:val="18"/>
        </w:rPr>
        <w:t>1.</w:t>
      </w:r>
      <w:r>
        <w:rPr/>
        <w:t>母公司按应纳税所得额的</w:t>
      </w:r>
      <w:r>
        <w:rPr>
          <w:rFonts w:ascii="Times New Roman" w:hAnsi="Times New Roman" w:cs="Times New Roman" w:eastAsia="Times New Roman" w:hint="default"/>
        </w:rPr>
        <w:t>15%</w:t>
      </w:r>
      <w:r>
        <w:rPr/>
        <w:t>计缴所得税。</w:t>
      </w:r>
    </w:p>
    <w:p>
      <w:pPr>
        <w:pStyle w:val="BodyText"/>
        <w:spacing w:line="240" w:lineRule="auto" w:before="21"/>
        <w:ind w:right="0"/>
        <w:jc w:val="left"/>
      </w:pPr>
      <w:r>
        <w:rPr>
          <w:rFonts w:ascii="Times New Roman" w:hAnsi="Times New Roman" w:cs="Times New Roman" w:eastAsia="Times New Roman" w:hint="default"/>
        </w:rPr>
        <w:t>2.</w:t>
      </w:r>
      <w:r>
        <w:rPr/>
        <w:t>子公司西藏万达华波美信息技术有限公司按应纳税所得额的</w:t>
      </w:r>
      <w:r>
        <w:rPr>
          <w:rFonts w:ascii="Times New Roman" w:hAnsi="Times New Roman" w:cs="Times New Roman" w:eastAsia="Times New Roman" w:hint="default"/>
        </w:rPr>
        <w:t>15%</w:t>
      </w:r>
      <w:r>
        <w:rPr/>
        <w:t>计缴所得税。</w:t>
      </w:r>
    </w:p>
    <w:p>
      <w:pPr>
        <w:pStyle w:val="BodyText"/>
        <w:spacing w:line="264" w:lineRule="auto" w:before="21"/>
        <w:ind w:right="0"/>
        <w:jc w:val="left"/>
      </w:pPr>
      <w:r>
        <w:rPr>
          <w:rFonts w:ascii="Times New Roman" w:hAnsi="Times New Roman" w:cs="Times New Roman" w:eastAsia="Times New Roman" w:hint="default"/>
          <w:spacing w:val="-2"/>
        </w:rPr>
        <w:t>3.</w:t>
      </w:r>
      <w:r>
        <w:rPr>
          <w:spacing w:val="-2"/>
        </w:rPr>
        <w:t>子公司杭州万达信息系统有限公司、宁波万达信息系统有限公司、深圳市万达计算机软件有限公司、上</w:t>
      </w:r>
      <w:r>
        <w:rPr>
          <w:spacing w:val="-16"/>
        </w:rPr>
        <w:t> </w:t>
      </w:r>
      <w:r>
        <w:rPr>
          <w:spacing w:val="-16"/>
        </w:rPr>
      </w:r>
      <w:r>
        <w:rPr>
          <w:spacing w:val="-2"/>
        </w:rPr>
        <w:t>海爱递吉供应链管理服务有限公司、南京爱递吉供应链管理服务有限公司、上海万达信息服务有限公司、</w:t>
      </w:r>
      <w:r>
        <w:rPr>
          <w:spacing w:val="-21"/>
        </w:rPr>
        <w:t> </w:t>
      </w:r>
      <w:r>
        <w:rPr>
          <w:spacing w:val="-21"/>
        </w:rPr>
      </w:r>
      <w:r>
        <w:rPr>
          <w:spacing w:val="-2"/>
        </w:rPr>
        <w:t>上海卫生信息工程技术研究中心有限公司、上海万达全程健康服务有限公司、天津万达信息技术有限责任</w:t>
      </w:r>
      <w:r>
        <w:rPr>
          <w:spacing w:val="-44"/>
        </w:rPr>
        <w:t> </w:t>
      </w:r>
      <w:r>
        <w:rPr>
          <w:spacing w:val="-44"/>
        </w:rPr>
      </w:r>
      <w:r>
        <w:rPr/>
        <w:t>公司、北京万达全城信息系统有限公司、上海格言管理有限公司按应纳税所得额的</w:t>
      </w:r>
      <w:r>
        <w:rPr>
          <w:rFonts w:ascii="Times New Roman" w:hAnsi="Times New Roman" w:cs="Times New Roman" w:eastAsia="Times New Roman" w:hint="default"/>
        </w:rPr>
        <w:t>25%</w:t>
      </w:r>
      <w:r>
        <w:rPr/>
        <w:t>计缴所得税。</w:t>
      </w:r>
      <w:r>
        <w:rPr>
          <w:w w:val="100"/>
        </w:rPr>
        <w:t> </w:t>
      </w:r>
      <w:r>
        <w:rPr>
          <w:rFonts w:ascii="Times New Roman" w:hAnsi="Times New Roman" w:cs="Times New Roman" w:eastAsia="Times New Roman" w:hint="default"/>
        </w:rPr>
        <w:t>4.</w:t>
      </w:r>
      <w:r>
        <w:rPr/>
        <w:t>子公司上海万达信息系统有限公司按应纳税所得额的</w:t>
      </w:r>
      <w:r>
        <w:rPr>
          <w:rFonts w:ascii="Times New Roman" w:hAnsi="Times New Roman" w:cs="Times New Roman" w:eastAsia="Times New Roman" w:hint="default"/>
        </w:rPr>
        <w:t>12.5%</w:t>
      </w:r>
      <w:r>
        <w:rPr/>
        <w:t>计缴所得税。</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7"/>
        <w:rPr>
          <w:rFonts w:ascii="宋体" w:hAnsi="宋体" w:cs="宋体" w:eastAsia="宋体" w:hint="default"/>
          <w:b/>
          <w:bCs/>
          <w:sz w:val="24"/>
          <w:szCs w:val="24"/>
        </w:rPr>
      </w:pPr>
    </w:p>
    <w:p>
      <w:pPr>
        <w:pStyle w:val="BodyText"/>
        <w:spacing w:line="261" w:lineRule="auto"/>
        <w:ind w:right="146"/>
        <w:jc w:val="left"/>
      </w:pPr>
      <w:r>
        <w:rPr>
          <w:rFonts w:ascii="Times New Roman" w:hAnsi="Times New Roman" w:cs="Times New Roman" w:eastAsia="Times New Roman" w:hint="default"/>
          <w:spacing w:val="-3"/>
        </w:rPr>
        <w:t>1.</w:t>
      </w:r>
      <w:r>
        <w:rPr>
          <w:spacing w:val="-3"/>
        </w:rPr>
        <w:t>根据财税字〔</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111</w:t>
      </w:r>
      <w:r>
        <w:rPr>
          <w:spacing w:val="-3"/>
        </w:rPr>
        <w:t>号财政部、国家税务总局《关于在上海市开展交通运输业和部分现代服务业营业</w:t>
      </w:r>
      <w:r>
        <w:rPr>
          <w:spacing w:val="-35"/>
        </w:rPr>
        <w:t> </w:t>
      </w:r>
      <w:r>
        <w:rPr>
          <w:spacing w:val="-35"/>
        </w:rPr>
      </w:r>
      <w:r>
        <w:rPr>
          <w:spacing w:val="-2"/>
        </w:rPr>
        <w:t>税改征增值税试点的通知》，主管税务机关对万达信息股份有限公司部分符合技术合同免征条件的营业收</w:t>
      </w:r>
      <w:r>
        <w:rPr>
          <w:spacing w:val="-44"/>
        </w:rPr>
        <w:t> </w:t>
      </w:r>
      <w:r>
        <w:rPr>
          <w:spacing w:val="-44"/>
        </w:rPr>
      </w:r>
      <w:r>
        <w:rPr/>
        <w:t>入免征增值税。</w:t>
      </w:r>
      <w:r>
        <w:rPr>
          <w:spacing w:val="-103"/>
        </w:rPr>
        <w:t> </w:t>
      </w:r>
      <w:r>
        <w:rPr>
          <w:spacing w:val="-103"/>
        </w:rPr>
      </w:r>
      <w:r>
        <w:rPr>
          <w:rFonts w:ascii="Times New Roman" w:hAnsi="Times New Roman" w:cs="Times New Roman" w:eastAsia="Times New Roman" w:hint="default"/>
          <w:spacing w:val="-2"/>
        </w:rPr>
        <w:t>2.</w:t>
      </w:r>
      <w:r>
        <w:rPr>
          <w:spacing w:val="-2"/>
        </w:rPr>
        <w:t>根据《中华人民共和国企业所得税法》、《中华人民共和国企业所得税法实施条例》、《高科技企业认</w:t>
      </w:r>
      <w:r>
        <w:rPr>
          <w:spacing w:val="-16"/>
        </w:rPr>
        <w:t> </w:t>
      </w:r>
      <w:r>
        <w:rPr>
          <w:spacing w:val="-16"/>
        </w:rPr>
      </w:r>
      <w:r>
        <w:rPr>
          <w:spacing w:val="-2"/>
        </w:rPr>
        <w:t>定管理办法》以及《高新技术企业认定管理工作指引》规定，经认定的高新技术企业，减按</w:t>
      </w:r>
      <w:r>
        <w:rPr>
          <w:rFonts w:ascii="Times New Roman" w:hAnsi="Times New Roman" w:cs="Times New Roman" w:eastAsia="Times New Roman" w:hint="default"/>
          <w:spacing w:val="-2"/>
        </w:rPr>
        <w:t>15%</w:t>
      </w:r>
      <w:r>
        <w:rPr>
          <w:spacing w:val="-2"/>
        </w:rPr>
        <w:t>的税率征</w:t>
      </w:r>
      <w:r>
        <w:rPr>
          <w:spacing w:val="-16"/>
        </w:rPr>
        <w:t> </w:t>
      </w:r>
      <w:r>
        <w:rPr>
          <w:spacing w:val="-16"/>
        </w:rPr>
      </w:r>
      <w:r>
        <w:rPr>
          <w:spacing w:val="-2"/>
        </w:rPr>
        <w:t>收企业所得税。</w:t>
      </w:r>
      <w:r>
        <w:rPr>
          <w:rFonts w:ascii="Times New Roman" w:hAnsi="Times New Roman" w:cs="Times New Roman" w:eastAsia="Times New Roman" w:hint="default"/>
          <w:spacing w:val="-2"/>
        </w:rPr>
        <w:t>2011</w:t>
      </w:r>
      <w:r>
        <w:rPr>
          <w:spacing w:val="-2"/>
        </w:rPr>
        <w:t>年公司持续取得了上海市科学技术委员会、上海市财政局、上海市国家税务局、上海</w:t>
      </w:r>
      <w:r>
        <w:rPr>
          <w:spacing w:val="-43"/>
        </w:rPr>
        <w:t> </w:t>
      </w:r>
      <w:r>
        <w:rPr>
          <w:spacing w:val="-43"/>
        </w:rPr>
      </w:r>
      <w:r>
        <w:rPr/>
        <w:t>市地方税务局联合颁发的《高新技术企业证书》，认定有效期三年。</w:t>
      </w:r>
      <w:r>
        <w:rPr>
          <w:w w:val="100"/>
        </w:rPr>
        <w:t> </w:t>
      </w:r>
      <w:r>
        <w:rPr>
          <w:rFonts w:ascii="Times New Roman" w:hAnsi="Times New Roman" w:cs="Times New Roman" w:eastAsia="Times New Roman" w:hint="default"/>
          <w:spacing w:val="-2"/>
        </w:rPr>
        <w:t>3.</w:t>
      </w:r>
      <w:r>
        <w:rPr>
          <w:spacing w:val="-2"/>
        </w:rPr>
        <w:t>根据沪地税闵九（</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000002</w:t>
      </w:r>
      <w:r>
        <w:rPr>
          <w:spacing w:val="-2"/>
        </w:rPr>
        <w:t>号企业所得税优惠审批结果通知书，子公司上海万达信息系统有限公司</w:t>
      </w:r>
      <w:r>
        <w:rPr>
          <w:spacing w:val="-6"/>
        </w:rPr>
        <w:t> </w:t>
      </w:r>
      <w:r>
        <w:rPr>
          <w:spacing w:val="-6"/>
        </w:rPr>
      </w:r>
      <w:r>
        <w:rPr>
          <w:spacing w:val="-2"/>
        </w:rPr>
        <w:t>符合新办软件企业减免税优惠，</w:t>
      </w:r>
      <w:r>
        <w:rPr>
          <w:rFonts w:ascii="Times New Roman" w:hAnsi="Times New Roman" w:cs="Times New Roman" w:eastAsia="Times New Roman" w:hint="default"/>
          <w:spacing w:val="-2"/>
        </w:rPr>
        <w:t>2009-2010</w:t>
      </w:r>
      <w:r>
        <w:rPr>
          <w:spacing w:val="-2"/>
        </w:rPr>
        <w:t>年免征企业所得税，</w:t>
      </w:r>
      <w:r>
        <w:rPr>
          <w:rFonts w:ascii="Times New Roman" w:hAnsi="Times New Roman" w:cs="Times New Roman" w:eastAsia="Times New Roman" w:hint="default"/>
          <w:spacing w:val="-2"/>
        </w:rPr>
        <w:t>2011-2013</w:t>
      </w:r>
      <w:r>
        <w:rPr>
          <w:spacing w:val="-2"/>
        </w:rPr>
        <w:t>年减半征收企业所得税，本期按</w:t>
      </w:r>
      <w:r>
        <w:rPr>
          <w:spacing w:val="-1"/>
        </w:rPr>
        <w:t> </w:t>
      </w:r>
      <w:r>
        <w:rPr>
          <w:spacing w:val="-1"/>
        </w:rPr>
      </w:r>
      <w:r>
        <w:rPr>
          <w:rFonts w:ascii="Times New Roman" w:hAnsi="Times New Roman" w:cs="Times New Roman" w:eastAsia="Times New Roman" w:hint="default"/>
        </w:rPr>
        <w:t>12.5%</w:t>
      </w:r>
      <w:r>
        <w:rPr/>
        <w:t>执行。</w:t>
      </w:r>
    </w:p>
    <w:p>
      <w:pPr>
        <w:spacing w:after="0" w:line="261"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六、企业合并及合并财务报表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706"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65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杭州万 达信息 系统有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浙江杭 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技术开 发、技 术服 务、技 术咨询</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1,880,0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宁波万 达信息 系统有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浙江宁 波</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技术开 发、技 术服 务、技 术咨询</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29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 万达计 算机软 件有限</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广东深 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计算机 信息系 统与工 程的设</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17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计、安 装、集 成及相 关技术 咨询范 围；建 筑智能 化信息 系统集 成</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美国万 达信息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455,359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技术开 发、技 术服 务、技 术咨询</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3" w:right="0"/>
              <w:jc w:val="left"/>
              <w:rPr>
                <w:rFonts w:ascii="Times New Roman" w:hAnsi="Times New Roman" w:cs="Times New Roman" w:eastAsia="Times New Roman" w:hint="default"/>
                <w:sz w:val="18"/>
                <w:szCs w:val="18"/>
              </w:rPr>
            </w:pPr>
            <w:r>
              <w:rPr>
                <w:rFonts w:ascii="Times New Roman"/>
                <w:sz w:val="18"/>
              </w:rPr>
              <w:t>4,611,11</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5.10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39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上海万 达信息 系统有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计算机 信息系 统集 成、建 筑智能 化信息 系统集 成、计 算机专 业领域 内的技 术咨询 等服务 及新产 品的研 制、销 售等。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0"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9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上海爱 递吉供 应链管 理服务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供应链 管理、 物流服 务，物 流系统 软件研 发，销 售自产 产品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86" w:right="0"/>
              <w:jc w:val="center"/>
              <w:rPr>
                <w:rFonts w:ascii="Times New Roman" w:hAnsi="Times New Roman" w:cs="Times New Roman" w:eastAsia="Times New Roman" w:hint="default"/>
                <w:sz w:val="18"/>
                <w:szCs w:val="18"/>
              </w:rPr>
            </w:pPr>
            <w:r>
              <w:rPr>
                <w:rFonts w:ascii="Times New Roman"/>
                <w:sz w:val="18"/>
              </w:rPr>
              <w:t>2,750,0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64" w:right="0"/>
              <w:jc w:val="left"/>
              <w:rPr>
                <w:rFonts w:ascii="Times New Roman" w:hAnsi="Times New Roman" w:cs="Times New Roman" w:eastAsia="Times New Roman" w:hint="default"/>
                <w:sz w:val="18"/>
                <w:szCs w:val="18"/>
              </w:rPr>
            </w:pPr>
            <w:r>
              <w:rPr>
                <w:rFonts w:ascii="Times New Roman"/>
                <w:sz w:val="18"/>
              </w:rPr>
              <w:t>371,463</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.73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08"/>
              <w:jc w:val="left"/>
              <w:rPr>
                <w:rFonts w:ascii="宋体" w:hAnsi="宋体" w:cs="宋体" w:eastAsia="宋体" w:hint="default"/>
                <w:sz w:val="18"/>
                <w:szCs w:val="18"/>
              </w:rPr>
            </w:pPr>
            <w:r>
              <w:rPr>
                <w:rFonts w:ascii="宋体" w:hAnsi="宋体" w:cs="宋体" w:eastAsia="宋体" w:hint="default"/>
                <w:sz w:val="18"/>
                <w:szCs w:val="18"/>
              </w:rPr>
              <w:t>上海万 达信息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07"/>
              <w:jc w:val="left"/>
              <w:rPr>
                <w:rFonts w:ascii="宋体" w:hAnsi="宋体" w:cs="宋体" w:eastAsia="宋体" w:hint="default"/>
                <w:sz w:val="18"/>
                <w:szCs w:val="18"/>
              </w:rPr>
            </w:pPr>
            <w:r>
              <w:rPr>
                <w:rFonts w:ascii="宋体" w:hAnsi="宋体" w:cs="宋体" w:eastAsia="宋体" w:hint="default"/>
                <w:sz w:val="18"/>
                <w:szCs w:val="18"/>
              </w:rPr>
              <w:t>技术开 发、技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980" w:header="745" w:top="1060" w:bottom="1160" w:left="980" w:right="98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04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left"/>
              <w:rPr>
                <w:rFonts w:ascii="宋体" w:hAnsi="宋体" w:cs="宋体" w:eastAsia="宋体" w:hint="default"/>
                <w:sz w:val="18"/>
                <w:szCs w:val="18"/>
              </w:rPr>
            </w:pPr>
            <w:r>
              <w:rPr>
                <w:rFonts w:ascii="宋体" w:hAnsi="宋体" w:cs="宋体" w:eastAsia="宋体" w:hint="default"/>
                <w:sz w:val="18"/>
                <w:szCs w:val="18"/>
              </w:rPr>
              <w:t>服务有 限公司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术咨 询、技 术转 让、技 术服 务，计 算机软 件开 发，计 算机系 统集 成，销 售计算 机软件 软件产 品</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南京爱 递吉供 应链管 理服务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1150000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供应链 管理， 物流系 统软件 研发， 销售自 产产品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632,500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-231,67</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2.80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52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上海卫 生信息 工程技 术研究 中心有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计算机 专业领 域内的 技术开 发、技 术咨 询、技 术转 让、技 术服务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57.14%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57.14%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15,008,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912.45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5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上海万 达全程 健康服 务有限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1611000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健康管 理服务</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（不得 从事诊 疗活 </w:t>
            </w:r>
            <w:r>
              <w:rPr>
                <w:rFonts w:ascii="宋体" w:hAnsi="宋体" w:cs="宋体" w:eastAsia="宋体" w:hint="default"/>
                <w:spacing w:val="-24"/>
                <w:sz w:val="18"/>
                <w:szCs w:val="18"/>
              </w:rPr>
              <w:t>动），计</w:t>
            </w:r>
            <w:r>
              <w:rPr>
                <w:rFonts w:ascii="宋体" w:hAnsi="宋体" w:cs="宋体" w:eastAsia="宋体" w:hint="default"/>
                <w:sz w:val="18"/>
                <w:szCs w:val="18"/>
              </w:rPr>
              <w:t> 算机专 业领域 内的技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86" w:right="0"/>
              <w:jc w:val="center"/>
              <w:rPr>
                <w:rFonts w:ascii="Times New Roman" w:hAnsi="Times New Roman" w:cs="Times New Roman" w:eastAsia="Times New Roman" w:hint="default"/>
                <w:sz w:val="18"/>
                <w:szCs w:val="18"/>
              </w:rPr>
            </w:pPr>
            <w:r>
              <w:rPr>
                <w:rFonts w:ascii="Times New Roman"/>
                <w:sz w:val="18"/>
              </w:rPr>
              <w:t>8,860,0</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86" w:right="0"/>
              <w:jc w:val="center"/>
              <w:rPr>
                <w:rFonts w:ascii="Times New Roman" w:hAnsi="Times New Roman" w:cs="Times New Roman" w:eastAsia="Times New Roman" w:hint="default"/>
                <w:sz w:val="18"/>
                <w:szCs w:val="18"/>
              </w:rPr>
            </w:pPr>
            <w:r>
              <w:rPr>
                <w:rFonts w:ascii="Times New Roman"/>
                <w:sz w:val="18"/>
              </w:rPr>
              <w:t>4,197,0</w:t>
            </w:r>
          </w:p>
          <w:p>
            <w:pPr>
              <w:pStyle w:val="TableParagraph"/>
              <w:spacing w:line="240" w:lineRule="auto" w:before="102"/>
              <w:ind w:left="222" w:right="0"/>
              <w:jc w:val="center"/>
              <w:rPr>
                <w:rFonts w:ascii="Times New Roman" w:hAnsi="Times New Roman" w:cs="Times New Roman" w:eastAsia="Times New Roman" w:hint="default"/>
                <w:sz w:val="18"/>
                <w:szCs w:val="18"/>
              </w:rPr>
            </w:pPr>
            <w:r>
              <w:rPr>
                <w:rFonts w:ascii="Times New Roman"/>
                <w:sz w:val="18"/>
              </w:rPr>
              <w:t>64.24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2547"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术开 发、技 术咨 询、技 术转 让、技 术服务 等</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西藏万 达华波 美信息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许可经 营项 目：数 字电视 设备和 有线、 无线数 字网络 工程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38,000,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51.22%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51.22%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24,857,</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436.55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5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天津万 达信息 技术有 限责任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计算机 信息系 统集成 及开发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9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北京万 达全城 信息系 统有限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7"/>
              <w:jc w:val="left"/>
              <w:rPr>
                <w:rFonts w:ascii="宋体" w:hAnsi="宋体" w:cs="宋体" w:eastAsia="宋体" w:hint="default"/>
                <w:sz w:val="18"/>
                <w:szCs w:val="18"/>
              </w:rPr>
            </w:pPr>
            <w:r>
              <w:rPr>
                <w:rFonts w:ascii="宋体" w:hAnsi="宋体" w:cs="宋体" w:eastAsia="宋体" w:hint="default"/>
                <w:sz w:val="18"/>
                <w:szCs w:val="18"/>
              </w:rPr>
              <w:t>计算机 信息系 统集成</w:t>
            </w:r>
            <w:r>
              <w:rPr>
                <w:rFonts w:ascii="Times New Roman" w:hAnsi="Times New Roman" w:cs="Times New Roman" w:eastAsia="Times New Roman" w:hint="default"/>
                <w:sz w:val="18"/>
                <w:szCs w:val="18"/>
              </w:rPr>
              <w:t>; </w:t>
            </w:r>
            <w:r>
              <w:rPr>
                <w:rFonts w:ascii="宋体" w:hAnsi="宋体" w:cs="宋体" w:eastAsia="宋体" w:hint="default"/>
                <w:sz w:val="18"/>
                <w:szCs w:val="18"/>
              </w:rPr>
              <w:t>技术开 发、技 术咨 询、技 术转让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96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108"/>
              <w:jc w:val="both"/>
              <w:rPr>
                <w:rFonts w:ascii="宋体" w:hAnsi="宋体" w:cs="宋体" w:eastAsia="宋体" w:hint="default"/>
                <w:sz w:val="18"/>
                <w:szCs w:val="18"/>
              </w:rPr>
            </w:pPr>
            <w:r>
              <w:rPr>
                <w:rFonts w:ascii="宋体" w:hAnsi="宋体" w:cs="宋体" w:eastAsia="宋体" w:hint="default"/>
                <w:sz w:val="18"/>
                <w:szCs w:val="18"/>
              </w:rPr>
              <w:t>上海格 言管理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投资管 理、实 业投 资，投 资咨询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5994"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 无</w:t>
      </w:r>
    </w:p>
    <w:p>
      <w:pPr>
        <w:spacing w:after="0" w:line="35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8"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40"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bl>
    <w:p>
      <w:pPr>
        <w:spacing w:line="357" w:lineRule="auto" w:before="49"/>
        <w:ind w:left="152" w:right="5814"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042"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40"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675"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58" w:right="62" w:hanging="89"/>
              <w:jc w:val="left"/>
              <w:rPr>
                <w:rFonts w:ascii="宋体" w:hAnsi="宋体" w:cs="宋体" w:eastAsia="宋体" w:hint="default"/>
                <w:sz w:val="18"/>
                <w:szCs w:val="18"/>
              </w:rPr>
            </w:pPr>
            <w:r>
              <w:rPr>
                <w:rFonts w:ascii="宋体" w:hAnsi="宋体" w:cs="宋体" w:eastAsia="宋体" w:hint="default"/>
                <w:sz w:val="18"/>
                <w:szCs w:val="18"/>
              </w:rPr>
              <w:t>额后的 余额</w:t>
            </w:r>
          </w:p>
        </w:tc>
      </w:tr>
      <w:tr>
        <w:trPr>
          <w:trHeight w:val="320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08"/>
              <w:jc w:val="both"/>
              <w:rPr>
                <w:rFonts w:ascii="宋体" w:hAnsi="宋体" w:cs="宋体" w:eastAsia="宋体" w:hint="default"/>
                <w:sz w:val="18"/>
                <w:szCs w:val="18"/>
              </w:rPr>
            </w:pPr>
            <w:r>
              <w:rPr>
                <w:rFonts w:ascii="宋体" w:hAnsi="宋体" w:cs="宋体" w:eastAsia="宋体" w:hint="default"/>
                <w:sz w:val="18"/>
                <w:szCs w:val="18"/>
              </w:rPr>
              <w:t>西藏万 达华波 美信息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sz w:val="18"/>
              </w:rPr>
              <w:t>410000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许可经 营项 目：数 字电视 设备和 有线、 无线数 字网络 工程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10" w:right="0"/>
              <w:jc w:val="left"/>
              <w:rPr>
                <w:rFonts w:ascii="Times New Roman" w:hAnsi="Times New Roman" w:cs="Times New Roman" w:eastAsia="Times New Roman" w:hint="default"/>
                <w:sz w:val="18"/>
                <w:szCs w:val="18"/>
              </w:rPr>
            </w:pPr>
            <w:r>
              <w:rPr>
                <w:rFonts w:ascii="Times New Roman"/>
                <w:sz w:val="18"/>
              </w:rPr>
              <w:t>38,000,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51.22%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51.22%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10" w:right="0"/>
              <w:jc w:val="left"/>
              <w:rPr>
                <w:rFonts w:ascii="Times New Roman" w:hAnsi="Times New Roman" w:cs="Times New Roman" w:eastAsia="Times New Roman" w:hint="default"/>
                <w:sz w:val="18"/>
                <w:szCs w:val="18"/>
              </w:rPr>
            </w:pPr>
            <w:r>
              <w:rPr>
                <w:rFonts w:ascii="Times New Roman"/>
                <w:sz w:val="18"/>
              </w:rPr>
              <w:t>24,857,</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436.55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pStyle w:val="BodyText"/>
        <w:spacing w:line="264" w:lineRule="auto" w:before="96"/>
        <w:ind w:right="0"/>
        <w:jc w:val="left"/>
      </w:pPr>
      <w:r>
        <w:rPr>
          <w:rFonts w:ascii="宋体" w:hAnsi="宋体" w:cs="宋体" w:eastAsia="宋体" w:hint="default"/>
        </w:rPr>
        <w:t>1.</w:t>
      </w:r>
      <w:r>
        <w:rPr>
          <w:rFonts w:ascii="宋体" w:hAnsi="宋体" w:cs="宋体" w:eastAsia="宋体" w:hint="default"/>
          <w:spacing w:val="44"/>
        </w:rPr>
        <w:t> </w:t>
      </w:r>
      <w:r>
        <w:rPr/>
        <w:t>本期发生的非同一控制下企业合并的情况</w:t>
      </w:r>
      <w:r>
        <w:rPr>
          <w:w w:val="100"/>
        </w:rPr>
        <w:t> </w:t>
      </w:r>
      <w:r>
        <w:rPr/>
        <w:t>本公司以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日为购买日，支付现金人民币</w:t>
      </w:r>
      <w:r>
        <w:rPr>
          <w:rFonts w:ascii="Times New Roman" w:hAnsi="Times New Roman" w:cs="Times New Roman" w:eastAsia="Times New Roman" w:hint="default"/>
        </w:rPr>
        <w:t>3800</w:t>
      </w:r>
      <w:r>
        <w:rPr/>
        <w:t>万元增资购买了西藏新时代华波美信息技术有限</w:t>
      </w:r>
      <w:r>
        <w:rPr>
          <w:spacing w:val="-26"/>
        </w:rPr>
        <w:t> </w:t>
      </w:r>
      <w:r>
        <w:rPr>
          <w:spacing w:val="-26"/>
        </w:rPr>
      </w:r>
      <w:r>
        <w:rPr/>
        <w:t>公司</w:t>
      </w:r>
      <w:r>
        <w:rPr>
          <w:rFonts w:ascii="Times New Roman" w:hAnsi="Times New Roman" w:cs="Times New Roman" w:eastAsia="Times New Roman" w:hint="default"/>
        </w:rPr>
        <w:t>51.22%</w:t>
      </w:r>
      <w:r>
        <w:rPr/>
        <w:t>的权益。合并成本在购买日的总额为人民币</w:t>
      </w:r>
      <w:r>
        <w:rPr>
          <w:rFonts w:ascii="Times New Roman" w:hAnsi="Times New Roman" w:cs="Times New Roman" w:eastAsia="Times New Roman" w:hint="default"/>
        </w:rPr>
        <w:t>3800</w:t>
      </w:r>
      <w:r>
        <w:rPr/>
        <w:t>万元。</w:t>
      </w:r>
      <w:r>
        <w:rPr>
          <w:w w:val="100"/>
        </w:rPr>
        <w:t> </w:t>
      </w:r>
      <w:r>
        <w:rPr/>
        <w:t>购买日的确定依据：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月西藏新时代华波美信息技术有限公司取得了变更后的营业执照并完成了税</w:t>
      </w:r>
      <w:r>
        <w:rPr>
          <w:spacing w:val="-27"/>
        </w:rPr>
        <w:t> </w:t>
      </w:r>
      <w:r>
        <w:rPr>
          <w:spacing w:val="-27"/>
        </w:rPr>
      </w:r>
      <w:r>
        <w:rPr>
          <w:spacing w:val="-2"/>
        </w:rPr>
        <w:t>务变更登记，公司更名为西藏万达华波美信息技术有限公司，同月，公司正式派遣经营管理层入主公司参</w:t>
      </w:r>
      <w:r>
        <w:rPr>
          <w:spacing w:val="-43"/>
        </w:rPr>
        <w:t> </w:t>
      </w:r>
      <w:r>
        <w:rPr>
          <w:spacing w:val="-43"/>
        </w:rPr>
      </w:r>
      <w:r>
        <w:rPr/>
        <w:t>与生产经营决策，取得控制权。</w:t>
      </w:r>
      <w:r>
        <w:rPr>
          <w:w w:val="100"/>
        </w:rPr>
        <w:t> </w:t>
      </w:r>
      <w:r>
        <w:rPr/>
        <w:t>西藏新时代华波美信息技术有限公司是于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月在西藏注册成立的公司，主要从事计算机网络及计算</w:t>
      </w:r>
      <w:r>
        <w:rPr>
          <w:spacing w:val="-26"/>
        </w:rPr>
        <w:t> </w:t>
      </w:r>
      <w:r>
        <w:rPr>
          <w:spacing w:val="-26"/>
        </w:rPr>
      </w:r>
      <w:r>
        <w:rPr>
          <w:spacing w:val="-2"/>
        </w:rPr>
        <w:t>机系统软硬件的研发、销售、技术咨询、培训服务等。在被合并之前，西藏新时代华波美信息技术有限公</w:t>
      </w:r>
      <w:r>
        <w:rPr>
          <w:spacing w:val="-43"/>
        </w:rPr>
        <w:t> </w:t>
      </w:r>
      <w:r>
        <w:rPr>
          <w:spacing w:val="-43"/>
        </w:rPr>
      </w:r>
      <w:r>
        <w:rPr/>
        <w:t>司由深圳市华波美通信技术有限公司和自然人余丰共同控制。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5"/>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3654" w:firstLine="0"/>
        <w:jc w:val="left"/>
        <w:rPr>
          <w:rFonts w:ascii="宋体" w:hAnsi="宋体" w:cs="宋体" w:eastAsia="宋体" w:hint="default"/>
          <w:sz w:val="18"/>
          <w:szCs w:val="18"/>
        </w:rPr>
      </w:pPr>
      <w:r>
        <w:rPr>
          <w:rFonts w:ascii="宋体" w:hAnsi="宋体" w:cs="宋体" w:eastAsia="宋体" w:hint="default"/>
          <w:sz w:val="18"/>
          <w:szCs w:val="18"/>
        </w:rPr>
        <w:t>特殊目的主体或通过受托经营或承租等方式形成控制权的经营实体的其他说明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pStyle w:val="Heading4"/>
        <w:spacing w:line="240" w:lineRule="auto" w:before="94"/>
        <w:ind w:left="208" w:right="0"/>
        <w:jc w:val="left"/>
        <w:rPr>
          <w:b w:val="0"/>
          <w:bCs w:val="0"/>
        </w:rPr>
      </w:pPr>
      <w:r>
        <w:rPr>
          <w:rFonts w:ascii="Times New Roman" w:hAnsi="Times New Roman" w:cs="Times New Roman" w:eastAsia="Times New Roman" w:hint="default"/>
        </w:rPr>
        <w:t>1</w:t>
      </w:r>
      <w:r>
        <w:rPr/>
        <w:t>、</w:t>
      </w:r>
      <w:r>
        <w:rPr>
          <w:spacing w:val="-58"/>
        </w:rPr>
        <w:t> </w:t>
      </w:r>
      <w:r>
        <w:rPr/>
        <w:t>报告期内新增合并单位</w:t>
      </w:r>
      <w:r>
        <w:rPr>
          <w:rFonts w:ascii="Times New Roman" w:hAnsi="Times New Roman" w:cs="Times New Roman" w:eastAsia="Times New Roman" w:hint="default"/>
        </w:rPr>
        <w:t>6</w:t>
      </w:r>
      <w:r>
        <w:rPr/>
        <w:t>家，原因为：</w:t>
      </w:r>
      <w:r>
        <w:rPr>
          <w:b w:val="0"/>
          <w:bCs w:val="0"/>
        </w:rPr>
      </w:r>
    </w:p>
    <w:p>
      <w:pPr>
        <w:pStyle w:val="BodyText"/>
        <w:spacing w:line="256" w:lineRule="auto" w:before="22"/>
        <w:ind w:right="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2</w:t>
      </w:r>
      <w:r>
        <w:rPr>
          <w:spacing w:val="-1"/>
        </w:rPr>
        <w:t>月公司投资</w:t>
      </w:r>
      <w:r>
        <w:rPr>
          <w:rFonts w:ascii="Times New Roman" w:hAnsi="Times New Roman" w:cs="Times New Roman" w:eastAsia="Times New Roman" w:hint="default"/>
          <w:spacing w:val="-1"/>
        </w:rPr>
        <w:t>2000</w:t>
      </w:r>
      <w:r>
        <w:rPr>
          <w:spacing w:val="-1"/>
        </w:rPr>
        <w:t>万元设立上海卫生信息工程技术研究中心有限公司，该公司注册资本</w:t>
      </w:r>
      <w:r>
        <w:rPr>
          <w:rFonts w:ascii="Times New Roman" w:hAnsi="Times New Roman" w:cs="Times New Roman" w:eastAsia="Times New Roman" w:hint="default"/>
          <w:spacing w:val="-1"/>
        </w:rPr>
        <w:t>3,500</w:t>
      </w:r>
      <w:r>
        <w:rPr>
          <w:spacing w:val="-1"/>
        </w:rPr>
        <w:t>万元人</w:t>
      </w:r>
      <w:r>
        <w:rPr>
          <w:spacing w:val="-30"/>
        </w:rPr>
        <w:t> </w:t>
      </w:r>
      <w:r>
        <w:rPr/>
        <w:t>民币，本公司持股比例占</w:t>
      </w:r>
      <w:r>
        <w:rPr>
          <w:rFonts w:ascii="Times New Roman" w:hAnsi="Times New Roman" w:cs="Times New Roman" w:eastAsia="Times New Roman" w:hint="default"/>
        </w:rPr>
        <w:t>57.14%</w:t>
      </w:r>
      <w:r>
        <w:rPr/>
        <w:t>。公司从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月起将其纳入合并报表范围。</w:t>
      </w:r>
      <w:r>
        <w:rPr>
          <w:w w:val="100"/>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月公司投资</w:t>
      </w:r>
      <w:r>
        <w:rPr>
          <w:rFonts w:ascii="Times New Roman" w:hAnsi="Times New Roman" w:cs="Times New Roman" w:eastAsia="Times New Roman" w:hint="default"/>
        </w:rPr>
        <w:t>275</w:t>
      </w:r>
      <w:r>
        <w:rPr/>
        <w:t>万元设立上海万达全程健康服务有限公司，该公司注册资本</w:t>
      </w:r>
      <w:r>
        <w:rPr>
          <w:rFonts w:ascii="Times New Roman" w:hAnsi="Times New Roman" w:cs="Times New Roman" w:eastAsia="Times New Roman" w:hint="default"/>
        </w:rPr>
        <w:t>500</w:t>
      </w:r>
      <w:r>
        <w:rPr/>
        <w:t>万元人民币，持股</w:t>
      </w:r>
      <w:r>
        <w:rPr>
          <w:spacing w:val="-26"/>
        </w:rPr>
        <w:t> </w:t>
      </w:r>
      <w:r>
        <w:rPr>
          <w:spacing w:val="-26"/>
        </w:rPr>
      </w:r>
      <w:r>
        <w:rPr/>
        <w:t>比例占</w:t>
      </w:r>
      <w:r>
        <w:rPr>
          <w:rFonts w:ascii="Times New Roman" w:hAnsi="Times New Roman" w:cs="Times New Roman" w:eastAsia="Times New Roman" w:hint="default"/>
        </w:rPr>
        <w:t>55%</w:t>
      </w:r>
      <w:r>
        <w:rPr/>
        <w:t>。公司从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月起将其纳入合并报表范围。</w:t>
      </w:r>
      <w:r>
        <w:rPr>
          <w:w w:val="100"/>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月公司投资</w:t>
      </w:r>
      <w:r>
        <w:rPr>
          <w:rFonts w:ascii="Times New Roman" w:hAnsi="Times New Roman" w:cs="Times New Roman" w:eastAsia="Times New Roman" w:hint="default"/>
        </w:rPr>
        <w:t>3800</w:t>
      </w:r>
      <w:r>
        <w:rPr/>
        <w:t>万元用以增资收购西藏新时代华波美信息技术有限公司，增资收购后该公司注册</w:t>
      </w:r>
      <w:r>
        <w:rPr>
          <w:spacing w:val="-30"/>
        </w:rPr>
        <w:t> </w:t>
      </w:r>
      <w:r>
        <w:rPr>
          <w:spacing w:val="-30"/>
        </w:rPr>
      </w:r>
      <w:r>
        <w:rPr>
          <w:spacing w:val="6"/>
        </w:rPr>
        <w:t>资本变更为</w:t>
      </w:r>
      <w:r>
        <w:rPr>
          <w:rFonts w:ascii="Times New Roman" w:hAnsi="Times New Roman" w:cs="Times New Roman" w:eastAsia="Times New Roman" w:hint="default"/>
          <w:spacing w:val="6"/>
        </w:rPr>
        <w:t>4100</w:t>
      </w:r>
      <w:r>
        <w:rPr>
          <w:spacing w:val="6"/>
        </w:rPr>
        <w:t>万元人民币、公司名称变更为西藏万达华波美信息技术有限公司。本公司持股比例占</w:t>
      </w:r>
      <w:r>
        <w:rPr>
          <w:spacing w:val="-8"/>
        </w:rPr>
        <w:t> </w:t>
      </w:r>
      <w:r>
        <w:rPr>
          <w:spacing w:val="-8"/>
        </w:rPr>
      </w:r>
      <w:r>
        <w:rPr>
          <w:rFonts w:ascii="Times New Roman" w:hAnsi="Times New Roman" w:cs="Times New Roman" w:eastAsia="Times New Roman" w:hint="default"/>
        </w:rPr>
        <w:t>51.22%</w:t>
      </w:r>
      <w:r>
        <w:rPr/>
        <w:t>。公司从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月起将其纳入合并报表范围。</w:t>
      </w:r>
    </w:p>
    <w:p>
      <w:pPr>
        <w:pStyle w:val="BodyText"/>
        <w:spacing w:line="256" w:lineRule="auto" w:before="5"/>
        <w:ind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月公司投资</w:t>
      </w:r>
      <w:r>
        <w:rPr>
          <w:rFonts w:ascii="Times New Roman" w:hAnsi="Times New Roman" w:cs="Times New Roman" w:eastAsia="Times New Roman" w:hint="default"/>
        </w:rPr>
        <w:t>5000</w:t>
      </w:r>
      <w:r>
        <w:rPr/>
        <w:t>万元设立天津万达信息技术有限责任公司，该公司注册资本</w:t>
      </w:r>
      <w:r>
        <w:rPr>
          <w:rFonts w:ascii="Times New Roman" w:hAnsi="Times New Roman" w:cs="Times New Roman" w:eastAsia="Times New Roman" w:hint="default"/>
        </w:rPr>
        <w:t>5000</w:t>
      </w:r>
      <w:r>
        <w:rPr/>
        <w:t>万元人民币，持</w:t>
      </w:r>
      <w:r>
        <w:rPr>
          <w:spacing w:val="-23"/>
        </w:rPr>
        <w:t> </w:t>
      </w:r>
      <w:r>
        <w:rPr>
          <w:spacing w:val="-23"/>
        </w:rPr>
      </w:r>
      <w:r>
        <w:rPr/>
        <w:t>股比例占</w:t>
      </w:r>
      <w:r>
        <w:rPr>
          <w:rFonts w:ascii="Times New Roman" w:hAnsi="Times New Roman" w:cs="Times New Roman" w:eastAsia="Times New Roman" w:hint="default"/>
        </w:rPr>
        <w:t>100%</w:t>
      </w:r>
      <w:r>
        <w:rPr/>
        <w:t>。公司从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月起将其纳入合并报表范围。</w:t>
      </w:r>
    </w:p>
    <w:p>
      <w:pPr>
        <w:spacing w:after="0" w:line="25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56" w:lineRule="auto" w:before="36"/>
        <w:ind w:right="10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月公司投资</w:t>
      </w:r>
      <w:r>
        <w:rPr>
          <w:rFonts w:ascii="Times New Roman" w:hAnsi="Times New Roman" w:cs="Times New Roman" w:eastAsia="Times New Roman" w:hint="default"/>
          <w:spacing w:val="-2"/>
        </w:rPr>
        <w:t>2000</w:t>
      </w:r>
      <w:r>
        <w:rPr>
          <w:spacing w:val="-2"/>
        </w:rPr>
        <w:t>万元设立北京万达全城信息系统有限公司，该公司注册资本</w:t>
      </w:r>
      <w:r>
        <w:rPr>
          <w:rFonts w:ascii="Times New Roman" w:hAnsi="Times New Roman" w:cs="Times New Roman" w:eastAsia="Times New Roman" w:hint="default"/>
          <w:spacing w:val="-2"/>
        </w:rPr>
        <w:t>2000</w:t>
      </w:r>
      <w:r>
        <w:rPr>
          <w:spacing w:val="-2"/>
        </w:rPr>
        <w:t>万元人民币，持</w:t>
      </w:r>
      <w:r>
        <w:rPr>
          <w:spacing w:val="-30"/>
        </w:rPr>
        <w:t> </w:t>
      </w:r>
      <w:r>
        <w:rPr>
          <w:spacing w:val="-30"/>
        </w:rPr>
      </w:r>
      <w:r>
        <w:rPr/>
        <w:t>股比例占</w:t>
      </w:r>
      <w:r>
        <w:rPr>
          <w:rFonts w:ascii="Times New Roman" w:hAnsi="Times New Roman" w:cs="Times New Roman" w:eastAsia="Times New Roman" w:hint="default"/>
        </w:rPr>
        <w:t>100%</w:t>
      </w:r>
      <w:r>
        <w:rPr/>
        <w:t>。公司从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月起将其纳入合并报表范围。</w:t>
      </w:r>
      <w:r>
        <w:rPr>
          <w:w w:val="100"/>
        </w:rPr>
        <w:t> </w:t>
      </w:r>
      <w:r>
        <w:rPr>
          <w:rFonts w:ascii="Times New Roman" w:hAnsi="Times New Roman" w:cs="Times New Roman" w:eastAsia="Times New Roman" w:hint="default"/>
          <w:spacing w:val="-5"/>
          <w:w w:val="100"/>
        </w:rPr>
        <w:t>2012</w:t>
      </w:r>
      <w:r>
        <w:rPr>
          <w:spacing w:val="-5"/>
          <w:w w:val="100"/>
        </w:rPr>
        <w:t>年</w:t>
      </w:r>
      <w:r>
        <w:rPr>
          <w:rFonts w:ascii="Times New Roman" w:hAnsi="Times New Roman" w:cs="Times New Roman" w:eastAsia="Times New Roman" w:hint="default"/>
          <w:spacing w:val="-5"/>
          <w:w w:val="100"/>
        </w:rPr>
        <w:t>10</w:t>
      </w:r>
      <w:r>
        <w:rPr>
          <w:spacing w:val="-5"/>
          <w:w w:val="100"/>
        </w:rPr>
        <w:t>月公司投资</w:t>
      </w:r>
      <w:r>
        <w:rPr>
          <w:rFonts w:ascii="Times New Roman" w:hAnsi="Times New Roman" w:cs="Times New Roman" w:eastAsia="Times New Roman" w:hint="default"/>
          <w:spacing w:val="-5"/>
          <w:w w:val="100"/>
        </w:rPr>
        <w:t>50</w:t>
      </w:r>
      <w:r>
        <w:rPr>
          <w:spacing w:val="-5"/>
          <w:w w:val="100"/>
        </w:rPr>
        <w:t>万元设立上海格言管理有限公司，该公司注册资本</w:t>
      </w:r>
      <w:r>
        <w:rPr>
          <w:rFonts w:ascii="Times New Roman" w:hAnsi="Times New Roman" w:cs="Times New Roman" w:eastAsia="Times New Roman" w:hint="default"/>
          <w:spacing w:val="-5"/>
          <w:w w:val="100"/>
        </w:rPr>
        <w:t>50</w:t>
      </w:r>
      <w:r>
        <w:rPr>
          <w:spacing w:val="-5"/>
          <w:w w:val="100"/>
        </w:rPr>
        <w:t>万元人民币，持股比例占</w:t>
      </w:r>
      <w:r>
        <w:rPr>
          <w:rFonts w:ascii="Times New Roman" w:hAnsi="Times New Roman" w:cs="Times New Roman" w:eastAsia="Times New Roman" w:hint="default"/>
          <w:spacing w:val="-5"/>
          <w:w w:val="100"/>
        </w:rPr>
        <w:t>100%</w:t>
      </w:r>
      <w:r>
        <w:rPr>
          <w:spacing w:val="-5"/>
          <w:w w:val="100"/>
        </w:rPr>
        <w:t>。</w:t>
      </w:r>
      <w:r>
        <w:rPr>
          <w:spacing w:val="-100"/>
          <w:w w:val="100"/>
        </w:rPr>
        <w:t> </w:t>
      </w:r>
      <w:r>
        <w:rPr/>
        <w:t>公司从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月起将其纳入合并报表范围。</w:t>
      </w:r>
    </w:p>
    <w:p>
      <w:pPr>
        <w:pStyle w:val="Heading4"/>
        <w:spacing w:line="240" w:lineRule="auto" w:before="5"/>
        <w:ind w:right="100"/>
        <w:jc w:val="left"/>
        <w:rPr>
          <w:b w:val="0"/>
          <w:bCs w:val="0"/>
        </w:rPr>
      </w:pPr>
      <w:r>
        <w:rPr>
          <w:rFonts w:ascii="Times New Roman" w:hAnsi="Times New Roman" w:cs="Times New Roman" w:eastAsia="Times New Roman" w:hint="default"/>
        </w:rPr>
        <w:t>2</w:t>
      </w:r>
      <w:r>
        <w:rPr/>
        <w:t>、</w:t>
      </w:r>
      <w:r>
        <w:rPr>
          <w:spacing w:val="-1"/>
        </w:rPr>
        <w:t> </w:t>
      </w:r>
      <w:r>
        <w:rPr/>
        <w:t>报告期内无减少合并单位</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32"/>
          <w:szCs w:val="32"/>
        </w:rPr>
      </w:pPr>
    </w:p>
    <w:p>
      <w:pPr>
        <w:spacing w:line="338" w:lineRule="auto" w:before="0"/>
        <w:ind w:left="152" w:right="5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与上年相比本年（期）新增合并单位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家，原因为</w:t>
      </w:r>
    </w:p>
    <w:p>
      <w:pPr>
        <w:pStyle w:val="BodyText"/>
        <w:spacing w:line="256" w:lineRule="auto" w:before="1"/>
        <w:ind w:right="10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2</w:t>
      </w:r>
      <w:r>
        <w:rPr>
          <w:spacing w:val="-1"/>
        </w:rPr>
        <w:t>月公司投资</w:t>
      </w:r>
      <w:r>
        <w:rPr>
          <w:rFonts w:ascii="Times New Roman" w:hAnsi="Times New Roman" w:cs="Times New Roman" w:eastAsia="Times New Roman" w:hint="default"/>
          <w:spacing w:val="-1"/>
        </w:rPr>
        <w:t>2000</w:t>
      </w:r>
      <w:r>
        <w:rPr>
          <w:spacing w:val="-1"/>
        </w:rPr>
        <w:t>万元设立上海卫生信息工程技术研究中心有限公司，该公司注册资本</w:t>
      </w:r>
      <w:r>
        <w:rPr>
          <w:rFonts w:ascii="Times New Roman" w:hAnsi="Times New Roman" w:cs="Times New Roman" w:eastAsia="Times New Roman" w:hint="default"/>
          <w:spacing w:val="-1"/>
        </w:rPr>
        <w:t>3,500</w:t>
      </w:r>
      <w:r>
        <w:rPr>
          <w:spacing w:val="-1"/>
        </w:rPr>
        <w:t>万元人</w:t>
      </w:r>
      <w:r>
        <w:rPr>
          <w:spacing w:val="-30"/>
        </w:rPr>
        <w:t> </w:t>
      </w:r>
      <w:r>
        <w:rPr/>
        <w:t>民币，本公司持股比例占</w:t>
      </w:r>
      <w:r>
        <w:rPr>
          <w:rFonts w:ascii="Times New Roman" w:hAnsi="Times New Roman" w:cs="Times New Roman" w:eastAsia="Times New Roman" w:hint="default"/>
        </w:rPr>
        <w:t>57.14%</w:t>
      </w:r>
      <w:r>
        <w:rPr/>
        <w:t>。公司从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月起将其纳入合并报表范围。</w:t>
      </w:r>
      <w:r>
        <w:rPr>
          <w:w w:val="100"/>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月公司投资</w:t>
      </w:r>
      <w:r>
        <w:rPr>
          <w:rFonts w:ascii="Times New Roman" w:hAnsi="Times New Roman" w:cs="Times New Roman" w:eastAsia="Times New Roman" w:hint="default"/>
        </w:rPr>
        <w:t>275</w:t>
      </w:r>
      <w:r>
        <w:rPr/>
        <w:t>万元设立上海万达全程健康服务有限公司，该公司注册资本</w:t>
      </w:r>
      <w:r>
        <w:rPr>
          <w:rFonts w:ascii="Times New Roman" w:hAnsi="Times New Roman" w:cs="Times New Roman" w:eastAsia="Times New Roman" w:hint="default"/>
        </w:rPr>
        <w:t>500</w:t>
      </w:r>
      <w:r>
        <w:rPr/>
        <w:t>万元人民币，持股</w:t>
      </w:r>
      <w:r>
        <w:rPr>
          <w:spacing w:val="-26"/>
        </w:rPr>
        <w:t> </w:t>
      </w:r>
      <w:r>
        <w:rPr>
          <w:spacing w:val="-26"/>
        </w:rPr>
      </w:r>
      <w:r>
        <w:rPr/>
        <w:t>比例占</w:t>
      </w:r>
      <w:r>
        <w:rPr>
          <w:rFonts w:ascii="Times New Roman" w:hAnsi="Times New Roman" w:cs="Times New Roman" w:eastAsia="Times New Roman" w:hint="default"/>
        </w:rPr>
        <w:t>55%</w:t>
      </w:r>
      <w:r>
        <w:rPr/>
        <w:t>。公司从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月起将其纳入合并报表范围。</w:t>
      </w:r>
      <w:r>
        <w:rPr>
          <w:w w:val="100"/>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月公司投资</w:t>
      </w:r>
      <w:r>
        <w:rPr>
          <w:rFonts w:ascii="Times New Roman" w:hAnsi="Times New Roman" w:cs="Times New Roman" w:eastAsia="Times New Roman" w:hint="default"/>
        </w:rPr>
        <w:t>3800</w:t>
      </w:r>
      <w:r>
        <w:rPr/>
        <w:t>万元用以增资收购西藏新时代华波美信息技术有限公司，增资收购后该公司注册</w:t>
      </w:r>
      <w:r>
        <w:rPr>
          <w:spacing w:val="-30"/>
        </w:rPr>
        <w:t> </w:t>
      </w:r>
      <w:r>
        <w:rPr>
          <w:spacing w:val="-30"/>
        </w:rPr>
      </w:r>
      <w:r>
        <w:rPr>
          <w:spacing w:val="5"/>
        </w:rPr>
        <w:t>资本变更为</w:t>
      </w:r>
      <w:r>
        <w:rPr>
          <w:rFonts w:ascii="Times New Roman" w:hAnsi="Times New Roman" w:cs="Times New Roman" w:eastAsia="Times New Roman" w:hint="default"/>
          <w:spacing w:val="5"/>
        </w:rPr>
        <w:t>4100</w:t>
      </w:r>
      <w:r>
        <w:rPr>
          <w:spacing w:val="5"/>
        </w:rPr>
        <w:t>万元人民币、公司名称变更为西藏万达华波美信息技术有限公司。本公司持股比例占</w:t>
      </w:r>
      <w:r>
        <w:rPr>
          <w:spacing w:val="28"/>
        </w:rPr>
        <w:t> </w:t>
      </w:r>
      <w:r>
        <w:rPr>
          <w:spacing w:val="28"/>
        </w:rPr>
      </w:r>
      <w:r>
        <w:rPr>
          <w:rFonts w:ascii="Times New Roman" w:hAnsi="Times New Roman" w:cs="Times New Roman" w:eastAsia="Times New Roman" w:hint="default"/>
        </w:rPr>
        <w:t>51.22%</w:t>
      </w:r>
      <w:r>
        <w:rPr/>
        <w:t>。公司从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月起将其纳入合并报表范围。</w:t>
      </w:r>
    </w:p>
    <w:p>
      <w:pPr>
        <w:pStyle w:val="BodyText"/>
        <w:spacing w:line="256" w:lineRule="auto" w:before="5"/>
        <w:ind w:right="10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月公司投资</w:t>
      </w:r>
      <w:r>
        <w:rPr>
          <w:rFonts w:ascii="Times New Roman" w:hAnsi="Times New Roman" w:cs="Times New Roman" w:eastAsia="Times New Roman" w:hint="default"/>
        </w:rPr>
        <w:t>5000</w:t>
      </w:r>
      <w:r>
        <w:rPr/>
        <w:t>万元设立天津万达信息技术有限责任公司，该公司注册资本</w:t>
      </w:r>
      <w:r>
        <w:rPr>
          <w:rFonts w:ascii="Times New Roman" w:hAnsi="Times New Roman" w:cs="Times New Roman" w:eastAsia="Times New Roman" w:hint="default"/>
        </w:rPr>
        <w:t>5000</w:t>
      </w:r>
      <w:r>
        <w:rPr/>
        <w:t>万元人民币，持</w:t>
      </w:r>
      <w:r>
        <w:rPr>
          <w:spacing w:val="-23"/>
        </w:rPr>
        <w:t> </w:t>
      </w:r>
      <w:r>
        <w:rPr>
          <w:spacing w:val="-23"/>
        </w:rPr>
      </w:r>
      <w:r>
        <w:rPr/>
        <w:t>股比例占</w:t>
      </w:r>
      <w:r>
        <w:rPr>
          <w:rFonts w:ascii="Times New Roman" w:hAnsi="Times New Roman" w:cs="Times New Roman" w:eastAsia="Times New Roman" w:hint="default"/>
        </w:rPr>
        <w:t>100%</w:t>
      </w:r>
      <w:r>
        <w:rPr/>
        <w:t>。公司从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月起将其纳入合并报表范围。</w:t>
      </w:r>
      <w:r>
        <w:rPr>
          <w:w w:val="100"/>
        </w:rPr>
        <w:t>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月公司投资</w:t>
      </w:r>
      <w:r>
        <w:rPr>
          <w:rFonts w:ascii="Times New Roman" w:hAnsi="Times New Roman" w:cs="Times New Roman" w:eastAsia="Times New Roman" w:hint="default"/>
          <w:spacing w:val="-2"/>
        </w:rPr>
        <w:t>2000</w:t>
      </w:r>
      <w:r>
        <w:rPr>
          <w:spacing w:val="-2"/>
        </w:rPr>
        <w:t>万元设立北京万达全城信息系统有限公司，该公司注册资本</w:t>
      </w:r>
      <w:r>
        <w:rPr>
          <w:rFonts w:ascii="Times New Roman" w:hAnsi="Times New Roman" w:cs="Times New Roman" w:eastAsia="Times New Roman" w:hint="default"/>
          <w:spacing w:val="-2"/>
        </w:rPr>
        <w:t>2000</w:t>
      </w:r>
      <w:r>
        <w:rPr>
          <w:spacing w:val="-2"/>
        </w:rPr>
        <w:t>万元人民币，持</w:t>
      </w:r>
      <w:r>
        <w:rPr>
          <w:spacing w:val="-30"/>
        </w:rPr>
        <w:t> </w:t>
      </w:r>
      <w:r>
        <w:rPr>
          <w:spacing w:val="-30"/>
        </w:rPr>
      </w:r>
      <w:r>
        <w:rPr/>
        <w:t>股比例占</w:t>
      </w:r>
      <w:r>
        <w:rPr>
          <w:rFonts w:ascii="Times New Roman" w:hAnsi="Times New Roman" w:cs="Times New Roman" w:eastAsia="Times New Roman" w:hint="default"/>
        </w:rPr>
        <w:t>100%</w:t>
      </w:r>
      <w:r>
        <w:rPr/>
        <w:t>。公司从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月起将其纳入合并报表范围。</w:t>
      </w:r>
      <w:r>
        <w:rPr>
          <w:w w:val="100"/>
        </w:rPr>
        <w:t> </w:t>
      </w:r>
      <w:r>
        <w:rPr>
          <w:rFonts w:ascii="Times New Roman" w:hAnsi="Times New Roman" w:cs="Times New Roman" w:eastAsia="Times New Roman" w:hint="default"/>
          <w:spacing w:val="-5"/>
          <w:w w:val="100"/>
        </w:rPr>
        <w:t>2012</w:t>
      </w:r>
      <w:r>
        <w:rPr>
          <w:spacing w:val="-5"/>
          <w:w w:val="100"/>
        </w:rPr>
        <w:t>年</w:t>
      </w:r>
      <w:r>
        <w:rPr>
          <w:rFonts w:ascii="Times New Roman" w:hAnsi="Times New Roman" w:cs="Times New Roman" w:eastAsia="Times New Roman" w:hint="default"/>
          <w:spacing w:val="-5"/>
          <w:w w:val="100"/>
        </w:rPr>
        <w:t>10</w:t>
      </w:r>
      <w:r>
        <w:rPr>
          <w:spacing w:val="-5"/>
          <w:w w:val="100"/>
        </w:rPr>
        <w:t>月公司投资</w:t>
      </w:r>
      <w:r>
        <w:rPr>
          <w:rFonts w:ascii="Times New Roman" w:hAnsi="Times New Roman" w:cs="Times New Roman" w:eastAsia="Times New Roman" w:hint="default"/>
          <w:spacing w:val="-5"/>
          <w:w w:val="100"/>
        </w:rPr>
        <w:t>50</w:t>
      </w:r>
      <w:r>
        <w:rPr>
          <w:spacing w:val="-5"/>
          <w:w w:val="100"/>
        </w:rPr>
        <w:t>万元设立上海格言管理有限公司，该公司注册资本</w:t>
      </w:r>
      <w:r>
        <w:rPr>
          <w:rFonts w:ascii="Times New Roman" w:hAnsi="Times New Roman" w:cs="Times New Roman" w:eastAsia="Times New Roman" w:hint="default"/>
          <w:spacing w:val="-5"/>
          <w:w w:val="100"/>
        </w:rPr>
        <w:t>50</w:t>
      </w:r>
      <w:r>
        <w:rPr>
          <w:spacing w:val="-5"/>
          <w:w w:val="100"/>
        </w:rPr>
        <w:t>万元人民币，持股比例占</w:t>
      </w:r>
      <w:r>
        <w:rPr>
          <w:rFonts w:ascii="Times New Roman" w:hAnsi="Times New Roman" w:cs="Times New Roman" w:eastAsia="Times New Roman" w:hint="default"/>
          <w:spacing w:val="-5"/>
          <w:w w:val="100"/>
        </w:rPr>
        <w:t>100%</w:t>
      </w:r>
      <w:r>
        <w:rPr>
          <w:spacing w:val="-5"/>
          <w:w w:val="100"/>
        </w:rPr>
        <w:t>。</w:t>
      </w:r>
      <w:r>
        <w:rPr>
          <w:spacing w:val="-100"/>
          <w:w w:val="100"/>
        </w:rPr>
        <w:t> </w:t>
      </w:r>
      <w:r>
        <w:rPr/>
        <w:t>公司从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月起将其纳入合并报表范围。</w:t>
      </w:r>
    </w:p>
    <w:p>
      <w:pPr>
        <w:spacing w:before="66"/>
        <w:ind w:left="152" w:right="100" w:firstLine="0"/>
        <w:jc w:val="left"/>
        <w:rPr>
          <w:rFonts w:ascii="宋体" w:hAnsi="宋体" w:cs="宋体" w:eastAsia="宋体" w:hint="default"/>
          <w:sz w:val="18"/>
          <w:szCs w:val="18"/>
        </w:rPr>
      </w:pPr>
      <w:r>
        <w:rPr>
          <w:rFonts w:ascii="宋体" w:hAnsi="宋体" w:cs="宋体" w:eastAsia="宋体" w:hint="default"/>
          <w:sz w:val="18"/>
          <w:szCs w:val="18"/>
        </w:rPr>
        <w:t>与上年相比本年（期）减少合并单位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家，原因为</w:t>
      </w:r>
    </w:p>
    <w:p>
      <w:pPr>
        <w:spacing w:line="240" w:lineRule="auto" w:before="13"/>
        <w:rPr>
          <w:rFonts w:ascii="宋体" w:hAnsi="宋体" w:cs="宋体" w:eastAsia="宋体" w:hint="default"/>
          <w:sz w:val="25"/>
          <w:szCs w:val="25"/>
        </w:rPr>
      </w:pPr>
    </w:p>
    <w:p>
      <w:pPr>
        <w:pStyle w:val="Heading4"/>
        <w:spacing w:line="240" w:lineRule="auto"/>
        <w:ind w:right="100"/>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spacing w:before="44"/>
        <w:ind w:left="152" w:right="100"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7"/>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上海卫生信息工程技术研究中心有限公司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35,020,795.71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20,795.71</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上海万达全程健康服务有限公司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9,523,166.20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-6,783,833.80</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西藏万达华波美信息技术有限公司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51,070,954.50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-4,329,074.18</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天津万达信息技术有限责任公司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49,791,429.43</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-208,570.57</w:t>
            </w:r>
          </w:p>
        </w:tc>
      </w:tr>
      <w:tr>
        <w:trPr>
          <w:trHeight w:val="404"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北京万达全城信息系统有限公司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20,001,771.21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1,771.21</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上海格言管理有限公司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500,226.05</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226.05</w:t>
            </w:r>
          </w:p>
        </w:tc>
      </w:tr>
    </w:tbl>
    <w:p>
      <w:pPr>
        <w:spacing w:line="357" w:lineRule="auto" w:before="49"/>
        <w:ind w:left="152" w:right="1914"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 无</w:t>
      </w:r>
    </w:p>
    <w:p>
      <w:pPr>
        <w:spacing w:line="360" w:lineRule="auto" w:before="29"/>
        <w:ind w:left="152" w:right="4974" w:firstLine="0"/>
        <w:jc w:val="left"/>
        <w:rPr>
          <w:rFonts w:ascii="宋体" w:hAnsi="宋体" w:cs="宋体" w:eastAsia="宋体" w:hint="default"/>
          <w:sz w:val="18"/>
          <w:szCs w:val="18"/>
        </w:rPr>
      </w:pPr>
      <w:r>
        <w:rPr>
          <w:rFonts w:ascii="宋体" w:hAnsi="宋体" w:cs="宋体" w:eastAsia="宋体" w:hint="default"/>
          <w:sz w:val="18"/>
          <w:szCs w:val="18"/>
        </w:rPr>
        <w:t>新纳入合并范围的主体和不再纳入合并范围的主体的其他说明 无</w:t>
      </w:r>
    </w:p>
    <w:p>
      <w:pPr>
        <w:spacing w:after="0" w:line="360" w:lineRule="auto"/>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10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7314" w:firstLine="0"/>
        <w:jc w:val="left"/>
        <w:rPr>
          <w:rFonts w:ascii="宋体" w:hAnsi="宋体" w:cs="宋体" w:eastAsia="宋体" w:hint="default"/>
          <w:sz w:val="18"/>
          <w:szCs w:val="18"/>
        </w:rPr>
      </w:pPr>
      <w:r>
        <w:rPr>
          <w:rFonts w:ascii="宋体" w:hAnsi="宋体" w:cs="宋体" w:eastAsia="宋体" w:hint="default"/>
          <w:sz w:val="18"/>
          <w:szCs w:val="18"/>
        </w:rPr>
        <w:t>同一控制下企业合并的其他说明 无</w:t>
      </w:r>
    </w:p>
    <w:p>
      <w:pPr>
        <w:spacing w:line="240" w:lineRule="auto" w:before="6"/>
        <w:rPr>
          <w:rFonts w:ascii="宋体" w:hAnsi="宋体" w:cs="宋体" w:eastAsia="宋体" w:hint="default"/>
          <w:sz w:val="20"/>
          <w:szCs w:val="20"/>
        </w:rPr>
      </w:pPr>
    </w:p>
    <w:p>
      <w:pPr>
        <w:pStyle w:val="Heading4"/>
        <w:spacing w:line="240" w:lineRule="auto"/>
        <w:ind w:right="10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77"/>
        <w:gridCol w:w="3032"/>
        <w:gridCol w:w="3862"/>
      </w:tblGrid>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1652"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21"/>
              <w:jc w:val="left"/>
              <w:rPr>
                <w:rFonts w:ascii="宋体" w:hAnsi="宋体" w:cs="宋体" w:eastAsia="宋体" w:hint="default"/>
                <w:sz w:val="18"/>
                <w:szCs w:val="18"/>
              </w:rPr>
            </w:pPr>
            <w:r>
              <w:rPr>
                <w:rFonts w:ascii="宋体" w:hAnsi="宋体" w:cs="宋体" w:eastAsia="宋体" w:hint="default"/>
                <w:sz w:val="18"/>
                <w:szCs w:val="18"/>
              </w:rPr>
              <w:t>西藏新时代华波美信息技术有限 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9,681,830.25</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本公司的合并成本为人民币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3800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万元，在合并中</w:t>
            </w:r>
            <w:r>
              <w:rPr>
                <w:rFonts w:ascii="宋体" w:hAnsi="宋体" w:cs="宋体" w:eastAsia="宋体" w:hint="default"/>
                <w:sz w:val="18"/>
                <w:szCs w:val="18"/>
              </w:rPr>
              <w:t> 取得西藏新时代华波美信息技术有限公司 </w:t>
            </w:r>
            <w:r>
              <w:rPr>
                <w:rFonts w:ascii="Times New Roman" w:hAnsi="Times New Roman" w:cs="Times New Roman" w:eastAsia="Times New Roman" w:hint="default"/>
                <w:sz w:val="18"/>
                <w:szCs w:val="18"/>
              </w:rPr>
              <w:t>51.22%</w:t>
            </w:r>
            <w:r>
              <w:rPr>
                <w:rFonts w:ascii="宋体" w:hAnsi="宋体" w:cs="宋体" w:eastAsia="宋体" w:hint="default"/>
                <w:sz w:val="18"/>
                <w:szCs w:val="18"/>
              </w:rPr>
              <w:t>权益可辨认净资产在购买日的公允价值为 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28,318,169.75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元，两者的差额人民币</w:t>
            </w:r>
          </w:p>
          <w:p>
            <w:pPr>
              <w:pStyle w:val="TableParagraph"/>
              <w:spacing w:line="240" w:lineRule="auto" w:before="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9,681,830.25 </w:t>
            </w:r>
            <w:r>
              <w:rPr>
                <w:rFonts w:ascii="宋体" w:hAnsi="宋体" w:cs="宋体" w:eastAsia="宋体" w:hint="default"/>
                <w:sz w:val="18"/>
                <w:szCs w:val="18"/>
              </w:rPr>
              <w:t>元确认为商誉</w:t>
            </w:r>
          </w:p>
        </w:tc>
      </w:tr>
    </w:tbl>
    <w:p>
      <w:pPr>
        <w:spacing w:line="357" w:lineRule="auto" w:before="49"/>
        <w:ind w:left="152" w:right="7134"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 无</w:t>
      </w:r>
    </w:p>
    <w:p>
      <w:pPr>
        <w:spacing w:line="240" w:lineRule="auto" w:before="6"/>
        <w:rPr>
          <w:rFonts w:ascii="宋体" w:hAnsi="宋体" w:cs="宋体" w:eastAsia="宋体" w:hint="default"/>
          <w:sz w:val="20"/>
          <w:szCs w:val="20"/>
        </w:rPr>
      </w:pPr>
    </w:p>
    <w:p>
      <w:pPr>
        <w:pStyle w:val="Heading4"/>
        <w:spacing w:line="240" w:lineRule="auto"/>
        <w:ind w:right="10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5874" w:firstLine="0"/>
        <w:jc w:val="left"/>
        <w:rPr>
          <w:rFonts w:ascii="宋体" w:hAnsi="宋体" w:cs="宋体" w:eastAsia="宋体" w:hint="default"/>
          <w:sz w:val="18"/>
          <w:szCs w:val="18"/>
        </w:rPr>
      </w:pPr>
      <w:r>
        <w:rPr>
          <w:rFonts w:ascii="宋体" w:hAnsi="宋体" w:cs="宋体" w:eastAsia="宋体" w:hint="default"/>
          <w:sz w:val="18"/>
          <w:szCs w:val="18"/>
        </w:rPr>
        <w:t>出售丧失控制权的股权而减少的子公司的其他说明 无</w:t>
      </w:r>
    </w:p>
    <w:p>
      <w:pPr>
        <w:spacing w:line="240" w:lineRule="auto" w:before="4"/>
        <w:rPr>
          <w:rFonts w:ascii="宋体" w:hAnsi="宋体" w:cs="宋体" w:eastAsia="宋体" w:hint="default"/>
          <w:sz w:val="20"/>
          <w:szCs w:val="20"/>
        </w:rPr>
      </w:pPr>
    </w:p>
    <w:p>
      <w:pPr>
        <w:pStyle w:val="Heading4"/>
        <w:spacing w:line="240" w:lineRule="auto"/>
        <w:ind w:right="10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8214" w:firstLine="0"/>
        <w:jc w:val="left"/>
        <w:rPr>
          <w:rFonts w:ascii="宋体" w:hAnsi="宋体" w:cs="宋体" w:eastAsia="宋体" w:hint="default"/>
          <w:sz w:val="18"/>
          <w:szCs w:val="18"/>
        </w:rPr>
      </w:pPr>
      <w:r>
        <w:rPr>
          <w:rFonts w:ascii="宋体" w:hAnsi="宋体" w:cs="宋体" w:eastAsia="宋体" w:hint="default"/>
          <w:sz w:val="18"/>
          <w:szCs w:val="18"/>
        </w:rPr>
        <w:t>反向购买的其他说明 无</w:t>
      </w:r>
    </w:p>
    <w:p>
      <w:pPr>
        <w:spacing w:line="240" w:lineRule="auto" w:before="6"/>
        <w:rPr>
          <w:rFonts w:ascii="宋体" w:hAnsi="宋体" w:cs="宋体" w:eastAsia="宋体" w:hint="default"/>
          <w:sz w:val="20"/>
          <w:szCs w:val="20"/>
        </w:rPr>
      </w:pPr>
    </w:p>
    <w:p>
      <w:pPr>
        <w:pStyle w:val="Heading4"/>
        <w:spacing w:line="240" w:lineRule="auto"/>
        <w:ind w:right="10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8214" w:firstLine="0"/>
        <w:jc w:val="left"/>
        <w:rPr>
          <w:rFonts w:ascii="宋体" w:hAnsi="宋体" w:cs="宋体" w:eastAsia="宋体" w:hint="default"/>
          <w:sz w:val="18"/>
          <w:szCs w:val="18"/>
        </w:rPr>
      </w:pPr>
      <w:r>
        <w:rPr>
          <w:rFonts w:ascii="宋体" w:hAnsi="宋体" w:cs="宋体" w:eastAsia="宋体" w:hint="default"/>
          <w:sz w:val="18"/>
          <w:szCs w:val="18"/>
        </w:rPr>
        <w:t>吸收合并的其他说明 无</w:t>
      </w:r>
    </w:p>
    <w:p>
      <w:pPr>
        <w:spacing w:line="240" w:lineRule="auto" w:before="4"/>
        <w:rPr>
          <w:rFonts w:ascii="宋体" w:hAnsi="宋体" w:cs="宋体" w:eastAsia="宋体" w:hint="default"/>
          <w:sz w:val="20"/>
          <w:szCs w:val="20"/>
        </w:rPr>
      </w:pPr>
    </w:p>
    <w:p>
      <w:pPr>
        <w:pStyle w:val="Heading4"/>
        <w:spacing w:line="240" w:lineRule="auto"/>
        <w:ind w:right="100"/>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8"/>
        <w:rPr>
          <w:rFonts w:ascii="宋体" w:hAnsi="宋体" w:cs="宋体" w:eastAsia="宋体" w:hint="default"/>
          <w:b/>
          <w:bCs/>
          <w:sz w:val="24"/>
          <w:szCs w:val="24"/>
        </w:rPr>
      </w:pPr>
    </w:p>
    <w:p>
      <w:pPr>
        <w:pStyle w:val="BodyText"/>
        <w:spacing w:line="268" w:lineRule="auto"/>
        <w:ind w:right="100"/>
        <w:jc w:val="left"/>
      </w:pPr>
      <w:r>
        <w:rPr>
          <w:spacing w:val="-2"/>
          <w:w w:val="100"/>
        </w:rPr>
        <w:t>资产负债表中的资产和负债项目，采用资产负债表日的即期汇率折算；所有者权益项目除</w:t>
      </w:r>
      <w:r>
        <w:rPr>
          <w:rFonts w:ascii="Times New Roman" w:hAnsi="Times New Roman" w:cs="Times New Roman" w:eastAsia="Times New Roman" w:hint="default"/>
          <w:spacing w:val="-2"/>
          <w:w w:val="100"/>
        </w:rPr>
        <w:t>―</w:t>
      </w:r>
      <w:r>
        <w:rPr>
          <w:spacing w:val="-2"/>
          <w:w w:val="100"/>
        </w:rPr>
        <w:t>未分配利润</w:t>
      </w:r>
      <w:r>
        <w:rPr>
          <w:rFonts w:ascii="Times New Roman" w:hAnsi="Times New Roman" w:cs="Times New Roman" w:eastAsia="Times New Roman" w:hint="default"/>
          <w:spacing w:val="-2"/>
          <w:w w:val="100"/>
        </w:rPr>
        <w:t>‖</w:t>
      </w:r>
      <w:r>
        <w:rPr>
          <w:spacing w:val="-2"/>
          <w:w w:val="100"/>
        </w:rPr>
        <w:t>项</w:t>
      </w:r>
      <w:r>
        <w:rPr>
          <w:w w:val="100"/>
        </w:rPr>
        <w:t> </w:t>
      </w:r>
      <w:r>
        <w:rPr>
          <w:spacing w:val="-2"/>
        </w:rPr>
        <w:t>目外，其他项目采用发生时的即期汇率折算。利润表中的收入和费用项目，采用交易发生当期的平均汇率</w:t>
      </w:r>
      <w:r>
        <w:rPr>
          <w:spacing w:val="-43"/>
        </w:rPr>
        <w:t> </w:t>
      </w:r>
      <w:r>
        <w:rPr>
          <w:spacing w:val="-43"/>
        </w:rPr>
      </w:r>
      <w:r>
        <w:rPr/>
        <w:t>折算。按照上述折算产生的外币财务报表折算差额，在资产负债表所有者权益项目下单独列示。</w:t>
      </w:r>
      <w:r>
        <w:rPr>
          <w:w w:val="100"/>
        </w:rPr>
        <w:t> </w:t>
      </w:r>
      <w:r>
        <w:rPr>
          <w:spacing w:val="-5"/>
        </w:rPr>
        <w:t>处置境外经营时，将资产负债表中所有者权益项目下列示的、与该境外经营相关的外币财务报表折算差额， </w:t>
      </w:r>
      <w:r>
        <w:rPr>
          <w:spacing w:val="-5"/>
        </w:rPr>
      </w:r>
      <w:r>
        <w:rPr>
          <w:spacing w:val="-2"/>
        </w:rPr>
        <w:t>自所有者权益项目转入处置当期损益；部分处置境外经营的，按处置的比例计算处置部分的外币财务报表</w:t>
      </w:r>
      <w:r>
        <w:rPr>
          <w:spacing w:val="-43"/>
        </w:rPr>
        <w:t> </w:t>
      </w:r>
      <w:r>
        <w:rPr>
          <w:spacing w:val="-43"/>
        </w:rPr>
      </w:r>
      <w:r>
        <w:rPr/>
        <w:t>折算差额，转入处置当期损益。</w:t>
      </w:r>
    </w:p>
    <w:p>
      <w:pPr>
        <w:spacing w:after="0" w:line="268" w:lineRule="auto"/>
        <w:jc w:val="left"/>
        <w:sectPr>
          <w:pgSz w:w="11910" w:h="16840"/>
          <w:pgMar w:header="745" w:footer="980"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28"/>
        <w:gridCol w:w="918"/>
        <w:gridCol w:w="1485"/>
        <w:gridCol w:w="1318"/>
        <w:gridCol w:w="917"/>
        <w:gridCol w:w="1606"/>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410,193.03</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55,533.34</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410,193.03</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55,533.34</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779,554,544.54</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865,766,335.08</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763,662,356.74</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852,090,150.47</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2,528,388.80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628.55%</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15,892,187.80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2,170,512.88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2" w:right="0"/>
              <w:jc w:val="left"/>
              <w:rPr>
                <w:rFonts w:ascii="Times New Roman" w:hAnsi="Times New Roman" w:cs="Times New Roman" w:eastAsia="Times New Roman" w:hint="default"/>
                <w:sz w:val="18"/>
                <w:szCs w:val="18"/>
              </w:rPr>
            </w:pPr>
            <w:r>
              <w:rPr>
                <w:rFonts w:ascii="Times New Roman"/>
                <w:sz w:val="18"/>
              </w:rPr>
              <w:t>630.09%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13,676,184.61</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779,964,737.57</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865,821,868.42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pStyle w:val="BodyText"/>
        <w:spacing w:line="256" w:lineRule="auto" w:before="94"/>
        <w:ind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日，不存在抵押、冻结等限制变现或有潜在回收风险的款项。</w:t>
      </w:r>
      <w:r>
        <w:rPr>
          <w:w w:val="100"/>
        </w:rPr>
        <w:t> </w:t>
      </w: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日，本公司存放于境外的货币资金为</w:t>
      </w:r>
      <w:r>
        <w:rPr>
          <w:rFonts w:ascii="Times New Roman" w:hAnsi="Times New Roman" w:cs="Times New Roman" w:eastAsia="Times New Roman" w:hint="default"/>
          <w:spacing w:val="-2"/>
        </w:rPr>
        <w:t>2,405,153.00</w:t>
      </w:r>
      <w:r>
        <w:rPr>
          <w:spacing w:val="-2"/>
        </w:rPr>
        <w:t>美元，均为美国子公司银行存款。</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7"/>
      </w:tblGrid>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158,815.73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114,014.78</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158,815.73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114,014.78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59" w:lineRule="auto" w:before="118"/>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65"/>
        </w:rPr>
        <w:t> </w:t>
      </w:r>
      <w:r>
        <w:rPr>
          <w:spacing w:val="-65"/>
        </w:rPr>
      </w:r>
      <w:r>
        <w:rPr/>
        <w:t>情况</w:t>
      </w:r>
      <w:r>
        <w:rPr>
          <w:b w:val="0"/>
          <w:bCs w:val="0"/>
        </w:rPr>
      </w:r>
    </w:p>
    <w:p>
      <w:pPr>
        <w:spacing w:line="240" w:lineRule="auto" w:before="3"/>
        <w:rPr>
          <w:rFonts w:ascii="宋体" w:hAnsi="宋体" w:cs="宋体" w:eastAsia="宋体" w:hint="default"/>
          <w:b/>
          <w:bCs/>
          <w:sz w:val="26"/>
          <w:szCs w:val="26"/>
        </w:rPr>
      </w:pPr>
    </w:p>
    <w:p>
      <w:pPr>
        <w:spacing w:line="357" w:lineRule="auto" w:before="0"/>
        <w:ind w:left="152" w:right="5994" w:firstLine="0"/>
        <w:jc w:val="left"/>
        <w:rPr>
          <w:rFonts w:ascii="宋体" w:hAnsi="宋体" w:cs="宋体" w:eastAsia="宋体" w:hint="default"/>
          <w:sz w:val="18"/>
          <w:szCs w:val="18"/>
        </w:rPr>
      </w:pPr>
      <w:r>
        <w:rPr>
          <w:rFonts w:ascii="宋体" w:hAnsi="宋体" w:cs="宋体" w:eastAsia="宋体" w:hint="default"/>
          <w:sz w:val="18"/>
          <w:szCs w:val="18"/>
        </w:rPr>
        <w:t>因出票人无力履约而将票据转为应收账款的票据 无</w:t>
      </w:r>
    </w:p>
    <w:p>
      <w:pPr>
        <w:spacing w:line="360" w:lineRule="auto" w:before="29"/>
        <w:ind w:left="152" w:right="9414"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line="357" w:lineRule="auto" w:before="27"/>
        <w:ind w:left="152" w:right="6534" w:firstLine="0"/>
        <w:jc w:val="left"/>
        <w:rPr>
          <w:rFonts w:ascii="宋体" w:hAnsi="宋体" w:cs="宋体" w:eastAsia="宋体" w:hint="default"/>
          <w:sz w:val="18"/>
          <w:szCs w:val="18"/>
        </w:rPr>
      </w:pPr>
      <w:r>
        <w:rPr>
          <w:rFonts w:ascii="宋体" w:hAnsi="宋体" w:cs="宋体" w:eastAsia="宋体" w:hint="default"/>
          <w:sz w:val="18"/>
          <w:szCs w:val="18"/>
        </w:rPr>
        <w:t>公司已经背书给其他方但尚未到期的票据 无</w:t>
      </w:r>
    </w:p>
    <w:p>
      <w:pPr>
        <w:spacing w:line="357" w:lineRule="auto" w:before="29"/>
        <w:ind w:left="152" w:right="9414"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line="360" w:lineRule="auto" w:before="29"/>
        <w:ind w:left="152" w:right="6894" w:firstLine="0"/>
        <w:jc w:val="left"/>
        <w:rPr>
          <w:rFonts w:ascii="宋体" w:hAnsi="宋体" w:cs="宋体" w:eastAsia="宋体" w:hint="default"/>
          <w:sz w:val="18"/>
          <w:szCs w:val="18"/>
        </w:rPr>
      </w:pPr>
      <w:r>
        <w:rPr>
          <w:rFonts w:ascii="宋体" w:hAnsi="宋体" w:cs="宋体" w:eastAsia="宋体" w:hint="default"/>
          <w:sz w:val="18"/>
          <w:szCs w:val="18"/>
        </w:rPr>
        <w:t>已贴现或质押的商业承兑票据的说明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2"/>
        <w:rPr>
          <w:rFonts w:ascii="宋体" w:hAnsi="宋体" w:cs="宋体" w:eastAsia="宋体" w:hint="default"/>
          <w:b/>
          <w:bCs/>
          <w:sz w:val="26"/>
          <w:szCs w:val="26"/>
        </w:rPr>
      </w:pPr>
    </w:p>
    <w:p>
      <w:pPr>
        <w:spacing w:line="357" w:lineRule="auto" w:before="0"/>
        <w:ind w:left="152" w:right="9414" w:firstLine="0"/>
        <w:jc w:val="left"/>
        <w:rPr>
          <w:rFonts w:ascii="宋体" w:hAnsi="宋体" w:cs="宋体" w:eastAsia="宋体" w:hint="default"/>
          <w:sz w:val="18"/>
          <w:szCs w:val="18"/>
        </w:rPr>
      </w:pPr>
      <w:r>
        <w:rPr>
          <w:rFonts w:ascii="宋体" w:hAnsi="宋体" w:cs="宋体" w:eastAsia="宋体" w:hint="default"/>
          <w:sz w:val="18"/>
          <w:szCs w:val="18"/>
        </w:rPr>
        <w:t>无 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应收定期存款利息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10,527,269.34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12,506,226.71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13,067,336.07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9,966,159.98</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10,527,269.34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12,506,226.71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13,067,336.07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9,966,159.98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line="506" w:lineRule="auto" w:before="120"/>
        <w:ind w:left="152" w:right="16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）应收利息的说明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期末应收利息中无持本公司</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％以上（含</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％）表决权股份的股东单位欠款</w:t>
      </w:r>
    </w:p>
    <w:p>
      <w:pPr>
        <w:spacing w:after="0" w:line="506"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261,076,48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5,705,261.2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200,594,9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22.94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4,904,198.59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261,076,48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5,705,261.2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200,594,9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22.94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4,904,198.59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261,076,48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6.49</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5,705,261.2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200,594,9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22.94</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4,904,198.59</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360" w:lineRule="auto" w:before="49"/>
        <w:ind w:left="152" w:right="23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无</w:t>
      </w:r>
    </w:p>
    <w:p>
      <w:pPr>
        <w:spacing w:before="27"/>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2" w:right="23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7"/>
        <w:gridCol w:w="1594"/>
        <w:gridCol w:w="929"/>
        <w:gridCol w:w="1728"/>
        <w:gridCol w:w="1459"/>
        <w:gridCol w:w="932"/>
        <w:gridCol w:w="1459"/>
      </w:tblGrid>
      <w:tr>
        <w:trPr>
          <w:trHeight w:val="401"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467"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164,129,750.90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62.87%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136,367,649.68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67.99%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45,948,390.33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1,378,451.71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25,441,553.33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12.68%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763,246.60</w:t>
            </w:r>
          </w:p>
        </w:tc>
      </w:tr>
      <w:tr>
        <w:trPr>
          <w:trHeight w:val="404"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210,078,141.23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80.47%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1,378,451.71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161,809,203.01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80.67%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763,246.60</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37,804,315.83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1,890,215.79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34,339,257.50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17.12%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1,716,962.88</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10,884,567.00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1,088,456.70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1,330,940.19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133,094.02</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2,309,462.43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1,348,137.08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3,115,522.24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2,290,895.09</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1,130,940.19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226,188.04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880,146.40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176,029.28</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113,146.40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56,573.20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241,020.06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120,510.03</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1,065,375.84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1,065,375.84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1,994,355.78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1,994,355.78</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261,076,486.49</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5,705,261.28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200,594,922.94</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4,904,198.59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43"/>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4"/>
        <w:gridCol w:w="1712"/>
        <w:gridCol w:w="1863"/>
        <w:gridCol w:w="1907"/>
        <w:gridCol w:w="1895"/>
      </w:tblGrid>
      <w:tr>
        <w:trPr>
          <w:trHeight w:val="161" w:hRule="exact"/>
        </w:trPr>
        <w:tc>
          <w:tcPr>
            <w:tcW w:w="2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3" w:right="41"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07" w:type="dxa"/>
            <w:vMerge/>
            <w:tcBorders>
              <w:left w:val="single" w:sz="4" w:space="0" w:color="000000"/>
              <w:right w:val="single" w:sz="4" w:space="0" w:color="000000"/>
            </w:tcBorders>
            <w:shd w:val="clear" w:color="auto" w:fill="D2D2D2"/>
          </w:tcPr>
          <w:p>
            <w:pPr/>
          </w:p>
        </w:tc>
        <w:tc>
          <w:tcPr>
            <w:tcW w:w="18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161" w:hRule="exact"/>
        </w:trPr>
        <w:tc>
          <w:tcPr>
            <w:tcW w:w="2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7" w:type="dxa"/>
            <w:vMerge/>
            <w:tcBorders>
              <w:left w:val="single" w:sz="4" w:space="0" w:color="000000"/>
              <w:bottom w:val="single" w:sz="4" w:space="0" w:color="000000"/>
              <w:right w:val="single" w:sz="4" w:space="0" w:color="000000"/>
            </w:tcBorders>
            <w:shd w:val="clear" w:color="auto" w:fill="D2D2D2"/>
          </w:tcPr>
          <w:p>
            <w:pPr/>
          </w:p>
        </w:tc>
        <w:tc>
          <w:tcPr>
            <w:tcW w:w="18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0.00</w:t>
            </w:r>
          </w:p>
        </w:tc>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0"/>
        <w:gridCol w:w="1927"/>
        <w:gridCol w:w="1928"/>
        <w:gridCol w:w="1902"/>
        <w:gridCol w:w="1914"/>
      </w:tblGrid>
      <w:tr>
        <w:trPr>
          <w:trHeight w:val="401"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2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3654"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606"/>
        <w:gridCol w:w="1571"/>
      </w:tblGrid>
      <w:tr>
        <w:trPr>
          <w:trHeight w:val="162"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691" w:right="59"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71" w:type="dxa"/>
            <w:vMerge/>
            <w:tcBorders>
              <w:left w:val="single" w:sz="4" w:space="0" w:color="000000"/>
              <w:right w:val="single" w:sz="4" w:space="0" w:color="000000"/>
            </w:tcBorders>
            <w:shd w:val="clear" w:color="auto" w:fill="D2D2D2"/>
          </w:tcPr>
          <w:p>
            <w:pPr/>
          </w:p>
        </w:tc>
      </w:tr>
      <w:tr>
        <w:trPr>
          <w:trHeight w:val="15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
              <w:jc w:val="center"/>
              <w:rPr>
                <w:rFonts w:ascii="Times New Roman" w:hAnsi="Times New Roman" w:cs="Times New Roman" w:eastAsia="Times New Roman" w:hint="default"/>
                <w:sz w:val="18"/>
                <w:szCs w:val="18"/>
              </w:rPr>
            </w:pPr>
            <w:r>
              <w:rPr>
                <w:rFonts w:ascii="Times New Roman"/>
                <w:sz w:val="18"/>
              </w:rPr>
              <w:t>--</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240" w:lineRule="auto" w:before="94"/>
        <w:ind w:right="0"/>
        <w:jc w:val="left"/>
      </w:pPr>
      <w:r>
        <w:rPr/>
        <w:t>本报告期无实际核销的应收账款。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49"/>
        <w:gridCol w:w="1727"/>
        <w:gridCol w:w="1594"/>
        <w:gridCol w:w="1861"/>
        <w:gridCol w:w="1715"/>
      </w:tblGrid>
      <w:tr>
        <w:trPr>
          <w:trHeight w:val="206" w:hRule="exact"/>
        </w:trPr>
        <w:tc>
          <w:tcPr>
            <w:tcW w:w="264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6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1" w:type="dxa"/>
            <w:gridSpan w:val="2"/>
            <w:vMerge/>
            <w:tcBorders>
              <w:left w:val="single" w:sz="4" w:space="0" w:color="000000"/>
              <w:bottom w:val="single" w:sz="4" w:space="0" w:color="000000"/>
              <w:right w:val="single" w:sz="4" w:space="0" w:color="000000"/>
            </w:tcBorders>
            <w:shd w:val="clear" w:color="auto" w:fill="D2D2D2"/>
          </w:tcPr>
          <w:p>
            <w:pPr/>
          </w:p>
        </w:tc>
        <w:tc>
          <w:tcPr>
            <w:tcW w:w="3575"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49" w:type="dxa"/>
            <w:vMerge/>
            <w:tcBorders>
              <w:left w:val="single" w:sz="4" w:space="0" w:color="000000"/>
              <w:bottom w:val="nil" w:sz="6" w:space="0" w:color="auto"/>
              <w:right w:val="single" w:sz="4" w:space="0" w:color="000000"/>
            </w:tcBorders>
            <w:shd w:val="clear" w:color="auto" w:fill="D2D2D2"/>
          </w:tcPr>
          <w:p>
            <w:pPr/>
          </w:p>
        </w:tc>
        <w:tc>
          <w:tcPr>
            <w:tcW w:w="1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206" w:hRule="exact"/>
        </w:trPr>
        <w:tc>
          <w:tcPr>
            <w:tcW w:w="26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1" w:type="dxa"/>
            <w:vMerge/>
            <w:tcBorders>
              <w:left w:val="single" w:sz="4" w:space="0" w:color="000000"/>
              <w:bottom w:val="single" w:sz="4" w:space="0" w:color="000000"/>
              <w:right w:val="single" w:sz="4" w:space="0" w:color="000000"/>
            </w:tcBorders>
            <w:shd w:val="clear" w:color="auto" w:fill="D2D2D2"/>
          </w:tcPr>
          <w:p>
            <w:pPr/>
          </w:p>
        </w:tc>
        <w:tc>
          <w:tcPr>
            <w:tcW w:w="17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24"/>
          <w:pgSz w:w="11910" w:h="16840"/>
          <w:pgMar w:footer="980" w:header="745" w:top="1060" w:bottom="1160" w:left="980" w:right="98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安徽拓升电子科技有限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22,617,606.00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上海市卫生局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17,423,600.00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江西省人力资源和社会 保障厅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8,872,600.00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山东省环境保护信息中 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8,329,000.00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武汉市卫生局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6,828,000.00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2.62%</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64,070,806.00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24.54%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上海长安信息技术咨询开发 中心</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参股股东</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7"/>
        <w:gridCol w:w="3004"/>
        <w:gridCol w:w="3589"/>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3"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057"/>
        <w:gridCol w:w="792"/>
        <w:gridCol w:w="1058"/>
        <w:gridCol w:w="795"/>
        <w:gridCol w:w="1058"/>
        <w:gridCol w:w="926"/>
        <w:gridCol w:w="1191"/>
        <w:gridCol w:w="779"/>
      </w:tblGrid>
      <w:tr>
        <w:trPr>
          <w:trHeight w:val="403" w:hRule="exact"/>
        </w:trPr>
        <w:tc>
          <w:tcPr>
            <w:tcW w:w="19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02"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902"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71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35,868,139.8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93.13%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2,863,229.64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27,926,648.3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87.52%</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1,903,312.97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2,645,600.05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3,982,750.13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12.48%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38,513,739.8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2,863,229.64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31,909,398.4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1,903,312.97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5.96%</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38,513,739.8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2,863,229.64</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31,909,398.4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1,903,312.97</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p>
    <w:p>
      <w:pPr>
        <w:pStyle w:val="BodyText"/>
        <w:spacing w:line="256" w:lineRule="auto" w:before="94"/>
        <w:ind w:right="0"/>
        <w:jc w:val="left"/>
      </w:pPr>
      <w:r>
        <w:rPr/>
        <w:t>组合</w:t>
      </w:r>
      <w:r>
        <w:rPr>
          <w:rFonts w:ascii="Times New Roman" w:hAnsi="Times New Roman" w:cs="Times New Roman" w:eastAsia="Times New Roman" w:hint="default"/>
        </w:rPr>
        <w:t>1</w:t>
      </w:r>
      <w:r>
        <w:rPr/>
        <w:t>中，采用账龄分析法计提坏账准备的其他应收款</w:t>
      </w:r>
      <w:r>
        <w:rPr>
          <w:w w:val="100"/>
        </w:rPr>
        <w:t> </w:t>
      </w:r>
      <w:r>
        <w:rPr>
          <w:spacing w:val="-2"/>
        </w:rPr>
        <w:t>组合</w:t>
      </w:r>
      <w:r>
        <w:rPr>
          <w:rFonts w:ascii="Times New Roman" w:hAnsi="Times New Roman" w:cs="Times New Roman" w:eastAsia="Times New Roman" w:hint="default"/>
          <w:spacing w:val="-2"/>
        </w:rPr>
        <w:t>2</w:t>
      </w:r>
      <w:r>
        <w:rPr>
          <w:spacing w:val="-2"/>
        </w:rPr>
        <w:t>中，不计提坏账准备的其他应收款为银行保函押金。</w:t>
      </w:r>
    </w:p>
    <w:p>
      <w:pPr>
        <w:spacing w:before="66"/>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8"/>
        <w:ind w:left="152" w:right="12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514" w:space="3315"/>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8"/>
        <w:gridCol w:w="1841"/>
        <w:gridCol w:w="658"/>
        <w:gridCol w:w="1448"/>
        <w:gridCol w:w="1450"/>
        <w:gridCol w:w="658"/>
        <w:gridCol w:w="1668"/>
      </w:tblGrid>
      <w:tr>
        <w:trPr>
          <w:trHeight w:val="402" w:hRule="exact"/>
        </w:trPr>
        <w:tc>
          <w:tcPr>
            <w:tcW w:w="1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8"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8"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2"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17,213,356.37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47.99%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13,464,969.84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 </w:t>
            </w:r>
            <w:r>
              <w:rPr>
                <w:rFonts w:ascii="宋体" w:hAnsi="宋体" w:cs="宋体" w:eastAsia="宋体" w:hint="default"/>
                <w:sz w:val="18"/>
                <w:szCs w:val="18"/>
              </w:rPr>
              <w:t>个月</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5,466,033.00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15.24%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163,980.99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6,345,213.67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22.72%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190,356.41</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22,679,389.37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63.23%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163,980.99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19,810,183.51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190,356.41</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6,685,660.59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18.64%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334,283.03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2,404,200.15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8.61%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120,210.01</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2,032,425.15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203,242.52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2,280,702.00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8.17%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228,070.20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4,470,664.70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12.46%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2,161,723.10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3,431,562.70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12.29%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1,364,676.35</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1,681,902.00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336,380.40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1,926,840.00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385,368.00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1,926,840.00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963,420.00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1,050,828.70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3.76%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525,414.35</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861,922.70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861,922.70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453,894.00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453,894.00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35,868,139.81</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2,863,229.64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27,926,648.36</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1,903,312.97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1"/>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2"/>
        <w:gridCol w:w="1712"/>
        <w:gridCol w:w="1865"/>
        <w:gridCol w:w="1907"/>
        <w:gridCol w:w="1883"/>
      </w:tblGrid>
      <w:tr>
        <w:trPr>
          <w:trHeight w:val="161" w:hRule="exact"/>
        </w:trPr>
        <w:tc>
          <w:tcPr>
            <w:tcW w:w="2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3" w:right="41"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1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07" w:type="dxa"/>
            <w:vMerge/>
            <w:tcBorders>
              <w:left w:val="single" w:sz="4" w:space="0" w:color="000000"/>
              <w:right w:val="single" w:sz="4" w:space="0" w:color="000000"/>
            </w:tcBorders>
            <w:shd w:val="clear" w:color="auto" w:fill="D2D2D2"/>
          </w:tcPr>
          <w:p>
            <w:pPr/>
          </w:p>
        </w:tc>
        <w:tc>
          <w:tcPr>
            <w:tcW w:w="18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161" w:hRule="exact"/>
        </w:trPr>
        <w:tc>
          <w:tcPr>
            <w:tcW w:w="2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7" w:type="dxa"/>
            <w:vMerge/>
            <w:tcBorders>
              <w:left w:val="single" w:sz="4" w:space="0" w:color="000000"/>
              <w:bottom w:val="single" w:sz="4" w:space="0" w:color="000000"/>
              <w:right w:val="single" w:sz="4" w:space="0" w:color="000000"/>
            </w:tcBorders>
            <w:shd w:val="clear" w:color="auto" w:fill="D2D2D2"/>
          </w:tcPr>
          <w:p>
            <w:pPr/>
          </w:p>
        </w:tc>
        <w:tc>
          <w:tcPr>
            <w:tcW w:w="18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0.00</w:t>
            </w:r>
          </w:p>
        </w:tc>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8"/>
        <w:gridCol w:w="1965"/>
        <w:gridCol w:w="1968"/>
        <w:gridCol w:w="1943"/>
        <w:gridCol w:w="1841"/>
      </w:tblGrid>
      <w:tr>
        <w:trPr>
          <w:trHeight w:val="403" w:hRule="exact"/>
        </w:trPr>
        <w:tc>
          <w:tcPr>
            <w:tcW w:w="1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6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3474"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96"/>
        <w:gridCol w:w="1585"/>
        <w:gridCol w:w="1580"/>
        <w:gridCol w:w="1487"/>
        <w:gridCol w:w="1508"/>
        <w:gridCol w:w="1789"/>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center"/>
              <w:rPr>
                <w:rFonts w:ascii="宋体" w:hAnsi="宋体" w:cs="宋体" w:eastAsia="宋体" w:hint="default"/>
                <w:sz w:val="18"/>
                <w:szCs w:val="18"/>
              </w:rPr>
            </w:pPr>
            <w:r>
              <w:rPr>
                <w:rFonts w:ascii="宋体" w:hAnsi="宋体" w:cs="宋体" w:eastAsia="宋体" w:hint="default"/>
                <w:sz w:val="18"/>
                <w:szCs w:val="18"/>
              </w:rPr>
              <w:t>合计</w:t>
            </w:r>
          </w:p>
        </w:tc>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center"/>
              <w:rPr>
                <w:rFonts w:ascii="Times New Roman" w:hAnsi="Times New Roman" w:cs="Times New Roman" w:eastAsia="Times New Roman" w:hint="default"/>
                <w:sz w:val="18"/>
                <w:szCs w:val="18"/>
              </w:rPr>
            </w:pPr>
            <w:r>
              <w:rPr>
                <w:rFonts w:ascii="Times New Roman"/>
                <w:sz w:val="18"/>
              </w:rPr>
              <w:t>--</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7"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pStyle w:val="BodyText"/>
        <w:spacing w:line="240" w:lineRule="auto" w:before="96"/>
        <w:ind w:right="0"/>
        <w:jc w:val="left"/>
      </w:pPr>
      <w:r>
        <w:rPr/>
        <w:t>本报告期无实际核销的其他应收款。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1"/>
        <w:gridCol w:w="1727"/>
        <w:gridCol w:w="1595"/>
        <w:gridCol w:w="1859"/>
        <w:gridCol w:w="1594"/>
      </w:tblGrid>
      <w:tr>
        <w:trPr>
          <w:trHeight w:val="206" w:hRule="exact"/>
        </w:trPr>
        <w:tc>
          <w:tcPr>
            <w:tcW w:w="2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27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vMerge/>
            <w:tcBorders>
              <w:left w:val="single" w:sz="4" w:space="0" w:color="000000"/>
              <w:bottom w:val="single" w:sz="4" w:space="0" w:color="000000"/>
              <w:right w:val="single" w:sz="4" w:space="0" w:color="000000"/>
            </w:tcBorders>
            <w:shd w:val="clear" w:color="auto" w:fill="D2D2D2"/>
          </w:tcPr>
          <w:p>
            <w:pPr/>
          </w:p>
        </w:tc>
        <w:tc>
          <w:tcPr>
            <w:tcW w:w="34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81" w:type="dxa"/>
            <w:vMerge/>
            <w:tcBorders>
              <w:left w:val="single" w:sz="4" w:space="0" w:color="000000"/>
              <w:bottom w:val="nil" w:sz="6" w:space="0" w:color="auto"/>
              <w:right w:val="single" w:sz="4" w:space="0" w:color="000000"/>
            </w:tcBorders>
            <w:shd w:val="clear" w:color="auto" w:fill="D2D2D2"/>
          </w:tcPr>
          <w:p>
            <w:pPr/>
          </w:p>
        </w:tc>
        <w:tc>
          <w:tcPr>
            <w:tcW w:w="1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206" w:hRule="exact"/>
        </w:trPr>
        <w:tc>
          <w:tcPr>
            <w:tcW w:w="27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7"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859"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15"/>
        <w:gridCol w:w="1893"/>
        <w:gridCol w:w="2882"/>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8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spacing w:line="357" w:lineRule="auto" w:before="49"/>
        <w:ind w:left="152" w:right="9414"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上海市人民检察院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4,245,331.15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国家工商行政管理总局 经济信息中心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2,072,800.00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成都市经济信息中心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4.87%</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中国银行上海市闸北支 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1,752,733.65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个月</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上海机场城市航站楼管 理有限责任公司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976,307.79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10,913,172.59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28.35%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19"/>
        <w:gridCol w:w="2443"/>
        <w:gridCol w:w="2429"/>
      </w:tblGrid>
      <w:tr>
        <w:trPr>
          <w:trHeight w:val="402"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2"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24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7"/>
        <w:gridCol w:w="3004"/>
        <w:gridCol w:w="3589"/>
      </w:tblGrid>
      <w:tr>
        <w:trPr>
          <w:trHeight w:val="40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5"/>
              <w:jc w:val="right"/>
              <w:rPr>
                <w:rFonts w:ascii="宋体" w:hAnsi="宋体" w:cs="宋体" w:eastAsia="宋体" w:hint="default"/>
                <w:sz w:val="18"/>
                <w:szCs w:val="18"/>
              </w:rPr>
            </w:pPr>
            <w:r>
              <w:rPr>
                <w:rFonts w:ascii="宋体" w:hAnsi="宋体" w:cs="宋体" w:eastAsia="宋体" w:hint="default"/>
                <w:sz w:val="18"/>
                <w:szCs w:val="18"/>
              </w:rPr>
              <w:t>项目</w:t>
            </w:r>
          </w:p>
        </w:tc>
        <w:tc>
          <w:tcPr>
            <w:tcW w:w="3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3"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5"/>
              <w:jc w:val="right"/>
              <w:rPr>
                <w:rFonts w:ascii="宋体" w:hAnsi="宋体" w:cs="宋体" w:eastAsia="宋体" w:hint="default"/>
                <w:sz w:val="18"/>
                <w:szCs w:val="18"/>
              </w:rPr>
            </w:pPr>
            <w:r>
              <w:rPr>
                <w:rFonts w:ascii="宋体" w:hAnsi="宋体" w:cs="宋体" w:eastAsia="宋体" w:hint="default"/>
                <w:sz w:val="18"/>
                <w:szCs w:val="18"/>
              </w:rPr>
              <w:t>合计</w:t>
            </w:r>
          </w:p>
        </w:tc>
        <w:tc>
          <w:tcPr>
            <w:tcW w:w="3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1224" w:lineRule="exact"/>
        <w:ind w:left="148"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79.05pt;height:61.2pt;mso-position-horizontal-relative:char;mso-position-vertical-relative:line" coordorigin="0,0" coordsize="9581,12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713;top:14;width:2;height:392" coordorigin="3713,14" coordsize="2,392">
              <v:shape style="position:absolute;left:3713;top:14;width:2;height:392" coordorigin="3713,14" coordsize="0,392" path="m3713,14l3713,406e" filled="false" stroked="true" strokeweight="1.08pt" strokecolor="#d2d2d2">
                <v:path arrowok="t"/>
              </v:shape>
            </v:group>
            <v:group style="position:absolute;left:34;top:14;width:3669;height:392" coordorigin="34,14" coordsize="3669,392">
              <v:shape style="position:absolute;left:34;top:14;width:3669;height:392" coordorigin="34,14" coordsize="3669,392" path="m34,406l3702,406,3702,14,34,14,34,406xe" filled="true" fillcolor="#d2d2d2" stroked="false">
                <v:path arrowok="t"/>
                <v:fill type="solid"/>
              </v:shape>
            </v:group>
            <v:group style="position:absolute;left:3745;top:14;width:2;height:392" coordorigin="3745,14" coordsize="2,392">
              <v:shape style="position:absolute;left:3745;top:14;width:2;height:392" coordorigin="3745,14" coordsize="0,392" path="m3745,14l3745,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757;top:14;width:5790;height:392" coordorigin="3757,14" coordsize="5790,392">
              <v:shape style="position:absolute;left:3757;top:14;width:5790;height:392" coordorigin="3757,14" coordsize="5790,392" path="m3757,406l9547,406,9547,14,3757,14,3757,406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8pt" strokecolor="#000000">
                <v:path arrowok="t"/>
              </v:shape>
            </v:group>
            <v:group style="position:absolute;left:3728;top:5;width:2;height:411" coordorigin="3728,5" coordsize="2,411">
              <v:shape style="position:absolute;left:3728;top:5;width:2;height:411" coordorigin="3728,5" coordsize="0,411" path="m3728,5l3728,415e" filled="false" stroked="true" strokeweight=".48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9559;top:415;width:2;height:394" coordorigin="9559,415" coordsize="2,394">
              <v:shape style="position:absolute;left:9559;top:415;width:2;height:394" coordorigin="9559,415" coordsize="0,394" path="m9559,415l9559,809e" filled="false" stroked="true" strokeweight="1.2pt" strokecolor="#d2d2d2">
                <v:path arrowok="t"/>
              </v:shape>
            </v:group>
            <v:group style="position:absolute;left:34;top:415;width:9514;height:394" coordorigin="34,415" coordsize="9514,394">
              <v:shape style="position:absolute;left:34;top:415;width:9514;height:394" coordorigin="34,415" coordsize="9514,394" path="m34,809l9547,809,9547,415,34,415,34,809xe" filled="true" fillcolor="#d2d2d2" stroked="false">
                <v:path arrowok="t"/>
                <v:fill type="solid"/>
              </v:shape>
            </v:group>
            <v:group style="position:absolute;left:10;top:410;width:3714;height:2" coordorigin="10,410" coordsize="3714,2">
              <v:shape style="position:absolute;left:10;top:410;width:3714;height:2" coordorigin="10,410" coordsize="3714,0" path="m10,410l3723,410e" filled="false" stroked="true" strokeweight=".48pt" strokecolor="#000000">
                <v:path arrowok="t"/>
              </v:shape>
            </v:group>
            <v:group style="position:absolute;left:3733;top:410;width:5838;height:2" coordorigin="3733,410" coordsize="5838,2">
              <v:shape style="position:absolute;left:3733;top:410;width:5838;height:2" coordorigin="3733,410" coordsize="5838,0" path="m3733,410l9571,410e" filled="false" stroked="true" strokeweight=".48pt" strokecolor="#000000">
                <v:path arrowok="t"/>
              </v:shape>
            </v:group>
            <v:group style="position:absolute;left:23;top:818;width:2;height:392" coordorigin="23,818" coordsize="2,392">
              <v:shape style="position:absolute;left:23;top:818;width:2;height:392" coordorigin="23,818" coordsize="0,392" path="m23,818l23,1210e" filled="false" stroked="true" strokeweight="1.08pt" strokecolor="#d2d2d2">
                <v:path arrowok="t"/>
              </v:shape>
            </v:group>
            <v:group style="position:absolute;left:9559;top:818;width:2;height:392" coordorigin="9559,818" coordsize="2,392">
              <v:shape style="position:absolute;left:9559;top:818;width:2;height:392" coordorigin="9559,818" coordsize="0,392" path="m9559,818l9559,1210e" filled="false" stroked="true" strokeweight="1.2pt" strokecolor="#d2d2d2">
                <v:path arrowok="t"/>
              </v:shape>
            </v:group>
            <v:group style="position:absolute;left:34;top:818;width:9514;height:392" coordorigin="34,818" coordsize="9514,392">
              <v:shape style="position:absolute;left:34;top:818;width:9514;height:392" coordorigin="34,818" coordsize="9514,392" path="m34,1210l9547,1210,9547,818,34,818,34,1210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5" coordorigin="5,5" coordsize="2,1215">
              <v:shape style="position:absolute;left:5;top:5;width:2;height:1215" coordorigin="5,5" coordsize="0,1215" path="m5,5l5,1219e" filled="false" stroked="true" strokeweight=".48pt" strokecolor="#000000">
                <v:path arrowok="t"/>
              </v:shape>
            </v:group>
            <v:group style="position:absolute;left:10;top:1214;width:9562;height:2" coordorigin="10,1214" coordsize="9562,2">
              <v:shape style="position:absolute;left:10;top:1214;width:9562;height:2" coordorigin="10,1214" coordsize="9562,0" path="m10,1214l9571,1214e" filled="false" stroked="true" strokeweight=".48pt" strokecolor="#000000">
                <v:path arrowok="t"/>
              </v:shape>
            </v:group>
            <v:group style="position:absolute;left:9576;top:5;width:2;height:1215" coordorigin="9576,5" coordsize="2,1215">
              <v:shape style="position:absolute;left:9576;top:5;width:2;height:1215" coordorigin="9576,5" coordsize="0,1215" path="m9576,5l9576,1219e" filled="false" stroked="true" strokeweight=".48pt" strokecolor="#000000">
                <v:path arrowok="t"/>
              </v:shape>
              <v:shape style="position:absolute;left:168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3"/>
          <w:sz w:val="20"/>
          <w:szCs w:val="20"/>
        </w:rPr>
      </w:r>
    </w:p>
    <w:p>
      <w:pPr>
        <w:spacing w:line="240" w:lineRule="auto" w:before="12"/>
        <w:rPr>
          <w:rFonts w:ascii="宋体" w:hAnsi="宋体" w:cs="宋体" w:eastAsia="宋体" w:hint="default"/>
          <w:sz w:val="18"/>
          <w:szCs w:val="18"/>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4"/>
        <w:gridCol w:w="3187"/>
        <w:gridCol w:w="1064"/>
        <w:gridCol w:w="3053"/>
        <w:gridCol w:w="1063"/>
      </w:tblGrid>
      <w:tr>
        <w:trPr>
          <w:trHeight w:val="206" w:hRule="exact"/>
        </w:trPr>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204"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110" w:right="0"/>
              <w:jc w:val="left"/>
              <w:rPr>
                <w:rFonts w:ascii="Times New Roman" w:hAnsi="Times New Roman" w:cs="Times New Roman" w:eastAsia="Times New Roman" w:hint="default"/>
                <w:sz w:val="18"/>
                <w:szCs w:val="18"/>
              </w:rPr>
            </w:pPr>
            <w:r>
              <w:rPr>
                <w:rFonts w:ascii="Times New Roman"/>
                <w:sz w:val="18"/>
              </w:rPr>
              <w:t>10,289,258.88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85.46%</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960,914.06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88"/>
        <w:gridCol w:w="1064"/>
        <w:gridCol w:w="3053"/>
        <w:gridCol w:w="1063"/>
      </w:tblGrid>
      <w:tr>
        <w:trPr>
          <w:trHeight w:val="401"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14.54%</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12,039,258.88</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65" w:right="0"/>
              <w:jc w:val="left"/>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960,914.06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pStyle w:val="BodyText"/>
        <w:spacing w:line="240" w:lineRule="auto" w:before="94"/>
        <w:ind w:right="0"/>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日预付款项中无持本公司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％）表决权股份的股东单位欠款。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0"/>
          <w:szCs w:val="3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pict>
          <v:shape style="position:absolute;margin-left:119.523003pt;margin-top:45.20734pt;width:127.25pt;height:22.3pt;mso-position-horizontal-relative:page;mso-position-vertical-relative:paragraph;z-index:-107624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（集团）</w:t>
                  </w:r>
                </w:p>
              </w:txbxContent>
            </v:textbox>
            <w10:wrap type="none"/>
          </v:shape>
        </w:pict>
      </w:r>
      <w:r>
        <w:rPr/>
        <w:pict>
          <v:group style="position:absolute;margin-left:152.660004pt;margin-top:39.981712pt;width:95.2pt;height:28.1pt;mso-position-horizontal-relative:page;mso-position-vertical-relative:paragraph;z-index:-1076224" coordorigin="3053,800" coordsize="1904,562">
            <v:group style="position:absolute;left:3053;top:800;width:1904;height:156" coordorigin="3053,800" coordsize="1904,156">
              <v:shape style="position:absolute;left:3053;top:800;width:1904;height:156" coordorigin="3053,800" coordsize="1904,156" path="m3053,956l4957,956,4957,800,3053,800,3053,956xe" filled="true" fillcolor="#ffffff" stroked="false">
                <v:path arrowok="t"/>
                <v:fill type="solid"/>
              </v:shape>
            </v:group>
            <v:group style="position:absolute;left:3065;top:956;width:2;height:394" coordorigin="3065,956" coordsize="2,394">
              <v:shape style="position:absolute;left:3065;top:956;width:2;height:394" coordorigin="3065,956" coordsize="0,394" path="m3065,956l3065,1349e" filled="false" stroked="true" strokeweight="1.2pt" strokecolor="#ffffff">
                <v:path arrowok="t"/>
              </v:shape>
            </v:group>
            <v:group style="position:absolute;left:3077;top:956;width:1859;height:394" coordorigin="3077,956" coordsize="1859,394">
              <v:shape style="position:absolute;left:3077;top:956;width:1859;height:394" coordorigin="3077,956" coordsize="1859,394" path="m3077,1349l4935,1349,4935,956,3077,956,3077,1349xe" filled="true" fillcolor="#ffffff" stroked="false">
                <v:path arrowok="t"/>
                <v:fill type="solid"/>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21"/>
              <w:jc w:val="left"/>
              <w:rPr>
                <w:rFonts w:ascii="宋体" w:hAnsi="宋体" w:cs="宋体" w:eastAsia="宋体" w:hint="default"/>
                <w:sz w:val="18"/>
                <w:szCs w:val="18"/>
              </w:rPr>
            </w:pPr>
            <w:r>
              <w:rPr>
                <w:rFonts w:ascii="宋体" w:hAnsi="宋体" w:cs="宋体" w:eastAsia="宋体" w:hint="default"/>
                <w:sz w:val="18"/>
                <w:szCs w:val="18"/>
              </w:rPr>
              <w:t>中国仪器进出口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2012-12-28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未提供货物和结算</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北京星系科技发展有限 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2012-12-28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未提供货物和结算</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西藏拉萨经济技术开发 区管委会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2011-10-20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景彩国际旅行社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2012-07-25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西藏惠民投资发展有限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2011-09-22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9"/>
        <w:ind w:left="152" w:right="7794"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3"/>
        <w:gridCol w:w="1727"/>
        <w:gridCol w:w="1595"/>
        <w:gridCol w:w="1727"/>
        <w:gridCol w:w="1726"/>
      </w:tblGrid>
      <w:tr>
        <w:trPr>
          <w:trHeight w:val="206" w:hRule="exact"/>
        </w:trPr>
        <w:tc>
          <w:tcPr>
            <w:tcW w:w="279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27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vMerge/>
            <w:tcBorders>
              <w:left w:val="single" w:sz="4" w:space="0" w:color="000000"/>
              <w:bottom w:val="single" w:sz="4" w:space="0" w:color="000000"/>
              <w:right w:val="single" w:sz="4" w:space="0" w:color="000000"/>
            </w:tcBorders>
            <w:shd w:val="clear" w:color="auto" w:fill="D2D2D2"/>
          </w:tcPr>
          <w:p>
            <w:pPr/>
          </w:p>
        </w:tc>
        <w:tc>
          <w:tcPr>
            <w:tcW w:w="3453"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793" w:type="dxa"/>
            <w:vMerge/>
            <w:tcBorders>
              <w:left w:val="single" w:sz="4" w:space="0" w:color="000000"/>
              <w:bottom w:val="nil" w:sz="6" w:space="0" w:color="auto"/>
              <w:right w:val="single" w:sz="4" w:space="0" w:color="000000"/>
            </w:tcBorders>
            <w:shd w:val="clear" w:color="auto" w:fill="D2D2D2"/>
          </w:tcPr>
          <w:p>
            <w:pPr/>
          </w:p>
        </w:tc>
        <w:tc>
          <w:tcPr>
            <w:tcW w:w="1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206" w:hRule="exact"/>
        </w:trPr>
        <w:tc>
          <w:tcPr>
            <w:tcW w:w="27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7"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727" w:type="dxa"/>
            <w:vMerge/>
            <w:tcBorders>
              <w:left w:val="single" w:sz="4" w:space="0" w:color="000000"/>
              <w:bottom w:val="single" w:sz="4" w:space="0" w:color="000000"/>
              <w:right w:val="single" w:sz="4" w:space="0" w:color="000000"/>
            </w:tcBorders>
            <w:shd w:val="clear" w:color="auto" w:fill="D2D2D2"/>
          </w:tcPr>
          <w:p>
            <w:pP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BodyText"/>
        <w:spacing w:line="506" w:lineRule="auto" w:before="36"/>
        <w:ind w:right="0"/>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）预付款项的说明</w:t>
      </w:r>
      <w:r>
        <w:rPr>
          <w:rFonts w:ascii="宋体" w:hAnsi="宋体" w:cs="宋体" w:eastAsia="宋体" w:hint="default"/>
          <w:b/>
          <w:bCs/>
          <w:w w:val="100"/>
        </w:rPr>
        <w:t> </w:t>
      </w:r>
      <w:r>
        <w:rPr>
          <w:spacing w:val="-2"/>
        </w:rPr>
        <w:t>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日预付款项中无持本公司</w:t>
      </w:r>
      <w:r>
        <w:rPr>
          <w:rFonts w:ascii="Times New Roman" w:hAnsi="Times New Roman" w:cs="Times New Roman" w:eastAsia="Times New Roman" w:hint="default"/>
          <w:spacing w:val="-2"/>
        </w:rPr>
        <w:t>5</w:t>
      </w:r>
      <w:r>
        <w:rPr>
          <w:spacing w:val="-2"/>
        </w:rPr>
        <w:t>％以上（含</w:t>
      </w:r>
      <w:r>
        <w:rPr>
          <w:rFonts w:ascii="Times New Roman" w:hAnsi="Times New Roman" w:cs="Times New Roman" w:eastAsia="Times New Roman" w:hint="default"/>
          <w:spacing w:val="-2"/>
        </w:rPr>
        <w:t>5</w:t>
      </w:r>
      <w:r>
        <w:rPr>
          <w:spacing w:val="-2"/>
        </w:rPr>
        <w:t>％）表决权股份的股东单位欠款。</w:t>
      </w:r>
    </w:p>
    <w:p>
      <w:pPr>
        <w:spacing w:after="0" w:line="50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461"/>
        <w:gridCol w:w="1193"/>
        <w:gridCol w:w="1330"/>
        <w:gridCol w:w="1327"/>
        <w:gridCol w:w="1330"/>
        <w:gridCol w:w="1327"/>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4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27,115,706.87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27,115,706.87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5,709,487.24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5,709,487.24</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3,355,727.00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3,355,727.00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12,225.00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12,225.00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17,761,742.49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17,761,742.49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18,029,121.46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18,029,121.46</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48,245,401.36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48,245,401.36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23,738,608.70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23,738,608.70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15"/>
        <w:gridCol w:w="1627"/>
        <w:gridCol w:w="1615"/>
        <w:gridCol w:w="1414"/>
        <w:gridCol w:w="1431"/>
        <w:gridCol w:w="1757"/>
      </w:tblGrid>
      <w:tr>
        <w:trPr>
          <w:trHeight w:val="206" w:hRule="exact"/>
        </w:trPr>
        <w:tc>
          <w:tcPr>
            <w:tcW w:w="1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1627"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6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存货的说明</w:t>
      </w:r>
    </w:p>
    <w:p>
      <w:pPr>
        <w:pStyle w:val="BodyText"/>
        <w:spacing w:line="240" w:lineRule="auto" w:before="96"/>
        <w:ind w:right="0"/>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日，存货无抵押、质押情况</w:t>
      </w:r>
      <w:r>
        <w:rPr>
          <w:spacing w:val="-23"/>
        </w:rPr>
        <w:t> </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8334" w:firstLine="0"/>
        <w:jc w:val="left"/>
        <w:rPr>
          <w:rFonts w:ascii="宋体" w:hAnsi="宋体" w:cs="宋体" w:eastAsia="宋体" w:hint="default"/>
          <w:sz w:val="18"/>
          <w:szCs w:val="18"/>
        </w:rPr>
      </w:pPr>
      <w:r>
        <w:rPr>
          <w:rFonts w:ascii="宋体" w:hAnsi="宋体" w:cs="宋体" w:eastAsia="宋体" w:hint="default"/>
          <w:sz w:val="18"/>
          <w:szCs w:val="18"/>
        </w:rPr>
        <w:t>其他流动资产说明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可供出售金融资产的说明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6534" w:firstLine="0"/>
        <w:jc w:val="left"/>
        <w:rPr>
          <w:rFonts w:ascii="宋体" w:hAnsi="宋体" w:cs="宋体" w:eastAsia="宋体" w:hint="default"/>
          <w:sz w:val="18"/>
          <w:szCs w:val="18"/>
        </w:rPr>
      </w:pPr>
      <w:r>
        <w:rPr>
          <w:rFonts w:ascii="宋体" w:hAnsi="宋体" w:cs="宋体" w:eastAsia="宋体" w:hint="default"/>
          <w:sz w:val="18"/>
          <w:szCs w:val="18"/>
        </w:rPr>
        <w:t>可供出售金融资产的长期债权投资的说明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7974" w:firstLine="0"/>
        <w:jc w:val="left"/>
        <w:rPr>
          <w:rFonts w:ascii="宋体" w:hAnsi="宋体" w:cs="宋体" w:eastAsia="宋体" w:hint="default"/>
          <w:sz w:val="18"/>
          <w:szCs w:val="18"/>
        </w:rPr>
      </w:pPr>
      <w:r>
        <w:rPr>
          <w:rFonts w:ascii="宋体" w:hAnsi="宋体" w:cs="宋体" w:eastAsia="宋体" w:hint="default"/>
          <w:sz w:val="18"/>
          <w:szCs w:val="18"/>
        </w:rPr>
        <w:t>持有至到期投资的说明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5454" w:firstLine="0"/>
        <w:jc w:val="left"/>
        <w:rPr>
          <w:rFonts w:ascii="宋体" w:hAnsi="宋体" w:cs="宋体" w:eastAsia="宋体" w:hint="default"/>
          <w:sz w:val="18"/>
          <w:szCs w:val="18"/>
        </w:rPr>
      </w:pPr>
      <w:r>
        <w:rPr>
          <w:rFonts w:ascii="宋体" w:hAnsi="宋体" w:cs="宋体" w:eastAsia="宋体" w:hint="default"/>
          <w:sz w:val="18"/>
          <w:szCs w:val="18"/>
        </w:rPr>
        <w:t>本报告期内出售但尚未到期的持有至到期投资情况说明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3324"/>
        <w:gridCol w:w="3442"/>
      </w:tblGrid>
      <w:tr>
        <w:trPr>
          <w:trHeight w:val="402"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3"/>
        <w:gridCol w:w="1198"/>
        <w:gridCol w:w="1198"/>
      </w:tblGrid>
      <w:tr>
        <w:trPr>
          <w:trHeight w:val="1027"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4"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上海浦江科技 投资有限公司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34,389,330.55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11.56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34,389,318.99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2,291,740.08</w:t>
            </w:r>
          </w:p>
        </w:tc>
      </w:tr>
      <w:tr>
        <w:trPr>
          <w:trHeight w:val="102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both"/>
              <w:rPr>
                <w:rFonts w:ascii="宋体" w:hAnsi="宋体" w:cs="宋体" w:eastAsia="宋体" w:hint="default"/>
                <w:sz w:val="18"/>
                <w:szCs w:val="18"/>
              </w:rPr>
            </w:pPr>
            <w:r>
              <w:rPr>
                <w:rFonts w:ascii="宋体" w:hAnsi="宋体" w:cs="宋体" w:eastAsia="宋体" w:hint="default"/>
                <w:sz w:val="18"/>
                <w:szCs w:val="18"/>
              </w:rPr>
              <w:t>上海华奕医疗 信息技术有限 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6" w:right="0"/>
              <w:jc w:val="center"/>
              <w:rPr>
                <w:rFonts w:ascii="Times New Roman" w:hAnsi="Times New Roman" w:cs="Times New Roman" w:eastAsia="Times New Roman" w:hint="default"/>
                <w:sz w:val="18"/>
                <w:szCs w:val="18"/>
              </w:rPr>
            </w:pPr>
            <w:r>
              <w:rPr>
                <w:rFonts w:ascii="Times New Roman"/>
                <w:sz w:val="18"/>
              </w:rPr>
              <w:t>2,155,213.51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39,531.22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2,115,682.29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985,881.85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25,475.72</w:t>
            </w:r>
          </w:p>
        </w:tc>
      </w:tr>
    </w:tbl>
    <w:p>
      <w:pPr>
        <w:spacing w:line="357" w:lineRule="auto" w:before="49"/>
        <w:ind w:left="152" w:right="2034"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 无</w:t>
      </w:r>
    </w:p>
    <w:p>
      <w:pPr>
        <w:spacing w:after="0" w:line="35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5"/>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上海浦江 科技投资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8,443,342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472,405.4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8,915,747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25.93%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上海华奕 医疗信息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423,136.4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423,136.4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上海申银 万国证券 研究所有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北京爱农 驿站科技 服务有限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19,470,00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20,443,34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895,541.8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21,338,88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3.91</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59" w:right="60"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49"/>
        <w:ind w:left="152" w:right="8154" w:firstLine="0"/>
        <w:jc w:val="left"/>
        <w:rPr>
          <w:rFonts w:ascii="宋体" w:hAnsi="宋体" w:cs="宋体" w:eastAsia="宋体" w:hint="default"/>
          <w:sz w:val="18"/>
          <w:szCs w:val="18"/>
        </w:rPr>
      </w:pPr>
      <w:r>
        <w:rPr>
          <w:rFonts w:ascii="宋体" w:hAnsi="宋体" w:cs="宋体" w:eastAsia="宋体" w:hint="default"/>
          <w:sz w:val="18"/>
          <w:szCs w:val="18"/>
        </w:rPr>
        <w:t>长期股权投资的说明 无</w:t>
      </w:r>
    </w:p>
    <w:p>
      <w:pPr>
        <w:spacing w:after="0" w:line="36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8"/>
        <w:gridCol w:w="4221"/>
      </w:tblGrid>
      <w:tr>
        <w:trPr>
          <w:trHeight w:val="401"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47"/>
        <w:gridCol w:w="1010"/>
        <w:gridCol w:w="1021"/>
        <w:gridCol w:w="1000"/>
        <w:gridCol w:w="1010"/>
        <w:gridCol w:w="1009"/>
        <w:gridCol w:w="1019"/>
        <w:gridCol w:w="954"/>
      </w:tblGrid>
      <w:tr>
        <w:trPr>
          <w:trHeight w:val="206" w:hRule="exact"/>
        </w:trPr>
        <w:tc>
          <w:tcPr>
            <w:tcW w:w="2547" w:type="dxa"/>
            <w:vMerge w:val="restart"/>
            <w:tcBorders>
              <w:top w:val="single" w:sz="4" w:space="0" w:color="000000"/>
              <w:left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3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4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3" w:hRule="exact"/>
        </w:trPr>
        <w:tc>
          <w:tcPr>
            <w:tcW w:w="2547" w:type="dxa"/>
            <w:vMerge/>
            <w:tcBorders>
              <w:left w:val="single" w:sz="4" w:space="0" w:color="000000"/>
              <w:bottom w:val="nil" w:sz="6" w:space="0" w:color="auto"/>
              <w:right w:val="single" w:sz="4" w:space="0" w:color="000000"/>
            </w:tcBorders>
            <w:shd w:val="clear" w:color="auto" w:fill="D2D2D2"/>
          </w:tcPr>
          <w:p>
            <w:pPr/>
          </w:p>
        </w:tc>
        <w:tc>
          <w:tcPr>
            <w:tcW w:w="101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11" w:right="47"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vMerge/>
            <w:tcBorders>
              <w:left w:val="single" w:sz="4" w:space="0" w:color="000000"/>
              <w:bottom w:val="single" w:sz="4" w:space="0" w:color="000000"/>
              <w:right w:val="single" w:sz="4" w:space="0" w:color="000000"/>
            </w:tcBorders>
            <w:shd w:val="clear" w:color="auto" w:fill="D2D2D2"/>
          </w:tcPr>
          <w:p>
            <w:pPr/>
          </w:p>
        </w:tc>
        <w:tc>
          <w:tcPr>
            <w:tcW w:w="2029" w:type="dxa"/>
            <w:gridSpan w:val="2"/>
            <w:vMerge/>
            <w:tcBorders>
              <w:left w:val="single" w:sz="4" w:space="0" w:color="000000"/>
              <w:bottom w:val="single" w:sz="4" w:space="0" w:color="000000"/>
              <w:right w:val="single" w:sz="4" w:space="0" w:color="000000"/>
            </w:tcBorders>
            <w:shd w:val="clear" w:color="auto" w:fill="D2D2D2"/>
          </w:tcPr>
          <w:p>
            <w:pPr/>
          </w:p>
        </w:tc>
        <w:tc>
          <w:tcPr>
            <w:tcW w:w="95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91"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182" w:hRule="exact"/>
        </w:trPr>
        <w:tc>
          <w:tcPr>
            <w:tcW w:w="25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0" w:type="dxa"/>
            <w:vMerge/>
            <w:tcBorders>
              <w:left w:val="single" w:sz="4" w:space="0" w:color="000000"/>
              <w:right w:val="single" w:sz="4" w:space="0" w:color="000000"/>
            </w:tcBorders>
            <w:shd w:val="clear" w:color="auto" w:fill="D2D2D2"/>
          </w:tcPr>
          <w:p>
            <w:pPr/>
          </w:p>
        </w:tc>
        <w:tc>
          <w:tcPr>
            <w:tcW w:w="1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38" w:right="51"/>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229" w:right="49"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324" w:right="52"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4" w:type="dxa"/>
            <w:vMerge/>
            <w:tcBorders>
              <w:left w:val="single" w:sz="4" w:space="0" w:color="000000"/>
              <w:right w:val="single" w:sz="4" w:space="0" w:color="000000"/>
            </w:tcBorders>
            <w:shd w:val="clear" w:color="auto" w:fill="D2D2D2"/>
          </w:tcPr>
          <w:p>
            <w:pPr/>
          </w:p>
        </w:tc>
      </w:tr>
      <w:tr>
        <w:trPr>
          <w:trHeight w:val="192" w:hRule="exact"/>
        </w:trPr>
        <w:tc>
          <w:tcPr>
            <w:tcW w:w="2547" w:type="dxa"/>
            <w:vMerge/>
            <w:tcBorders>
              <w:left w:val="single" w:sz="4" w:space="0" w:color="000000"/>
              <w:bottom w:val="nil" w:sz="6" w:space="0" w:color="auto"/>
              <w:right w:val="single" w:sz="4" w:space="0" w:color="000000"/>
            </w:tcBorders>
            <w:shd w:val="clear" w:color="auto" w:fill="D2D2D2"/>
          </w:tcPr>
          <w:p>
            <w:pPr/>
          </w:p>
        </w:tc>
        <w:tc>
          <w:tcPr>
            <w:tcW w:w="1010" w:type="dxa"/>
            <w:vMerge/>
            <w:tcBorders>
              <w:left w:val="single" w:sz="4" w:space="0" w:color="000000"/>
              <w:right w:val="single" w:sz="4" w:space="0" w:color="000000"/>
            </w:tcBorders>
            <w:shd w:val="clear" w:color="auto" w:fill="D2D2D2"/>
          </w:tcPr>
          <w:p>
            <w:pPr/>
          </w:p>
        </w:tc>
        <w:tc>
          <w:tcPr>
            <w:tcW w:w="10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00" w:type="dxa"/>
            <w:vMerge/>
            <w:tcBorders>
              <w:left w:val="single" w:sz="4" w:space="0" w:color="000000"/>
              <w:right w:val="single" w:sz="4" w:space="0" w:color="000000"/>
            </w:tcBorders>
            <w:shd w:val="clear" w:color="auto" w:fill="D2D2D2"/>
          </w:tcPr>
          <w:p>
            <w:pPr/>
          </w:p>
        </w:tc>
        <w:tc>
          <w:tcPr>
            <w:tcW w:w="1010" w:type="dxa"/>
            <w:vMerge/>
            <w:tcBorders>
              <w:left w:val="single" w:sz="4" w:space="0" w:color="000000"/>
              <w:right w:val="single" w:sz="4" w:space="0" w:color="000000"/>
            </w:tcBorders>
            <w:shd w:val="clear" w:color="auto" w:fill="D2D2D2"/>
          </w:tcPr>
          <w:p>
            <w:pPr/>
          </w:p>
        </w:tc>
        <w:tc>
          <w:tcPr>
            <w:tcW w:w="10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9" w:type="dxa"/>
            <w:vMerge/>
            <w:tcBorders>
              <w:left w:val="single" w:sz="4" w:space="0" w:color="000000"/>
              <w:right w:val="single" w:sz="4" w:space="0" w:color="000000"/>
            </w:tcBorders>
            <w:shd w:val="clear" w:color="auto" w:fill="D2D2D2"/>
          </w:tcPr>
          <w:p>
            <w:pPr/>
          </w:p>
        </w:tc>
        <w:tc>
          <w:tcPr>
            <w:tcW w:w="954" w:type="dxa"/>
            <w:vMerge/>
            <w:tcBorders>
              <w:left w:val="single" w:sz="4" w:space="0" w:color="000000"/>
              <w:right w:val="single" w:sz="4" w:space="0" w:color="000000"/>
            </w:tcBorders>
            <w:shd w:val="clear" w:color="auto" w:fill="D2D2D2"/>
          </w:tcPr>
          <w:p>
            <w:pPr/>
          </w:p>
        </w:tc>
      </w:tr>
      <w:tr>
        <w:trPr>
          <w:trHeight w:val="167" w:hRule="exact"/>
        </w:trPr>
        <w:tc>
          <w:tcPr>
            <w:tcW w:w="2547" w:type="dxa"/>
            <w:vMerge w:val="restart"/>
            <w:tcBorders>
              <w:top w:val="nil" w:sz="6" w:space="0" w:color="auto"/>
              <w:left w:val="single" w:sz="4" w:space="0" w:color="000000"/>
              <w:right w:val="single" w:sz="4" w:space="0" w:color="000000"/>
            </w:tcBorders>
            <w:shd w:val="clear" w:color="auto" w:fill="D2D2D2"/>
          </w:tcPr>
          <w:p>
            <w:pPr/>
          </w:p>
        </w:tc>
        <w:tc>
          <w:tcPr>
            <w:tcW w:w="1010" w:type="dxa"/>
            <w:vMerge/>
            <w:tcBorders>
              <w:left w:val="single" w:sz="4" w:space="0" w:color="000000"/>
              <w:bottom w:val="single" w:sz="18" w:space="0" w:color="FFFFFF"/>
              <w:right w:val="single" w:sz="4" w:space="0" w:color="000000"/>
            </w:tcBorders>
            <w:shd w:val="clear" w:color="auto" w:fill="D2D2D2"/>
          </w:tcPr>
          <w:p>
            <w:pPr/>
          </w:p>
        </w:tc>
        <w:tc>
          <w:tcPr>
            <w:tcW w:w="1021" w:type="dxa"/>
            <w:vMerge/>
            <w:tcBorders>
              <w:left w:val="single" w:sz="4" w:space="0" w:color="000000"/>
              <w:bottom w:val="single" w:sz="18" w:space="0" w:color="FFFFFF"/>
              <w:right w:val="single" w:sz="4" w:space="0" w:color="000000"/>
            </w:tcBorders>
            <w:shd w:val="clear" w:color="auto" w:fill="D2D2D2"/>
          </w:tcPr>
          <w:p>
            <w:pPr/>
          </w:p>
        </w:tc>
        <w:tc>
          <w:tcPr>
            <w:tcW w:w="1000" w:type="dxa"/>
            <w:vMerge/>
            <w:tcBorders>
              <w:left w:val="single" w:sz="4" w:space="0" w:color="000000"/>
              <w:right w:val="single" w:sz="4" w:space="0" w:color="000000"/>
            </w:tcBorders>
            <w:shd w:val="clear" w:color="auto" w:fill="D2D2D2"/>
          </w:tcPr>
          <w:p>
            <w:pPr/>
          </w:p>
        </w:tc>
        <w:tc>
          <w:tcPr>
            <w:tcW w:w="1010" w:type="dxa"/>
            <w:vMerge/>
            <w:tcBorders>
              <w:left w:val="single" w:sz="4" w:space="0" w:color="000000"/>
              <w:right w:val="single" w:sz="4" w:space="0" w:color="000000"/>
            </w:tcBorders>
            <w:shd w:val="clear" w:color="auto" w:fill="D2D2D2"/>
          </w:tcPr>
          <w:p>
            <w:pPr/>
          </w:p>
        </w:tc>
        <w:tc>
          <w:tcPr>
            <w:tcW w:w="1009" w:type="dxa"/>
            <w:vMerge/>
            <w:tcBorders>
              <w:left w:val="single" w:sz="4" w:space="0" w:color="000000"/>
              <w:bottom w:val="nil" w:sz="6" w:space="0" w:color="auto"/>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954"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2547"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021"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000"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9" w:type="dxa"/>
            <w:vMerge/>
            <w:tcBorders>
              <w:left w:val="single" w:sz="4" w:space="0" w:color="000000"/>
              <w:bottom w:val="single" w:sz="4" w:space="0" w:color="000000"/>
              <w:right w:val="single" w:sz="4" w:space="0" w:color="000000"/>
            </w:tcBorders>
            <w:shd w:val="clear" w:color="auto" w:fill="D2D2D2"/>
          </w:tcPr>
          <w:p>
            <w:pPr/>
          </w:p>
        </w:tc>
        <w:tc>
          <w:tcPr>
            <w:tcW w:w="95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．投资性房地产账面价值合计</w:t>
            </w:r>
          </w:p>
        </w:tc>
        <w:tc>
          <w:tcPr>
            <w:tcW w:w="10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55" w:right="0"/>
              <w:jc w:val="left"/>
              <w:rPr>
                <w:rFonts w:ascii="Times New Roman" w:hAnsi="Times New Roman" w:cs="Times New Roman" w:eastAsia="Times New Roman" w:hint="default"/>
                <w:sz w:val="18"/>
                <w:szCs w:val="18"/>
              </w:rPr>
            </w:pPr>
            <w:r>
              <w:rPr>
                <w:rFonts w:ascii="Times New Roman"/>
                <w:sz w:val="18"/>
              </w:rPr>
              <w:t>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1" w:right="0"/>
              <w:jc w:val="left"/>
              <w:rPr>
                <w:rFonts w:ascii="Times New Roman" w:hAnsi="Times New Roman" w:cs="Times New Roman" w:eastAsia="Times New Roman" w:hint="default"/>
                <w:sz w:val="18"/>
                <w:szCs w:val="18"/>
              </w:rPr>
            </w:pPr>
            <w:r>
              <w:rPr>
                <w:rFonts w:ascii="Times New Roman"/>
                <w:sz w:val="18"/>
              </w:rPr>
              <w:t>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0" w:right="0"/>
              <w:jc w:val="left"/>
              <w:rPr>
                <w:rFonts w:ascii="Times New Roman" w:hAnsi="Times New Roman" w:cs="Times New Roman" w:eastAsia="Times New Roman" w:hint="default"/>
                <w:sz w:val="18"/>
                <w:szCs w:val="18"/>
              </w:rPr>
            </w:pPr>
            <w:r>
              <w:rPr>
                <w:rFonts w:ascii="Times New Roman"/>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1" w:right="0"/>
              <w:jc w:val="left"/>
              <w:rPr>
                <w:rFonts w:ascii="Times New Roman" w:hAnsi="Times New Roman" w:cs="Times New Roman" w:eastAsia="Times New Roman" w:hint="default"/>
                <w:sz w:val="18"/>
                <w:szCs w:val="18"/>
              </w:rPr>
            </w:pPr>
            <w:r>
              <w:rPr>
                <w:rFonts w:ascii="Times New Roman"/>
                <w:sz w:val="18"/>
              </w:rPr>
              <w:t>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1" w:right="0"/>
              <w:jc w:val="left"/>
              <w:rPr>
                <w:rFonts w:ascii="Times New Roman" w:hAnsi="Times New Roman" w:cs="Times New Roman" w:eastAsia="Times New Roman" w:hint="default"/>
                <w:sz w:val="18"/>
                <w:szCs w:val="18"/>
              </w:rPr>
            </w:pPr>
            <w:r>
              <w:rPr>
                <w:rFonts w:ascii="Times New Roman"/>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2" w:right="0"/>
              <w:jc w:val="left"/>
              <w:rPr>
                <w:rFonts w:ascii="Times New Roman" w:hAnsi="Times New Roman" w:cs="Times New Roman" w:eastAsia="Times New Roman" w:hint="default"/>
                <w:sz w:val="18"/>
                <w:szCs w:val="18"/>
              </w:rPr>
            </w:pPr>
            <w:r>
              <w:rPr>
                <w:rFonts w:ascii="Times New Roman"/>
                <w:sz w:val="18"/>
              </w:rPr>
              <w:t>0.00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0.00</w:t>
            </w:r>
          </w:p>
        </w:tc>
      </w:tr>
    </w:tbl>
    <w:p>
      <w:pPr>
        <w:spacing w:line="316" w:lineRule="auto" w:before="49"/>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说明报告期内改变计量模式的投资性房地产和未办妥产权证书的投资性房地产有关情况，说明未办妥产权证书的原因和预计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办结时间</w:t>
      </w:r>
    </w:p>
    <w:p>
      <w:pPr>
        <w:spacing w:before="59"/>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17"/>
        <w:gridCol w:w="1462"/>
        <w:gridCol w:w="1327"/>
        <w:gridCol w:w="1594"/>
        <w:gridCol w:w="1597"/>
        <w:gridCol w:w="1459"/>
      </w:tblGrid>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3"/>
              <w:jc w:val="righ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194,886,933.25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7" w:right="0"/>
              <w:jc w:val="left"/>
              <w:rPr>
                <w:rFonts w:ascii="Times New Roman" w:hAnsi="Times New Roman" w:cs="Times New Roman" w:eastAsia="Times New Roman" w:hint="default"/>
                <w:sz w:val="18"/>
                <w:szCs w:val="18"/>
              </w:rPr>
            </w:pPr>
            <w:r>
              <w:rPr>
                <w:rFonts w:ascii="Times New Roman"/>
                <w:sz w:val="18"/>
              </w:rPr>
              <w:t>11,311,012.86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2,642,474.89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203,555,471.22</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3"/>
              <w:jc w:val="righ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126,251,538.61</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126,251,538.61</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7,413,993.39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5,441,749.00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916,259.00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11,939,483.39</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9"/>
              <w:jc w:val="right"/>
              <w:rPr>
                <w:rFonts w:ascii="宋体" w:hAnsi="宋体" w:cs="宋体" w:eastAsia="宋体" w:hint="default"/>
                <w:sz w:val="18"/>
                <w:szCs w:val="18"/>
              </w:rPr>
            </w:pPr>
            <w:r>
              <w:rPr>
                <w:rFonts w:ascii="宋体" w:hAnsi="宋体" w:cs="宋体" w:eastAsia="宋体" w:hint="default"/>
                <w:sz w:val="18"/>
                <w:szCs w:val="18"/>
              </w:rPr>
              <w:t>通用设备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2,435,916.12</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224,018.00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2,659,934.12</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9"/>
              <w:jc w:val="right"/>
              <w:rPr>
                <w:rFonts w:ascii="宋体" w:hAnsi="宋体" w:cs="宋体" w:eastAsia="宋体" w:hint="default"/>
                <w:sz w:val="18"/>
                <w:szCs w:val="18"/>
              </w:rPr>
            </w:pPr>
            <w:r>
              <w:rPr>
                <w:rFonts w:ascii="宋体" w:hAnsi="宋体" w:cs="宋体" w:eastAsia="宋体" w:hint="default"/>
                <w:sz w:val="18"/>
                <w:szCs w:val="18"/>
              </w:rPr>
              <w:t>专用设备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40,280,216.26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4,603,159.60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1,725,161.17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43,158,214.69</w:t>
            </w:r>
          </w:p>
        </w:tc>
      </w:tr>
      <w:tr>
        <w:trPr>
          <w:trHeight w:val="404"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0"/>
              <w:jc w:val="righ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18,505,268.87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1,042,086.26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1,054.72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19,546,300.41</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3"/>
              <w:jc w:val="righ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72,243,166.08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13,105,718.72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2,533,780.16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82,815,104.64</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3"/>
              <w:jc w:val="righ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24,347,795.33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4,861,005.96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29,208,801.29</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3,589,009.19</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1,195,067.97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879,608.64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3,904,468.52</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9"/>
              <w:jc w:val="right"/>
              <w:rPr>
                <w:rFonts w:ascii="宋体" w:hAnsi="宋体" w:cs="宋体" w:eastAsia="宋体" w:hint="default"/>
                <w:sz w:val="18"/>
                <w:szCs w:val="18"/>
              </w:rPr>
            </w:pPr>
            <w:r>
              <w:rPr>
                <w:rFonts w:ascii="宋体" w:hAnsi="宋体" w:cs="宋体" w:eastAsia="宋体" w:hint="default"/>
                <w:sz w:val="18"/>
                <w:szCs w:val="18"/>
              </w:rPr>
              <w:t>通用设备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2,321,544.38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45,900.86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2,367,445.24</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9"/>
              <w:jc w:val="right"/>
              <w:rPr>
                <w:rFonts w:ascii="宋体" w:hAnsi="宋体" w:cs="宋体" w:eastAsia="宋体" w:hint="default"/>
                <w:sz w:val="18"/>
                <w:szCs w:val="18"/>
              </w:rPr>
            </w:pPr>
            <w:r>
              <w:rPr>
                <w:rFonts w:ascii="宋体" w:hAnsi="宋体" w:cs="宋体" w:eastAsia="宋体" w:hint="default"/>
                <w:sz w:val="18"/>
                <w:szCs w:val="18"/>
              </w:rPr>
              <w:t>专用设备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28,374,049.16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4,421,317.18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1,654,171.52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31,141,194.82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1315"/>
        <w:gridCol w:w="1594"/>
        <w:gridCol w:w="1585"/>
        <w:gridCol w:w="1471"/>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13,610,768.02</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2,582,426.75</w:t>
            </w:r>
          </w:p>
        </w:tc>
        <w:tc>
          <w:tcPr>
            <w:tcW w:w="158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16,193,194.77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122,643,767.17</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120,740,366.58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101,903,743.28</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97,042,737.32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3,824,984.20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8,035,014.87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8"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114,371.74</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292,488.88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11,906,167.10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12,017,019.87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4,894,500.85</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3,353,105.64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8"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122,643,767.17</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120,740,366.58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101,903,743.28</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97,042,737.32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3,824,984.20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8,035,014.87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114,371.74</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292,488.88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8"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11,906,167.10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12,017,019.87</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4,894,500.85</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3,353,105.64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12,843,227.96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692,970.95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账面净值</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固定资产说明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3"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AVAYA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呼叫中心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564,307.70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564,307.70</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哈尔滨办公大楼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16,850,000.00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16,850,000.00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16,850,000.00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办公楼装修工程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1,841,844.10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1,841,844.10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云服务上海基地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29,250,587.65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29,250,587.65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西藏信息化基地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3,714,640.09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3,714,640.09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51,657,071.84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51,657,071.84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17,414,307.70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17,414,307.70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102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17"/>
                <w:sz w:val="18"/>
              </w:rPr>
              <w:t>AVAYA</w:t>
            </w:r>
          </w:p>
          <w:p>
            <w:pPr>
              <w:pStyle w:val="TableParagraph"/>
              <w:spacing w:line="316" w:lineRule="auto" w:before="63"/>
              <w:ind w:left="24" w:right="159"/>
              <w:jc w:val="left"/>
              <w:rPr>
                <w:rFonts w:ascii="宋体" w:hAnsi="宋体" w:cs="宋体" w:eastAsia="宋体" w:hint="default"/>
                <w:sz w:val="18"/>
                <w:szCs w:val="18"/>
              </w:rPr>
            </w:pPr>
            <w:r>
              <w:rPr>
                <w:rFonts w:ascii="宋体" w:hAnsi="宋体" w:cs="宋体" w:eastAsia="宋体" w:hint="default"/>
                <w:sz w:val="18"/>
                <w:szCs w:val="18"/>
              </w:rPr>
              <w:t>呼叫中 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564,307.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59,623.9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623,931.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95.99%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哈尔滨 办公大 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16,850,0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16,850,0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16,850,0</w:t>
            </w:r>
          </w:p>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71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财务系 统建设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0.00</w:t>
            </w:r>
          </w:p>
        </w:tc>
      </w:tr>
      <w:tr>
        <w:trPr>
          <w:trHeight w:val="1339"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59"/>
              <w:jc w:val="both"/>
              <w:rPr>
                <w:rFonts w:ascii="宋体" w:hAnsi="宋体" w:cs="宋体" w:eastAsia="宋体" w:hint="default"/>
                <w:sz w:val="18"/>
                <w:szCs w:val="18"/>
              </w:rPr>
            </w:pPr>
            <w:r>
              <w:rPr>
                <w:rFonts w:ascii="宋体" w:hAnsi="宋体" w:cs="宋体" w:eastAsia="宋体" w:hint="default"/>
                <w:sz w:val="18"/>
                <w:szCs w:val="18"/>
              </w:rPr>
              <w:t>云服务 上海基 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238,000,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29,250,5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87.65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11"/>
                <w:sz w:val="18"/>
                <w:szCs w:val="18"/>
              </w:rPr>
              <w:t>自筹，超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募资金 及政府 补助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29,250,5</w:t>
            </w:r>
          </w:p>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87.65</w:t>
            </w:r>
          </w:p>
        </w:tc>
      </w:tr>
      <w:tr>
        <w:trPr>
          <w:trHeight w:val="102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西藏信 息化基 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6,150,00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3,714,64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3,714,64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0.09</w:t>
            </w:r>
          </w:p>
        </w:tc>
      </w:tr>
      <w:tr>
        <w:trPr>
          <w:trHeight w:val="1028"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办公楼 装修工 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2,198,93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41,688.8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109,194.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87.96%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1,841,84</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4.10</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261,680,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17,414,3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07.70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39,137,9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692,970.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109,194.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51,657,0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71.84</w:t>
            </w:r>
          </w:p>
        </w:tc>
      </w:tr>
    </w:tbl>
    <w:p>
      <w:pPr>
        <w:spacing w:line="357" w:lineRule="auto" w:before="49"/>
        <w:ind w:left="152" w:right="7434"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2"/>
        <w:gridCol w:w="1609"/>
        <w:gridCol w:w="1594"/>
        <w:gridCol w:w="1594"/>
        <w:gridCol w:w="1609"/>
        <w:gridCol w:w="1568"/>
      </w:tblGrid>
      <w:tr>
        <w:trPr>
          <w:trHeight w:val="403" w:hRule="exact"/>
        </w:trPr>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1" w:hRule="exact"/>
        </w:trPr>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0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5"/>
        <w:rPr>
          <w:rFonts w:ascii="宋体" w:hAnsi="宋体" w:cs="宋体" w:eastAsia="宋体" w:hint="default"/>
          <w:b/>
          <w:bCs/>
          <w:sz w:val="26"/>
          <w:szCs w:val="26"/>
        </w:rPr>
      </w:pPr>
    </w:p>
    <w:p>
      <w:pPr>
        <w:spacing w:line="360" w:lineRule="auto" w:before="0"/>
        <w:ind w:left="152" w:right="8514" w:firstLine="0"/>
        <w:jc w:val="left"/>
        <w:rPr>
          <w:rFonts w:ascii="宋体" w:hAnsi="宋体" w:cs="宋体" w:eastAsia="宋体" w:hint="default"/>
          <w:sz w:val="18"/>
          <w:szCs w:val="18"/>
        </w:rPr>
      </w:pPr>
      <w:r>
        <w:rPr>
          <w:rFonts w:ascii="宋体" w:hAnsi="宋体" w:cs="宋体" w:eastAsia="宋体" w:hint="default"/>
          <w:sz w:val="18"/>
          <w:szCs w:val="18"/>
        </w:rPr>
        <w:t>工程物资的说明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4376" w:firstLine="0"/>
        <w:jc w:val="left"/>
        <w:rPr>
          <w:rFonts w:ascii="宋体" w:hAnsi="宋体" w:cs="宋体" w:eastAsia="宋体" w:hint="default"/>
          <w:sz w:val="18"/>
          <w:szCs w:val="18"/>
        </w:rPr>
      </w:pPr>
      <w:r>
        <w:rPr>
          <w:rFonts w:ascii="宋体" w:hAnsi="宋体" w:cs="宋体" w:eastAsia="宋体" w:hint="default"/>
          <w:sz w:val="18"/>
          <w:szCs w:val="18"/>
        </w:rPr>
        <w:t>说明转入固定资产清理起始时间已超过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年的固定资产清理进展情况 无</w:t>
      </w:r>
    </w:p>
    <w:p>
      <w:pPr>
        <w:spacing w:after="0" w:line="3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9"/>
        <w:gridCol w:w="1733"/>
        <w:gridCol w:w="1860"/>
        <w:gridCol w:w="2127"/>
        <w:gridCol w:w="1849"/>
      </w:tblGrid>
      <w:tr>
        <w:trPr>
          <w:trHeight w:val="408"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5"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396"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4"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1"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49"/>
        <w:ind w:left="152" w:right="7974" w:firstLine="0"/>
        <w:jc w:val="left"/>
        <w:rPr>
          <w:rFonts w:ascii="宋体" w:hAnsi="宋体" w:cs="宋体" w:eastAsia="宋体" w:hint="default"/>
          <w:sz w:val="18"/>
          <w:szCs w:val="18"/>
        </w:rPr>
      </w:pPr>
      <w:r>
        <w:rPr>
          <w:rFonts w:ascii="宋体" w:hAnsi="宋体" w:cs="宋体" w:eastAsia="宋体" w:hint="default"/>
          <w:sz w:val="18"/>
          <w:szCs w:val="18"/>
        </w:rPr>
        <w:t>生产性生物资产的说明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8514" w:firstLine="0"/>
        <w:jc w:val="left"/>
        <w:rPr>
          <w:rFonts w:ascii="宋体" w:hAnsi="宋体" w:cs="宋体" w:eastAsia="宋体" w:hint="default"/>
          <w:sz w:val="18"/>
          <w:szCs w:val="18"/>
        </w:rPr>
      </w:pPr>
      <w:r>
        <w:rPr>
          <w:rFonts w:ascii="宋体" w:hAnsi="宋体" w:cs="宋体" w:eastAsia="宋体" w:hint="default"/>
          <w:sz w:val="18"/>
          <w:szCs w:val="18"/>
        </w:rPr>
        <w:t>油气资产的说明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4,720,255.00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121,643,584.80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126,363,839.80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1,887,255.00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1,887,255.00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107,870,000.00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107,870,000.00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2,833,000.00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3,773,584.80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6,606,584.80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613,675.50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3,578,064.66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4,191,740.16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188,725.56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37,745.21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226,470.77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1,797,900.00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1,797,900.00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424,949.94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409,086.12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834,036.06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1,333,333.33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1,333,333.33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4,106,579.50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118,065,520.14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122,172,099.64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1,698,529.44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-37,745.21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1,660,784.23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106,072,100.00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106,072,100.00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2,408,050.06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3,364,498.68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5,772,548.74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8,666,666.67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8,666,666.67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4,106,579.50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118,065,520.14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122,172,099.64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1,698,529.44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-37,745.21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1,660,784.23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106,072,100.00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106,072,100.00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2,408,050.06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3,364,498.68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5,772,548.74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8,666,666.67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8,666,666.67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3,578,064.66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4"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综合业务基础软件 平台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V4.0 </w:t>
            </w:r>
            <w:r>
              <w:rPr>
                <w:rFonts w:ascii="宋体" w:hAnsi="宋体" w:cs="宋体" w:eastAsia="宋体" w:hint="default"/>
                <w:sz w:val="18"/>
                <w:szCs w:val="18"/>
              </w:rPr>
              <w:t>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14,002,261.70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16,558,570.40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30,560,832.10</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综合劳动和社会保 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V3.0 </w:t>
            </w:r>
            <w:r>
              <w:rPr>
                <w:rFonts w:ascii="宋体" w:hAnsi="宋体" w:cs="宋体" w:eastAsia="宋体" w:hint="default"/>
                <w:sz w:val="18"/>
                <w:szCs w:val="18"/>
              </w:rPr>
              <w:t>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12,187,450.50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32,612,549.50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民航信息一体化</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V2.0 </w:t>
            </w:r>
            <w:r>
              <w:rPr>
                <w:rFonts w:ascii="宋体" w:hAnsi="宋体" w:cs="宋体" w:eastAsia="宋体" w:hint="default"/>
                <w:sz w:val="18"/>
                <w:szCs w:val="18"/>
              </w:rPr>
              <w:t>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10,582,339.00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12,409,444.70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22,991,783.70</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企业综合监管平台</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9,925,524.10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25,274,475.90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医疗卫生信息化</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V2.0 </w:t>
            </w:r>
            <w:r>
              <w:rPr>
                <w:rFonts w:ascii="宋体" w:hAnsi="宋体" w:cs="宋体" w:eastAsia="宋体" w:hint="default"/>
                <w:sz w:val="18"/>
                <w:szCs w:val="18"/>
              </w:rPr>
              <w:t>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10,052,209.10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17,817,790.90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56,749,784.40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104,672,831.40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53,552,615.80</w:t>
            </w:r>
          </w:p>
        </w:tc>
      </w:tr>
    </w:tbl>
    <w:p>
      <w:pPr>
        <w:spacing w:line="338" w:lineRule="auto" w:before="49"/>
        <w:ind w:left="152" w:right="143"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 通过公司内部研发形成的无形资产占无形资产期末账面价值的比例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86.82%</w:t>
      </w:r>
      <w:r>
        <w:rPr>
          <w:rFonts w:ascii="宋体" w:hAnsi="宋体" w:cs="宋体" w:eastAsia="宋体" w:hint="default"/>
          <w:sz w:val="18"/>
          <w:szCs w:val="18"/>
        </w:rPr>
        <w:t>。 </w:t>
      </w: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万元以上且以评估值为入账依据的，应披露评估机构名称、评估方法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无</w:t>
      </w:r>
    </w:p>
    <w:p>
      <w:pPr>
        <w:spacing w:after="0" w:line="338"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0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5"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西藏万达华波美信息技术有限 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9,681,830.25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9,681,830.25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9,681,830.25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9,681,830.25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pStyle w:val="BodyText"/>
        <w:spacing w:line="240" w:lineRule="auto" w:before="94"/>
        <w:ind w:right="0"/>
        <w:jc w:val="both"/>
      </w:pPr>
      <w:r>
        <w:rPr/>
        <w:t>商誉的说明：</w:t>
      </w:r>
    </w:p>
    <w:p>
      <w:pPr>
        <w:pStyle w:val="BodyText"/>
        <w:spacing w:line="256" w:lineRule="auto" w:before="37"/>
        <w:ind w:right="207"/>
        <w:jc w:val="both"/>
      </w:pPr>
      <w:r>
        <w:rPr/>
        <w:t>（</w:t>
      </w:r>
      <w:r>
        <w:rPr>
          <w:rFonts w:ascii="Times New Roman" w:hAnsi="Times New Roman" w:cs="Times New Roman" w:eastAsia="Times New Roman" w:hint="default"/>
        </w:rPr>
        <w:t>1</w:t>
      </w:r>
      <w:r>
        <w:rPr/>
        <w:t>）商誉的计算过程：本公司的合并成本为人民币</w:t>
      </w:r>
      <w:r>
        <w:rPr>
          <w:rFonts w:ascii="Times New Roman" w:hAnsi="Times New Roman" w:cs="Times New Roman" w:eastAsia="Times New Roman" w:hint="default"/>
        </w:rPr>
        <w:t>3800</w:t>
      </w:r>
      <w:r>
        <w:rPr/>
        <w:t>万元，在合并中取得西藏新时代华波美信息技术</w:t>
      </w:r>
      <w:r>
        <w:rPr>
          <w:spacing w:val="-22"/>
        </w:rPr>
        <w:t> </w:t>
      </w:r>
      <w:r>
        <w:rPr>
          <w:spacing w:val="-22"/>
        </w:rPr>
      </w:r>
      <w:r>
        <w:rPr/>
        <w:t>有限公司</w:t>
      </w:r>
      <w:r>
        <w:rPr>
          <w:rFonts w:ascii="Times New Roman" w:hAnsi="Times New Roman" w:cs="Times New Roman" w:eastAsia="Times New Roman" w:hint="default"/>
        </w:rPr>
        <w:t>51.22%</w:t>
      </w:r>
      <w:r>
        <w:rPr/>
        <w:t>权益。可辨认净资产在购买日的公允价值为人民币</w:t>
      </w:r>
      <w:r>
        <w:rPr>
          <w:rFonts w:ascii="Times New Roman" w:hAnsi="Times New Roman" w:cs="Times New Roman" w:eastAsia="Times New Roman" w:hint="default"/>
        </w:rPr>
        <w:t>28,318,169.75</w:t>
      </w:r>
      <w:r>
        <w:rPr/>
        <w:t>元，两者的差额人民币</w:t>
      </w:r>
      <w:r>
        <w:rPr>
          <w:spacing w:val="91"/>
        </w:rPr>
        <w:t> </w:t>
      </w:r>
      <w:r>
        <w:rPr>
          <w:rFonts w:ascii="Times New Roman" w:hAnsi="Times New Roman" w:cs="Times New Roman" w:eastAsia="Times New Roman" w:hint="default"/>
        </w:rPr>
        <w:t>9,681,830.25</w:t>
      </w:r>
      <w:r>
        <w:rPr/>
        <w:t>元确认为商誉。</w:t>
      </w:r>
    </w:p>
    <w:p>
      <w:pPr>
        <w:pStyle w:val="BodyText"/>
        <w:spacing w:line="264" w:lineRule="auto" w:before="5"/>
        <w:ind w:right="100"/>
        <w:jc w:val="left"/>
      </w:pPr>
      <w:r>
        <w:rPr/>
        <w:t>（</w:t>
      </w:r>
      <w:r>
        <w:rPr>
          <w:rFonts w:ascii="Times New Roman" w:hAnsi="Times New Roman" w:cs="Times New Roman" w:eastAsia="Times New Roman" w:hint="default"/>
        </w:rPr>
        <w:t>2</w:t>
      </w:r>
      <w:r>
        <w:rPr/>
        <w:t>）商誉减值测试的方法</w:t>
      </w:r>
      <w:r>
        <w:rPr>
          <w:w w:val="100"/>
        </w:rPr>
        <w:t> </w:t>
      </w:r>
      <w:r>
        <w:rPr>
          <w:spacing w:val="-5"/>
        </w:rPr>
        <w:t>分摊到某资产组的商誉（或者使用寿命不确定的无形资产）的账面价值占商誉账面价值总额的比例重大的，</w:t>
      </w:r>
      <w:r>
        <w:rPr>
          <w:spacing w:val="-4"/>
        </w:rPr>
        <w:t> </w:t>
      </w:r>
      <w:r>
        <w:rPr>
          <w:spacing w:val="-4"/>
        </w:rPr>
      </w:r>
      <w:r>
        <w:rPr>
          <w:spacing w:val="-2"/>
        </w:rPr>
        <w:t>应当按照《企业会计准则第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资产减值》的规定，在附注中披露分摊到该资产组的商誉的账面价值、</w:t>
      </w:r>
      <w:r>
        <w:rPr>
          <w:spacing w:val="-39"/>
        </w:rPr>
        <w:t> </w:t>
      </w:r>
      <w:r>
        <w:rPr>
          <w:spacing w:val="-39"/>
        </w:rPr>
      </w:r>
      <w:r>
        <w:rPr/>
        <w:t>该资产组可收回金额的确定方法等信息。在披露可收回金额确定方法时，如果可收回金额是按照资产组预</w:t>
      </w:r>
      <w:r>
        <w:rPr>
          <w:w w:val="100"/>
        </w:rPr>
        <w:t> </w:t>
      </w:r>
      <w:r>
        <w:rPr/>
        <w:t>计未来现金流量的限制确定的，应当披露：（</w:t>
      </w:r>
      <w:r>
        <w:rPr>
          <w:rFonts w:ascii="Times New Roman" w:hAnsi="Times New Roman" w:cs="Times New Roman" w:eastAsia="Times New Roman" w:hint="default"/>
        </w:rPr>
        <w:t>1</w:t>
      </w:r>
      <w:r>
        <w:rPr/>
        <w:t>）企业管理层预计未来现金流量的和关键假设及其依据；</w:t>
      </w:r>
    </w:p>
    <w:p>
      <w:pPr>
        <w:pStyle w:val="BodyText"/>
        <w:spacing w:line="264" w:lineRule="auto"/>
        <w:ind w:right="206"/>
        <w:jc w:val="both"/>
      </w:pPr>
      <w:r>
        <w:rPr/>
        <w:t>（</w:t>
      </w:r>
      <w:r>
        <w:rPr>
          <w:rFonts w:ascii="Times New Roman" w:hAnsi="Times New Roman" w:cs="Times New Roman" w:eastAsia="Times New Roman" w:hint="default"/>
        </w:rPr>
        <w:t>2</w:t>
      </w:r>
      <w:r>
        <w:rPr/>
        <w:t>）企业管理层在确定各关键假设相关的价值时，是否与企业历史经验或者外部信息来源相一致，如不</w:t>
      </w:r>
      <w:r>
        <w:rPr>
          <w:spacing w:val="-25"/>
        </w:rPr>
        <w:t> </w:t>
      </w:r>
      <w:r>
        <w:rPr>
          <w:spacing w:val="-25"/>
        </w:rPr>
      </w:r>
      <w:r>
        <w:rPr>
          <w:spacing w:val="-2"/>
        </w:rPr>
        <w:t>一致，应当说明理由；（</w:t>
      </w:r>
      <w:r>
        <w:rPr>
          <w:rFonts w:ascii="Times New Roman" w:hAnsi="Times New Roman" w:cs="Times New Roman" w:eastAsia="Times New Roman" w:hint="default"/>
          <w:spacing w:val="-2"/>
        </w:rPr>
        <w:t>3</w:t>
      </w:r>
      <w:r>
        <w:rPr>
          <w:spacing w:val="-2"/>
        </w:rPr>
        <w:t>）估计限制时所采用的折现率。除此之外，还应当被披露：（</w:t>
      </w:r>
      <w:r>
        <w:rPr>
          <w:rFonts w:ascii="Times New Roman" w:hAnsi="Times New Roman" w:cs="Times New Roman" w:eastAsia="Times New Roman" w:hint="default"/>
          <w:spacing w:val="-2"/>
        </w:rPr>
        <w:t>1</w:t>
      </w:r>
      <w:r>
        <w:rPr>
          <w:spacing w:val="-2"/>
        </w:rPr>
        <w:t>）根据企业管理</w:t>
      </w:r>
      <w:r>
        <w:rPr>
          <w:spacing w:val="-44"/>
        </w:rPr>
        <w:t> </w:t>
      </w:r>
      <w:r>
        <w:rPr>
          <w:spacing w:val="-44"/>
        </w:rPr>
      </w:r>
      <w:r>
        <w:rPr>
          <w:spacing w:val="-2"/>
        </w:rPr>
        <w:t>层批准的财务预算或预测所预计的未来现金流量的期间，如果该期间超过</w:t>
      </w:r>
      <w:r>
        <w:rPr>
          <w:rFonts w:ascii="Times New Roman" w:hAnsi="Times New Roman" w:cs="Times New Roman" w:eastAsia="Times New Roman" w:hint="default"/>
          <w:spacing w:val="-2"/>
        </w:rPr>
        <w:t>5</w:t>
      </w:r>
      <w:r>
        <w:rPr>
          <w:spacing w:val="-2"/>
        </w:rPr>
        <w:t>年，应当说明理由；（</w:t>
      </w:r>
      <w:r>
        <w:rPr>
          <w:rFonts w:ascii="Times New Roman" w:hAnsi="Times New Roman" w:cs="Times New Roman" w:eastAsia="Times New Roman" w:hint="default"/>
          <w:spacing w:val="-2"/>
        </w:rPr>
        <w:t>2</w:t>
      </w:r>
      <w:r>
        <w:rPr>
          <w:spacing w:val="-2"/>
        </w:rPr>
        <w:t>）用于</w:t>
      </w:r>
      <w:r>
        <w:rPr>
          <w:spacing w:val="-44"/>
        </w:rPr>
        <w:t> </w:t>
      </w:r>
      <w:r>
        <w:rPr>
          <w:spacing w:val="-44"/>
        </w:rPr>
      </w:r>
      <w:r>
        <w:rPr>
          <w:spacing w:val="-2"/>
        </w:rPr>
        <w:t>外推超过最近预算或预测期间现金流量的预计增长率，以及使用任何超过企业经营的产品、市场、所处的</w:t>
      </w:r>
      <w:r>
        <w:rPr>
          <w:spacing w:val="-43"/>
        </w:rPr>
        <w:t> </w:t>
      </w:r>
      <w:r>
        <w:rPr>
          <w:spacing w:val="-43"/>
        </w:rPr>
      </w:r>
      <w:r>
        <w:rPr>
          <w:spacing w:val="-2"/>
        </w:rPr>
        <w:t>行业或者所在国家或地区的长期平均增长率或者资产组（或资产组组合）所处市场的长期平均增长率的理</w:t>
      </w:r>
      <w:r>
        <w:rPr>
          <w:spacing w:val="-43"/>
        </w:rPr>
        <w:t> </w:t>
      </w:r>
      <w:r>
        <w:rPr>
          <w:spacing w:val="-43"/>
        </w:rPr>
      </w:r>
      <w:r>
        <w:rPr/>
        <w:t>由。</w:t>
      </w:r>
    </w:p>
    <w:p>
      <w:pPr>
        <w:pStyle w:val="BodyText"/>
        <w:spacing w:line="240" w:lineRule="auto" w:before="16"/>
        <w:ind w:right="0"/>
        <w:jc w:val="both"/>
      </w:pPr>
      <w:r>
        <w:rPr/>
        <w:t>公司对含商誉的相关资产组合进行了减值测试，未发现存在减值迹象。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6"/>
        <w:ind w:right="0"/>
        <w:jc w:val="both"/>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公司本部大楼装 修款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554,770.83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190,207.20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364,563.63</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分子公司装修款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513,457.15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1,134,455.00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595,611.54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1,052,300.61</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1,068,227.98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1,134,455.00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785,818.74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1,416,864.24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8214" w:firstLine="0"/>
        <w:jc w:val="left"/>
        <w:rPr>
          <w:rFonts w:ascii="宋体" w:hAnsi="宋体" w:cs="宋体" w:eastAsia="宋体" w:hint="default"/>
          <w:sz w:val="18"/>
          <w:szCs w:val="18"/>
        </w:rPr>
      </w:pPr>
      <w:r>
        <w:rPr>
          <w:rFonts w:ascii="宋体" w:hAnsi="宋体" w:cs="宋体" w:eastAsia="宋体" w:hint="default"/>
          <w:sz w:val="18"/>
          <w:szCs w:val="18"/>
        </w:rPr>
        <w:t>长期待摊费用的说明 无</w:t>
      </w:r>
    </w:p>
    <w:p>
      <w:pPr>
        <w:spacing w:after="0" w:line="357" w:lineRule="auto"/>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4"/>
        <w:gridCol w:w="2924"/>
        <w:gridCol w:w="2921"/>
      </w:tblGrid>
      <w:tr>
        <w:trPr>
          <w:trHeight w:val="408"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458,926.05</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150,229.74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150,597.81</w:t>
            </w:r>
          </w:p>
        </w:tc>
      </w:tr>
      <w:tr>
        <w:trPr>
          <w:trHeight w:val="404"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可结转的税款抵减</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21,527.83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17,440.89</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171,757.57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626,964.75</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13"/>
        <w:gridCol w:w="2922"/>
        <w:gridCol w:w="2921"/>
      </w:tblGrid>
      <w:tr>
        <w:trPr>
          <w:trHeight w:val="403" w:hRule="exact"/>
        </w:trPr>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6"/>
        <w:gridCol w:w="2258"/>
        <w:gridCol w:w="2007"/>
        <w:gridCol w:w="3297"/>
      </w:tblGrid>
      <w:tr>
        <w:trPr>
          <w:trHeight w:val="40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0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9"/>
        <w:gridCol w:w="2931"/>
        <w:gridCol w:w="2776"/>
      </w:tblGrid>
      <w:tr>
        <w:trPr>
          <w:trHeight w:val="206" w:hRule="exact"/>
        </w:trPr>
        <w:tc>
          <w:tcPr>
            <w:tcW w:w="3839" w:type="dxa"/>
            <w:tcBorders>
              <w:top w:val="single" w:sz="4" w:space="0" w:color="000000"/>
              <w:left w:val="single" w:sz="4" w:space="0" w:color="000000"/>
              <w:bottom w:val="nil" w:sz="6" w:space="0" w:color="auto"/>
              <w:right w:val="single" w:sz="4" w:space="0" w:color="000000"/>
            </w:tcBorders>
            <w:shd w:val="clear" w:color="auto" w:fill="D2D2D2"/>
          </w:tcPr>
          <w:p>
            <w:pPr/>
          </w:p>
        </w:tc>
        <w:tc>
          <w:tcPr>
            <w:tcW w:w="57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192" w:hRule="exact"/>
        </w:trPr>
        <w:tc>
          <w:tcPr>
            <w:tcW w:w="38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570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839" w:type="dxa"/>
            <w:vMerge/>
            <w:tcBorders>
              <w:left w:val="single" w:sz="4" w:space="0" w:color="000000"/>
              <w:bottom w:val="nil" w:sz="6" w:space="0" w:color="auto"/>
              <w:right w:val="single" w:sz="4" w:space="0" w:color="000000"/>
            </w:tcBorders>
            <w:shd w:val="clear" w:color="auto" w:fill="D2D2D2"/>
          </w:tcPr>
          <w:p>
            <w:pPr/>
          </w:p>
        </w:tc>
        <w:tc>
          <w:tcPr>
            <w:tcW w:w="2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211" w:hRule="exact"/>
        </w:trPr>
        <w:tc>
          <w:tcPr>
            <w:tcW w:w="383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31" w:type="dxa"/>
            <w:vMerge/>
            <w:tcBorders>
              <w:left w:val="single" w:sz="4" w:space="0" w:color="000000"/>
              <w:bottom w:val="single" w:sz="4" w:space="0" w:color="000000"/>
              <w:right w:val="single" w:sz="4" w:space="0" w:color="000000"/>
            </w:tcBorders>
            <w:shd w:val="clear" w:color="auto" w:fill="D2D2D2"/>
          </w:tcPr>
          <w:p>
            <w:pPr/>
          </w:p>
        </w:tc>
        <w:tc>
          <w:tcPr>
            <w:tcW w:w="2776"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396" w:hRule="exact"/>
        </w:trPr>
        <w:tc>
          <w:tcPr>
            <w:tcW w:w="95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8"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1"/>
        <w:gridCol w:w="1626"/>
        <w:gridCol w:w="1628"/>
        <w:gridCol w:w="1628"/>
        <w:gridCol w:w="1616"/>
      </w:tblGrid>
      <w:tr>
        <w:trPr>
          <w:trHeight w:val="31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777" w:right="0"/>
              <w:jc w:val="left"/>
              <w:rPr>
                <w:rFonts w:ascii="Times New Roman" w:hAnsi="Times New Roman" w:cs="Times New Roman" w:eastAsia="Times New Roman" w:hint="default"/>
                <w:sz w:val="18"/>
                <w:szCs w:val="18"/>
              </w:rPr>
            </w:pPr>
            <w:r>
              <w:rPr>
                <w:rFonts w:ascii="Times New Roman"/>
                <w:sz w:val="18"/>
              </w:rPr>
              <w:t>171,757.57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3" w:right="0"/>
              <w:jc w:val="left"/>
              <w:rPr>
                <w:rFonts w:ascii="Times New Roman" w:hAnsi="Times New Roman" w:cs="Times New Roman" w:eastAsia="Times New Roman" w:hint="default"/>
                <w:sz w:val="18"/>
                <w:szCs w:val="18"/>
              </w:rPr>
            </w:pPr>
            <w:r>
              <w:rPr>
                <w:rFonts w:ascii="Times New Roman"/>
                <w:sz w:val="18"/>
              </w:rPr>
              <w:t>626,964.75</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pStyle w:val="BodyText"/>
        <w:spacing w:line="240" w:lineRule="auto" w:before="94"/>
        <w:ind w:right="0"/>
        <w:jc w:val="left"/>
      </w:pPr>
      <w:r>
        <w:rPr/>
        <w:t>系子公司美国万达信息有限公司（</w:t>
      </w:r>
      <w:r>
        <w:rPr>
          <w:rFonts w:ascii="Times New Roman" w:hAnsi="Times New Roman" w:cs="Times New Roman" w:eastAsia="Times New Roman" w:hint="default"/>
        </w:rPr>
        <w:t>Wonders Info</w:t>
      </w:r>
      <w:r>
        <w:rPr>
          <w:rFonts w:ascii="Times New Roman" w:hAnsi="Times New Roman" w:cs="Times New Roman" w:eastAsia="Times New Roman" w:hint="default"/>
          <w:spacing w:val="-12"/>
        </w:rPr>
        <w:t> </w:t>
      </w:r>
      <w:r>
        <w:rPr>
          <w:rFonts w:ascii="Times New Roman" w:hAnsi="Times New Roman" w:cs="Times New Roman" w:eastAsia="Times New Roman" w:hint="default"/>
        </w:rPr>
        <w:t>Corp.</w:t>
      </w:r>
      <w:r>
        <w:rPr/>
        <w:t>）账面根据美国联邦及加利福尼亚州利得税率确认。</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4"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6,807,511.56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1,760,979.36</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8,568,490.92</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6,807,511.56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1,760,979.36</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8,568,490.92</w:t>
            </w:r>
          </w:p>
        </w:tc>
      </w:tr>
    </w:tbl>
    <w:p>
      <w:pPr>
        <w:spacing w:line="360" w:lineRule="auto" w:before="49"/>
        <w:ind w:left="152" w:right="7794"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40" w:lineRule="auto" w:before="96"/>
        <w:ind w:right="0"/>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日不存在已到期未偿还的短期借款。</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3654" w:firstLine="0"/>
        <w:jc w:val="left"/>
        <w:rPr>
          <w:rFonts w:ascii="宋体" w:hAnsi="宋体" w:cs="宋体" w:eastAsia="宋体" w:hint="default"/>
          <w:sz w:val="18"/>
          <w:szCs w:val="18"/>
        </w:rPr>
      </w:pPr>
      <w:r>
        <w:rPr>
          <w:rFonts w:ascii="宋体" w:hAnsi="宋体" w:cs="宋体" w:eastAsia="宋体" w:hint="default"/>
          <w:sz w:val="18"/>
          <w:szCs w:val="18"/>
        </w:rPr>
        <w:t>短期借款的说明，包括已到期短期借款获展期的，说明展期条件、新的到期日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974" w:firstLine="0"/>
        <w:jc w:val="left"/>
        <w:rPr>
          <w:rFonts w:ascii="宋体" w:hAnsi="宋体" w:cs="宋体" w:eastAsia="宋体" w:hint="default"/>
          <w:sz w:val="18"/>
          <w:szCs w:val="18"/>
        </w:rPr>
      </w:pPr>
      <w:r>
        <w:rPr>
          <w:rFonts w:ascii="宋体" w:hAnsi="宋体" w:cs="宋体" w:eastAsia="宋体" w:hint="default"/>
          <w:sz w:val="18"/>
          <w:szCs w:val="18"/>
        </w:rPr>
        <w:t>交易性金融负债的说明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7,631,240.00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7,631,240.00</w:t>
            </w:r>
          </w:p>
        </w:tc>
      </w:tr>
    </w:tbl>
    <w:p>
      <w:pPr>
        <w:spacing w:line="338" w:lineRule="auto" w:before="49"/>
        <w:ind w:left="152" w:right="6848"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应付票据的说明</w:t>
      </w:r>
    </w:p>
    <w:p>
      <w:pPr>
        <w:spacing w:before="43"/>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应付项目采购款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16,482,963.90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25,016,811.64</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应付设备款、工程款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896,060.78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2,211,400.94</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17,379,024.68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27,228,212.58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line="506" w:lineRule="auto" w:before="36"/>
        <w:ind w:left="152" w:right="545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）账龄超过一年的大额应付账款情况的说明</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期末数中无账龄超过一年的大额应付账款。</w:t>
      </w:r>
    </w:p>
    <w:p>
      <w:pPr>
        <w:spacing w:after="0" w:line="506"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0"/>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预收销售款</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10,835,836.27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7,880,780.33</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10,835,836.27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7,880,780.33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3"/>
        <w:gridCol w:w="2802"/>
        <w:gridCol w:w="2921"/>
      </w:tblGrid>
      <w:tr>
        <w:trPr>
          <w:trHeight w:val="401" w:hRule="exact"/>
        </w:trPr>
        <w:tc>
          <w:tcPr>
            <w:tcW w:w="3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line="506" w:lineRule="auto"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）账龄超过一年的大额预收账款情况的说明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期末数中一年以上的款项主要系跨年度尚未开发完毕项目预收款。</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4"/>
        <w:gridCol w:w="1874"/>
        <w:gridCol w:w="1992"/>
        <w:gridCol w:w="2259"/>
        <w:gridCol w:w="1860"/>
      </w:tblGrid>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122,751,422.59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122,751,422.59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267,322.78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267,322.78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19,301.59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9,917,446.00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9,859,765.99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76,981.60</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12,276,235.72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12,247,942.72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28,414.00</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17,443.78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1,099,529.03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1,099,529.03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17,443.78</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36,866.37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146,311,956.12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146,225,983.11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122,839.38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38" w:lineRule="auto" w:before="103"/>
        <w:ind w:left="152" w:right="1092"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1,099,529.03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元，非货币性福利金额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元，因解除劳动关系给予补偿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应付职工薪酬预计发放时间、金额等安排</w:t>
      </w:r>
    </w:p>
    <w:p>
      <w:pPr>
        <w:spacing w:before="43"/>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1,236,993.28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2,951,571.57</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1,095,652.63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7,922,327.95</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16,939,694.27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12,632,816.06</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777,511.22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575,513.41</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171,703.81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722,472.01</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Times New Roman" w:hAnsi="Times New Roman" w:cs="Times New Roman" w:eastAsia="Times New Roman" w:hint="default"/>
                <w:sz w:val="18"/>
                <w:szCs w:val="18"/>
              </w:rPr>
              <w:t>\</w:t>
            </w: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145,569.04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543,112.26</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28,560.33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108,739.02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20,395,684.58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25,456,682.28</w:t>
            </w:r>
          </w:p>
        </w:tc>
      </w:tr>
    </w:tbl>
    <w:p>
      <w:pPr>
        <w:spacing w:line="360" w:lineRule="auto" w:before="49"/>
        <w:ind w:left="152" w:right="1494"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应付利息说明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8514" w:firstLine="0"/>
        <w:jc w:val="left"/>
        <w:rPr>
          <w:rFonts w:ascii="宋体" w:hAnsi="宋体" w:cs="宋体" w:eastAsia="宋体" w:hint="default"/>
          <w:sz w:val="18"/>
          <w:szCs w:val="18"/>
        </w:rPr>
      </w:pPr>
      <w:r>
        <w:rPr>
          <w:rFonts w:ascii="宋体" w:hAnsi="宋体" w:cs="宋体" w:eastAsia="宋体" w:hint="default"/>
          <w:sz w:val="18"/>
          <w:szCs w:val="18"/>
        </w:rPr>
        <w:t>应付股利的说明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科技三项经费</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18,938,510.87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13,434,727.31</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押金性质款项及其他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13,343,063.11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10,439,761.07</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32,281,573.98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23,874,488.38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1"/>
        <w:gridCol w:w="3069"/>
        <w:gridCol w:w="2789"/>
      </w:tblGrid>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506" w:lineRule="auto" w:before="120"/>
        <w:ind w:right="5454"/>
        <w:jc w:val="left"/>
        <w:rPr>
          <w:b w:val="0"/>
          <w:bCs w:val="0"/>
        </w:rPr>
      </w:pPr>
      <w:r>
        <w:rPr/>
        <w:pict>
          <v:shape style="position:absolute;margin-left:84.624001pt;margin-top:52.853691pt;width:427.2pt;height:120.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43"/>
                    <w:gridCol w:w="1171"/>
                    <w:gridCol w:w="1388"/>
                    <w:gridCol w:w="1320"/>
                  </w:tblGrid>
                  <w:tr>
                    <w:trPr>
                      <w:trHeight w:val="348" w:hRule="exact"/>
                    </w:trPr>
                    <w:tc>
                      <w:tcPr>
                        <w:tcW w:w="4643" w:type="dxa"/>
                        <w:tcBorders>
                          <w:top w:val="single" w:sz="6" w:space="0" w:color="000000"/>
                          <w:left w:val="single" w:sz="6" w:space="0" w:color="000000"/>
                          <w:bottom w:val="single" w:sz="6" w:space="0" w:color="000000"/>
                          <w:right w:val="single" w:sz="6" w:space="0" w:color="000000"/>
                        </w:tcBorders>
                      </w:tcPr>
                      <w:p>
                        <w:pPr>
                          <w:pStyle w:val="TableParagraph"/>
                          <w:tabs>
                            <w:tab w:pos="540"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7"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8" w:hRule="exact"/>
                    </w:trPr>
                    <w:tc>
                      <w:tcPr>
                        <w:tcW w:w="4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重大疾病临床生物样本库信息共享服务系统</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4,000,000.00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科技三项经费</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项目尚未完工</w:t>
                        </w:r>
                      </w:p>
                    </w:tc>
                  </w:tr>
                  <w:tr>
                    <w:trPr>
                      <w:trHeight w:val="346" w:hRule="exact"/>
                    </w:trPr>
                    <w:tc>
                      <w:tcPr>
                        <w:tcW w:w="4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基于区域医疗大数据的数据挖掘技术与示范应</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2,000,000.00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科技三项经费</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项目尚未完工</w:t>
                        </w:r>
                      </w:p>
                    </w:tc>
                  </w:tr>
                  <w:tr>
                    <w:trPr>
                      <w:trHeight w:val="348" w:hRule="exact"/>
                    </w:trPr>
                    <w:tc>
                      <w:tcPr>
                        <w:tcW w:w="4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数字会议系统和因公出国或赴港澳任务审批系统</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1,780,000.00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科技三项经费</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项目尚未完工</w:t>
                        </w:r>
                      </w:p>
                    </w:tc>
                  </w:tr>
                  <w:tr>
                    <w:trPr>
                      <w:trHeight w:val="346" w:hRule="exact"/>
                    </w:trPr>
                    <w:tc>
                      <w:tcPr>
                        <w:tcW w:w="4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跨区域医疗医保协同服务系统研发</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1,714,884.00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科技三项经费</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项目尚未完工</w:t>
                        </w:r>
                      </w:p>
                    </w:tc>
                  </w:tr>
                  <w:tr>
                    <w:trPr>
                      <w:trHeight w:val="660" w:hRule="exact"/>
                    </w:trPr>
                    <w:tc>
                      <w:tcPr>
                        <w:tcW w:w="46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4"/>
                            <w:sz w:val="18"/>
                            <w:szCs w:val="18"/>
                          </w:rPr>
                          <w:t>技术创新服务平台和专业技术服务平台年报与评估系统建 </w:t>
                        </w:r>
                        <w:r>
                          <w:rPr>
                            <w:rFonts w:ascii="宋体" w:hAnsi="宋体" w:cs="宋体" w:eastAsia="宋体" w:hint="default"/>
                            <w:sz w:val="18"/>
                            <w:szCs w:val="18"/>
                          </w:rPr>
                          <w:t>设</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1,220,000.00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科技三项经费</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项目尚未完工</w:t>
                        </w:r>
                      </w:p>
                    </w:tc>
                  </w:tr>
                </w:tbl>
                <w:p>
                  <w:pPr/>
                </w:p>
              </w:txbxContent>
            </v:textbox>
            <w10:wrap type="none"/>
          </v:shape>
        </w:pict>
      </w:r>
      <w:r>
        <w:rPr>
          <w:spacing w:val="-1"/>
        </w:rPr>
        <w:t>（</w:t>
      </w:r>
      <w:r>
        <w:rPr>
          <w:rFonts w:ascii="Times New Roman" w:hAnsi="Times New Roman" w:cs="Times New Roman" w:eastAsia="Times New Roman" w:hint="default"/>
          <w:spacing w:val="-1"/>
        </w:rPr>
        <w:t>4</w:t>
      </w:r>
      <w:r>
        <w:rPr>
          <w:spacing w:val="-1"/>
        </w:rPr>
        <w:t>）金额较大的其他应付款说明内容</w:t>
      </w:r>
      <w:r>
        <w:rPr>
          <w:spacing w:val="-90"/>
        </w:rPr>
        <w:t> </w:t>
      </w:r>
      <w:r>
        <w:rPr>
          <w:spacing w:val="-90"/>
        </w:rPr>
      </w:r>
      <w:r>
        <w:rPr/>
        <w:t>期末数中金额较大的其他应付款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预计负债说明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年内到期的长期借款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2,619,525.80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2,619,525.80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2,619,525.80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2,619,525.80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338" w:lineRule="auto" w:before="49"/>
        <w:ind w:left="152" w:right="-16"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一年内到期的长期借款中属于逾期借款获得展期的金额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240" w:space="3589"/>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6"/>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汇丰银行上 海分行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sz w:val="18"/>
              </w:rPr>
              <w:t>6.27%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2,619,525.80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2,619,525.80</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48" w:lineRule="auto" w:before="49"/>
        <w:ind w:left="152" w:right="6668"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一年内到期的长期借款中的逾期借款 资产负债表日后已偿还的金额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一年内到期的长期借款说明</w:t>
      </w:r>
    </w:p>
    <w:p>
      <w:pPr>
        <w:spacing w:before="36"/>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614" w:firstLine="0"/>
        <w:jc w:val="left"/>
        <w:rPr>
          <w:rFonts w:ascii="宋体" w:hAnsi="宋体" w:cs="宋体" w:eastAsia="宋体" w:hint="default"/>
          <w:sz w:val="18"/>
          <w:szCs w:val="18"/>
        </w:rPr>
      </w:pPr>
      <w:r>
        <w:rPr>
          <w:rFonts w:ascii="宋体" w:hAnsi="宋体" w:cs="宋体" w:eastAsia="宋体" w:hint="default"/>
          <w:sz w:val="18"/>
          <w:szCs w:val="18"/>
        </w:rPr>
        <w:t>一年内到期的应付债券说明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254" w:firstLine="0"/>
        <w:jc w:val="left"/>
        <w:rPr>
          <w:rFonts w:ascii="宋体" w:hAnsi="宋体" w:cs="宋体" w:eastAsia="宋体" w:hint="default"/>
          <w:sz w:val="18"/>
          <w:szCs w:val="18"/>
        </w:rPr>
      </w:pPr>
      <w:r>
        <w:rPr>
          <w:rFonts w:ascii="宋体" w:hAnsi="宋体" w:cs="宋体" w:eastAsia="宋体" w:hint="default"/>
          <w:sz w:val="18"/>
          <w:szCs w:val="18"/>
        </w:rPr>
        <w:t>一年内到期的长期应付款的说明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8334" w:firstLine="0"/>
        <w:jc w:val="left"/>
        <w:rPr>
          <w:rFonts w:ascii="宋体" w:hAnsi="宋体" w:cs="宋体" w:eastAsia="宋体" w:hint="default"/>
          <w:sz w:val="18"/>
          <w:szCs w:val="18"/>
        </w:rPr>
      </w:pPr>
      <w:r>
        <w:rPr>
          <w:rFonts w:ascii="宋体" w:hAnsi="宋体" w:cs="宋体" w:eastAsia="宋体" w:hint="default"/>
          <w:sz w:val="18"/>
          <w:szCs w:val="18"/>
        </w:rPr>
        <w:t>其他流动负债说明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2,860,474.20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2,860,474.20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6"/>
        <w:gridCol w:w="1063"/>
        <w:gridCol w:w="1063"/>
        <w:gridCol w:w="1066"/>
        <w:gridCol w:w="1056"/>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汇丰银行上 海分行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2,860,474.20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2,860,474.20</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49"/>
        <w:ind w:left="152" w:right="1134"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5094" w:firstLine="0"/>
        <w:jc w:val="left"/>
        <w:rPr>
          <w:rFonts w:ascii="宋体" w:hAnsi="宋体" w:cs="宋体" w:eastAsia="宋体" w:hint="default"/>
          <w:sz w:val="18"/>
          <w:szCs w:val="18"/>
        </w:rPr>
      </w:pPr>
      <w:r>
        <w:rPr>
          <w:rFonts w:ascii="宋体" w:hAnsi="宋体" w:cs="宋体" w:eastAsia="宋体" w:hint="default"/>
          <w:sz w:val="18"/>
          <w:szCs w:val="18"/>
        </w:rPr>
        <w:t>应付债券说明，包括可转换公司债券的转股条件、转股时间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27"/>
        <w:gridCol w:w="1716"/>
        <w:gridCol w:w="1727"/>
        <w:gridCol w:w="1593"/>
        <w:gridCol w:w="1583"/>
      </w:tblGrid>
      <w:tr>
        <w:trPr>
          <w:trHeight w:val="206" w:hRule="exact"/>
        </w:trPr>
        <w:tc>
          <w:tcPr>
            <w:tcW w:w="2927" w:type="dxa"/>
            <w:tcBorders>
              <w:top w:val="single" w:sz="4" w:space="0" w:color="000000"/>
              <w:left w:val="single" w:sz="4" w:space="0" w:color="000000"/>
              <w:bottom w:val="nil" w:sz="6" w:space="0" w:color="auto"/>
              <w:right w:val="single" w:sz="4" w:space="0" w:color="000000"/>
            </w:tcBorders>
            <w:shd w:val="clear" w:color="auto" w:fill="D2D2D2"/>
          </w:tcPr>
          <w:p>
            <w:pPr/>
          </w:p>
        </w:tc>
        <w:tc>
          <w:tcPr>
            <w:tcW w:w="34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9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9"/>
              <w:jc w:val="center"/>
              <w:rPr>
                <w:rFonts w:ascii="宋体" w:hAnsi="宋体" w:cs="宋体" w:eastAsia="宋体" w:hint="default"/>
                <w:sz w:val="18"/>
                <w:szCs w:val="18"/>
              </w:rPr>
            </w:pPr>
            <w:r>
              <w:rPr>
                <w:rFonts w:ascii="宋体" w:hAnsi="宋体" w:cs="宋体" w:eastAsia="宋体" w:hint="default"/>
                <w:sz w:val="18"/>
                <w:szCs w:val="18"/>
              </w:rPr>
              <w:t>单位</w:t>
            </w:r>
          </w:p>
        </w:tc>
        <w:tc>
          <w:tcPr>
            <w:tcW w:w="3443" w:type="dxa"/>
            <w:gridSpan w:val="2"/>
            <w:vMerge/>
            <w:tcBorders>
              <w:left w:val="single" w:sz="4" w:space="0" w:color="000000"/>
              <w:bottom w:val="single" w:sz="4" w:space="0" w:color="000000"/>
              <w:right w:val="single" w:sz="4" w:space="0" w:color="000000"/>
            </w:tcBorders>
            <w:shd w:val="clear" w:color="auto" w:fill="D2D2D2"/>
          </w:tcPr>
          <w:p>
            <w:pPr/>
          </w:p>
        </w:tc>
        <w:tc>
          <w:tcPr>
            <w:tcW w:w="317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927" w:type="dxa"/>
            <w:vMerge/>
            <w:tcBorders>
              <w:left w:val="single" w:sz="4" w:space="0" w:color="000000"/>
              <w:bottom w:val="nil" w:sz="6" w:space="0" w:color="auto"/>
              <w:right w:val="single" w:sz="4" w:space="0" w:color="000000"/>
            </w:tcBorders>
            <w:shd w:val="clear" w:color="auto" w:fill="D2D2D2"/>
          </w:tcPr>
          <w:p>
            <w:pPr/>
          </w:p>
        </w:tc>
        <w:tc>
          <w:tcPr>
            <w:tcW w:w="1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sz w:val="18"/>
                <w:szCs w:val="18"/>
              </w:rPr>
              <w:t>外币</w:t>
            </w:r>
          </w:p>
        </w:tc>
        <w:tc>
          <w:tcPr>
            <w:tcW w:w="1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外币</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r>
        <w:trPr>
          <w:trHeight w:val="206" w:hRule="exact"/>
        </w:trPr>
        <w:tc>
          <w:tcPr>
            <w:tcW w:w="29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6" w:type="dxa"/>
            <w:vMerge/>
            <w:tcBorders>
              <w:left w:val="single" w:sz="4" w:space="0" w:color="000000"/>
              <w:bottom w:val="single" w:sz="4" w:space="0" w:color="000000"/>
              <w:right w:val="single" w:sz="4" w:space="0" w:color="000000"/>
            </w:tcBorders>
            <w:shd w:val="clear" w:color="auto" w:fill="D2D2D2"/>
          </w:tcPr>
          <w:p>
            <w:pPr/>
          </w:p>
        </w:tc>
        <w:tc>
          <w:tcPr>
            <w:tcW w:w="1727" w:type="dxa"/>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6" w:type="dxa"/>
            <w:tcBorders>
              <w:top w:val="single" w:sz="4" w:space="0" w:color="000000"/>
              <w:left w:val="single" w:sz="10" w:space="0" w:color="D2D2D2"/>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93"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5814" w:firstLine="0"/>
        <w:jc w:val="left"/>
        <w:rPr>
          <w:rFonts w:ascii="宋体" w:hAnsi="宋体" w:cs="宋体" w:eastAsia="宋体" w:hint="default"/>
          <w:sz w:val="18"/>
          <w:szCs w:val="18"/>
        </w:rPr>
      </w:pPr>
      <w:r>
        <w:rPr>
          <w:rFonts w:ascii="宋体" w:hAnsi="宋体" w:cs="宋体" w:eastAsia="宋体" w:hint="default"/>
          <w:sz w:val="18"/>
          <w:szCs w:val="18"/>
        </w:rPr>
        <w:t>由独立第三方为公司融资租赁提供担保的金额元。 长期应付款的说明</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8514" w:firstLine="0"/>
        <w:jc w:val="left"/>
        <w:rPr>
          <w:rFonts w:ascii="宋体" w:hAnsi="宋体" w:cs="宋体" w:eastAsia="宋体" w:hint="default"/>
          <w:sz w:val="18"/>
          <w:szCs w:val="18"/>
        </w:rPr>
      </w:pPr>
      <w:r>
        <w:rPr>
          <w:rFonts w:ascii="宋体" w:hAnsi="宋体" w:cs="宋体" w:eastAsia="宋体" w:hint="default"/>
          <w:sz w:val="18"/>
          <w:szCs w:val="18"/>
        </w:rPr>
        <w:t>专项应付款说明 无</w:t>
      </w:r>
    </w:p>
    <w:p>
      <w:pPr>
        <w:spacing w:after="0" w:line="36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0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递延收益－政府补助</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6,138,250.00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6,138,250.00</w:t>
            </w:r>
          </w:p>
        </w:tc>
      </w:tr>
    </w:tbl>
    <w:p>
      <w:pPr>
        <w:spacing w:before="49"/>
        <w:ind w:left="152" w:right="100"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pStyle w:val="BodyText"/>
        <w:spacing w:line="240" w:lineRule="auto" w:before="94"/>
        <w:ind w:right="100"/>
        <w:jc w:val="left"/>
      </w:pPr>
      <w:r>
        <w:rPr/>
        <w:t>递延收益明细如下</w:t>
      </w:r>
    </w:p>
    <w:p>
      <w:pPr>
        <w:spacing w:line="240" w:lineRule="auto" w:before="10"/>
        <w:rPr>
          <w:rFonts w:ascii="宋体" w:hAnsi="宋体" w:cs="宋体" w:eastAsia="宋体" w:hint="default"/>
          <w:sz w:val="3"/>
          <w:szCs w:val="3"/>
        </w:rPr>
      </w:pPr>
    </w:p>
    <w:tbl>
      <w:tblPr>
        <w:tblW w:w="0" w:type="auto"/>
        <w:jc w:val="left"/>
        <w:tblInd w:w="755" w:type="dxa"/>
        <w:tblLayout w:type="fixed"/>
        <w:tblCellMar>
          <w:top w:w="0" w:type="dxa"/>
          <w:left w:w="0" w:type="dxa"/>
          <w:bottom w:w="0" w:type="dxa"/>
          <w:right w:w="0" w:type="dxa"/>
        </w:tblCellMar>
        <w:tblLook w:val="01E0"/>
      </w:tblPr>
      <w:tblGrid>
        <w:gridCol w:w="5348"/>
        <w:gridCol w:w="1555"/>
        <w:gridCol w:w="1561"/>
      </w:tblGrid>
      <w:tr>
        <w:trPr>
          <w:trHeight w:val="348" w:hRule="exact"/>
        </w:trPr>
        <w:tc>
          <w:tcPr>
            <w:tcW w:w="5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6" w:hRule="exact"/>
        </w:trPr>
        <w:tc>
          <w:tcPr>
            <w:tcW w:w="5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万达面向电子政务领域的应急管理系统</w:t>
            </w:r>
            <w:r>
              <w:rPr>
                <w:rFonts w:ascii="Times New Roman" w:hAnsi="Times New Roman" w:cs="Times New Roman" w:eastAsia="Times New Roman" w:hint="default"/>
                <w:sz w:val="18"/>
                <w:szCs w:val="18"/>
              </w:rPr>
              <w:t>V4.0</w:t>
            </w:r>
            <w:r>
              <w:rPr>
                <w:rFonts w:ascii="宋体" w:hAnsi="宋体" w:cs="宋体" w:eastAsia="宋体" w:hint="default"/>
                <w:sz w:val="18"/>
                <w:szCs w:val="18"/>
              </w:rPr>
              <w:t>产品研发和产业化</w:t>
            </w:r>
          </w:p>
        </w:tc>
        <w:tc>
          <w:tcPr>
            <w:tcW w:w="155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4,438,250.00</w:t>
            </w:r>
          </w:p>
        </w:tc>
      </w:tr>
      <w:tr>
        <w:trPr>
          <w:trHeight w:val="349" w:hRule="exact"/>
        </w:trPr>
        <w:tc>
          <w:tcPr>
            <w:tcW w:w="5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上海市医疗废物收运管理系统示范工程</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5,200,000.00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1,700,000.00</w:t>
            </w:r>
          </w:p>
        </w:tc>
      </w:tr>
      <w:tr>
        <w:trPr>
          <w:trHeight w:val="348" w:hRule="exact"/>
        </w:trPr>
        <w:tc>
          <w:tcPr>
            <w:tcW w:w="5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经信委创新社会管理平台研发</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1,800,000.00</w:t>
            </w: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发改委云计算软件和整体解决方案配套资金</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24,860,000.00</w:t>
            </w: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31,860,000.00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6,138,250.00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before="36"/>
        <w:ind w:right="100"/>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10"/>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120,000,000.00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120,000,000.00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240,000,000.00</w:t>
            </w:r>
          </w:p>
        </w:tc>
      </w:tr>
    </w:tbl>
    <w:p>
      <w:pPr>
        <w:spacing w:before="49"/>
        <w:ind w:left="152" w:right="10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p>
      <w:pPr>
        <w:spacing w:before="60"/>
        <w:ind w:left="152" w:right="100"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56" w:lineRule="auto"/>
        <w:ind w:right="100"/>
        <w:jc w:val="left"/>
      </w:pPr>
      <w:r>
        <w:rPr/>
        <w:t>根据公司</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3 </w:t>
      </w:r>
      <w:r>
        <w:rPr/>
        <w:t>日召开的</w:t>
      </w:r>
      <w:r>
        <w:rPr>
          <w:rFonts w:ascii="Times New Roman" w:hAnsi="Times New Roman" w:cs="Times New Roman" w:eastAsia="Times New Roman" w:hint="default"/>
        </w:rPr>
        <w:t>2012 </w:t>
      </w:r>
      <w:r>
        <w:rPr/>
        <w:t>年第二次临时股东大会审议通过：以公司原有总股本</w:t>
      </w:r>
      <w:r>
        <w:rPr>
          <w:rFonts w:ascii="Times New Roman" w:hAnsi="Times New Roman" w:cs="Times New Roman" w:eastAsia="Times New Roman" w:hint="default"/>
        </w:rPr>
        <w:t>120,000,000</w:t>
      </w:r>
      <w:r>
        <w:rPr>
          <w:rFonts w:ascii="Times New Roman" w:hAnsi="Times New Roman" w:cs="Times New Roman" w:eastAsia="Times New Roman" w:hint="default"/>
          <w:spacing w:val="25"/>
        </w:rPr>
        <w:t> </w:t>
      </w:r>
      <w:r>
        <w:rPr/>
        <w:t>股</w:t>
      </w:r>
      <w:r>
        <w:rPr>
          <w:w w:val="100"/>
        </w:rPr>
        <w:t> </w:t>
      </w:r>
      <w:r>
        <w:rPr>
          <w:spacing w:val="-3"/>
        </w:rPr>
        <w:t>为基数，以资本公积金向全体股东每</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36"/>
        </w:rPr>
        <w:t> </w:t>
      </w:r>
      <w:r>
        <w:rPr/>
        <w:t>股转增</w:t>
      </w:r>
      <w:r>
        <w:rPr>
          <w:rFonts w:ascii="Times New Roman" w:hAnsi="Times New Roman" w:cs="Times New Roman" w:eastAsia="Times New Roman" w:hint="default"/>
        </w:rPr>
        <w:t>10</w:t>
      </w:r>
      <w:r>
        <w:rPr>
          <w:rFonts w:ascii="Times New Roman" w:hAnsi="Times New Roman" w:cs="Times New Roman" w:eastAsia="Times New Roman" w:hint="default"/>
          <w:spacing w:val="33"/>
        </w:rPr>
        <w:t> </w:t>
      </w:r>
      <w:r>
        <w:rPr/>
        <w:t>股。分红前本公司总股本为</w:t>
      </w:r>
      <w:r>
        <w:rPr>
          <w:rFonts w:ascii="Times New Roman" w:hAnsi="Times New Roman" w:cs="Times New Roman" w:eastAsia="Times New Roman" w:hint="default"/>
        </w:rPr>
        <w:t>120,000,000</w:t>
      </w:r>
      <w:r>
        <w:rPr>
          <w:rFonts w:ascii="Times New Roman" w:hAnsi="Times New Roman" w:cs="Times New Roman" w:eastAsia="Times New Roman" w:hint="default"/>
          <w:spacing w:val="36"/>
        </w:rPr>
        <w:t> </w:t>
      </w:r>
      <w:r>
        <w:rPr>
          <w:spacing w:val="-5"/>
        </w:rPr>
        <w:t>股，分红后总股</w:t>
      </w:r>
      <w:r>
        <w:rPr>
          <w:spacing w:val="-99"/>
        </w:rPr>
        <w:t> </w:t>
      </w:r>
      <w:r>
        <w:rPr>
          <w:spacing w:val="-99"/>
        </w:rPr>
      </w:r>
      <w:r>
        <w:rPr>
          <w:spacing w:val="-1"/>
        </w:rPr>
        <w:t>本增至</w:t>
      </w:r>
      <w:r>
        <w:rPr>
          <w:rFonts w:ascii="Times New Roman" w:hAnsi="Times New Roman" w:cs="Times New Roman" w:eastAsia="Times New Roman" w:hint="default"/>
          <w:spacing w:val="-1"/>
        </w:rPr>
        <w:t>240,000,000</w:t>
      </w:r>
      <w:r>
        <w:rPr>
          <w:rFonts w:ascii="Times New Roman" w:hAnsi="Times New Roman" w:cs="Times New Roman" w:eastAsia="Times New Roman" w:hint="default"/>
        </w:rPr>
        <w:t> </w:t>
      </w:r>
      <w:r>
        <w:rPr>
          <w:spacing w:val="-2"/>
        </w:rPr>
        <w:t>股。公司已于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日实施完成了上述</w:t>
      </w:r>
      <w:r>
        <w:rPr>
          <w:rFonts w:ascii="Times New Roman" w:hAnsi="Times New Roman" w:cs="Times New Roman" w:eastAsia="Times New Roman" w:hint="default"/>
          <w:spacing w:val="-2"/>
        </w:rPr>
        <w:t>2012</w:t>
      </w:r>
      <w:r>
        <w:rPr>
          <w:spacing w:val="-2"/>
        </w:rPr>
        <w:t>年半年度权益分派。</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w:t>
      </w:r>
      <w:r>
        <w:rPr>
          <w:spacing w:val="-89"/>
        </w:rPr>
        <w:t> </w:t>
      </w:r>
      <w:r>
        <w:rPr/>
        <w:t>公司已取得了上海市工商行政管理局换发的《企业法人营业执照》，完成了工商变更登记手续。</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right="100"/>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574" w:firstLine="0"/>
        <w:jc w:val="left"/>
        <w:rPr>
          <w:rFonts w:ascii="宋体" w:hAnsi="宋体" w:cs="宋体" w:eastAsia="宋体" w:hint="default"/>
          <w:sz w:val="18"/>
          <w:szCs w:val="18"/>
        </w:rPr>
      </w:pPr>
      <w:r>
        <w:rPr>
          <w:rFonts w:ascii="宋体" w:hAnsi="宋体" w:cs="宋体" w:eastAsia="宋体" w:hint="default"/>
          <w:sz w:val="18"/>
          <w:szCs w:val="18"/>
        </w:rPr>
        <w:t>库存股情况说明 无</w:t>
      </w:r>
    </w:p>
    <w:p>
      <w:pPr>
        <w:spacing w:line="240" w:lineRule="auto" w:before="6"/>
        <w:rPr>
          <w:rFonts w:ascii="宋体" w:hAnsi="宋体" w:cs="宋体" w:eastAsia="宋体" w:hint="default"/>
          <w:sz w:val="20"/>
          <w:szCs w:val="20"/>
        </w:rPr>
      </w:pPr>
    </w:p>
    <w:p>
      <w:pPr>
        <w:pStyle w:val="Heading4"/>
        <w:spacing w:line="240" w:lineRule="auto"/>
        <w:ind w:right="10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8394" w:firstLine="0"/>
        <w:jc w:val="left"/>
        <w:rPr>
          <w:rFonts w:ascii="宋体" w:hAnsi="宋体" w:cs="宋体" w:eastAsia="宋体" w:hint="default"/>
          <w:sz w:val="18"/>
          <w:szCs w:val="18"/>
        </w:rPr>
      </w:pPr>
      <w:r>
        <w:rPr>
          <w:rFonts w:ascii="宋体" w:hAnsi="宋体" w:cs="宋体" w:eastAsia="宋体" w:hint="default"/>
          <w:sz w:val="18"/>
          <w:szCs w:val="18"/>
        </w:rPr>
        <w:t>专项储备情况说明 无</w:t>
      </w:r>
    </w:p>
    <w:p>
      <w:pPr>
        <w:spacing w:after="0" w:line="360" w:lineRule="auto"/>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7654"/>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790,126,637.39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670,126,637.39</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3,480,385.07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9,494,233.54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12,974,618.61</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793,607,022.46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9,494,233.54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683,101,256.00</w:t>
            </w:r>
          </w:p>
        </w:tc>
      </w:tr>
    </w:tbl>
    <w:p>
      <w:pPr>
        <w:spacing w:line="360" w:lineRule="auto" w:before="49"/>
        <w:ind w:left="152" w:right="7654" w:firstLine="0"/>
        <w:jc w:val="left"/>
        <w:rPr>
          <w:rFonts w:ascii="宋体" w:hAnsi="宋体" w:cs="宋体" w:eastAsia="宋体" w:hint="default"/>
          <w:sz w:val="18"/>
          <w:szCs w:val="18"/>
        </w:rPr>
      </w:pPr>
      <w:r>
        <w:rPr>
          <w:rFonts w:ascii="宋体" w:hAnsi="宋体" w:cs="宋体" w:eastAsia="宋体" w:hint="default"/>
          <w:sz w:val="18"/>
          <w:szCs w:val="18"/>
        </w:rPr>
        <w:t>资本公积说明 本期增加的资本公积说明：</w:t>
      </w:r>
    </w:p>
    <w:p>
      <w:pPr>
        <w:spacing w:line="236" w:lineRule="exact"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、被投资单位除净损益外所有者权益其他变动</w:t>
      </w:r>
      <w:r>
        <w:rPr>
          <w:rFonts w:ascii="Times New Roman" w:hAnsi="Times New Roman" w:cs="Times New Roman" w:eastAsia="Times New Roman" w:hint="default"/>
          <w:sz w:val="18"/>
          <w:szCs w:val="18"/>
        </w:rPr>
        <w:t>783,833.54</w:t>
      </w:r>
      <w:r>
        <w:rPr>
          <w:rFonts w:ascii="宋体" w:hAnsi="宋体" w:cs="宋体" w:eastAsia="宋体" w:hint="default"/>
          <w:sz w:val="18"/>
          <w:szCs w:val="18"/>
        </w:rPr>
        <w:t>元，</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r>
        <w:rPr>
          <w:rFonts w:ascii="Times New Roman" w:hAnsi="Times New Roman" w:cs="Times New Roman" w:eastAsia="Times New Roman" w:hint="default"/>
          <w:sz w:val="18"/>
          <w:szCs w:val="18"/>
        </w:rPr>
        <w:t>8,710,400.00</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before="140"/>
        <w:ind w:left="152" w:right="0" w:firstLine="0"/>
        <w:jc w:val="left"/>
        <w:rPr>
          <w:rFonts w:ascii="宋体" w:hAnsi="宋体" w:cs="宋体" w:eastAsia="宋体" w:hint="default"/>
          <w:sz w:val="18"/>
          <w:szCs w:val="18"/>
        </w:rPr>
      </w:pPr>
      <w:r>
        <w:rPr>
          <w:rFonts w:ascii="宋体" w:hAnsi="宋体" w:cs="宋体" w:eastAsia="宋体" w:hint="default"/>
          <w:sz w:val="18"/>
          <w:szCs w:val="18"/>
        </w:rPr>
        <w:t>本期减少的资本公积说明：</w:t>
      </w:r>
    </w:p>
    <w:p>
      <w:pPr>
        <w:spacing w:line="300" w:lineRule="auto" w:before="76"/>
        <w:ind w:left="152" w:right="0" w:firstLine="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Times New Roman" w:hAnsi="Times New Roman" w:cs="Times New Roman" w:eastAsia="Times New Roman" w:hint="default"/>
          <w:sz w:val="18"/>
          <w:szCs w:val="18"/>
        </w:rPr>
        <w:t>3 </w:t>
      </w:r>
      <w:r>
        <w:rPr>
          <w:rFonts w:ascii="宋体" w:hAnsi="宋体" w:cs="宋体" w:eastAsia="宋体" w:hint="default"/>
          <w:sz w:val="18"/>
          <w:szCs w:val="18"/>
        </w:rPr>
        <w:t>日召开的公司</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年第二次临时股东大会审议通过，</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年度上半年公司的利润分配方案为：以向社会公 </w:t>
      </w:r>
      <w:r>
        <w:rPr>
          <w:rFonts w:ascii="宋体" w:hAnsi="宋体" w:cs="宋体" w:eastAsia="宋体" w:hint="default"/>
          <w:spacing w:val="-2"/>
          <w:sz w:val="18"/>
          <w:szCs w:val="18"/>
        </w:rPr>
        <w:t>开发行后的</w:t>
      </w:r>
      <w:r>
        <w:rPr>
          <w:rFonts w:ascii="Times New Roman" w:hAnsi="Times New Roman" w:cs="Times New Roman" w:eastAsia="Times New Roman" w:hint="default"/>
          <w:spacing w:val="-2"/>
          <w:sz w:val="18"/>
          <w:szCs w:val="18"/>
        </w:rPr>
        <w:t>12,000</w:t>
      </w:r>
      <w:r>
        <w:rPr>
          <w:rFonts w:ascii="宋体" w:hAnsi="宋体" w:cs="宋体" w:eastAsia="宋体" w:hint="default"/>
          <w:spacing w:val="-2"/>
          <w:sz w:val="18"/>
          <w:szCs w:val="18"/>
        </w:rPr>
        <w:t>万股普通股为基数，以资本公积转增股本，每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股转增</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股，共计转增股本</w:t>
      </w:r>
      <w:r>
        <w:rPr>
          <w:rFonts w:ascii="Times New Roman" w:hAnsi="Times New Roman" w:cs="Times New Roman" w:eastAsia="Times New Roman" w:hint="default"/>
          <w:spacing w:val="-2"/>
          <w:sz w:val="18"/>
          <w:szCs w:val="18"/>
        </w:rPr>
        <w:t>12,000</w:t>
      </w:r>
      <w:r>
        <w:rPr>
          <w:rFonts w:ascii="宋体" w:hAnsi="宋体" w:cs="宋体" w:eastAsia="宋体" w:hint="default"/>
          <w:spacing w:val="-2"/>
          <w:sz w:val="18"/>
          <w:szCs w:val="18"/>
        </w:rPr>
        <w:t>万股。该项已实施完成。</w:t>
      </w:r>
    </w:p>
    <w:p>
      <w:pPr>
        <w:spacing w:line="240" w:lineRule="auto" w:before="4"/>
        <w:rPr>
          <w:rFonts w:ascii="宋体" w:hAnsi="宋体" w:cs="宋体" w:eastAsia="宋体" w:hint="default"/>
          <w:sz w:val="22"/>
          <w:szCs w:val="22"/>
        </w:rPr>
      </w:pPr>
    </w:p>
    <w:p>
      <w:pPr>
        <w:pStyle w:val="Heading4"/>
        <w:spacing w:line="240" w:lineRule="auto"/>
        <w:ind w:right="7654"/>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2"/>
        <w:rPr>
          <w:rFonts w:ascii="宋体" w:hAnsi="宋体" w:cs="宋体" w:eastAsia="宋体" w:hint="default"/>
          <w:b/>
          <w:bCs/>
          <w:sz w:val="26"/>
          <w:szCs w:val="26"/>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31,416,218.26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11,115,535.92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42,531,754.18</w:t>
            </w:r>
          </w:p>
        </w:tc>
      </w:tr>
      <w:tr>
        <w:trPr>
          <w:trHeight w:val="40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31,416,218.26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11,115,535.92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42,531,754.18</w:t>
            </w:r>
          </w:p>
        </w:tc>
      </w:tr>
    </w:tbl>
    <w:p>
      <w:pPr>
        <w:spacing w:line="357" w:lineRule="auto" w:before="49"/>
        <w:ind w:left="152" w:right="3514"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 无</w:t>
      </w:r>
    </w:p>
    <w:p>
      <w:pPr>
        <w:spacing w:line="240" w:lineRule="auto" w:before="6"/>
        <w:rPr>
          <w:rFonts w:ascii="宋体" w:hAnsi="宋体" w:cs="宋体" w:eastAsia="宋体" w:hint="default"/>
          <w:sz w:val="20"/>
          <w:szCs w:val="20"/>
        </w:rPr>
      </w:pPr>
    </w:p>
    <w:p>
      <w:pPr>
        <w:pStyle w:val="Heading4"/>
        <w:spacing w:line="240" w:lineRule="auto"/>
        <w:ind w:right="7654"/>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8014"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 无</w:t>
      </w:r>
    </w:p>
    <w:p>
      <w:pPr>
        <w:spacing w:line="240" w:lineRule="auto" w:before="4"/>
        <w:rPr>
          <w:rFonts w:ascii="宋体" w:hAnsi="宋体" w:cs="宋体" w:eastAsia="宋体" w:hint="default"/>
          <w:sz w:val="20"/>
          <w:szCs w:val="20"/>
        </w:rPr>
      </w:pPr>
    </w:p>
    <w:p>
      <w:pPr>
        <w:pStyle w:val="Heading4"/>
        <w:spacing w:line="240" w:lineRule="auto"/>
        <w:ind w:right="7654"/>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3"/>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177,430,579.53</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2"/>
                <w:sz w:val="18"/>
              </w:rPr>
              <w:t>111,436,631.79</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11,115,535.92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7"/>
        <w:gridCol w:w="3730"/>
        <w:gridCol w:w="2122"/>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265,751,675.40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24" w:lineRule="auto"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w w:val="99"/>
          <w:sz w:val="18"/>
          <w:szCs w:val="18"/>
        </w:rPr>
        <w:t>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经审计的利润数</w:t>
      </w:r>
    </w:p>
    <w:p>
      <w:pPr>
        <w:spacing w:before="54"/>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884,744,328.70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694,826,688.38</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611,776,875.41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483,079,214.55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390,420,885.51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270,876,267.42</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智慧城市（其他）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494,323,443.19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340,900,607.99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694,826,688.38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483,079,214.55</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884,744,328.70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611,776,875.41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694,826,688.38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483,079,214.55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9" w:right="0"/>
              <w:jc w:val="left"/>
              <w:rPr>
                <w:rFonts w:ascii="Times New Roman" w:hAnsi="Times New Roman" w:cs="Times New Roman" w:eastAsia="Times New Roman" w:hint="default"/>
                <w:sz w:val="18"/>
                <w:szCs w:val="18"/>
              </w:rPr>
            </w:pPr>
            <w:r>
              <w:rPr>
                <w:rFonts w:ascii="Times New Roman"/>
                <w:sz w:val="18"/>
              </w:rPr>
              <w:t>380,943,095.01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186,147,241.75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280,894,508.65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140,695,503.07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运营服务收入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125,280,891.53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72,014,184.42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113,328,716.22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66,311,395.20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378,520,342.16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353,615,449.24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300,603,463.51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276,072,316.28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884,744,328.70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611,776,875.41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694,826,688.38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483,079,214.55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874,190,594.54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603,056,470.32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683,420,971.66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473,601,957.42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10,553,734.16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8,720,405.09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11,405,716.72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9,477,257.13</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884,744,328.70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611,776,875.41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694,826,688.38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483,079,214.55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上海市卫生局（含区县局）</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89,673,078.11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10.14%</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上海市人力资源和社会保障局</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46,471,960.24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上海住建工程有限公司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30,430,000.00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安徽拓升电子科技有限公司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28,700,611.45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上海市税务局（含区县局）</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25,740,185.60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221,015,835.40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24.98%</w:t>
            </w:r>
          </w:p>
        </w:tc>
      </w:tr>
    </w:tbl>
    <w:p>
      <w:pPr>
        <w:spacing w:line="357" w:lineRule="auto" w:before="49"/>
        <w:ind w:left="152" w:right="8514" w:firstLine="0"/>
        <w:jc w:val="left"/>
        <w:rPr>
          <w:rFonts w:ascii="宋体" w:hAnsi="宋体" w:cs="宋体" w:eastAsia="宋体" w:hint="default"/>
          <w:sz w:val="18"/>
          <w:szCs w:val="18"/>
        </w:rPr>
      </w:pPr>
      <w:r>
        <w:rPr>
          <w:rFonts w:ascii="宋体" w:hAnsi="宋体" w:cs="宋体" w:eastAsia="宋体" w:hint="default"/>
          <w:sz w:val="18"/>
          <w:szCs w:val="18"/>
        </w:rPr>
        <w:t>营业收入的说明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514" w:firstLine="0"/>
        <w:jc w:val="left"/>
        <w:rPr>
          <w:rFonts w:ascii="宋体" w:hAnsi="宋体" w:cs="宋体" w:eastAsia="宋体" w:hint="default"/>
          <w:sz w:val="18"/>
          <w:szCs w:val="18"/>
        </w:rPr>
      </w:pPr>
      <w:r>
        <w:rPr>
          <w:rFonts w:ascii="宋体" w:hAnsi="宋体" w:cs="宋体" w:eastAsia="宋体" w:hint="default"/>
          <w:sz w:val="18"/>
          <w:szCs w:val="18"/>
        </w:rPr>
        <w:t>合同项目的说明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1,162,557.71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18,108,621.01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1,663,670.03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1,504,134.16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1,204,513.59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1,113,089.34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4,030,741.33</w:t>
            </w:r>
          </w:p>
        </w:tc>
        <w:tc>
          <w:tcPr>
            <w:tcW w:w="186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20,725,844.51</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line="360" w:lineRule="auto" w:before="44"/>
        <w:ind w:left="152" w:right="7974"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13,016,827.01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10,125,678.93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差旅及交通费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8,909,931.80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5,734,008.67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行政及办公费等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15,162,862.44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10,592,009.69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37,089,621.25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26,451,697.29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17,842,257.43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15,231,125.16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差旅及交通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5,744,202.51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3,250,655.72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52,292,473.39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39,978,250.26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11,978,697.54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8,950,447.85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8,710,400.00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行政及办公费等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21,535,448.16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10,720,739.99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118,103,479.03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80,013,218.98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9,488,198.09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6,657,004.61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-15,199,239.52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-13,623,340.36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2,777.83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34,446.74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478,650.08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702,078.66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-5,229,613.52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-6,229,810.35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10"/>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46"/>
        <w:gridCol w:w="2800"/>
        <w:gridCol w:w="2921"/>
      </w:tblGrid>
      <w:tr>
        <w:trPr>
          <w:trHeight w:val="402" w:hRule="exact"/>
        </w:trPr>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44,800.95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5,576.53</w:t>
            </w:r>
          </w:p>
        </w:tc>
      </w:tr>
      <w:tr>
        <w:trPr>
          <w:trHeight w:val="402" w:hRule="exact"/>
        </w:trPr>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44,800.95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5,576.53</w:t>
            </w:r>
          </w:p>
        </w:tc>
      </w:tr>
    </w:tbl>
    <w:p>
      <w:pPr>
        <w:spacing w:line="357" w:lineRule="auto" w:before="49"/>
        <w:ind w:left="152" w:right="7794" w:firstLine="0"/>
        <w:jc w:val="left"/>
        <w:rPr>
          <w:rFonts w:ascii="宋体" w:hAnsi="宋体" w:cs="宋体" w:eastAsia="宋体" w:hint="default"/>
          <w:sz w:val="18"/>
          <w:szCs w:val="18"/>
        </w:rPr>
      </w:pPr>
      <w:r>
        <w:rPr>
          <w:rFonts w:ascii="宋体" w:hAnsi="宋体" w:cs="宋体" w:eastAsia="宋体" w:hint="default"/>
          <w:sz w:val="18"/>
          <w:szCs w:val="18"/>
        </w:rPr>
        <w:t>公允价值变动收益的说明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-358,291.65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258,225.38</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-58,291.65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558,225.38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上海申银万国证券研究所有限公司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2"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上海浦江科技投资有限公司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-311,428.11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258,225.38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净资产变动</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上海华奕医疗信息技术有限公司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-46,863.54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新增投资公司</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-358,291.65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258,225.38</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w:t>
      </w:r>
    </w:p>
    <w:p>
      <w:pPr>
        <w:pStyle w:val="BodyText"/>
        <w:spacing w:line="240" w:lineRule="auto" w:before="94"/>
        <w:ind w:right="0"/>
        <w:jc w:val="left"/>
      </w:pPr>
      <w:r>
        <w:rPr/>
        <w:t>本公司投资收益汇回无重大限制。</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1,760,979.36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2,985,615.91</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1,760,979.36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2,985,615.91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2"/>
        <w:gridCol w:w="1956"/>
        <w:gridCol w:w="2160"/>
        <w:gridCol w:w="2161"/>
      </w:tblGrid>
      <w:tr>
        <w:trPr>
          <w:trHeight w:val="161" w:hRule="exact"/>
        </w:trPr>
        <w:tc>
          <w:tcPr>
            <w:tcW w:w="3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1,442.40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1,442.40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8,688,250.00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5,791,200.00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8,688,250.00</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11,500.00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11,500.00</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18,879.22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18,879.22</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8,718,629.22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5,794,642.40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8,718,629.22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财政拨款项目补助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4,438,250.00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徐汇现代服务业财政补助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软件著作权财政补助</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8,688,250.00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5,791,200.00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9"/>
        <w:ind w:left="152" w:right="8514" w:firstLine="0"/>
        <w:jc w:val="left"/>
        <w:rPr>
          <w:rFonts w:ascii="宋体" w:hAnsi="宋体" w:cs="宋体" w:eastAsia="宋体" w:hint="default"/>
          <w:sz w:val="18"/>
          <w:szCs w:val="18"/>
        </w:rPr>
      </w:pPr>
      <w:r>
        <w:rPr>
          <w:rFonts w:ascii="宋体" w:hAnsi="宋体" w:cs="宋体" w:eastAsia="宋体" w:hint="default"/>
          <w:sz w:val="18"/>
          <w:szCs w:val="18"/>
        </w:rPr>
        <w:t>营业外收入说明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9"/>
        <w:gridCol w:w="2021"/>
        <w:gridCol w:w="1915"/>
        <w:gridCol w:w="1913"/>
      </w:tblGrid>
      <w:tr>
        <w:trPr>
          <w:trHeight w:val="161" w:hRule="exact"/>
        </w:trPr>
        <w:tc>
          <w:tcPr>
            <w:tcW w:w="3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22,878.17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22,878.17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161,378.17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30,155.66</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8514" w:firstLine="0"/>
        <w:jc w:val="left"/>
        <w:rPr>
          <w:rFonts w:ascii="宋体" w:hAnsi="宋体" w:cs="宋体" w:eastAsia="宋体" w:hint="default"/>
          <w:sz w:val="18"/>
          <w:szCs w:val="18"/>
        </w:rPr>
      </w:pPr>
      <w:r>
        <w:rPr>
          <w:rFonts w:ascii="宋体" w:hAnsi="宋体" w:cs="宋体" w:eastAsia="宋体" w:hint="default"/>
          <w:sz w:val="18"/>
          <w:szCs w:val="18"/>
        </w:rPr>
        <w:t>营业外支出说明 无</w:t>
      </w:r>
    </w:p>
    <w:p>
      <w:pPr>
        <w:spacing w:after="0" w:line="35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0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19,918,771.34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12,912,553.13</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455,207.18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183,269.61</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20,373,978.52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13,095,822.74</w:t>
            </w:r>
          </w:p>
        </w:tc>
      </w:tr>
    </w:tbl>
    <w:p>
      <w:pPr>
        <w:spacing w:line="240" w:lineRule="auto" w:before="3"/>
        <w:rPr>
          <w:rFonts w:ascii="宋体" w:hAnsi="宋体" w:cs="宋体" w:eastAsia="宋体" w:hint="default"/>
          <w:sz w:val="19"/>
          <w:szCs w:val="19"/>
        </w:rPr>
      </w:pPr>
    </w:p>
    <w:p>
      <w:pPr>
        <w:spacing w:line="506" w:lineRule="auto" w:before="36"/>
        <w:ind w:left="152" w:right="4209"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66</w:t>
      </w:r>
      <w:r>
        <w:rPr>
          <w:rFonts w:ascii="宋体" w:hAnsi="宋体" w:cs="宋体" w:eastAsia="宋体" w:hint="default"/>
          <w:b/>
          <w:bCs/>
          <w:spacing w:val="-1"/>
          <w:sz w:val="21"/>
          <w:szCs w:val="21"/>
        </w:rPr>
        <w:t>、基本每股收益和稀释每股收益的计算过程</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sz w:val="21"/>
          <w:szCs w:val="21"/>
        </w:rPr>
        <w:t>计算公式参考：</w:t>
      </w:r>
    </w:p>
    <w:p>
      <w:pPr>
        <w:pStyle w:val="BodyText"/>
        <w:spacing w:line="256" w:lineRule="auto" w:before="116"/>
        <w:ind w:right="801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、基本每股收益</w:t>
      </w:r>
      <w:r>
        <w:rPr>
          <w:w w:val="100"/>
        </w:rPr>
        <w:t> </w:t>
      </w:r>
      <w:r>
        <w:rPr>
          <w:spacing w:val="-1"/>
        </w:rPr>
        <w:t>基本每股收益</w:t>
      </w:r>
      <w:r>
        <w:rPr>
          <w:rFonts w:ascii="Times New Roman" w:hAnsi="Times New Roman" w:cs="Times New Roman" w:eastAsia="Times New Roman" w:hint="default"/>
          <w:spacing w:val="-1"/>
        </w:rPr>
        <w:t>=P0÷S</w:t>
      </w:r>
    </w:p>
    <w:p>
      <w:pPr>
        <w:pStyle w:val="BodyText"/>
        <w:spacing w:line="240" w:lineRule="auto" w:before="5"/>
        <w:ind w:right="100"/>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6"/>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rPr>
        <w:t>–</w:t>
      </w:r>
      <w:r>
        <w:rPr>
          <w:rFonts w:ascii="Times New Roman" w:hAnsi="Times New Roman" w:cs="Times New Roman" w:eastAsia="Times New Roman" w:hint="default"/>
        </w:rPr>
        <w:t>Sj×Mj÷M0</w:t>
      </w:r>
      <w:r>
        <w:rPr>
          <w:rFonts w:ascii="Times New Roman" w:hAnsi="Times New Roman" w:cs="Times New Roman" w:eastAsia="Times New Roman" w:hint="default"/>
        </w:rPr>
        <w:t>–</w:t>
      </w:r>
      <w:r>
        <w:rPr>
          <w:rFonts w:ascii="Times New Roman" w:hAnsi="Times New Roman" w:cs="Times New Roman" w:eastAsia="Times New Roman" w:hint="default"/>
        </w:rPr>
        <w:t>Sk</w:t>
      </w:r>
    </w:p>
    <w:p>
      <w:pPr>
        <w:pStyle w:val="BodyText"/>
        <w:spacing w:line="256" w:lineRule="auto" w:before="21"/>
        <w:ind w:right="100"/>
        <w:jc w:val="left"/>
      </w:pPr>
      <w:r>
        <w:rPr/>
        <w:t>其中：</w:t>
      </w:r>
      <w:r>
        <w:rPr>
          <w:rFonts w:ascii="Times New Roman" w:hAnsi="Times New Roman" w:cs="Times New Roman" w:eastAsia="Times New Roman" w:hint="default"/>
        </w:rPr>
        <w:t>P0</w:t>
      </w:r>
      <w:r>
        <w:rPr/>
        <w:t>为归属于公司普通股股东的净利润或扣除非经常性损益后归属于普通股股东的净利润；</w:t>
      </w:r>
      <w:r>
        <w:rPr>
          <w:rFonts w:ascii="Times New Roman" w:hAnsi="Times New Roman" w:cs="Times New Roman" w:eastAsia="Times New Roman" w:hint="default"/>
        </w:rPr>
        <w:t>S</w:t>
      </w:r>
      <w:r>
        <w:rPr/>
        <w:t>为发行</w:t>
      </w:r>
      <w:r>
        <w:rPr>
          <w:spacing w:val="-43"/>
        </w:rPr>
        <w:t> </w:t>
      </w:r>
      <w:r>
        <w:rPr>
          <w:spacing w:val="-3"/>
        </w:rPr>
        <w:t>在外的普通股加权平均数；</w:t>
      </w:r>
      <w:r>
        <w:rPr>
          <w:rFonts w:ascii="Times New Roman" w:hAnsi="Times New Roman" w:cs="Times New Roman" w:eastAsia="Times New Roman" w:hint="default"/>
          <w:spacing w:val="-3"/>
        </w:rPr>
        <w:t>S0</w:t>
      </w:r>
      <w:r>
        <w:rPr>
          <w:spacing w:val="-3"/>
        </w:rPr>
        <w:t>为期初股份总数；</w:t>
      </w:r>
      <w:r>
        <w:rPr>
          <w:rFonts w:ascii="Times New Roman" w:hAnsi="Times New Roman" w:cs="Times New Roman" w:eastAsia="Times New Roman" w:hint="default"/>
          <w:spacing w:val="-3"/>
        </w:rPr>
        <w:t>S1</w:t>
      </w:r>
      <w:r>
        <w:rPr>
          <w:spacing w:val="-3"/>
        </w:rPr>
        <w:t>为报告期因公积金转增股本或股票股利分配等增加股份</w:t>
      </w:r>
      <w:r>
        <w:rPr>
          <w:spacing w:val="-16"/>
        </w:rPr>
        <w:t> </w:t>
      </w:r>
      <w:r>
        <w:rPr>
          <w:spacing w:val="-16"/>
        </w:rPr>
      </w:r>
      <w:r>
        <w:rPr>
          <w:spacing w:val="-3"/>
        </w:rPr>
        <w:t>数；</w:t>
      </w:r>
      <w:r>
        <w:rPr>
          <w:rFonts w:ascii="Times New Roman" w:hAnsi="Times New Roman" w:cs="Times New Roman" w:eastAsia="Times New Roman" w:hint="default"/>
          <w:spacing w:val="-3"/>
        </w:rPr>
        <w:t>Si</w:t>
      </w:r>
      <w:r>
        <w:rPr>
          <w:spacing w:val="-3"/>
        </w:rPr>
        <w:t>为报告期因发行新股或债转股等增加股份数；</w:t>
      </w:r>
      <w:r>
        <w:rPr>
          <w:rFonts w:ascii="Times New Roman" w:hAnsi="Times New Roman" w:cs="Times New Roman" w:eastAsia="Times New Roman" w:hint="default"/>
          <w:spacing w:val="-3"/>
        </w:rPr>
        <w:t>Sj</w:t>
      </w:r>
      <w:r>
        <w:rPr>
          <w:spacing w:val="-3"/>
        </w:rPr>
        <w:t>为报告期因回购等减少股份数；</w:t>
      </w:r>
      <w:r>
        <w:rPr>
          <w:rFonts w:ascii="Times New Roman" w:hAnsi="Times New Roman" w:cs="Times New Roman" w:eastAsia="Times New Roman" w:hint="default"/>
          <w:spacing w:val="-3"/>
        </w:rPr>
        <w:t>Sk</w:t>
      </w:r>
      <w:r>
        <w:rPr>
          <w:spacing w:val="-3"/>
        </w:rPr>
        <w:t>为报告期缩股数；</w:t>
      </w:r>
      <w:r>
        <w:rPr>
          <w:spacing w:val="-36"/>
        </w:rPr>
        <w:t> </w:t>
      </w:r>
      <w:r>
        <w:rPr>
          <w:spacing w:val="-36"/>
        </w:rPr>
      </w:r>
      <w:r>
        <w:rPr>
          <w:rFonts w:ascii="Times New Roman" w:hAnsi="Times New Roman" w:cs="Times New Roman" w:eastAsia="Times New Roman" w:hint="default"/>
        </w:rPr>
        <w:t>M0</w:t>
      </w:r>
      <w:r>
        <w:rPr/>
        <w:t>报告期月份数；</w:t>
      </w:r>
      <w:r>
        <w:rPr>
          <w:rFonts w:ascii="Times New Roman" w:hAnsi="Times New Roman" w:cs="Times New Roman" w:eastAsia="Times New Roman" w:hint="default"/>
        </w:rPr>
        <w:t>Mi</w:t>
      </w:r>
      <w:r>
        <w:rPr/>
        <w:t>为增加股份次月起至报告期期末的累计月数；</w:t>
      </w:r>
      <w:r>
        <w:rPr>
          <w:rFonts w:ascii="Times New Roman" w:hAnsi="Times New Roman" w:cs="Times New Roman" w:eastAsia="Times New Roman" w:hint="default"/>
        </w:rPr>
        <w:t>Mj</w:t>
      </w:r>
      <w:r>
        <w:rPr/>
        <w:t>为减少股份次月起至报告期期末的</w:t>
      </w:r>
      <w:r>
        <w:rPr>
          <w:spacing w:val="-76"/>
        </w:rPr>
        <w:t> </w:t>
      </w:r>
      <w:r>
        <w:rPr>
          <w:spacing w:val="-76"/>
        </w:rPr>
      </w:r>
      <w:r>
        <w:rPr/>
        <w:t>累计月数。</w:t>
      </w:r>
    </w:p>
    <w:p>
      <w:pPr>
        <w:pStyle w:val="BodyText"/>
        <w:spacing w:line="264" w:lineRule="auto" w:before="22"/>
        <w:ind w:right="100"/>
        <w:jc w:val="left"/>
      </w:pPr>
      <w:r>
        <w:rPr>
          <w:rFonts w:ascii="Times New Roman" w:hAnsi="Times New Roman" w:cs="Times New Roman" w:eastAsia="Times New Roman" w:hint="default"/>
        </w:rPr>
        <w:t>2</w:t>
      </w:r>
      <w:r>
        <w:rPr/>
        <w:t>、稀释每股收益</w:t>
      </w:r>
      <w:r>
        <w:rPr>
          <w:w w:val="100"/>
        </w:rPr>
        <w:t> </w:t>
      </w:r>
      <w:r>
        <w:rPr>
          <w:spacing w:val="-2"/>
        </w:rPr>
        <w:t>稀释每股收益</w:t>
      </w:r>
      <w:r>
        <w:rPr>
          <w:rFonts w:ascii="Times New Roman" w:hAnsi="Times New Roman" w:cs="Times New Roman" w:eastAsia="Times New Roman" w:hint="default"/>
          <w:spacing w:val="-2"/>
        </w:rPr>
        <w:t>=P1/(S0</w:t>
      </w:r>
      <w:r>
        <w:rPr>
          <w:spacing w:val="-2"/>
        </w:rPr>
        <w:t>＋</w:t>
      </w:r>
      <w:r>
        <w:rPr>
          <w:rFonts w:ascii="Times New Roman" w:hAnsi="Times New Roman" w:cs="Times New Roman" w:eastAsia="Times New Roman" w:hint="default"/>
          <w:spacing w:val="-2"/>
        </w:rPr>
        <w:t>S1</w:t>
      </w:r>
      <w:r>
        <w:rPr>
          <w:spacing w:val="-2"/>
        </w:rPr>
        <w:t>＋</w:t>
      </w:r>
      <w:r>
        <w:rPr>
          <w:rFonts w:ascii="Times New Roman" w:hAnsi="Times New Roman" w:cs="Times New Roman" w:eastAsia="Times New Roman" w:hint="default"/>
          <w:spacing w:val="-2"/>
        </w:rPr>
        <w:t>Si×Mi÷M0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Sj×Mj÷M0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Sk+</w:t>
      </w:r>
      <w:r>
        <w:rPr>
          <w:spacing w:val="-2"/>
        </w:rPr>
        <w:t>认股权证、股份期权、可转换债券等增加的普通股</w:t>
      </w:r>
      <w:r>
        <w:rPr>
          <w:spacing w:val="-16"/>
        </w:rPr>
        <w:t> </w:t>
      </w:r>
      <w:r>
        <w:rPr>
          <w:spacing w:val="-16"/>
        </w:rPr>
      </w:r>
      <w:r>
        <w:rPr/>
        <w:t>加权平均数</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spacing w:val="-3"/>
        </w:rPr>
        <w:t>其中，</w:t>
      </w:r>
      <w:r>
        <w:rPr>
          <w:rFonts w:ascii="Times New Roman" w:hAnsi="Times New Roman" w:cs="Times New Roman" w:eastAsia="Times New Roman" w:hint="default"/>
          <w:spacing w:val="-3"/>
        </w:rPr>
        <w:t>P1</w:t>
      </w:r>
      <w:r>
        <w:rPr>
          <w:spacing w:val="-3"/>
        </w:rPr>
        <w:t>为归属于公司普通股股东的净利润或扣除非经常性损益后归属于公司普通股股东的净利润，并考</w:t>
      </w:r>
      <w:r>
        <w:rPr>
          <w:spacing w:val="-6"/>
        </w:rPr>
        <w:t> </w:t>
      </w:r>
      <w:r>
        <w:rPr>
          <w:spacing w:val="-6"/>
        </w:rPr>
      </w:r>
      <w:r>
        <w:rPr>
          <w:spacing w:val="-2"/>
        </w:rPr>
        <w:t>虑稀释性潜在普通股对其影响，按《企业会计准则》及有关规定进行调整。公司在计算稀释每股收益时，</w:t>
      </w:r>
      <w:r>
        <w:rPr>
          <w:spacing w:val="-21"/>
        </w:rPr>
        <w:t> </w:t>
      </w:r>
      <w:r>
        <w:rPr>
          <w:spacing w:val="-21"/>
        </w:rPr>
      </w:r>
      <w:r>
        <w:rPr>
          <w:spacing w:val="2"/>
        </w:rPr>
        <w:t>应考虑所有稀释性潜在普通股对归属于公司普通股股东的净利润或扣除非经常性损益后归属于公司普通</w:t>
      </w:r>
      <w:r>
        <w:rPr>
          <w:spacing w:val="-30"/>
        </w:rPr>
        <w:t> </w:t>
      </w:r>
      <w:r>
        <w:rPr>
          <w:spacing w:val="-30"/>
        </w:rPr>
      </w:r>
      <w:r>
        <w:rPr>
          <w:spacing w:val="-2"/>
        </w:rPr>
        <w:t>股股东的净利润和加权平均股数的影响，按照其稀释程度从大到小的顺序计入稀释每股收益，直至稀释每</w:t>
      </w:r>
      <w:r>
        <w:rPr>
          <w:spacing w:val="-43"/>
        </w:rPr>
        <w:t> </w:t>
      </w:r>
      <w:r>
        <w:rPr>
          <w:spacing w:val="-43"/>
        </w:rPr>
      </w:r>
      <w:r>
        <w:rPr/>
        <w:t>股收益达到最小值。</w:t>
      </w:r>
    </w:p>
    <w:p>
      <w:pPr>
        <w:spacing w:line="240" w:lineRule="auto" w:before="1"/>
        <w:rPr>
          <w:rFonts w:ascii="宋体" w:hAnsi="宋体" w:cs="宋体" w:eastAsia="宋体" w:hint="default"/>
          <w:sz w:val="25"/>
          <w:szCs w:val="25"/>
        </w:rPr>
      </w:pPr>
    </w:p>
    <w:p>
      <w:pPr>
        <w:pStyle w:val="BodyText"/>
        <w:spacing w:line="240" w:lineRule="auto"/>
        <w:ind w:right="100"/>
        <w:jc w:val="left"/>
      </w:pPr>
      <w:r>
        <w:rPr/>
        <w:t>计算过程参考：</w:t>
      </w:r>
    </w:p>
    <w:p>
      <w:pPr>
        <w:pStyle w:val="BodyText"/>
        <w:spacing w:line="256" w:lineRule="auto" w:before="37"/>
        <w:ind w:right="100"/>
        <w:jc w:val="left"/>
      </w:pPr>
      <w:r>
        <w:rPr/>
        <w:t>（</w:t>
      </w:r>
      <w:r>
        <w:rPr>
          <w:rFonts w:ascii="Times New Roman" w:hAnsi="Times New Roman" w:cs="Times New Roman" w:eastAsia="Times New Roman" w:hint="default"/>
        </w:rPr>
        <w:t>1</w:t>
      </w:r>
      <w:r>
        <w:rPr/>
        <w:t>）基本每股收益</w:t>
      </w:r>
      <w:r>
        <w:rPr>
          <w:w w:val="100"/>
        </w:rPr>
        <w:t> </w:t>
      </w:r>
      <w:r>
        <w:rPr>
          <w:spacing w:val="-2"/>
        </w:rPr>
        <w:t>基本每股收益以归属于本公司普通股股东的合并净利润除以本公司发行在外普通股的加权平均数计算：</w:t>
      </w:r>
    </w:p>
    <w:p>
      <w:pPr>
        <w:spacing w:line="240" w:lineRule="auto" w:before="9"/>
        <w:rPr>
          <w:rFonts w:ascii="宋体" w:hAnsi="宋体" w:cs="宋体" w:eastAsia="宋体" w:hint="default"/>
          <w:sz w:val="2"/>
          <w:szCs w:val="2"/>
        </w:rPr>
      </w:pPr>
    </w:p>
    <w:tbl>
      <w:tblPr>
        <w:tblW w:w="0" w:type="auto"/>
        <w:jc w:val="left"/>
        <w:tblInd w:w="726" w:type="dxa"/>
        <w:tblLayout w:type="fixed"/>
        <w:tblCellMar>
          <w:top w:w="0" w:type="dxa"/>
          <w:left w:w="0" w:type="dxa"/>
          <w:bottom w:w="0" w:type="dxa"/>
          <w:right w:w="0" w:type="dxa"/>
        </w:tblCellMar>
        <w:tblLook w:val="01E0"/>
      </w:tblPr>
      <w:tblGrid>
        <w:gridCol w:w="3956"/>
        <w:gridCol w:w="1844"/>
        <w:gridCol w:w="1844"/>
      </w:tblGrid>
      <w:tr>
        <w:trPr>
          <w:trHeight w:val="346" w:hRule="exact"/>
        </w:trPr>
        <w:tc>
          <w:tcPr>
            <w:tcW w:w="39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年度</w:t>
            </w:r>
          </w:p>
        </w:tc>
      </w:tr>
      <w:tr>
        <w:trPr>
          <w:trHeight w:val="349" w:hRule="exact"/>
        </w:trPr>
        <w:tc>
          <w:tcPr>
            <w:tcW w:w="39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归属于本公司普通股股东的合并净利润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111,436,631.79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81,815,033.64</w:t>
            </w:r>
          </w:p>
        </w:tc>
      </w:tr>
      <w:tr>
        <w:trPr>
          <w:trHeight w:val="348" w:hRule="exact"/>
        </w:trPr>
        <w:tc>
          <w:tcPr>
            <w:tcW w:w="39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本公司发行在外普通股的加权平均数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240,000,000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117,500,000</w:t>
            </w:r>
          </w:p>
        </w:tc>
      </w:tr>
      <w:tr>
        <w:trPr>
          <w:trHeight w:val="346" w:hRule="exact"/>
        </w:trPr>
        <w:tc>
          <w:tcPr>
            <w:tcW w:w="3956"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0.4643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0.6963</w:t>
            </w:r>
          </w:p>
        </w:tc>
      </w:tr>
    </w:tbl>
    <w:p>
      <w:pPr>
        <w:spacing w:line="240" w:lineRule="auto" w:before="2"/>
        <w:rPr>
          <w:rFonts w:ascii="宋体" w:hAnsi="宋体" w:cs="宋体" w:eastAsia="宋体" w:hint="default"/>
          <w:sz w:val="20"/>
          <w:szCs w:val="20"/>
        </w:rPr>
      </w:pPr>
    </w:p>
    <w:p>
      <w:pPr>
        <w:pStyle w:val="BodyText"/>
        <w:spacing w:line="240" w:lineRule="auto" w:before="36"/>
        <w:ind w:right="100"/>
        <w:jc w:val="left"/>
      </w:pPr>
      <w:r>
        <w:rPr/>
        <w:t>普通股的加权平均数计算过程如下：</w:t>
      </w:r>
    </w:p>
    <w:p>
      <w:pPr>
        <w:spacing w:line="240" w:lineRule="auto" w:before="10"/>
        <w:rPr>
          <w:rFonts w:ascii="宋体" w:hAnsi="宋体" w:cs="宋体" w:eastAsia="宋体" w:hint="default"/>
          <w:sz w:val="3"/>
          <w:szCs w:val="3"/>
        </w:rPr>
      </w:pPr>
    </w:p>
    <w:tbl>
      <w:tblPr>
        <w:tblW w:w="0" w:type="auto"/>
        <w:jc w:val="left"/>
        <w:tblInd w:w="722" w:type="dxa"/>
        <w:tblLayout w:type="fixed"/>
        <w:tblCellMar>
          <w:top w:w="0" w:type="dxa"/>
          <w:left w:w="0" w:type="dxa"/>
          <w:bottom w:w="0" w:type="dxa"/>
          <w:right w:w="0" w:type="dxa"/>
        </w:tblCellMar>
        <w:tblLook w:val="01E0"/>
      </w:tblPr>
      <w:tblGrid>
        <w:gridCol w:w="3598"/>
        <w:gridCol w:w="2064"/>
        <w:gridCol w:w="2127"/>
      </w:tblGrid>
      <w:tr>
        <w:trPr>
          <w:trHeight w:val="348"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6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6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年度</w:t>
            </w:r>
          </w:p>
        </w:tc>
      </w:tr>
      <w:tr>
        <w:trPr>
          <w:trHeight w:val="348"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年初已发行普通股股数</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120,000,000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90,000,000</w:t>
            </w:r>
          </w:p>
        </w:tc>
      </w:tr>
      <w:tr>
        <w:trPr>
          <w:trHeight w:val="658"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1"/>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加：本期发行的普通股加权数</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系资本公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积转增</w:t>
            </w:r>
            <w:r>
              <w:rPr>
                <w:rFonts w:ascii="Times New Roman" w:hAnsi="Times New Roman" w:cs="Times New Roman" w:eastAsia="Times New Roman" w:hint="default"/>
                <w:sz w:val="21"/>
                <w:szCs w:val="21"/>
              </w:rPr>
              <w:t>)</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120,000,000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27,500,000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722" w:type="dxa"/>
        <w:tblLayout w:type="fixed"/>
        <w:tblCellMar>
          <w:top w:w="0" w:type="dxa"/>
          <w:left w:w="0" w:type="dxa"/>
          <w:bottom w:w="0" w:type="dxa"/>
          <w:right w:w="0" w:type="dxa"/>
        </w:tblCellMar>
        <w:tblLook w:val="01E0"/>
      </w:tblPr>
      <w:tblGrid>
        <w:gridCol w:w="3598"/>
        <w:gridCol w:w="2064"/>
        <w:gridCol w:w="2127"/>
      </w:tblGrid>
      <w:tr>
        <w:trPr>
          <w:trHeight w:val="348"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年末发行在外的普通股加权数</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96" w:right="-1"/>
              <w:jc w:val="left"/>
              <w:rPr>
                <w:rFonts w:ascii="Times New Roman" w:hAnsi="Times New Roman" w:cs="Times New Roman" w:eastAsia="Times New Roman" w:hint="default"/>
                <w:sz w:val="21"/>
                <w:szCs w:val="21"/>
              </w:rPr>
            </w:pPr>
            <w:r>
              <w:rPr>
                <w:rFonts w:ascii="Times New Roman"/>
                <w:sz w:val="21"/>
              </w:rPr>
              <w:t>240,000,000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60" w:right="0"/>
              <w:jc w:val="left"/>
              <w:rPr>
                <w:rFonts w:ascii="Times New Roman" w:hAnsi="Times New Roman" w:cs="Times New Roman" w:eastAsia="Times New Roman" w:hint="default"/>
                <w:sz w:val="21"/>
                <w:szCs w:val="21"/>
              </w:rPr>
            </w:pPr>
            <w:r>
              <w:rPr>
                <w:rFonts w:ascii="Times New Roman"/>
                <w:sz w:val="21"/>
              </w:rPr>
              <w:t>117,500,000</w:t>
            </w:r>
          </w:p>
        </w:tc>
      </w:tr>
    </w:tbl>
    <w:p>
      <w:pPr>
        <w:spacing w:line="240" w:lineRule="auto" w:before="2"/>
        <w:rPr>
          <w:rFonts w:ascii="宋体" w:hAnsi="宋体" w:cs="宋体" w:eastAsia="宋体" w:hint="default"/>
          <w:sz w:val="20"/>
          <w:szCs w:val="20"/>
        </w:rPr>
      </w:pPr>
    </w:p>
    <w:p>
      <w:pPr>
        <w:pStyle w:val="BodyText"/>
        <w:spacing w:line="264" w:lineRule="auto" w:before="36"/>
        <w:ind w:right="0"/>
        <w:jc w:val="left"/>
      </w:pPr>
      <w:r>
        <w:rPr/>
        <w:t>（</w:t>
      </w:r>
      <w:r>
        <w:rPr>
          <w:rFonts w:ascii="Times New Roman" w:hAnsi="Times New Roman" w:cs="Times New Roman" w:eastAsia="Times New Roman" w:hint="default"/>
        </w:rPr>
        <w:t>2</w:t>
      </w:r>
      <w:r>
        <w:rPr/>
        <w:t>）稀释每股收益</w:t>
      </w:r>
      <w:r>
        <w:rPr>
          <w:w w:val="100"/>
        </w:rPr>
        <w:t> </w:t>
      </w:r>
      <w:r>
        <w:rPr>
          <w:spacing w:val="2"/>
        </w:rPr>
        <w:t>稀释每股收益以调整后的归属于本公司普通股股东的合并净利润除以调整后的本公司发行在外普通股的</w:t>
      </w:r>
      <w:r>
        <w:rPr>
          <w:spacing w:val="-30"/>
        </w:rPr>
        <w:t> </w:t>
      </w:r>
      <w:r>
        <w:rPr>
          <w:spacing w:val="-30"/>
        </w:rPr>
      </w:r>
      <w:r>
        <w:rPr/>
        <w:t>加权平均数计算：</w:t>
      </w:r>
    </w:p>
    <w:p>
      <w:pPr>
        <w:spacing w:line="240" w:lineRule="auto" w:before="2"/>
        <w:rPr>
          <w:rFonts w:ascii="宋体" w:hAnsi="宋体" w:cs="宋体" w:eastAsia="宋体" w:hint="default"/>
          <w:sz w:val="2"/>
          <w:szCs w:val="2"/>
        </w:rPr>
      </w:pPr>
    </w:p>
    <w:tbl>
      <w:tblPr>
        <w:tblW w:w="0" w:type="auto"/>
        <w:jc w:val="left"/>
        <w:tblInd w:w="726" w:type="dxa"/>
        <w:tblLayout w:type="fixed"/>
        <w:tblCellMar>
          <w:top w:w="0" w:type="dxa"/>
          <w:left w:w="0" w:type="dxa"/>
          <w:bottom w:w="0" w:type="dxa"/>
          <w:right w:w="0" w:type="dxa"/>
        </w:tblCellMar>
        <w:tblLook w:val="01E0"/>
      </w:tblPr>
      <w:tblGrid>
        <w:gridCol w:w="4522"/>
        <w:gridCol w:w="1767"/>
        <w:gridCol w:w="1558"/>
      </w:tblGrid>
      <w:tr>
        <w:trPr>
          <w:trHeight w:val="346" w:hRule="exact"/>
        </w:trPr>
        <w:tc>
          <w:tcPr>
            <w:tcW w:w="45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年度</w:t>
            </w:r>
          </w:p>
        </w:tc>
      </w:tr>
      <w:tr>
        <w:trPr>
          <w:trHeight w:val="348" w:hRule="exact"/>
        </w:trPr>
        <w:tc>
          <w:tcPr>
            <w:tcW w:w="45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归属于本公司普通股股东的合并净利润（稀释）</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111,436,631.79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81,815,033.64</w:t>
            </w:r>
          </w:p>
        </w:tc>
      </w:tr>
      <w:tr>
        <w:trPr>
          <w:trHeight w:val="348" w:hRule="exact"/>
        </w:trPr>
        <w:tc>
          <w:tcPr>
            <w:tcW w:w="45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本公司发行在外普通股的加权平均数（稀释）</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240,000,000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117,500,000</w:t>
            </w:r>
          </w:p>
        </w:tc>
      </w:tr>
      <w:tr>
        <w:trPr>
          <w:trHeight w:val="346" w:hRule="exact"/>
        </w:trPr>
        <w:tc>
          <w:tcPr>
            <w:tcW w:w="452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宋体" w:hAnsi="宋体" w:cs="宋体" w:eastAsia="宋体" w:hint="default"/>
                <w:sz w:val="21"/>
                <w:szCs w:val="21"/>
              </w:rPr>
              <w:t>稀释收益（元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0.4643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0.6963</w:t>
            </w: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t>普通股的加权平均数（稀释）计算过程如下：</w:t>
      </w:r>
    </w:p>
    <w:p>
      <w:pPr>
        <w:spacing w:line="240" w:lineRule="auto" w:before="10"/>
        <w:rPr>
          <w:rFonts w:ascii="宋体" w:hAnsi="宋体" w:cs="宋体" w:eastAsia="宋体" w:hint="default"/>
          <w:sz w:val="3"/>
          <w:szCs w:val="3"/>
        </w:rPr>
      </w:pPr>
    </w:p>
    <w:tbl>
      <w:tblPr>
        <w:tblW w:w="0" w:type="auto"/>
        <w:jc w:val="left"/>
        <w:tblInd w:w="722" w:type="dxa"/>
        <w:tblLayout w:type="fixed"/>
        <w:tblCellMar>
          <w:top w:w="0" w:type="dxa"/>
          <w:left w:w="0" w:type="dxa"/>
          <w:bottom w:w="0" w:type="dxa"/>
          <w:right w:w="0" w:type="dxa"/>
        </w:tblCellMar>
        <w:tblLook w:val="01E0"/>
      </w:tblPr>
      <w:tblGrid>
        <w:gridCol w:w="3790"/>
        <w:gridCol w:w="2014"/>
        <w:gridCol w:w="2127"/>
      </w:tblGrid>
      <w:tr>
        <w:trPr>
          <w:trHeight w:val="349"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5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6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年度</w:t>
            </w:r>
          </w:p>
        </w:tc>
      </w:tr>
      <w:tr>
        <w:trPr>
          <w:trHeight w:val="34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年初已发行普通股股数</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120,000,000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90,000,000</w:t>
            </w:r>
          </w:p>
        </w:tc>
      </w:tr>
      <w:tr>
        <w:trPr>
          <w:trHeight w:val="65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1"/>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加：本期发行的普通股加权数</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系资本公积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转增</w:t>
            </w:r>
            <w:r>
              <w:rPr>
                <w:rFonts w:ascii="Times New Roman" w:hAnsi="Times New Roman" w:cs="Times New Roman" w:eastAsia="Times New Roman" w:hint="default"/>
                <w:sz w:val="21"/>
                <w:szCs w:val="21"/>
              </w:rPr>
              <w:t>)</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120,000,000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27,500,000</w:t>
            </w:r>
          </w:p>
        </w:tc>
      </w:tr>
      <w:tr>
        <w:trPr>
          <w:trHeight w:val="34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年末发行在外的普通股加权数</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240,000,000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117,500,000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before="36"/>
        <w:ind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3"/>
      </w:tblGrid>
      <w:tr>
        <w:trPr>
          <w:trHeight w:val="404"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按照权益法核算的在被投资单位其他综合收益中所享有 的份额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783,833.54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783,833.54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11,281.00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-649,366.32</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11,281.00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-649,366.32</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795,114.54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-649,366.32</w:t>
            </w:r>
          </w:p>
        </w:tc>
      </w:tr>
    </w:tbl>
    <w:p>
      <w:pPr>
        <w:spacing w:line="360" w:lineRule="auto" w:before="49"/>
        <w:ind w:left="152" w:right="8334" w:firstLine="0"/>
        <w:jc w:val="left"/>
        <w:rPr>
          <w:rFonts w:ascii="宋体" w:hAnsi="宋体" w:cs="宋体" w:eastAsia="宋体" w:hint="default"/>
          <w:sz w:val="18"/>
          <w:szCs w:val="18"/>
        </w:rPr>
      </w:pPr>
      <w:r>
        <w:rPr>
          <w:rFonts w:ascii="宋体" w:hAnsi="宋体" w:cs="宋体" w:eastAsia="宋体" w:hint="default"/>
          <w:sz w:val="18"/>
          <w:szCs w:val="18"/>
        </w:rPr>
        <w:t>其他综合收益说明 无</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26,977,497.63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34,410,000.00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15,760,348.88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77,147,846.51</w:t>
            </w:r>
          </w:p>
        </w:tc>
      </w:tr>
    </w:tbl>
    <w:p>
      <w:pPr>
        <w:spacing w:line="357" w:lineRule="auto" w:before="49"/>
        <w:ind w:left="152" w:right="6714"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82,667,056.16</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13,816,454.49</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215,860.83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96,699,371.48</w:t>
            </w:r>
          </w:p>
        </w:tc>
      </w:tr>
    </w:tbl>
    <w:p>
      <w:pPr>
        <w:spacing w:line="360" w:lineRule="auto" w:before="49"/>
        <w:ind w:left="152" w:right="6714"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5"/>
        <w:rPr>
          <w:rFonts w:ascii="宋体" w:hAnsi="宋体" w:cs="宋体" w:eastAsia="宋体" w:hint="default"/>
          <w:b/>
          <w:bCs/>
          <w:sz w:val="26"/>
          <w:szCs w:val="26"/>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105,382,027.67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81,033,373.40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1,761,409.36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2,985,615.91</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12,843,227.96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12,597,023.06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3,578,064.66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321,045.08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785,818.74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270,972.26</w:t>
            </w: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w:t>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22,878.17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-1,386.74</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-44,800.95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-5,576.53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9,490,975.92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6,691,451.35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58,291.65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-558,225.38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455,207.18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183,269.61</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-23,697,624.62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-5,699,075.18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-69,199,939.14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-106,395,398.94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10,824,476.93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23,904,086.95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8,710,400.00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60,969,983.53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15,327,174.85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779,964,737.57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865,821,868.42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867,380,142.21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171,312,769.26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-87,415,404.64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694,509,099.16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66" w:right="0"/>
              <w:jc w:val="left"/>
              <w:rPr>
                <w:rFonts w:ascii="Times New Roman" w:hAnsi="Times New Roman" w:cs="Times New Roman" w:eastAsia="Times New Roman" w:hint="default"/>
                <w:sz w:val="18"/>
                <w:szCs w:val="18"/>
              </w:rPr>
            </w:pPr>
            <w:r>
              <w:rPr>
                <w:rFonts w:ascii="Times New Roman"/>
                <w:sz w:val="18"/>
              </w:rPr>
              <w:t>779,964,737.57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0" w:right="0"/>
              <w:jc w:val="left"/>
              <w:rPr>
                <w:rFonts w:ascii="Times New Roman" w:hAnsi="Times New Roman" w:cs="Times New Roman" w:eastAsia="Times New Roman" w:hint="default"/>
                <w:sz w:val="18"/>
                <w:szCs w:val="18"/>
              </w:rPr>
            </w:pPr>
            <w:r>
              <w:rPr>
                <w:rFonts w:ascii="Times New Roman"/>
                <w:sz w:val="18"/>
              </w:rPr>
              <w:t>867,380,142.21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87"/>
        <w:gridCol w:w="2525"/>
        <w:gridCol w:w="2657"/>
      </w:tblGrid>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410,193.03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55,533.34</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779,554,544.54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867,324,608.87</w:t>
            </w:r>
          </w:p>
        </w:tc>
      </w:tr>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779,964,737.57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867,380,142.21</w:t>
            </w:r>
          </w:p>
        </w:tc>
      </w:tr>
    </w:tbl>
    <w:p>
      <w:pPr>
        <w:spacing w:before="49"/>
        <w:ind w:left="152" w:right="10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line="240" w:lineRule="auto" w:before="0"/>
        <w:rPr>
          <w:rFonts w:ascii="宋体" w:hAnsi="宋体" w:cs="宋体" w:eastAsia="宋体" w:hint="default"/>
          <w:sz w:val="18"/>
          <w:szCs w:val="18"/>
        </w:rPr>
      </w:pPr>
    </w:p>
    <w:p>
      <w:pPr>
        <w:pStyle w:val="Heading4"/>
        <w:spacing w:line="240" w:lineRule="auto" w:before="118"/>
        <w:ind w:right="100"/>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1394"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项目名称及调整金</w:t>
      </w:r>
      <w:r>
        <w:rPr>
          <w:rFonts w:ascii="宋体" w:hAnsi="宋体" w:cs="宋体" w:eastAsia="宋体" w:hint="default"/>
          <w:spacing w:val="2"/>
          <w:sz w:val="18"/>
          <w:szCs w:val="18"/>
        </w:rPr>
        <w:t>额</w:t>
      </w:r>
      <w:r>
        <w:rPr>
          <w:rFonts w:ascii="宋体" w:hAnsi="宋体" w:cs="宋体" w:eastAsia="宋体" w:hint="default"/>
          <w:sz w:val="18"/>
          <w:szCs w:val="18"/>
        </w:rPr>
        <w:t>、由同一控制下企业合并产生的追溯调整等事项</w:t>
      </w:r>
      <w:r>
        <w:rPr>
          <w:rFonts w:ascii="宋体" w:hAnsi="宋体" w:cs="宋体" w:eastAsia="宋体" w:hint="default"/>
          <w:sz w:val="18"/>
          <w:szCs w:val="18"/>
        </w:rPr>
        <w:t> 无</w:t>
      </w:r>
    </w:p>
    <w:p>
      <w:pPr>
        <w:spacing w:line="240" w:lineRule="auto" w:before="6"/>
        <w:rPr>
          <w:rFonts w:ascii="宋体" w:hAnsi="宋体" w:cs="宋体" w:eastAsia="宋体" w:hint="default"/>
          <w:sz w:val="19"/>
          <w:szCs w:val="19"/>
        </w:rPr>
      </w:pPr>
    </w:p>
    <w:p>
      <w:pPr>
        <w:spacing w:line="506" w:lineRule="auto" w:before="0"/>
        <w:ind w:left="152" w:right="3295" w:firstLine="0"/>
        <w:jc w:val="left"/>
        <w:rPr>
          <w:rFonts w:ascii="宋体" w:hAnsi="宋体" w:cs="宋体" w:eastAsia="宋体" w:hint="default"/>
          <w:sz w:val="18"/>
          <w:szCs w:val="18"/>
        </w:rPr>
      </w:pPr>
      <w:r>
        <w:rPr>
          <w:rFonts w:ascii="宋体" w:hAnsi="宋体" w:cs="宋体" w:eastAsia="宋体" w:hint="default"/>
          <w:b/>
          <w:bCs/>
          <w:sz w:val="24"/>
          <w:szCs w:val="24"/>
        </w:rPr>
        <w:t>八、资产证券化业务的会计处理</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、说明资产证券化业务的主要交易安排及其会计处理、破产隔离条款</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18"/>
          <w:szCs w:val="18"/>
        </w:rPr>
        <w:t>无</w:t>
      </w:r>
    </w:p>
    <w:p>
      <w:pPr>
        <w:pStyle w:val="Heading4"/>
        <w:spacing w:line="240" w:lineRule="auto" w:before="156"/>
        <w:ind w:right="100"/>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2"/>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100"/>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0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33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027"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上海万豪 投资有限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1"/>
              <w:jc w:val="center"/>
              <w:rPr>
                <w:rFonts w:ascii="Times New Roman" w:hAnsi="Times New Roman" w:cs="Times New Roman" w:eastAsia="Times New Roman" w:hint="default"/>
                <w:sz w:val="18"/>
                <w:szCs w:val="18"/>
              </w:rPr>
            </w:pPr>
            <w:r>
              <w:rPr>
                <w:rFonts w:ascii="Times New Roman"/>
                <w:sz w:val="18"/>
              </w:rPr>
              <w:t>40000000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26.62%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26.62%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76879447-</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7</w:t>
            </w:r>
          </w:p>
        </w:tc>
      </w:tr>
    </w:tbl>
    <w:p>
      <w:pPr>
        <w:spacing w:before="49"/>
        <w:ind w:left="152" w:right="10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261" w:lineRule="auto" w:before="95"/>
        <w:ind w:right="100"/>
        <w:jc w:val="left"/>
      </w:pPr>
      <w:r>
        <w:rPr>
          <w:spacing w:val="-2"/>
        </w:rPr>
        <w:t>本公司的控股股东上海万豪投资有限公司除控股本公司外，还控制上海中标信息工程监理有限公司（持有</w:t>
      </w:r>
      <w:r>
        <w:rPr>
          <w:spacing w:val="-44"/>
        </w:rPr>
        <w:t> </w:t>
      </w:r>
      <w:r>
        <w:rPr>
          <w:spacing w:val="-44"/>
        </w:rPr>
      </w:r>
      <w:r>
        <w:rPr/>
        <w:t>其</w:t>
      </w:r>
      <w:r>
        <w:rPr>
          <w:rFonts w:ascii="Times New Roman" w:hAnsi="Times New Roman" w:cs="Times New Roman" w:eastAsia="Times New Roman" w:hint="default"/>
        </w:rPr>
        <w:t>100%</w:t>
      </w:r>
      <w:r>
        <w:rPr/>
        <w:t>的股份）和北京中保天和信息科技有限公司（持有其</w:t>
      </w:r>
      <w:r>
        <w:rPr>
          <w:rFonts w:ascii="Times New Roman" w:hAnsi="Times New Roman" w:cs="Times New Roman" w:eastAsia="Times New Roman" w:hint="default"/>
        </w:rPr>
        <w:t>64.74%</w:t>
      </w:r>
      <w:r>
        <w:rPr/>
        <w:t>的股份）。本公司的实际控制人史一</w:t>
      </w:r>
      <w:r>
        <w:rPr>
          <w:spacing w:val="-8"/>
        </w:rPr>
        <w:t> </w:t>
      </w:r>
      <w:r>
        <w:rPr>
          <w:spacing w:val="-8"/>
        </w:rPr>
      </w:r>
      <w:r>
        <w:rPr>
          <w:spacing w:val="-3"/>
        </w:rPr>
        <w:t>兵先生除直接持有本公司股份</w:t>
      </w:r>
      <w:r>
        <w:rPr>
          <w:rFonts w:ascii="Times New Roman" w:hAnsi="Times New Roman" w:cs="Times New Roman" w:eastAsia="Times New Roman" w:hint="default"/>
          <w:spacing w:val="-3"/>
        </w:rPr>
        <w:t>918,100</w:t>
      </w:r>
      <w:r>
        <w:rPr>
          <w:spacing w:val="-3"/>
        </w:rPr>
        <w:t>股外，还直接控制万豪投资，持有其</w:t>
      </w:r>
      <w:r>
        <w:rPr>
          <w:rFonts w:ascii="Times New Roman" w:hAnsi="Times New Roman" w:cs="Times New Roman" w:eastAsia="Times New Roman" w:hint="default"/>
          <w:spacing w:val="-3"/>
        </w:rPr>
        <w:t>61.85%</w:t>
      </w:r>
      <w:r>
        <w:rPr>
          <w:spacing w:val="-3"/>
        </w:rPr>
        <w:t>的股权；通过万豪投资间</w:t>
      </w:r>
      <w:r>
        <w:rPr>
          <w:spacing w:val="-50"/>
        </w:rPr>
        <w:t> </w:t>
      </w:r>
      <w:r>
        <w:rPr>
          <w:spacing w:val="-50"/>
        </w:rPr>
      </w:r>
      <w:r>
        <w:rPr/>
        <w:t>接控制上海中标信息工程监理有限公司和北京中保天和信息科技有限公司。</w:t>
      </w:r>
      <w:r>
        <w:rPr>
          <w:w w:val="100"/>
        </w:rPr>
        <w:t> </w:t>
      </w:r>
      <w:r>
        <w:rPr>
          <w:spacing w:val="-2"/>
        </w:rPr>
        <w:t>本公司的实际控制人为史一兵先生。史一兵先生，中国国籍，身份证号码</w:t>
      </w:r>
      <w:r>
        <w:rPr>
          <w:rFonts w:ascii="Times New Roman" w:hAnsi="Times New Roman" w:cs="Times New Roman" w:eastAsia="Times New Roman" w:hint="default"/>
          <w:spacing w:val="-2"/>
        </w:rPr>
        <w:t>31010419620505****</w:t>
      </w:r>
      <w:r>
        <w:rPr>
          <w:spacing w:val="-2"/>
        </w:rPr>
        <w:t>，住所为上</w:t>
      </w:r>
      <w:r>
        <w:rPr>
          <w:spacing w:val="-29"/>
        </w:rPr>
        <w:t> </w:t>
      </w:r>
      <w:r>
        <w:rPr>
          <w:spacing w:val="-29"/>
        </w:rPr>
      </w:r>
      <w:r>
        <w:rPr>
          <w:spacing w:val="-3"/>
        </w:rPr>
        <w:t>海市闵行区沪闵路</w:t>
      </w:r>
      <w:r>
        <w:rPr>
          <w:rFonts w:ascii="Times New Roman" w:hAnsi="Times New Roman" w:cs="Times New Roman" w:eastAsia="Times New Roman" w:hint="default"/>
          <w:spacing w:val="-3"/>
        </w:rPr>
        <w:t>6988</w:t>
      </w:r>
      <w:r>
        <w:rPr>
          <w:spacing w:val="-3"/>
        </w:rPr>
        <w:t>弄</w:t>
      </w:r>
      <w:r>
        <w:rPr>
          <w:rFonts w:ascii="Times New Roman" w:hAnsi="Times New Roman" w:cs="Times New Roman" w:eastAsia="Times New Roman" w:hint="default"/>
          <w:spacing w:val="-3"/>
        </w:rPr>
        <w:t>17</w:t>
      </w:r>
      <w:r>
        <w:rPr>
          <w:spacing w:val="-3"/>
        </w:rPr>
        <w:t>号</w:t>
      </w:r>
      <w:r>
        <w:rPr>
          <w:rFonts w:ascii="Times New Roman" w:hAnsi="Times New Roman" w:cs="Times New Roman" w:eastAsia="Times New Roman" w:hint="default"/>
          <w:spacing w:val="-3"/>
        </w:rPr>
        <w:t>601</w:t>
      </w:r>
      <w:r>
        <w:rPr>
          <w:spacing w:val="-3"/>
        </w:rPr>
        <w:t>室。史一兵先生直接持有本公司股份</w:t>
      </w:r>
      <w:r>
        <w:rPr>
          <w:rFonts w:ascii="Times New Roman" w:hAnsi="Times New Roman" w:cs="Times New Roman" w:eastAsia="Times New Roman" w:hint="default"/>
          <w:spacing w:val="-3"/>
        </w:rPr>
        <w:t>918,100</w:t>
      </w:r>
      <w:r>
        <w:rPr>
          <w:spacing w:val="-3"/>
        </w:rPr>
        <w:t>股，占公司总股本的</w:t>
      </w:r>
      <w:r>
        <w:rPr>
          <w:rFonts w:ascii="Times New Roman" w:hAnsi="Times New Roman" w:cs="Times New Roman" w:eastAsia="Times New Roman" w:hint="default"/>
          <w:spacing w:val="-3"/>
        </w:rPr>
        <w:t>0.765%</w:t>
      </w:r>
      <w:r>
        <w:rPr>
          <w:spacing w:val="-3"/>
        </w:rPr>
        <w:t>；</w:t>
      </w:r>
      <w:r>
        <w:rPr>
          <w:spacing w:val="-40"/>
        </w:rPr>
        <w:t> </w:t>
      </w:r>
      <w:r>
        <w:rPr>
          <w:spacing w:val="-3"/>
        </w:rPr>
        <w:t>同时持有本公司控股股东上海万豪投资有限公司股份</w:t>
      </w:r>
      <w:r>
        <w:rPr>
          <w:rFonts w:ascii="Times New Roman" w:hAnsi="Times New Roman" w:cs="Times New Roman" w:eastAsia="Times New Roman" w:hint="default"/>
          <w:spacing w:val="-3"/>
        </w:rPr>
        <w:t>61.85%</w:t>
      </w:r>
      <w:r>
        <w:rPr>
          <w:spacing w:val="-3"/>
        </w:rPr>
        <w:t>，并通过上海万豪投资有限公司间接持有本公</w:t>
      </w:r>
      <w:r>
        <w:rPr>
          <w:spacing w:val="-5"/>
        </w:rPr>
        <w:t> </w:t>
      </w:r>
      <w:r>
        <w:rPr>
          <w:spacing w:val="-5"/>
        </w:rPr>
      </w:r>
      <w:r>
        <w:rPr>
          <w:spacing w:val="-3"/>
        </w:rPr>
        <w:t>司股份</w:t>
      </w:r>
      <w:r>
        <w:rPr>
          <w:rFonts w:ascii="Times New Roman" w:hAnsi="Times New Roman" w:cs="Times New Roman" w:eastAsia="Times New Roman" w:hint="default"/>
          <w:spacing w:val="-3"/>
        </w:rPr>
        <w:t>16.47%</w:t>
      </w:r>
      <w:r>
        <w:rPr>
          <w:spacing w:val="-3"/>
        </w:rPr>
        <w:t>，直接及间接持有本公司股权共计</w:t>
      </w:r>
      <w:r>
        <w:rPr>
          <w:rFonts w:ascii="Times New Roman" w:hAnsi="Times New Roman" w:cs="Times New Roman" w:eastAsia="Times New Roman" w:hint="default"/>
          <w:spacing w:val="-3"/>
        </w:rPr>
        <w:t>17.24%</w:t>
      </w:r>
      <w:r>
        <w:rPr>
          <w:spacing w:val="-3"/>
        </w:rPr>
        <w:t>（持有本公司具表决权股份</w:t>
      </w:r>
      <w:r>
        <w:rPr>
          <w:rFonts w:ascii="Times New Roman" w:hAnsi="Times New Roman" w:cs="Times New Roman" w:eastAsia="Times New Roman" w:hint="default"/>
          <w:spacing w:val="-3"/>
        </w:rPr>
        <w:t>27.39%</w:t>
      </w:r>
      <w:r>
        <w:rPr>
          <w:spacing w:val="-3"/>
        </w:rPr>
        <w:t>），对本公司拥</w:t>
      </w:r>
      <w:r>
        <w:rPr>
          <w:spacing w:val="-28"/>
        </w:rPr>
        <w:t> </w:t>
      </w:r>
      <w:r>
        <w:rPr>
          <w:spacing w:val="-28"/>
        </w:rPr>
      </w:r>
      <w:r>
        <w:rPr/>
        <w:t>有实际控制权。史一兵先生担任本公司的董事长、总裁，是本公司的法定代表人。</w:t>
      </w:r>
    </w:p>
    <w:p>
      <w:pPr>
        <w:spacing w:after="0" w:line="261"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杭州万达信 息系统有限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薛莉芳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73450157-6</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宁波万达信 息系统有限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74739615-4</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深圳市万达 计算机软件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68375518-8</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美国万达 信息有限公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455,359.20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上海万达信 息系统有限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66943037-9</w:t>
            </w:r>
          </w:p>
        </w:tc>
      </w:tr>
      <w:tr>
        <w:trPr>
          <w:trHeight w:val="134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上海爱递吉 供应链管理 服务有限公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55155551-2</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上海万达信 息服务有限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3" w:right="146"/>
              <w:jc w:val="left"/>
              <w:rPr>
                <w:rFonts w:ascii="Times New Roman" w:hAnsi="Times New Roman" w:cs="Times New Roman" w:eastAsia="Times New Roman" w:hint="default"/>
                <w:sz w:val="18"/>
                <w:szCs w:val="18"/>
              </w:rPr>
            </w:pPr>
            <w:r>
              <w:rPr>
                <w:rFonts w:ascii="Times New Roman"/>
                <w:sz w:val="18"/>
              </w:rPr>
              <w:t>57411703- X</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南京爱递吉 供应链管理 服务有限公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李俊生</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1150000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56285175-5</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上海卫生信 息工程技术 研究中心有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59311120-7</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上海万达全 程健康服务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16110000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59479319-0</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西藏万达华 波美信息技 术有限公司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68682431-0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天津万达信 息技术有限 责任公司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05207294-6</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北京万达全 城信息系统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05733405-2</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上海格言管 理有限公司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05767907-7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6"/>
        <w:gridCol w:w="953"/>
        <w:gridCol w:w="961"/>
        <w:gridCol w:w="955"/>
        <w:gridCol w:w="955"/>
        <w:gridCol w:w="960"/>
        <w:gridCol w:w="958"/>
        <w:gridCol w:w="958"/>
        <w:gridCol w:w="958"/>
        <w:gridCol w:w="960"/>
      </w:tblGrid>
      <w:tr>
        <w:trPr>
          <w:trHeight w:val="1338"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2"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6"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 </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2"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1"/>
              <w:jc w:val="both"/>
              <w:rPr>
                <w:rFonts w:ascii="宋体" w:hAnsi="宋体" w:cs="宋体" w:eastAsia="宋体" w:hint="default"/>
                <w:sz w:val="18"/>
                <w:szCs w:val="18"/>
              </w:rPr>
            </w:pPr>
            <w:r>
              <w:rPr>
                <w:rFonts w:ascii="宋体" w:hAnsi="宋体" w:cs="宋体" w:eastAsia="宋体" w:hint="default"/>
                <w:sz w:val="18"/>
                <w:szCs w:val="18"/>
              </w:rPr>
              <w:t>上海浦江 科技投资 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石首山</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25.93%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25.93%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72942866-9</w:t>
            </w:r>
          </w:p>
        </w:tc>
      </w:tr>
      <w:tr>
        <w:trPr>
          <w:trHeight w:val="1340"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上海华奕 医疗信息 技术有限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董建民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1,159,495.0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76221674-8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上海长安信息技术咨询开发中心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42513513-8</w:t>
            </w:r>
          </w:p>
        </w:tc>
      </w:tr>
    </w:tbl>
    <w:p>
      <w:pPr>
        <w:spacing w:line="360" w:lineRule="auto" w:before="49"/>
        <w:ind w:left="152" w:right="7254"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 无</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729"/>
        <w:gridCol w:w="1462"/>
        <w:gridCol w:w="1594"/>
        <w:gridCol w:w="797"/>
        <w:gridCol w:w="1594"/>
        <w:gridCol w:w="797"/>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4"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6"/>
          <w:szCs w:val="26"/>
        </w:rPr>
      </w:pPr>
    </w:p>
    <w:p>
      <w:pPr>
        <w:spacing w:before="44"/>
        <w:ind w:left="0" w:right="160" w:firstLine="0"/>
        <w:jc w:val="right"/>
        <w:rPr>
          <w:rFonts w:ascii="宋体" w:hAnsi="宋体" w:cs="宋体" w:eastAsia="宋体" w:hint="default"/>
          <w:sz w:val="18"/>
          <w:szCs w:val="18"/>
        </w:rPr>
      </w:pPr>
      <w:r>
        <w:rPr/>
        <w:pict>
          <v:shape style="position:absolute;margin-left:409.630005pt;margin-top:1.787738pt;width:85.5pt;height:17.7pt;mso-position-horizontal-relative:page;mso-position-vertical-relative:paragraph;z-index:-107617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1.311738pt;width:479.1pt;height:18.650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1594"/>
                    <w:gridCol w:w="797"/>
                  </w:tblGrid>
                  <w:tr>
                    <w:trPr>
                      <w:trHeight w:val="36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6"/>
        <w:rPr>
          <w:rFonts w:ascii="宋体" w:hAnsi="宋体" w:cs="宋体" w:eastAsia="宋体" w:hint="default"/>
          <w:sz w:val="9"/>
          <w:szCs w:val="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60" w:firstLine="0"/>
        <w:jc w:val="right"/>
        <w:rPr>
          <w:rFonts w:ascii="宋体" w:hAnsi="宋体" w:cs="宋体" w:eastAsia="宋体" w:hint="default"/>
          <w:sz w:val="18"/>
          <w:szCs w:val="18"/>
        </w:rPr>
      </w:pPr>
      <w:r>
        <w:rPr/>
        <w:pict>
          <v:shape style="position:absolute;margin-left:409.630005pt;margin-top:3.831702pt;width:85.5pt;height:15.6pt;mso-position-horizontal-relative:page;mso-position-vertical-relative:paragraph;z-index:-1076152"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1.9683pt;width:479.1pt;height:107.6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1594"/>
                    <w:gridCol w:w="797"/>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上海长安信息技术 咨询开发中心</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1,200,000.00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2"/>
        <w:rPr>
          <w:rFonts w:ascii="宋体" w:hAnsi="宋体" w:cs="宋体" w:eastAsia="宋体" w:hint="default"/>
          <w:b/>
          <w:bCs/>
          <w:sz w:val="26"/>
          <w:szCs w:val="26"/>
        </w:rPr>
      </w:pPr>
    </w:p>
    <w:p>
      <w:pPr>
        <w:spacing w:line="348" w:lineRule="auto" w:before="0"/>
        <w:ind w:left="152" w:right="7760" w:firstLine="0"/>
        <w:jc w:val="left"/>
        <w:rPr>
          <w:rFonts w:ascii="宋体" w:hAnsi="宋体" w:cs="宋体" w:eastAsia="宋体" w:hint="default"/>
          <w:sz w:val="18"/>
          <w:szCs w:val="18"/>
        </w:rPr>
      </w:pPr>
      <w:r>
        <w:rPr>
          <w:rFonts w:ascii="宋体" w:hAnsi="宋体" w:cs="宋体" w:eastAsia="宋体" w:hint="default"/>
          <w:sz w:val="18"/>
          <w:szCs w:val="18"/>
        </w:rPr>
        <w:t>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 无 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 无 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无</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2"/>
        <w:rPr>
          <w:rFonts w:ascii="宋体" w:hAnsi="宋体" w:cs="宋体" w:eastAsia="宋体" w:hint="default"/>
          <w:b/>
          <w:bCs/>
          <w:sz w:val="26"/>
          <w:szCs w:val="26"/>
        </w:rPr>
      </w:pPr>
    </w:p>
    <w:p>
      <w:pPr>
        <w:spacing w:line="357" w:lineRule="auto" w:before="0"/>
        <w:ind w:left="152" w:right="8514" w:firstLine="0"/>
        <w:jc w:val="left"/>
        <w:rPr>
          <w:rFonts w:ascii="宋体" w:hAnsi="宋体" w:cs="宋体" w:eastAsia="宋体" w:hint="default"/>
          <w:sz w:val="18"/>
          <w:szCs w:val="18"/>
        </w:rPr>
      </w:pPr>
      <w:r>
        <w:rPr>
          <w:rFonts w:ascii="宋体" w:hAnsi="宋体" w:cs="宋体" w:eastAsia="宋体" w:hint="default"/>
          <w:sz w:val="18"/>
          <w:szCs w:val="18"/>
        </w:rPr>
        <w:t>公司出租情况表 无 公司承租情况表 无</w:t>
      </w:r>
    </w:p>
    <w:p>
      <w:pPr>
        <w:spacing w:line="357" w:lineRule="auto" w:before="29"/>
        <w:ind w:left="152" w:right="8334" w:firstLine="0"/>
        <w:jc w:val="left"/>
        <w:rPr>
          <w:rFonts w:ascii="宋体" w:hAnsi="宋体" w:cs="宋体" w:eastAsia="宋体" w:hint="default"/>
          <w:sz w:val="18"/>
          <w:szCs w:val="18"/>
        </w:rPr>
      </w:pPr>
      <w:r>
        <w:rPr>
          <w:rFonts w:ascii="宋体" w:hAnsi="宋体" w:cs="宋体" w:eastAsia="宋体" w:hint="default"/>
          <w:sz w:val="18"/>
          <w:szCs w:val="18"/>
        </w:rPr>
        <w:t>关联租赁情况说明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8334" w:firstLine="0"/>
        <w:jc w:val="left"/>
        <w:rPr>
          <w:rFonts w:ascii="宋体" w:hAnsi="宋体" w:cs="宋体" w:eastAsia="宋体" w:hint="default"/>
          <w:sz w:val="18"/>
          <w:szCs w:val="18"/>
        </w:rPr>
      </w:pPr>
      <w:r>
        <w:rPr>
          <w:rFonts w:ascii="宋体" w:hAnsi="宋体" w:cs="宋体" w:eastAsia="宋体" w:hint="default"/>
          <w:sz w:val="18"/>
          <w:szCs w:val="18"/>
        </w:rPr>
        <w:t>关联担保情况说明 无</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0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5"/>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10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2"/>
        <w:rPr>
          <w:rFonts w:ascii="宋体" w:hAnsi="宋体" w:cs="宋体" w:eastAsia="宋体" w:hint="default"/>
          <w:b/>
          <w:bCs/>
          <w:sz w:val="26"/>
          <w:szCs w:val="26"/>
        </w:rPr>
      </w:pPr>
    </w:p>
    <w:p>
      <w:pPr>
        <w:spacing w:line="357" w:lineRule="auto" w:before="0"/>
        <w:ind w:left="152" w:right="7854"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 无 上市公司应付关联方款项 无</w:t>
      </w:r>
    </w:p>
    <w:p>
      <w:pPr>
        <w:spacing w:line="240" w:lineRule="auto" w:before="7"/>
        <w:rPr>
          <w:rFonts w:ascii="宋体" w:hAnsi="宋体" w:cs="宋体" w:eastAsia="宋体" w:hint="default"/>
          <w:sz w:val="18"/>
          <w:szCs w:val="18"/>
        </w:rPr>
      </w:pPr>
    </w:p>
    <w:p>
      <w:pPr>
        <w:pStyle w:val="Heading2"/>
        <w:spacing w:line="240" w:lineRule="auto"/>
        <w:ind w:right="100"/>
        <w:jc w:val="left"/>
        <w:rPr>
          <w:b w:val="0"/>
          <w:bCs w:val="0"/>
        </w:rPr>
      </w:pPr>
      <w:r>
        <w:rPr/>
        <w:t>十、股份支付</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0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2"/>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股份支付情况的说明</w:t>
      </w:r>
    </w:p>
    <w:p>
      <w:pPr>
        <w:pStyle w:val="BodyText"/>
        <w:spacing w:line="256" w:lineRule="auto" w:before="96"/>
        <w:ind w:right="100"/>
        <w:jc w:val="left"/>
      </w:pPr>
      <w:r>
        <w:rPr>
          <w:spacing w:val="-3"/>
          <w:w w:val="99"/>
        </w:rPr>
        <w:t>根据《万达信息股份有限公司</w:t>
      </w:r>
      <w:r>
        <w:rPr>
          <w:rFonts w:ascii="Times New Roman" w:hAnsi="Times New Roman" w:cs="Times New Roman" w:eastAsia="Times New Roman" w:hint="default"/>
          <w:spacing w:val="-3"/>
          <w:w w:val="99"/>
        </w:rPr>
        <w:t>A</w:t>
      </w:r>
      <w:r>
        <w:rPr>
          <w:spacing w:val="-3"/>
          <w:w w:val="99"/>
        </w:rPr>
        <w:t>股股票期权激励计划（</w:t>
      </w:r>
      <w:r>
        <w:rPr>
          <w:rFonts w:ascii="Times New Roman" w:hAnsi="Times New Roman" w:cs="Times New Roman" w:eastAsia="Times New Roman" w:hint="default"/>
          <w:spacing w:val="-3"/>
          <w:w w:val="99"/>
        </w:rPr>
        <w:t>2011</w:t>
      </w:r>
      <w:r>
        <w:rPr>
          <w:spacing w:val="-3"/>
          <w:w w:val="99"/>
        </w:rPr>
        <w:t>年度）（草案）修订稿》（以下简称</w:t>
      </w:r>
      <w:r>
        <w:rPr>
          <w:rFonts w:ascii="Times New Roman" w:hAnsi="Times New Roman" w:cs="Times New Roman" w:eastAsia="Times New Roman" w:hint="default"/>
          <w:spacing w:val="-3"/>
          <w:w w:val="99"/>
        </w:rPr>
        <w:t>―</w:t>
      </w:r>
      <w:r>
        <w:rPr>
          <w:spacing w:val="-3"/>
          <w:w w:val="99"/>
        </w:rPr>
        <w:t>《股票期</w:t>
      </w:r>
      <w:r>
        <w:rPr>
          <w:spacing w:val="-85"/>
          <w:w w:val="99"/>
        </w:rPr>
        <w:t> </w:t>
      </w:r>
      <w:r>
        <w:rPr>
          <w:spacing w:val="-85"/>
          <w:w w:val="99"/>
        </w:rPr>
      </w:r>
      <w:r>
        <w:rPr/>
        <w:t>权激励计划》</w:t>
      </w:r>
      <w:r>
        <w:rPr>
          <w:rFonts w:ascii="Times New Roman" w:hAnsi="Times New Roman" w:cs="Times New Roman" w:eastAsia="Times New Roman" w:hint="default"/>
        </w:rPr>
        <w:t>‖</w:t>
      </w:r>
      <w:r>
        <w:rPr/>
        <w:t>），公司股票期权激励计划的主要内容如下：</w:t>
      </w:r>
    </w:p>
    <w:p>
      <w:pPr>
        <w:spacing w:line="240" w:lineRule="auto" w:before="3"/>
        <w:rPr>
          <w:rFonts w:ascii="宋体" w:hAnsi="宋体" w:cs="宋体" w:eastAsia="宋体" w:hint="default"/>
          <w:sz w:val="24"/>
          <w:szCs w:val="24"/>
        </w:rPr>
      </w:pPr>
    </w:p>
    <w:p>
      <w:pPr>
        <w:pStyle w:val="BodyText"/>
        <w:spacing w:line="240" w:lineRule="auto"/>
        <w:ind w:right="100"/>
        <w:jc w:val="left"/>
      </w:pPr>
      <w:r>
        <w:rPr>
          <w:rFonts w:ascii="Times New Roman" w:hAnsi="Times New Roman" w:cs="Times New Roman" w:eastAsia="Times New Roman" w:hint="default"/>
        </w:rPr>
        <w:t>1</w:t>
      </w:r>
      <w:r>
        <w:rPr/>
        <w:t>、标的股票种类：激励计划拟授予激励对象的标的股票为股票期权。</w:t>
      </w:r>
    </w:p>
    <w:p>
      <w:pPr>
        <w:pStyle w:val="BodyText"/>
        <w:spacing w:line="240" w:lineRule="auto" w:before="21"/>
        <w:ind w:right="100"/>
        <w:jc w:val="left"/>
      </w:pPr>
      <w:r>
        <w:rPr>
          <w:rFonts w:ascii="Times New Roman" w:hAnsi="Times New Roman" w:cs="Times New Roman" w:eastAsia="Times New Roman" w:hint="default"/>
        </w:rPr>
        <w:t>2</w:t>
      </w:r>
      <w:r>
        <w:rPr/>
        <w:t>、标的股票来源：公司向激励对象定向发行的普通股股票。</w:t>
      </w:r>
    </w:p>
    <w:p>
      <w:pPr>
        <w:pStyle w:val="BodyText"/>
        <w:spacing w:line="256" w:lineRule="auto" w:before="21"/>
        <w:ind w:right="100"/>
        <w:jc w:val="left"/>
      </w:pPr>
      <w:r>
        <w:rPr>
          <w:rFonts w:ascii="Times New Roman" w:hAnsi="Times New Roman" w:cs="Times New Roman" w:eastAsia="Times New Roman" w:hint="default"/>
        </w:rPr>
        <w:t>3</w:t>
      </w:r>
      <w:r>
        <w:rPr/>
        <w:t>、激励计划拟向激励对象授予</w:t>
      </w:r>
      <w:r>
        <w:rPr>
          <w:rFonts w:ascii="Times New Roman" w:hAnsi="Times New Roman" w:cs="Times New Roman" w:eastAsia="Times New Roman" w:hint="default"/>
        </w:rPr>
        <w:t>493.6</w:t>
      </w:r>
      <w:r>
        <w:rPr/>
        <w:t>万份股票期权，涉及的标的股票种类为人民币</w:t>
      </w:r>
      <w:r>
        <w:rPr>
          <w:rFonts w:ascii="Times New Roman" w:hAnsi="Times New Roman" w:cs="Times New Roman" w:eastAsia="Times New Roman" w:hint="default"/>
        </w:rPr>
        <w:t>A</w:t>
      </w:r>
      <w:r>
        <w:rPr/>
        <w:t>股普通股，占公司目</w:t>
      </w:r>
      <w:r>
        <w:rPr>
          <w:spacing w:val="-17"/>
        </w:rPr>
        <w:t> </w:t>
      </w:r>
      <w:r>
        <w:rPr>
          <w:spacing w:val="-17"/>
        </w:rPr>
      </w:r>
      <w:r>
        <w:rPr/>
        <w:t>前总股本的</w:t>
      </w:r>
      <w:r>
        <w:rPr>
          <w:rFonts w:ascii="Times New Roman" w:hAnsi="Times New Roman" w:cs="Times New Roman" w:eastAsia="Times New Roman" w:hint="default"/>
        </w:rPr>
        <w:t>120,000,000</w:t>
      </w:r>
      <w:r>
        <w:rPr/>
        <w:t>股的</w:t>
      </w:r>
      <w:r>
        <w:rPr>
          <w:rFonts w:ascii="Times New Roman" w:hAnsi="Times New Roman" w:cs="Times New Roman" w:eastAsia="Times New Roman" w:hint="default"/>
        </w:rPr>
        <w:t>4.11%</w:t>
      </w:r>
      <w:r>
        <w:rPr/>
        <w:t>。其中首次授予的</w:t>
      </w:r>
      <w:r>
        <w:rPr>
          <w:rFonts w:ascii="Times New Roman" w:hAnsi="Times New Roman" w:cs="Times New Roman" w:eastAsia="Times New Roman" w:hint="default"/>
        </w:rPr>
        <w:t>459.6</w:t>
      </w:r>
      <w:r>
        <w:rPr/>
        <w:t>万份，占本计划开始时公司总股本的</w:t>
      </w:r>
      <w:r>
        <w:rPr>
          <w:rFonts w:ascii="Times New Roman" w:hAnsi="Times New Roman" w:cs="Times New Roman" w:eastAsia="Times New Roman" w:hint="default"/>
        </w:rPr>
        <w:t>3.83%</w:t>
      </w:r>
      <w:r>
        <w:rPr/>
        <w:t>；预</w:t>
      </w:r>
      <w:r>
        <w:rPr>
          <w:spacing w:val="-3"/>
        </w:rPr>
        <w:t> </w:t>
      </w:r>
      <w:r>
        <w:rPr/>
        <w:t>留股票期权</w:t>
      </w:r>
      <w:r>
        <w:rPr>
          <w:rFonts w:ascii="Times New Roman" w:hAnsi="Times New Roman" w:cs="Times New Roman" w:eastAsia="Times New Roman" w:hint="default"/>
        </w:rPr>
        <w:t>34</w:t>
      </w:r>
      <w:r>
        <w:rPr/>
        <w:t>万份，占本计划开始时公司总股本的</w:t>
      </w:r>
      <w:r>
        <w:rPr>
          <w:rFonts w:ascii="Times New Roman" w:hAnsi="Times New Roman" w:cs="Times New Roman" w:eastAsia="Times New Roman" w:hint="default"/>
        </w:rPr>
        <w:t>0.28%</w:t>
      </w:r>
      <w:r>
        <w:rPr/>
        <w:t>。</w:t>
      </w:r>
      <w:r>
        <w:rPr>
          <w:w w:val="100"/>
        </w:rPr>
        <w:t> </w:t>
      </w:r>
      <w:r>
        <w:rPr>
          <w:rFonts w:ascii="Times New Roman" w:hAnsi="Times New Roman" w:cs="Times New Roman" w:eastAsia="Times New Roman" w:hint="default"/>
        </w:rPr>
        <w:t>4</w:t>
      </w:r>
      <w:r>
        <w:rPr/>
        <w:t>、激励计划授予的股票期权的有效期为首次授权日起四年。首次授予的股票期权自本计划首次授权日起</w:t>
      </w:r>
      <w:r>
        <w:rPr>
          <w:spacing w:val="-25"/>
        </w:rPr>
        <w:t> </w:t>
      </w:r>
      <w:r>
        <w:rPr>
          <w:spacing w:val="-25"/>
        </w:rPr>
      </w:r>
      <w:r>
        <w:rPr>
          <w:spacing w:val="-2"/>
        </w:rPr>
        <w:t>满一年后，激励对象可在可行权期内按每年</w:t>
      </w:r>
      <w:r>
        <w:rPr>
          <w:rFonts w:ascii="Times New Roman" w:hAnsi="Times New Roman" w:cs="Times New Roman" w:eastAsia="Times New Roman" w:hint="default"/>
          <w:spacing w:val="-2"/>
        </w:rPr>
        <w:t>40%:30%:30%</w:t>
      </w:r>
      <w:r>
        <w:rPr>
          <w:spacing w:val="-2"/>
        </w:rPr>
        <w:t>的行权比例分批逐年行权。预留部分的股票期权</w:t>
      </w:r>
      <w:r>
        <w:rPr>
          <w:spacing w:val="-46"/>
        </w:rPr>
        <w:t> </w:t>
      </w:r>
      <w:r>
        <w:rPr>
          <w:spacing w:val="-46"/>
        </w:rPr>
      </w:r>
      <w:r>
        <w:rPr/>
        <w:t>自本计划首次授权日起满二年后，激励对象可在行权期内按每年</w:t>
      </w:r>
      <w:r>
        <w:rPr>
          <w:rFonts w:ascii="Times New Roman" w:hAnsi="Times New Roman" w:cs="Times New Roman" w:eastAsia="Times New Roman" w:hint="default"/>
        </w:rPr>
        <w:t>50%:50%</w:t>
      </w:r>
      <w:r>
        <w:rPr/>
        <w:t>的行权比例分批逐年行权。</w:t>
      </w:r>
    </w:p>
    <w:p>
      <w:pPr>
        <w:spacing w:line="240" w:lineRule="auto" w:before="3"/>
        <w:rPr>
          <w:rFonts w:ascii="宋体" w:hAnsi="宋体" w:cs="宋体" w:eastAsia="宋体" w:hint="default"/>
          <w:sz w:val="24"/>
          <w:szCs w:val="24"/>
        </w:rPr>
      </w:pPr>
    </w:p>
    <w:p>
      <w:pPr>
        <w:pStyle w:val="BodyText"/>
        <w:spacing w:line="256" w:lineRule="auto"/>
        <w:ind w:right="209"/>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日，公司第四届董事会第三次会议和第四届监事会第三次会议分别审议通过了《万达信息股</w:t>
      </w:r>
      <w:r>
        <w:rPr>
          <w:spacing w:val="-28"/>
        </w:rPr>
        <w:t> </w:t>
      </w:r>
      <w:r>
        <w:rPr>
          <w:spacing w:val="-28"/>
        </w:rPr>
      </w:r>
      <w:r>
        <w:rPr/>
        <w:t>份有限公司</w:t>
      </w:r>
      <w:r>
        <w:rPr>
          <w:rFonts w:ascii="Times New Roman" w:hAnsi="Times New Roman" w:cs="Times New Roman" w:eastAsia="Times New Roman" w:hint="default"/>
        </w:rPr>
        <w:t>A</w:t>
      </w:r>
      <w:r>
        <w:rPr/>
        <w:t>股股票期权激励计划（</w:t>
      </w:r>
      <w:r>
        <w:rPr>
          <w:rFonts w:ascii="Times New Roman" w:hAnsi="Times New Roman" w:cs="Times New Roman" w:eastAsia="Times New Roman" w:hint="default"/>
        </w:rPr>
        <w:t>2011</w:t>
      </w:r>
      <w:r>
        <w:rPr/>
        <w:t>年度）（草案）》，公司独立董事对《万达信息股份有限公司</w:t>
      </w:r>
      <w:r>
        <w:rPr>
          <w:rFonts w:ascii="Times New Roman" w:hAnsi="Times New Roman" w:cs="Times New Roman" w:eastAsia="Times New Roman" w:hint="default"/>
        </w:rPr>
        <w:t>A</w:t>
      </w:r>
      <w:r>
        <w:rPr>
          <w:rFonts w:ascii="Times New Roman" w:hAnsi="Times New Roman" w:cs="Times New Roman" w:eastAsia="Times New Roman" w:hint="default"/>
          <w:spacing w:val="40"/>
        </w:rPr>
        <w:t> </w:t>
      </w:r>
      <w:r>
        <w:rPr>
          <w:spacing w:val="-2"/>
        </w:rPr>
        <w:t>股股票期权激励计划（</w:t>
      </w:r>
      <w:r>
        <w:rPr>
          <w:rFonts w:ascii="Times New Roman" w:hAnsi="Times New Roman" w:cs="Times New Roman" w:eastAsia="Times New Roman" w:hint="default"/>
          <w:spacing w:val="-2"/>
        </w:rPr>
        <w:t>2011</w:t>
      </w:r>
      <w:r>
        <w:rPr>
          <w:spacing w:val="-2"/>
        </w:rPr>
        <w:t>年度）（草案）》发表了同意的独立意见，公司监事会对激励对象名单发表了</w:t>
      </w:r>
      <w:r>
        <w:rPr>
          <w:spacing w:val="-41"/>
        </w:rPr>
        <w:t> </w:t>
      </w:r>
      <w:r>
        <w:rPr>
          <w:spacing w:val="-41"/>
        </w:rPr>
      </w:r>
      <w:r>
        <w:rPr/>
        <w:t>同意意见，律师事务所出具了同意的法律意见。上述股权激励计划（草案）报中国证监会备案。</w:t>
      </w:r>
    </w:p>
    <w:p>
      <w:pPr>
        <w:spacing w:line="240" w:lineRule="auto" w:before="7"/>
        <w:rPr>
          <w:rFonts w:ascii="宋体" w:hAnsi="宋体" w:cs="宋体" w:eastAsia="宋体" w:hint="default"/>
          <w:sz w:val="25"/>
          <w:szCs w:val="25"/>
        </w:rPr>
      </w:pPr>
    </w:p>
    <w:p>
      <w:pPr>
        <w:pStyle w:val="BodyText"/>
        <w:spacing w:line="261" w:lineRule="auto"/>
        <w:ind w:right="207"/>
        <w:jc w:val="both"/>
      </w:pPr>
      <w:r>
        <w:rPr/>
        <w:t>根据中国证监会的反馈意见，</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日，公司第四届董事会</w:t>
      </w:r>
      <w:r>
        <w:rPr>
          <w:rFonts w:ascii="Times New Roman" w:hAnsi="Times New Roman" w:cs="Times New Roman" w:eastAsia="Times New Roman" w:hint="default"/>
        </w:rPr>
        <w:t>2011</w:t>
      </w:r>
      <w:r>
        <w:rPr/>
        <w:t>年第九次临时会议和第四届监事会</w:t>
      </w:r>
      <w:r>
        <w:rPr>
          <w:spacing w:val="-26"/>
        </w:rPr>
        <w:t> </w:t>
      </w:r>
      <w:r>
        <w:rPr>
          <w:spacing w:val="-26"/>
        </w:rPr>
      </w:r>
      <w:r>
        <w:rPr>
          <w:rFonts w:ascii="Times New Roman" w:hAnsi="Times New Roman" w:cs="Times New Roman" w:eastAsia="Times New Roman" w:hint="default"/>
          <w:spacing w:val="-1"/>
        </w:rPr>
        <w:t>2011</w:t>
      </w:r>
      <w:r>
        <w:rPr>
          <w:spacing w:val="-1"/>
        </w:rPr>
        <w:t>年第三次临时会议分别审议通过了《万达信息股份有限公司</w:t>
      </w:r>
      <w:r>
        <w:rPr>
          <w:rFonts w:ascii="Times New Roman" w:hAnsi="Times New Roman" w:cs="Times New Roman" w:eastAsia="Times New Roman" w:hint="default"/>
          <w:spacing w:val="-1"/>
        </w:rPr>
        <w:t>A</w:t>
      </w:r>
      <w:r>
        <w:rPr>
          <w:spacing w:val="-1"/>
        </w:rPr>
        <w:t>股股票期权激励计划（</w:t>
      </w:r>
      <w:r>
        <w:rPr>
          <w:rFonts w:ascii="Times New Roman" w:hAnsi="Times New Roman" w:cs="Times New Roman" w:eastAsia="Times New Roman" w:hint="default"/>
          <w:spacing w:val="-1"/>
        </w:rPr>
        <w:t>2011</w:t>
      </w:r>
      <w:r>
        <w:rPr>
          <w:spacing w:val="-1"/>
        </w:rPr>
        <w:t>年度）（草</w:t>
      </w:r>
      <w:r>
        <w:rPr>
          <w:spacing w:val="-24"/>
        </w:rPr>
        <w:t> </w:t>
      </w:r>
      <w:r>
        <w:rPr>
          <w:spacing w:val="-24"/>
        </w:rPr>
      </w:r>
      <w:r>
        <w:rPr>
          <w:spacing w:val="-1"/>
        </w:rPr>
        <w:t>案）修订稿》，公司独立董事对《万达信息股份有限公司</w:t>
      </w:r>
      <w:r>
        <w:rPr>
          <w:rFonts w:ascii="Times New Roman" w:hAnsi="Times New Roman" w:cs="Times New Roman" w:eastAsia="Times New Roman" w:hint="default"/>
          <w:spacing w:val="-1"/>
        </w:rPr>
        <w:t>A</w:t>
      </w:r>
      <w:r>
        <w:rPr>
          <w:spacing w:val="-1"/>
        </w:rPr>
        <w:t>股股票期权激励计划（</w:t>
      </w:r>
      <w:r>
        <w:rPr>
          <w:rFonts w:ascii="Times New Roman" w:hAnsi="Times New Roman" w:cs="Times New Roman" w:eastAsia="Times New Roman" w:hint="default"/>
          <w:spacing w:val="-1"/>
        </w:rPr>
        <w:t>2011</w:t>
      </w:r>
      <w:r>
        <w:rPr>
          <w:spacing w:val="-1"/>
        </w:rPr>
        <w:t>年度）（草案）修</w:t>
      </w:r>
      <w:r>
        <w:rPr>
          <w:spacing w:val="-26"/>
        </w:rPr>
        <w:t> </w:t>
      </w:r>
      <w:r>
        <w:rPr>
          <w:spacing w:val="-26"/>
        </w:rPr>
      </w:r>
      <w:r>
        <w:rPr>
          <w:spacing w:val="-2"/>
        </w:rPr>
        <w:t>订稿》发表了同意的补充独立意见，公司监事会对激励对象名单（修订）发表了同意意见，律师事务所出</w:t>
      </w:r>
      <w:r>
        <w:rPr>
          <w:spacing w:val="-43"/>
        </w:rPr>
        <w:t> </w:t>
      </w:r>
      <w:r>
        <w:rPr>
          <w:spacing w:val="-43"/>
        </w:rPr>
      </w:r>
      <w:r>
        <w:rPr/>
        <w:t>具了同意的法律意见。</w:t>
      </w:r>
    </w:p>
    <w:p>
      <w:pPr>
        <w:spacing w:line="240" w:lineRule="auto" w:before="3"/>
        <w:rPr>
          <w:rFonts w:ascii="宋体" w:hAnsi="宋体" w:cs="宋体" w:eastAsia="宋体" w:hint="default"/>
          <w:sz w:val="25"/>
          <w:szCs w:val="25"/>
        </w:rPr>
      </w:pPr>
    </w:p>
    <w:p>
      <w:pPr>
        <w:pStyle w:val="BodyText"/>
        <w:spacing w:line="261" w:lineRule="auto"/>
        <w:ind w:right="100"/>
        <w:jc w:val="left"/>
      </w:pPr>
      <w:r>
        <w:rPr>
          <w:spacing w:val="-2"/>
        </w:rPr>
        <w:t>《股票期权激励计划》经中国证监会备案无异议后，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日，公司</w:t>
      </w:r>
      <w:r>
        <w:rPr>
          <w:rFonts w:ascii="Times New Roman" w:hAnsi="Times New Roman" w:cs="Times New Roman" w:eastAsia="Times New Roman" w:hint="default"/>
          <w:spacing w:val="-2"/>
        </w:rPr>
        <w:t>2011</w:t>
      </w:r>
      <w:r>
        <w:rPr>
          <w:spacing w:val="-2"/>
        </w:rPr>
        <w:t>年第二次临时股东大会审</w:t>
      </w:r>
      <w:r>
        <w:rPr>
          <w:spacing w:val="-36"/>
        </w:rPr>
        <w:t> </w:t>
      </w:r>
      <w:r>
        <w:rPr>
          <w:spacing w:val="-36"/>
        </w:rPr>
      </w:r>
      <w:r>
        <w:rPr>
          <w:spacing w:val="-4"/>
        </w:rPr>
        <w:t>议通过了《股票期权激励计划》、《关于提请股东大会授权董事会办理公司股票期权激励计划（</w:t>
      </w:r>
      <w:r>
        <w:rPr>
          <w:rFonts w:ascii="Times New Roman" w:hAnsi="Times New Roman" w:cs="Times New Roman" w:eastAsia="Times New Roman" w:hint="default"/>
          <w:spacing w:val="-4"/>
        </w:rPr>
        <w:t>2011</w:t>
      </w:r>
      <w:r>
        <w:rPr>
          <w:spacing w:val="-4"/>
        </w:rPr>
        <w:t>年度）</w:t>
      </w:r>
      <w:r>
        <w:rPr>
          <w:spacing w:val="-46"/>
        </w:rPr>
        <w:t> </w:t>
      </w:r>
      <w:r>
        <w:rPr>
          <w:spacing w:val="-46"/>
        </w:rPr>
      </w:r>
      <w:r>
        <w:rPr/>
        <w:t>相关事宜的议案》及《万达信息股份有限公司</w:t>
      </w:r>
      <w:r>
        <w:rPr>
          <w:rFonts w:ascii="Times New Roman" w:hAnsi="Times New Roman" w:cs="Times New Roman" w:eastAsia="Times New Roman" w:hint="default"/>
        </w:rPr>
        <w:t>A</w:t>
      </w:r>
      <w:r>
        <w:rPr/>
        <w:t>股股票期权激励计划（</w:t>
      </w:r>
      <w:r>
        <w:rPr>
          <w:rFonts w:ascii="Times New Roman" w:hAnsi="Times New Roman" w:cs="Times New Roman" w:eastAsia="Times New Roman" w:hint="default"/>
        </w:rPr>
        <w:t>2011</w:t>
      </w:r>
      <w:r>
        <w:rPr/>
        <w:t>年度）实施考核办法》。董事</w:t>
      </w:r>
      <w:r>
        <w:rPr>
          <w:spacing w:val="-73"/>
        </w:rPr>
        <w:t> </w:t>
      </w:r>
      <w:r>
        <w:rPr>
          <w:spacing w:val="-73"/>
        </w:rPr>
      </w:r>
      <w:r>
        <w:rPr>
          <w:spacing w:val="-2"/>
        </w:rPr>
        <w:t>会被授权确定期权授权日、在激励对象符合条件时向激励对象授予股票期权并办理授予股票期权所必须的</w:t>
      </w:r>
      <w:r>
        <w:rPr>
          <w:spacing w:val="-43"/>
        </w:rPr>
        <w:t> </w:t>
      </w:r>
      <w:r>
        <w:rPr>
          <w:spacing w:val="-43"/>
        </w:rPr>
      </w:r>
      <w:r>
        <w:rPr/>
        <w:t>全部事宜。</w:t>
      </w:r>
    </w:p>
    <w:p>
      <w:pPr>
        <w:spacing w:after="0" w:line="261"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61" w:lineRule="auto" w:before="36"/>
        <w:ind w:right="100"/>
        <w:jc w:val="left"/>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日，公司第四届董事会</w:t>
      </w:r>
      <w:r>
        <w:rPr>
          <w:rFonts w:ascii="Times New Roman" w:hAnsi="Times New Roman" w:cs="Times New Roman" w:eastAsia="Times New Roman" w:hint="default"/>
          <w:spacing w:val="-2"/>
        </w:rPr>
        <w:t>2011</w:t>
      </w:r>
      <w:r>
        <w:rPr>
          <w:spacing w:val="-2"/>
        </w:rPr>
        <w:t>年第十一次临时会议和第四届监事会</w:t>
      </w:r>
      <w:r>
        <w:rPr>
          <w:rFonts w:ascii="Times New Roman" w:hAnsi="Times New Roman" w:cs="Times New Roman" w:eastAsia="Times New Roman" w:hint="default"/>
          <w:spacing w:val="-2"/>
        </w:rPr>
        <w:t>2011</w:t>
      </w:r>
      <w:r>
        <w:rPr>
          <w:spacing w:val="-2"/>
        </w:rPr>
        <w:t>年第五次临时会议审议</w:t>
      </w:r>
      <w:r>
        <w:rPr>
          <w:spacing w:val="-28"/>
        </w:rPr>
        <w:t> </w:t>
      </w:r>
      <w:r>
        <w:rPr>
          <w:spacing w:val="-28"/>
        </w:rPr>
      </w:r>
      <w:r>
        <w:rPr/>
        <w:t>通过了《关于公司</w:t>
      </w:r>
      <w:r>
        <w:rPr>
          <w:rFonts w:ascii="Times New Roman" w:hAnsi="Times New Roman" w:cs="Times New Roman" w:eastAsia="Times New Roman" w:hint="default"/>
        </w:rPr>
        <w:t>A</w:t>
      </w:r>
      <w:r>
        <w:rPr/>
        <w:t>股股票期权激励计划激励对象调整的议案》、《关于公司</w:t>
      </w:r>
      <w:r>
        <w:rPr>
          <w:rFonts w:ascii="Times New Roman" w:hAnsi="Times New Roman" w:cs="Times New Roman" w:eastAsia="Times New Roman" w:hint="default"/>
        </w:rPr>
        <w:t>A</w:t>
      </w:r>
      <w:r>
        <w:rPr/>
        <w:t>股股票期权激励计划行权</w:t>
      </w:r>
      <w:r>
        <w:rPr>
          <w:spacing w:val="-11"/>
        </w:rPr>
        <w:t> </w:t>
      </w:r>
      <w:r>
        <w:rPr>
          <w:spacing w:val="-11"/>
        </w:rPr>
      </w:r>
      <w:r>
        <w:rPr/>
        <w:t>价格调整的议案》及《关于向激励对象首次授予股票期权的议案》，确认本次</w:t>
      </w:r>
      <w:r>
        <w:rPr>
          <w:rFonts w:ascii="Times New Roman" w:hAnsi="Times New Roman" w:cs="Times New Roman" w:eastAsia="Times New Roman" w:hint="default"/>
        </w:rPr>
        <w:t>196</w:t>
      </w:r>
      <w:r>
        <w:rPr/>
        <w:t>名股权激励对象的主体</w:t>
      </w:r>
      <w:r>
        <w:rPr>
          <w:spacing w:val="-25"/>
        </w:rPr>
        <w:t> </w:t>
      </w:r>
      <w:r>
        <w:rPr>
          <w:spacing w:val="-25"/>
        </w:rPr>
      </w:r>
      <w:r>
        <w:rPr>
          <w:spacing w:val="-5"/>
        </w:rPr>
        <w:t>资格合法、有效，且满足《股票期权激励计划》规定的获授条件，同意激励对象按照《股票期权激励计划》</w:t>
      </w:r>
      <w:r>
        <w:rPr>
          <w:spacing w:val="-6"/>
        </w:rPr>
        <w:t> </w:t>
      </w:r>
      <w:r>
        <w:rPr>
          <w:spacing w:val="-6"/>
        </w:rPr>
      </w:r>
      <w:r>
        <w:rPr>
          <w:spacing w:val="-2"/>
        </w:rPr>
        <w:t>有关规定获授股票期权。公司独立董事发表了独立意见，认为激励对象主体资格确认办法合法有效，确定</w:t>
      </w:r>
      <w:r>
        <w:rPr>
          <w:spacing w:val="-43"/>
        </w:rPr>
        <w:t> </w:t>
      </w:r>
      <w:r>
        <w:rPr>
          <w:spacing w:val="-43"/>
        </w:rPr>
      </w:r>
      <w:r>
        <w:rPr/>
        <w:t>的授权日符合相关规定，同意</w:t>
      </w:r>
      <w:r>
        <w:rPr>
          <w:rFonts w:ascii="Times New Roman" w:hAnsi="Times New Roman" w:cs="Times New Roman" w:eastAsia="Times New Roman" w:hint="default"/>
        </w:rPr>
        <w:t>196</w:t>
      </w:r>
      <w:r>
        <w:rPr/>
        <w:t>名激励对象获授</w:t>
      </w:r>
      <w:r>
        <w:rPr>
          <w:rFonts w:ascii="Times New Roman" w:hAnsi="Times New Roman" w:cs="Times New Roman" w:eastAsia="Times New Roman" w:hint="default"/>
        </w:rPr>
        <w:t>459.6</w:t>
      </w:r>
      <w:r>
        <w:rPr/>
        <w:t>万份股票期权，股票期权的授权日为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32"/>
        </w:rPr>
        <w:t> </w:t>
      </w:r>
      <w:r>
        <w:rPr/>
        <w:t>日，行权价格为</w:t>
      </w:r>
      <w:r>
        <w:rPr>
          <w:rFonts w:ascii="Times New Roman" w:hAnsi="Times New Roman" w:cs="Times New Roman" w:eastAsia="Times New Roman" w:hint="default"/>
        </w:rPr>
        <w:t>27.81</w:t>
      </w:r>
      <w:r>
        <w:rPr/>
        <w:t>元。</w:t>
      </w:r>
    </w:p>
    <w:p>
      <w:pPr>
        <w:spacing w:line="240" w:lineRule="auto" w:before="11"/>
        <w:rPr>
          <w:rFonts w:ascii="宋体" w:hAnsi="宋体" w:cs="宋体" w:eastAsia="宋体" w:hint="default"/>
          <w:sz w:val="23"/>
          <w:szCs w:val="23"/>
        </w:rPr>
      </w:pPr>
    </w:p>
    <w:p>
      <w:pPr>
        <w:pStyle w:val="BodyText"/>
        <w:spacing w:line="256" w:lineRule="auto"/>
        <w:ind w:right="209"/>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日，公司第四届董事会</w:t>
      </w:r>
      <w:r>
        <w:rPr>
          <w:rFonts w:ascii="Times New Roman" w:hAnsi="Times New Roman" w:cs="Times New Roman" w:eastAsia="Times New Roman" w:hint="default"/>
        </w:rPr>
        <w:t>2012</w:t>
      </w:r>
      <w:r>
        <w:rPr/>
        <w:t>年第七次临时会议和第四届监事会</w:t>
      </w:r>
      <w:r>
        <w:rPr>
          <w:rFonts w:ascii="Times New Roman" w:hAnsi="Times New Roman" w:cs="Times New Roman" w:eastAsia="Times New Roman" w:hint="default"/>
        </w:rPr>
        <w:t>2012</w:t>
      </w:r>
      <w:r>
        <w:rPr/>
        <w:t>年第七次临时会议审议通</w:t>
      </w:r>
      <w:r>
        <w:rPr>
          <w:spacing w:val="-25"/>
        </w:rPr>
        <w:t> </w:t>
      </w:r>
      <w:r>
        <w:rPr>
          <w:spacing w:val="-25"/>
        </w:rPr>
      </w:r>
      <w:r>
        <w:rPr/>
        <w:t>过了《关于股票期权激励计划预留期权授予相关事项的议案》，董事会同意授予</w:t>
      </w:r>
      <w:r>
        <w:rPr>
          <w:rFonts w:ascii="Times New Roman" w:hAnsi="Times New Roman" w:cs="Times New Roman" w:eastAsia="Times New Roman" w:hint="default"/>
        </w:rPr>
        <w:t>5</w:t>
      </w:r>
      <w:r>
        <w:rPr/>
        <w:t>名激励对象</w:t>
      </w:r>
      <w:r>
        <w:rPr>
          <w:rFonts w:ascii="Times New Roman" w:hAnsi="Times New Roman" w:cs="Times New Roman" w:eastAsia="Times New Roman" w:hint="default"/>
        </w:rPr>
        <w:t>34</w:t>
      </w:r>
      <w:r>
        <w:rPr/>
        <w:t>万份预留</w:t>
      </w:r>
      <w:r>
        <w:rPr>
          <w:spacing w:val="-21"/>
        </w:rPr>
        <w:t> </w:t>
      </w:r>
      <w:r>
        <w:rPr>
          <w:spacing w:val="-21"/>
        </w:rPr>
      </w:r>
      <w:r>
        <w:rPr/>
        <w:t>股票期权，确定公司预留期权的授权日为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日，行权价格为</w:t>
      </w:r>
      <w:r>
        <w:rPr>
          <w:rFonts w:ascii="Times New Roman" w:hAnsi="Times New Roman" w:cs="Times New Roman" w:eastAsia="Times New Roman" w:hint="default"/>
        </w:rPr>
        <w:t>29.21</w:t>
      </w:r>
      <w:r>
        <w:rPr/>
        <w:t>元。</w:t>
      </w:r>
    </w:p>
    <w:p>
      <w:pPr>
        <w:spacing w:line="240" w:lineRule="auto" w:before="4"/>
        <w:rPr>
          <w:rFonts w:ascii="宋体" w:hAnsi="宋体" w:cs="宋体" w:eastAsia="宋体" w:hint="default"/>
          <w:sz w:val="24"/>
          <w:szCs w:val="24"/>
        </w:rPr>
      </w:pPr>
    </w:p>
    <w:p>
      <w:pPr>
        <w:pStyle w:val="BodyText"/>
        <w:spacing w:line="261" w:lineRule="auto"/>
        <w:ind w:right="10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日，公司第四届董事会</w:t>
      </w:r>
      <w:r>
        <w:rPr>
          <w:rFonts w:ascii="Times New Roman" w:hAnsi="Times New Roman" w:cs="Times New Roman" w:eastAsia="Times New Roman" w:hint="default"/>
        </w:rPr>
        <w:t>2013</w:t>
      </w:r>
      <w:r>
        <w:rPr/>
        <w:t>年第一次临时会议和第四届监事会</w:t>
      </w:r>
      <w:r>
        <w:rPr>
          <w:rFonts w:ascii="Times New Roman" w:hAnsi="Times New Roman" w:cs="Times New Roman" w:eastAsia="Times New Roman" w:hint="default"/>
        </w:rPr>
        <w:t>2013</w:t>
      </w:r>
      <w:r>
        <w:rPr/>
        <w:t>年第一次临时会议审议通</w:t>
      </w:r>
      <w:r>
        <w:rPr>
          <w:spacing w:val="-25"/>
        </w:rPr>
        <w:t> </w:t>
      </w:r>
      <w:r>
        <w:rPr>
          <w:spacing w:val="-25"/>
        </w:rPr>
      </w:r>
      <w:r>
        <w:rPr>
          <w:spacing w:val="-2"/>
        </w:rPr>
        <w:t>过了《关于股票期权激励计划所涉激励对象、期权数量和行权价格调整的议案》。经过本次调整后的股票</w:t>
      </w:r>
      <w:r>
        <w:rPr>
          <w:spacing w:val="-47"/>
        </w:rPr>
        <w:t> </w:t>
      </w:r>
      <w:r>
        <w:rPr>
          <w:spacing w:val="-47"/>
        </w:rPr>
      </w:r>
      <w:r>
        <w:rPr>
          <w:spacing w:val="-3"/>
        </w:rPr>
        <w:t>期权激励计划所涉首次授予的激励对象人数由</w:t>
      </w:r>
      <w:r>
        <w:rPr>
          <w:rFonts w:ascii="Times New Roman" w:hAnsi="Times New Roman" w:cs="Times New Roman" w:eastAsia="Times New Roman" w:hint="default"/>
          <w:spacing w:val="-3"/>
        </w:rPr>
        <w:t>196</w:t>
      </w:r>
      <w:r>
        <w:rPr>
          <w:spacing w:val="-3"/>
        </w:rPr>
        <w:t>人调整为</w:t>
      </w:r>
      <w:r>
        <w:rPr>
          <w:rFonts w:ascii="Times New Roman" w:hAnsi="Times New Roman" w:cs="Times New Roman" w:eastAsia="Times New Roman" w:hint="default"/>
          <w:spacing w:val="-3"/>
        </w:rPr>
        <w:t>188</w:t>
      </w:r>
      <w:r>
        <w:rPr>
          <w:spacing w:val="-3"/>
        </w:rPr>
        <w:t>人，激励对象总数由</w:t>
      </w:r>
      <w:r>
        <w:rPr>
          <w:rFonts w:ascii="Times New Roman" w:hAnsi="Times New Roman" w:cs="Times New Roman" w:eastAsia="Times New Roman" w:hint="default"/>
          <w:spacing w:val="-3"/>
        </w:rPr>
        <w:t>201</w:t>
      </w:r>
      <w:r>
        <w:rPr>
          <w:spacing w:val="-3"/>
        </w:rPr>
        <w:t>人调整为</w:t>
      </w:r>
      <w:r>
        <w:rPr>
          <w:rFonts w:ascii="Times New Roman" w:hAnsi="Times New Roman" w:cs="Times New Roman" w:eastAsia="Times New Roman" w:hint="default"/>
          <w:spacing w:val="-3"/>
        </w:rPr>
        <w:t>193</w:t>
      </w:r>
      <w:r>
        <w:rPr>
          <w:spacing w:val="-3"/>
        </w:rPr>
        <w:t>人；</w:t>
      </w:r>
      <w:r>
        <w:rPr>
          <w:spacing w:val="-57"/>
        </w:rPr>
        <w:t> </w:t>
      </w:r>
      <w:r>
        <w:rPr/>
        <w:t>所</w:t>
      </w:r>
      <w:r>
        <w:rPr>
          <w:spacing w:val="-34"/>
        </w:rPr>
        <w:t> </w:t>
      </w:r>
      <w:r>
        <w:rPr>
          <w:spacing w:val="-34"/>
        </w:rPr>
      </w:r>
      <w:r>
        <w:rPr>
          <w:spacing w:val="-2"/>
        </w:rPr>
        <w:t>涉期权总数调整为</w:t>
      </w:r>
      <w:r>
        <w:rPr>
          <w:rFonts w:ascii="Times New Roman" w:hAnsi="Times New Roman" w:cs="Times New Roman" w:eastAsia="Times New Roman" w:hint="default"/>
          <w:spacing w:val="-2"/>
        </w:rPr>
        <w:t>961.6</w:t>
      </w:r>
      <w:r>
        <w:rPr>
          <w:spacing w:val="-2"/>
        </w:rPr>
        <w:t>万份（资本公积转增股本影响），其中首次授予期权</w:t>
      </w:r>
      <w:r>
        <w:rPr>
          <w:rFonts w:ascii="Times New Roman" w:hAnsi="Times New Roman" w:cs="Times New Roman" w:eastAsia="Times New Roman" w:hint="default"/>
          <w:spacing w:val="-2"/>
        </w:rPr>
        <w:t>893.6</w:t>
      </w:r>
      <w:r>
        <w:rPr>
          <w:spacing w:val="-2"/>
        </w:rPr>
        <w:t>万份，预留期权</w:t>
      </w:r>
      <w:r>
        <w:rPr>
          <w:rFonts w:ascii="Times New Roman" w:hAnsi="Times New Roman" w:cs="Times New Roman" w:eastAsia="Times New Roman" w:hint="default"/>
          <w:spacing w:val="-2"/>
        </w:rPr>
        <w:t>68</w:t>
      </w:r>
      <w:r>
        <w:rPr>
          <w:spacing w:val="-2"/>
        </w:rPr>
        <w:t>万份；</w:t>
      </w:r>
      <w:r>
        <w:rPr>
          <w:spacing w:val="-35"/>
        </w:rPr>
        <w:t> </w:t>
      </w:r>
      <w:r>
        <w:rPr>
          <w:spacing w:val="-35"/>
        </w:rPr>
      </w:r>
      <w:r>
        <w:rPr/>
        <w:t>首次授予股票期权的行权价格由</w:t>
      </w:r>
      <w:r>
        <w:rPr>
          <w:rFonts w:ascii="Times New Roman" w:hAnsi="Times New Roman" w:cs="Times New Roman" w:eastAsia="Times New Roman" w:hint="default"/>
        </w:rPr>
        <w:t>27.81</w:t>
      </w:r>
      <w:r>
        <w:rPr/>
        <w:t>元调整为</w:t>
      </w:r>
      <w:r>
        <w:rPr>
          <w:rFonts w:ascii="Times New Roman" w:hAnsi="Times New Roman" w:cs="Times New Roman" w:eastAsia="Times New Roman" w:hint="default"/>
        </w:rPr>
        <w:t>13.86</w:t>
      </w:r>
      <w:r>
        <w:rPr/>
        <w:t>元（资本公积转增股本影响），预留期权的行权价格</w:t>
      </w:r>
      <w:r>
        <w:rPr>
          <w:spacing w:val="-25"/>
        </w:rPr>
        <w:t> </w:t>
      </w:r>
      <w:r>
        <w:rPr>
          <w:spacing w:val="-25"/>
        </w:rPr>
      </w:r>
      <w:r>
        <w:rPr/>
        <w:t>由</w:t>
      </w:r>
      <w:r>
        <w:rPr>
          <w:rFonts w:ascii="Times New Roman" w:hAnsi="Times New Roman" w:cs="Times New Roman" w:eastAsia="Times New Roman" w:hint="default"/>
        </w:rPr>
        <w:t>29.21</w:t>
      </w:r>
      <w:r>
        <w:rPr/>
        <w:t>元调整为</w:t>
      </w:r>
      <w:r>
        <w:rPr>
          <w:rFonts w:ascii="Times New Roman" w:hAnsi="Times New Roman" w:cs="Times New Roman" w:eastAsia="Times New Roman" w:hint="default"/>
        </w:rPr>
        <w:t>14.61</w:t>
      </w:r>
      <w:r>
        <w:rPr/>
        <w:t>元（资本公积转增股本影响）。</w:t>
      </w:r>
    </w:p>
    <w:p>
      <w:pPr>
        <w:spacing w:line="240" w:lineRule="auto" w:before="11"/>
        <w:rPr>
          <w:rFonts w:ascii="宋体" w:hAnsi="宋体" w:cs="宋体" w:eastAsia="宋体" w:hint="default"/>
          <w:sz w:val="23"/>
          <w:szCs w:val="23"/>
        </w:rPr>
      </w:pPr>
    </w:p>
    <w:p>
      <w:pPr>
        <w:pStyle w:val="BodyText"/>
        <w:spacing w:line="256" w:lineRule="auto"/>
        <w:ind w:right="100"/>
        <w:jc w:val="left"/>
      </w:pPr>
      <w:r>
        <w:rPr/>
        <w:t>由于首次授予的</w:t>
      </w:r>
      <w:r>
        <w:rPr>
          <w:rFonts w:ascii="Times New Roman" w:hAnsi="Times New Roman" w:cs="Times New Roman" w:eastAsia="Times New Roman" w:hint="default"/>
        </w:rPr>
        <w:t>919.2</w:t>
      </w:r>
      <w:r>
        <w:rPr/>
        <w:t>万份股票期权中</w:t>
      </w:r>
      <w:r>
        <w:rPr>
          <w:rFonts w:ascii="Times New Roman" w:hAnsi="Times New Roman" w:cs="Times New Roman" w:eastAsia="Times New Roman" w:hint="default"/>
        </w:rPr>
        <w:t>25.6</w:t>
      </w:r>
      <w:r>
        <w:rPr/>
        <w:t>万份对应的</w:t>
      </w:r>
      <w:r>
        <w:rPr>
          <w:rFonts w:ascii="Times New Roman" w:hAnsi="Times New Roman" w:cs="Times New Roman" w:eastAsia="Times New Roman" w:hint="default"/>
        </w:rPr>
        <w:t>8</w:t>
      </w:r>
      <w:r>
        <w:rPr/>
        <w:t>名激励对象在</w:t>
      </w:r>
      <w:r>
        <w:rPr>
          <w:rFonts w:ascii="Times New Roman" w:hAnsi="Times New Roman" w:cs="Times New Roman" w:eastAsia="Times New Roman" w:hint="default"/>
        </w:rPr>
        <w:t>2012</w:t>
      </w:r>
      <w:r>
        <w:rPr/>
        <w:t>年度内从公司离职，已不具备激</w:t>
      </w:r>
      <w:r>
        <w:rPr>
          <w:spacing w:val="-24"/>
        </w:rPr>
        <w:t> </w:t>
      </w:r>
      <w:r>
        <w:rPr>
          <w:spacing w:val="-24"/>
        </w:rPr>
      </w:r>
      <w:r>
        <w:rPr/>
        <w:t>励对象的资格，故对原估计的股票期权总成本进行调整。</w:t>
      </w:r>
    </w:p>
    <w:p>
      <w:pPr>
        <w:spacing w:line="240" w:lineRule="auto" w:before="7"/>
        <w:rPr>
          <w:rFonts w:ascii="宋体" w:hAnsi="宋体" w:cs="宋体" w:eastAsia="宋体" w:hint="default"/>
          <w:sz w:val="25"/>
          <w:szCs w:val="25"/>
        </w:rPr>
      </w:pPr>
    </w:p>
    <w:p>
      <w:pPr>
        <w:pStyle w:val="BodyText"/>
        <w:spacing w:line="256" w:lineRule="auto"/>
        <w:ind w:right="209"/>
        <w:jc w:val="both"/>
      </w:pPr>
      <w:r>
        <w:rPr/>
        <w:t>根据</w:t>
      </w:r>
      <w:r>
        <w:rPr>
          <w:rFonts w:ascii="Times New Roman" w:hAnsi="Times New Roman" w:cs="Times New Roman" w:eastAsia="Times New Roman" w:hint="default"/>
        </w:rPr>
        <w:t>B-S</w:t>
      </w:r>
      <w:r>
        <w:rPr>
          <w:rFonts w:ascii="Times New Roman" w:hAnsi="Times New Roman" w:cs="Times New Roman" w:eastAsia="Times New Roman" w:hint="default"/>
          <w:spacing w:val="11"/>
        </w:rPr>
        <w:t> </w:t>
      </w:r>
      <w:r>
        <w:rPr/>
        <w:t>模型估计的调整后的首次授予的</w:t>
      </w:r>
      <w:r>
        <w:rPr>
          <w:rFonts w:ascii="Times New Roman" w:hAnsi="Times New Roman" w:cs="Times New Roman" w:eastAsia="Times New Roman" w:hint="default"/>
        </w:rPr>
        <w:t>893.6</w:t>
      </w:r>
      <w:r>
        <w:rPr/>
        <w:t>万份股票期权总成本为</w:t>
      </w:r>
      <w:r>
        <w:rPr>
          <w:rFonts w:ascii="Times New Roman" w:hAnsi="Times New Roman" w:cs="Times New Roman" w:eastAsia="Times New Roman" w:hint="default"/>
        </w:rPr>
        <w:t>1,590.84</w:t>
      </w:r>
      <w:r>
        <w:rPr/>
        <w:t>万元。根据本次授予的期权</w:t>
      </w:r>
      <w:r>
        <w:rPr>
          <w:spacing w:val="-101"/>
        </w:rPr>
        <w:t> </w:t>
      </w:r>
      <w:r>
        <w:rPr>
          <w:spacing w:val="-101"/>
        </w:rPr>
      </w:r>
      <w:r>
        <w:rPr/>
        <w:t>数量，假设各期可行权的股票期权数量不发生变化，</w:t>
      </w:r>
      <w:r>
        <w:rPr>
          <w:spacing w:val="58"/>
        </w:rPr>
        <w:t> </w:t>
      </w:r>
      <w:r>
        <w:rPr/>
        <w:t>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日开始摊销，按照激励费用在等待</w:t>
      </w:r>
      <w:r>
        <w:rPr>
          <w:spacing w:val="-89"/>
        </w:rPr>
        <w:t> </w:t>
      </w:r>
      <w:r>
        <w:rPr>
          <w:spacing w:val="-89"/>
        </w:rPr>
      </w:r>
      <w:r>
        <w:rPr/>
        <w:t>期内平均分摊的原则，则各期分摊的激励成本情况如下：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758" w:type="dxa"/>
        <w:tblLayout w:type="fixed"/>
        <w:tblCellMar>
          <w:top w:w="0" w:type="dxa"/>
          <w:left w:w="0" w:type="dxa"/>
          <w:bottom w:w="0" w:type="dxa"/>
          <w:right w:w="0" w:type="dxa"/>
        </w:tblCellMar>
        <w:tblLook w:val="01E0"/>
      </w:tblPr>
      <w:tblGrid>
        <w:gridCol w:w="2511"/>
        <w:gridCol w:w="1190"/>
        <w:gridCol w:w="1493"/>
        <w:gridCol w:w="1548"/>
        <w:gridCol w:w="1558"/>
      </w:tblGrid>
      <w:tr>
        <w:trPr>
          <w:trHeight w:val="341" w:hRule="exact"/>
        </w:trPr>
        <w:tc>
          <w:tcPr>
            <w:tcW w:w="251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个月分摊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12-24</w:t>
            </w:r>
            <w:r>
              <w:rPr>
                <w:rFonts w:ascii="宋体" w:hAnsi="宋体" w:cs="宋体" w:eastAsia="宋体" w:hint="default"/>
                <w:sz w:val="18"/>
                <w:szCs w:val="18"/>
              </w:rPr>
              <w:t>个月分摊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5"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24-36</w:t>
            </w:r>
            <w:r>
              <w:rPr>
                <w:rFonts w:ascii="宋体" w:hAnsi="宋体" w:cs="宋体" w:eastAsia="宋体" w:hint="default"/>
                <w:sz w:val="18"/>
                <w:szCs w:val="18"/>
              </w:rPr>
              <w:t>个月分摊</w:t>
            </w:r>
          </w:p>
        </w:tc>
      </w:tr>
      <w:tr>
        <w:trPr>
          <w:trHeight w:val="34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第一批期权成本（万元）</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462.86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462.86</w:t>
            </w:r>
          </w:p>
        </w:tc>
        <w:tc>
          <w:tcPr>
            <w:tcW w:w="154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第二批期权成本（万元）</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497.32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248.66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248.66</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第三批期权成本（万元）</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630.66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210.22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210.22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210.22</w:t>
            </w:r>
          </w:p>
        </w:tc>
      </w:tr>
      <w:tr>
        <w:trPr>
          <w:trHeight w:val="34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10" w:right="0"/>
              <w:jc w:val="left"/>
              <w:rPr>
                <w:rFonts w:ascii="宋体" w:hAnsi="宋体" w:cs="宋体" w:eastAsia="宋体" w:hint="default"/>
                <w:sz w:val="18"/>
                <w:szCs w:val="18"/>
              </w:rPr>
            </w:pPr>
            <w:r>
              <w:rPr>
                <w:rFonts w:ascii="宋体" w:hAnsi="宋体" w:cs="宋体" w:eastAsia="宋体" w:hint="default"/>
                <w:sz w:val="18"/>
                <w:szCs w:val="18"/>
              </w:rPr>
              <w:t>合计（万元）</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1590.84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921.74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458.88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210.22</w:t>
            </w:r>
          </w:p>
        </w:tc>
      </w:tr>
    </w:tbl>
    <w:p>
      <w:pPr>
        <w:spacing w:line="240" w:lineRule="auto" w:before="3"/>
        <w:rPr>
          <w:rFonts w:ascii="宋体" w:hAnsi="宋体" w:cs="宋体" w:eastAsia="宋体" w:hint="default"/>
          <w:sz w:val="19"/>
          <w:szCs w:val="19"/>
        </w:rPr>
      </w:pPr>
    </w:p>
    <w:p>
      <w:pPr>
        <w:pStyle w:val="Heading3"/>
        <w:spacing w:line="240" w:lineRule="auto"/>
        <w:ind w:right="100"/>
        <w:jc w:val="left"/>
      </w:pPr>
      <w:r>
        <w:rPr/>
        <w:t>由于分摊的跨期效应，对各期会计成本的影响如下表：</w:t>
      </w:r>
    </w:p>
    <w:p>
      <w:pPr>
        <w:spacing w:line="240" w:lineRule="auto" w:before="3"/>
        <w:rPr>
          <w:rFonts w:ascii="宋体" w:hAnsi="宋体" w:cs="宋体" w:eastAsia="宋体" w:hint="default"/>
          <w:sz w:val="3"/>
          <w:szCs w:val="3"/>
        </w:rPr>
      </w:pPr>
    </w:p>
    <w:tbl>
      <w:tblPr>
        <w:tblW w:w="0" w:type="auto"/>
        <w:jc w:val="left"/>
        <w:tblInd w:w="758" w:type="dxa"/>
        <w:tblLayout w:type="fixed"/>
        <w:tblCellMar>
          <w:top w:w="0" w:type="dxa"/>
          <w:left w:w="0" w:type="dxa"/>
          <w:bottom w:w="0" w:type="dxa"/>
          <w:right w:w="0" w:type="dxa"/>
        </w:tblCellMar>
        <w:tblLook w:val="01E0"/>
      </w:tblPr>
      <w:tblGrid>
        <w:gridCol w:w="2086"/>
        <w:gridCol w:w="1558"/>
        <w:gridCol w:w="1640"/>
        <w:gridCol w:w="1526"/>
        <w:gridCol w:w="1460"/>
      </w:tblGrid>
      <w:tr>
        <w:trPr>
          <w:trHeight w:val="341" w:hRule="exact"/>
        </w:trPr>
        <w:tc>
          <w:tcPr>
            <w:tcW w:w="20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32" w:right="0"/>
              <w:jc w:val="left"/>
              <w:rPr>
                <w:rFonts w:ascii="宋体" w:hAnsi="宋体" w:cs="宋体" w:eastAsia="宋体" w:hint="default"/>
                <w:sz w:val="18"/>
                <w:szCs w:val="18"/>
              </w:rPr>
            </w:pPr>
            <w:r>
              <w:rPr>
                <w:rFonts w:ascii="宋体" w:hAnsi="宋体" w:cs="宋体" w:eastAsia="宋体" w:hint="default"/>
                <w:sz w:val="18"/>
                <w:szCs w:val="18"/>
              </w:rPr>
              <w:t>第一年（注）</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47" w:right="0"/>
              <w:jc w:val="left"/>
              <w:rPr>
                <w:rFonts w:ascii="宋体" w:hAnsi="宋体" w:cs="宋体" w:eastAsia="宋体" w:hint="default"/>
                <w:sz w:val="18"/>
                <w:szCs w:val="18"/>
              </w:rPr>
            </w:pPr>
            <w:r>
              <w:rPr>
                <w:rFonts w:ascii="宋体" w:hAnsi="宋体" w:cs="宋体" w:eastAsia="宋体" w:hint="default"/>
                <w:sz w:val="18"/>
                <w:szCs w:val="18"/>
              </w:rPr>
              <w:t>第二年</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9" w:right="0"/>
              <w:jc w:val="left"/>
              <w:rPr>
                <w:rFonts w:ascii="宋体" w:hAnsi="宋体" w:cs="宋体" w:eastAsia="宋体" w:hint="default"/>
                <w:sz w:val="18"/>
                <w:szCs w:val="18"/>
              </w:rPr>
            </w:pPr>
            <w:r>
              <w:rPr>
                <w:rFonts w:ascii="宋体" w:hAnsi="宋体" w:cs="宋体" w:eastAsia="宋体" w:hint="default"/>
                <w:sz w:val="18"/>
                <w:szCs w:val="18"/>
              </w:rPr>
              <w:t>第三年</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4" w:right="0"/>
              <w:jc w:val="left"/>
              <w:rPr>
                <w:rFonts w:ascii="宋体" w:hAnsi="宋体" w:cs="宋体" w:eastAsia="宋体" w:hint="default"/>
                <w:sz w:val="18"/>
                <w:szCs w:val="18"/>
              </w:rPr>
            </w:pPr>
            <w:r>
              <w:rPr>
                <w:rFonts w:ascii="宋体" w:hAnsi="宋体" w:cs="宋体" w:eastAsia="宋体" w:hint="default"/>
                <w:sz w:val="18"/>
                <w:szCs w:val="18"/>
              </w:rPr>
              <w:t>第四年</w:t>
            </w:r>
          </w:p>
        </w:tc>
      </w:tr>
      <w:tr>
        <w:trPr>
          <w:trHeight w:val="343" w:hRule="exact"/>
        </w:trPr>
        <w:tc>
          <w:tcPr>
            <w:tcW w:w="20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r>
      <w:tr>
        <w:trPr>
          <w:trHeight w:val="34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成本分摊（万元）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181.82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830.19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410.08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948" w:right="0"/>
              <w:jc w:val="left"/>
              <w:rPr>
                <w:rFonts w:ascii="Times New Roman" w:hAnsi="Times New Roman" w:cs="Times New Roman" w:eastAsia="Times New Roman" w:hint="default"/>
                <w:sz w:val="18"/>
                <w:szCs w:val="18"/>
              </w:rPr>
            </w:pPr>
            <w:r>
              <w:rPr>
                <w:rFonts w:ascii="Times New Roman"/>
                <w:sz w:val="18"/>
              </w:rPr>
              <w:t>168.75</w:t>
            </w:r>
          </w:p>
        </w:tc>
      </w:tr>
    </w:tbl>
    <w:p>
      <w:pPr>
        <w:pStyle w:val="BodyText"/>
        <w:spacing w:line="256" w:lineRule="auto"/>
        <w:ind w:left="784" w:right="100"/>
        <w:jc w:val="left"/>
      </w:pPr>
      <w:r>
        <w:rPr>
          <w:spacing w:val="-1"/>
        </w:rPr>
        <w:t>注：</w:t>
      </w:r>
      <w:r>
        <w:rPr>
          <w:rFonts w:ascii="Times New Roman" w:hAnsi="Times New Roman" w:cs="Times New Roman" w:eastAsia="Times New Roman" w:hint="default"/>
          <w:spacing w:val="-1"/>
        </w:rPr>
        <w:t>2011</w:t>
      </w:r>
      <w:r>
        <w:rPr>
          <w:spacing w:val="-1"/>
        </w:rPr>
        <w:t>年度原测算的激励成本</w:t>
      </w:r>
      <w:r>
        <w:rPr>
          <w:rFonts w:ascii="Times New Roman" w:hAnsi="Times New Roman" w:cs="Times New Roman" w:eastAsia="Times New Roman" w:hint="default"/>
          <w:spacing w:val="-1"/>
        </w:rPr>
        <w:t>188.82</w:t>
      </w:r>
      <w:r>
        <w:rPr>
          <w:spacing w:val="-1"/>
        </w:rPr>
        <w:t>万元与本次测算的激励成本</w:t>
      </w:r>
      <w:r>
        <w:rPr>
          <w:rFonts w:ascii="Times New Roman" w:hAnsi="Times New Roman" w:cs="Times New Roman" w:eastAsia="Times New Roman" w:hint="default"/>
          <w:spacing w:val="-1"/>
        </w:rPr>
        <w:t>181.82</w:t>
      </w:r>
      <w:r>
        <w:rPr>
          <w:spacing w:val="-1"/>
        </w:rPr>
        <w:t>万元的差</w:t>
      </w:r>
      <w:r>
        <w:rPr>
          <w:spacing w:val="-64"/>
        </w:rPr>
        <w:t> </w:t>
      </w:r>
      <w:r>
        <w:rPr>
          <w:spacing w:val="-64"/>
        </w:rPr>
      </w:r>
      <w:r>
        <w:rPr/>
        <w:t>额</w:t>
      </w:r>
      <w:r>
        <w:rPr>
          <w:rFonts w:ascii="Times New Roman" w:hAnsi="Times New Roman" w:cs="Times New Roman" w:eastAsia="Times New Roman" w:hint="default"/>
        </w:rPr>
        <w:t>7</w:t>
      </w:r>
      <w:r>
        <w:rPr/>
        <w:t>万元已计入</w:t>
      </w:r>
      <w:r>
        <w:rPr>
          <w:rFonts w:ascii="Times New Roman" w:hAnsi="Times New Roman" w:cs="Times New Roman" w:eastAsia="Times New Roman" w:hint="default"/>
        </w:rPr>
        <w:t>2012</w:t>
      </w:r>
      <w:r>
        <w:rPr/>
        <w:t>年当期的激励成本中。</w:t>
      </w:r>
    </w:p>
    <w:p>
      <w:pPr>
        <w:spacing w:line="240" w:lineRule="auto" w:before="3"/>
        <w:rPr>
          <w:rFonts w:ascii="宋体" w:hAnsi="宋体" w:cs="宋体" w:eastAsia="宋体" w:hint="default"/>
          <w:sz w:val="24"/>
          <w:szCs w:val="24"/>
        </w:rPr>
      </w:pPr>
    </w:p>
    <w:p>
      <w:pPr>
        <w:pStyle w:val="BodyText"/>
        <w:spacing w:line="256" w:lineRule="auto"/>
        <w:ind w:right="206"/>
        <w:jc w:val="left"/>
      </w:pPr>
      <w:r>
        <w:rPr/>
        <w:t>根据</w:t>
      </w:r>
      <w:r>
        <w:rPr>
          <w:rFonts w:ascii="Times New Roman" w:hAnsi="Times New Roman" w:cs="Times New Roman" w:eastAsia="Times New Roman" w:hint="default"/>
        </w:rPr>
        <w:t>B-S </w:t>
      </w:r>
      <w:r>
        <w:rPr/>
        <w:t>模型估计的调整后的</w:t>
      </w:r>
      <w:r>
        <w:rPr>
          <w:rFonts w:ascii="Times New Roman" w:hAnsi="Times New Roman" w:cs="Times New Roman" w:eastAsia="Times New Roman" w:hint="default"/>
        </w:rPr>
        <w:t>68</w:t>
      </w:r>
      <w:r>
        <w:rPr/>
        <w:t>万份预留股票期权总成本为</w:t>
      </w:r>
      <w:r>
        <w:rPr>
          <w:rFonts w:ascii="Times New Roman" w:hAnsi="Times New Roman" w:cs="Times New Roman" w:eastAsia="Times New Roman" w:hint="default"/>
        </w:rPr>
        <w:t>216.20</w:t>
      </w:r>
      <w:r>
        <w:rPr/>
        <w:t>万元。根据本次授予的期权数量，假设</w:t>
      </w:r>
      <w:r>
        <w:rPr>
          <w:spacing w:val="-89"/>
        </w:rPr>
        <w:t> </w:t>
      </w:r>
      <w:r>
        <w:rPr>
          <w:spacing w:val="-89"/>
        </w:rPr>
      </w:r>
      <w:r>
        <w:rPr>
          <w:spacing w:val="-2"/>
        </w:rPr>
        <w:t>各期可行权的股票期权数量不发生变化，</w:t>
      </w:r>
      <w:r>
        <w:rPr>
          <w:spacing w:val="66"/>
        </w:rPr>
        <w:t> </w:t>
      </w:r>
      <w:r>
        <w:rPr>
          <w:spacing w:val="-2"/>
        </w:rPr>
        <w:t>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日开始摊销，按照激励费用在等待期内平均分摊</w:t>
      </w:r>
    </w:p>
    <w:p>
      <w:pPr>
        <w:spacing w:after="0" w:line="256"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的原则，则各期分摊的激励成本情况如下：</w:t>
      </w:r>
    </w:p>
    <w:p>
      <w:pPr>
        <w:spacing w:line="240" w:lineRule="auto" w:before="9"/>
        <w:rPr>
          <w:rFonts w:ascii="宋体" w:hAnsi="宋体" w:cs="宋体" w:eastAsia="宋体" w:hint="default"/>
          <w:sz w:val="27"/>
          <w:szCs w:val="27"/>
        </w:rPr>
      </w:pPr>
    </w:p>
    <w:tbl>
      <w:tblPr>
        <w:tblW w:w="0" w:type="auto"/>
        <w:jc w:val="left"/>
        <w:tblInd w:w="758" w:type="dxa"/>
        <w:tblLayout w:type="fixed"/>
        <w:tblCellMar>
          <w:top w:w="0" w:type="dxa"/>
          <w:left w:w="0" w:type="dxa"/>
          <w:bottom w:w="0" w:type="dxa"/>
          <w:right w:w="0" w:type="dxa"/>
        </w:tblCellMar>
        <w:tblLook w:val="01E0"/>
      </w:tblPr>
      <w:tblGrid>
        <w:gridCol w:w="2511"/>
        <w:gridCol w:w="1190"/>
        <w:gridCol w:w="1493"/>
        <w:gridCol w:w="1550"/>
      </w:tblGrid>
      <w:tr>
        <w:trPr>
          <w:trHeight w:val="341" w:hRule="exact"/>
        </w:trPr>
        <w:tc>
          <w:tcPr>
            <w:tcW w:w="251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个月分摊</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12-24</w:t>
            </w:r>
            <w:r>
              <w:rPr>
                <w:rFonts w:ascii="宋体" w:hAnsi="宋体" w:cs="宋体" w:eastAsia="宋体" w:hint="default"/>
                <w:sz w:val="18"/>
                <w:szCs w:val="18"/>
              </w:rPr>
              <w:t>个月分摊</w:t>
            </w:r>
          </w:p>
        </w:tc>
      </w:tr>
      <w:tr>
        <w:trPr>
          <w:trHeight w:val="34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第一批期权成本（万元）</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95.69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95.69</w:t>
            </w: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第二批期权成本（万元）</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120.52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60.26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60.26</w:t>
            </w:r>
          </w:p>
        </w:tc>
      </w:tr>
      <w:tr>
        <w:trPr>
          <w:trHeight w:val="34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10" w:right="0"/>
              <w:jc w:val="left"/>
              <w:rPr>
                <w:rFonts w:ascii="宋体" w:hAnsi="宋体" w:cs="宋体" w:eastAsia="宋体" w:hint="default"/>
                <w:sz w:val="18"/>
                <w:szCs w:val="18"/>
              </w:rPr>
            </w:pPr>
            <w:r>
              <w:rPr>
                <w:rFonts w:ascii="宋体" w:hAnsi="宋体" w:cs="宋体" w:eastAsia="宋体" w:hint="default"/>
                <w:sz w:val="18"/>
                <w:szCs w:val="18"/>
              </w:rPr>
              <w:t>合计（万元）</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216.20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155.94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60.26</w:t>
            </w:r>
          </w:p>
        </w:tc>
      </w:tr>
    </w:tbl>
    <w:p>
      <w:pPr>
        <w:spacing w:line="240" w:lineRule="auto" w:before="3"/>
        <w:rPr>
          <w:rFonts w:ascii="宋体" w:hAnsi="宋体" w:cs="宋体" w:eastAsia="宋体" w:hint="default"/>
          <w:sz w:val="19"/>
          <w:szCs w:val="19"/>
        </w:rPr>
      </w:pPr>
    </w:p>
    <w:p>
      <w:pPr>
        <w:pStyle w:val="Heading3"/>
        <w:spacing w:line="240" w:lineRule="auto"/>
        <w:ind w:right="0"/>
        <w:jc w:val="left"/>
      </w:pPr>
      <w:r>
        <w:rPr/>
        <w:t>由于分摊的跨期效应，对各期会计成本的影响如下表：</w:t>
      </w:r>
    </w:p>
    <w:p>
      <w:pPr>
        <w:spacing w:line="240" w:lineRule="auto" w:before="3"/>
        <w:rPr>
          <w:rFonts w:ascii="宋体" w:hAnsi="宋体" w:cs="宋体" w:eastAsia="宋体" w:hint="default"/>
          <w:sz w:val="3"/>
          <w:szCs w:val="3"/>
        </w:rPr>
      </w:pPr>
    </w:p>
    <w:tbl>
      <w:tblPr>
        <w:tblW w:w="0" w:type="auto"/>
        <w:jc w:val="left"/>
        <w:tblInd w:w="758" w:type="dxa"/>
        <w:tblLayout w:type="fixed"/>
        <w:tblCellMar>
          <w:top w:w="0" w:type="dxa"/>
          <w:left w:w="0" w:type="dxa"/>
          <w:bottom w:w="0" w:type="dxa"/>
          <w:right w:w="0" w:type="dxa"/>
        </w:tblCellMar>
        <w:tblLook w:val="01E0"/>
      </w:tblPr>
      <w:tblGrid>
        <w:gridCol w:w="2084"/>
        <w:gridCol w:w="1639"/>
        <w:gridCol w:w="1527"/>
        <w:gridCol w:w="1462"/>
      </w:tblGrid>
      <w:tr>
        <w:trPr>
          <w:trHeight w:val="343" w:hRule="exact"/>
        </w:trPr>
        <w:tc>
          <w:tcPr>
            <w:tcW w:w="2084"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47" w:right="0"/>
              <w:jc w:val="left"/>
              <w:rPr>
                <w:rFonts w:ascii="宋体" w:hAnsi="宋体" w:cs="宋体" w:eastAsia="宋体" w:hint="default"/>
                <w:sz w:val="18"/>
                <w:szCs w:val="18"/>
              </w:rPr>
            </w:pPr>
            <w:r>
              <w:rPr>
                <w:rFonts w:ascii="宋体" w:hAnsi="宋体" w:cs="宋体" w:eastAsia="宋体" w:hint="default"/>
                <w:sz w:val="18"/>
                <w:szCs w:val="18"/>
              </w:rPr>
              <w:t>第一年</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9" w:right="0"/>
              <w:jc w:val="left"/>
              <w:rPr>
                <w:rFonts w:ascii="宋体" w:hAnsi="宋体" w:cs="宋体" w:eastAsia="宋体" w:hint="default"/>
                <w:sz w:val="18"/>
                <w:szCs w:val="18"/>
              </w:rPr>
            </w:pPr>
            <w:r>
              <w:rPr>
                <w:rFonts w:ascii="宋体" w:hAnsi="宋体" w:cs="宋体" w:eastAsia="宋体" w:hint="default"/>
                <w:sz w:val="18"/>
                <w:szCs w:val="18"/>
              </w:rPr>
              <w:t>第二年</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6" w:right="0"/>
              <w:jc w:val="left"/>
              <w:rPr>
                <w:rFonts w:ascii="宋体" w:hAnsi="宋体" w:cs="宋体" w:eastAsia="宋体" w:hint="default"/>
                <w:sz w:val="18"/>
                <w:szCs w:val="18"/>
              </w:rPr>
            </w:pPr>
            <w:r>
              <w:rPr>
                <w:rFonts w:ascii="宋体" w:hAnsi="宋体" w:cs="宋体" w:eastAsia="宋体" w:hint="default"/>
                <w:sz w:val="18"/>
                <w:szCs w:val="18"/>
              </w:rPr>
              <w:t>第三年</w:t>
            </w:r>
          </w:p>
        </w:tc>
      </w:tr>
      <w:tr>
        <w:trPr>
          <w:trHeight w:val="341" w:hRule="exact"/>
        </w:trPr>
        <w:tc>
          <w:tcPr>
            <w:tcW w:w="2084"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r>
      <w:tr>
        <w:trPr>
          <w:trHeight w:val="34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成本分摊（万元）</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47.85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126.58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41.77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7074" w:firstLine="0"/>
        <w:jc w:val="left"/>
        <w:rPr>
          <w:rFonts w:ascii="宋体" w:hAnsi="宋体" w:cs="宋体" w:eastAsia="宋体" w:hint="default"/>
          <w:sz w:val="18"/>
          <w:szCs w:val="18"/>
        </w:rPr>
      </w:pPr>
      <w:r>
        <w:rPr>
          <w:rFonts w:ascii="宋体" w:hAnsi="宋体" w:cs="宋体" w:eastAsia="宋体" w:hint="default"/>
          <w:sz w:val="18"/>
          <w:szCs w:val="18"/>
        </w:rPr>
        <w:t>以权益结算的股份支付的说明 不适用</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以现金结算的股份支付的说明 不适用</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以股份支付换取的其他服务总额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line="506" w:lineRule="auto" w:before="0"/>
        <w:ind w:left="152" w:right="5124" w:firstLine="0"/>
        <w:jc w:val="left"/>
        <w:rPr>
          <w:rFonts w:ascii="宋体" w:hAnsi="宋体" w:cs="宋体" w:eastAsia="宋体" w:hint="default"/>
          <w:sz w:val="18"/>
          <w:szCs w:val="18"/>
        </w:rPr>
      </w:pPr>
      <w:r>
        <w:rPr>
          <w:rFonts w:ascii="宋体" w:hAnsi="宋体" w:cs="宋体" w:eastAsia="宋体" w:hint="default"/>
          <w:b/>
          <w:bCs/>
          <w:sz w:val="24"/>
          <w:szCs w:val="24"/>
        </w:rPr>
        <w:t>十一、或有事项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、未决诉讼或仲裁形成的或有负债及其财务影响</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18"/>
          <w:szCs w:val="18"/>
        </w:rPr>
        <w:t>无</w:t>
      </w:r>
    </w:p>
    <w:p>
      <w:pPr>
        <w:pStyle w:val="Heading4"/>
        <w:spacing w:line="240" w:lineRule="auto" w:before="156"/>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614" w:firstLine="0"/>
        <w:jc w:val="left"/>
        <w:rPr>
          <w:rFonts w:ascii="宋体" w:hAnsi="宋体" w:cs="宋体" w:eastAsia="宋体" w:hint="default"/>
          <w:sz w:val="18"/>
          <w:szCs w:val="18"/>
        </w:rPr>
      </w:pPr>
      <w:r>
        <w:rPr>
          <w:rFonts w:ascii="宋体" w:hAnsi="宋体" w:cs="宋体" w:eastAsia="宋体" w:hint="default"/>
          <w:sz w:val="18"/>
          <w:szCs w:val="18"/>
        </w:rPr>
        <w:t>无 其他或有负债及其财务影响</w:t>
      </w:r>
    </w:p>
    <w:p>
      <w:pPr>
        <w:spacing w:after="0" w:line="36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spacing w:line="506" w:lineRule="auto" w:before="0"/>
        <w:ind w:left="152" w:right="8087" w:firstLine="0"/>
        <w:jc w:val="left"/>
        <w:rPr>
          <w:rFonts w:ascii="宋体" w:hAnsi="宋体" w:cs="宋体" w:eastAsia="宋体" w:hint="default"/>
          <w:sz w:val="18"/>
          <w:szCs w:val="18"/>
        </w:rPr>
      </w:pPr>
      <w:r>
        <w:rPr>
          <w:rFonts w:ascii="宋体" w:hAnsi="宋体" w:cs="宋体" w:eastAsia="宋体" w:hint="default"/>
          <w:b/>
          <w:bCs/>
          <w:sz w:val="24"/>
          <w:szCs w:val="24"/>
        </w:rPr>
        <w:t>十二、承诺事项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03"/>
          <w:sz w:val="21"/>
          <w:szCs w:val="21"/>
        </w:rPr>
        <w:t> </w:t>
      </w:r>
      <w:r>
        <w:rPr>
          <w:rFonts w:ascii="宋体" w:hAnsi="宋体" w:cs="宋体" w:eastAsia="宋体" w:hint="default"/>
          <w:sz w:val="18"/>
          <w:szCs w:val="18"/>
        </w:rPr>
        <w:t>无</w:t>
      </w:r>
    </w:p>
    <w:p>
      <w:pPr>
        <w:pStyle w:val="Heading4"/>
        <w:spacing w:line="240" w:lineRule="auto" w:before="156"/>
        <w:ind w:right="0"/>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、重要的资产负债表日后事项说明</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24,321,702.00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24,321,702.00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spacing w:line="506" w:lineRule="auto" w:before="0"/>
        <w:ind w:left="152" w:right="7612" w:firstLine="0"/>
        <w:jc w:val="left"/>
        <w:rPr>
          <w:rFonts w:ascii="宋体" w:hAnsi="宋体" w:cs="宋体" w:eastAsia="宋体" w:hint="default"/>
          <w:sz w:val="18"/>
          <w:szCs w:val="18"/>
        </w:rPr>
      </w:pP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4"/>
        <w:spacing w:line="240" w:lineRule="auto" w:before="156"/>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footerReference w:type="default" r:id="rId25"/>
          <w:pgSz w:w="11910" w:h="16840"/>
          <w:pgMar w:footer="980" w:header="745" w:top="1060" w:bottom="1160" w:left="980" w:right="980"/>
          <w:pgNumType w:start="162"/>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44"/>
        <w:gridCol w:w="1532"/>
        <w:gridCol w:w="1517"/>
        <w:gridCol w:w="1517"/>
        <w:gridCol w:w="1528"/>
        <w:gridCol w:w="1522"/>
      </w:tblGrid>
      <w:tr>
        <w:trPr>
          <w:trHeight w:val="161" w:hRule="exact"/>
        </w:trPr>
        <w:tc>
          <w:tcPr>
            <w:tcW w:w="1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71"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7" w:right="30"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9"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7"/>
                <w:sz w:val="18"/>
                <w:szCs w:val="18"/>
              </w:rPr>
              <w:t>融资产（不含衍生金融资</w:t>
            </w:r>
            <w:r>
              <w:rPr>
                <w:rFonts w:ascii="宋体" w:hAnsi="宋体" w:cs="宋体" w:eastAsia="宋体" w:hint="default"/>
                <w:sz w:val="18"/>
                <w:szCs w:val="18"/>
              </w:rPr>
              <w:t> 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114,014.78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44,800.95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158,815.73</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114,014.78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44,800.95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158,815.73</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3"/>
        <w:gridCol w:w="1531"/>
        <w:gridCol w:w="1511"/>
        <w:gridCol w:w="1517"/>
        <w:gridCol w:w="1517"/>
        <w:gridCol w:w="1517"/>
      </w:tblGrid>
      <w:tr>
        <w:trPr>
          <w:trHeight w:val="161" w:hRule="exact"/>
        </w:trPr>
        <w:tc>
          <w:tcPr>
            <w:tcW w:w="1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5" w:right="33"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40"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6"/>
                <w:sz w:val="18"/>
                <w:szCs w:val="18"/>
              </w:rPr>
              <w:t>融资产（不含衍生金融资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可供出售金融资产</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79"/>
        <w:gridCol w:w="1520"/>
        <w:gridCol w:w="1517"/>
        <w:gridCol w:w="1517"/>
        <w:gridCol w:w="1517"/>
        <w:gridCol w:w="1517"/>
      </w:tblGrid>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3"/>
        <w:gridCol w:w="533"/>
        <w:gridCol w:w="1327"/>
        <w:gridCol w:w="665"/>
        <w:gridCol w:w="1195"/>
        <w:gridCol w:w="665"/>
        <w:gridCol w:w="1328"/>
        <w:gridCol w:w="665"/>
      </w:tblGrid>
      <w:tr>
        <w:trPr>
          <w:trHeight w:val="401"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98"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205,229,217.49</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5,287,036.89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187,599,524.96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4,834,219.48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205,229,217.49</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5,287,036.89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187,599,524.96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4,834,219.48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205,229,217.49</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5,287,036.89</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187,599,524.96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4,834,219.48</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360" w:lineRule="auto" w:before="49"/>
        <w:ind w:left="152" w:right="23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无</w:t>
      </w:r>
    </w:p>
    <w:p>
      <w:pPr>
        <w:spacing w:before="27"/>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组合中，采用账龄分析法计提坏账准备的应收账款</w:t>
      </w:r>
    </w:p>
    <w:p>
      <w:pPr>
        <w:spacing w:before="39"/>
        <w:ind w:left="152" w:right="23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26"/>
        <w:gridCol w:w="665"/>
        <w:gridCol w:w="1594"/>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4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5" w:type="dxa"/>
            <w:vMerge/>
            <w:tcBorders>
              <w:left w:val="single" w:sz="4" w:space="0" w:color="000000"/>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26"/>
        <w:gridCol w:w="665"/>
        <w:gridCol w:w="1594"/>
      </w:tblGrid>
      <w:tr>
        <w:trPr>
          <w:trHeight w:val="401"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118,942,940.36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57.95%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125,105,981.50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39,887,561.67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19.44%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1,196,626.85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24,606,184.33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738,185.53</w:t>
            </w:r>
          </w:p>
        </w:tc>
      </w:tr>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158,830,502.03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77.39%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1,196,626.85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149,712,165.83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738,185.53</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33,333,046.83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16.24%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1,666,652.34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33,440,896.70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1,672,044.84</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10,756,206.20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center"/>
              <w:rPr>
                <w:rFonts w:ascii="Times New Roman" w:hAnsi="Times New Roman" w:cs="Times New Roman" w:eastAsia="Times New Roman" w:hint="default"/>
                <w:sz w:val="18"/>
                <w:szCs w:val="18"/>
              </w:rPr>
            </w:pPr>
            <w:r>
              <w:rPr>
                <w:rFonts w:ascii="Times New Roman"/>
                <w:sz w:val="18"/>
              </w:rPr>
              <w:t>5.24%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1,075,620.62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1,330,940.19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133,094.02</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2,309,462.43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 w:right="0"/>
              <w:jc w:val="center"/>
              <w:rPr>
                <w:rFonts w:ascii="Times New Roman" w:hAnsi="Times New Roman" w:cs="Times New Roman" w:eastAsia="Times New Roman" w:hint="default"/>
                <w:sz w:val="18"/>
                <w:szCs w:val="18"/>
              </w:rPr>
            </w:pPr>
            <w:r>
              <w:rPr>
                <w:rFonts w:ascii="Times New Roman"/>
                <w:sz w:val="18"/>
              </w:rPr>
              <w:t>1.13%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1,348,137.08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3,115,522.24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2,290,895.09</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1,130,940.19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center"/>
              <w:rPr>
                <w:rFonts w:ascii="Times New Roman" w:hAnsi="Times New Roman" w:cs="Times New Roman" w:eastAsia="Times New Roman" w:hint="default"/>
                <w:sz w:val="18"/>
                <w:szCs w:val="18"/>
              </w:rPr>
            </w:pPr>
            <w:r>
              <w:rPr>
                <w:rFonts w:ascii="Times New Roman"/>
                <w:sz w:val="18"/>
              </w:rPr>
              <w:t>0.55%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226,188.04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880,146.40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176,029.28</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113,146.40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 w:right="0"/>
              <w:jc w:val="center"/>
              <w:rPr>
                <w:rFonts w:ascii="Times New Roman" w:hAnsi="Times New Roman" w:cs="Times New Roman" w:eastAsia="Times New Roman" w:hint="default"/>
                <w:sz w:val="18"/>
                <w:szCs w:val="18"/>
              </w:rPr>
            </w:pPr>
            <w:r>
              <w:rPr>
                <w:rFonts w:ascii="Times New Roman"/>
                <w:sz w:val="18"/>
              </w:rPr>
              <w:t>0.06%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56,573.20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241,020.06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120,510.03</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1,065,375.84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center"/>
              <w:rPr>
                <w:rFonts w:ascii="Times New Roman" w:hAnsi="Times New Roman" w:cs="Times New Roman" w:eastAsia="Times New Roman" w:hint="default"/>
                <w:sz w:val="18"/>
                <w:szCs w:val="18"/>
              </w:rPr>
            </w:pPr>
            <w:r>
              <w:rPr>
                <w:rFonts w:ascii="Times New Roman"/>
                <w:sz w:val="18"/>
              </w:rPr>
              <w:t>0.52%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1,065,375.84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1,994,355.78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1,994,355.78</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205,229,217.49</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5,287,036.89</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pacing w:val="-1"/>
                <w:sz w:val="18"/>
              </w:rPr>
              <w:t>187,599,524.96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4,834,219.48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38" w:lineRule="auto" w:before="41"/>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4"/>
        <w:gridCol w:w="1712"/>
        <w:gridCol w:w="1875"/>
        <w:gridCol w:w="1907"/>
        <w:gridCol w:w="1871"/>
      </w:tblGrid>
      <w:tr>
        <w:trPr>
          <w:trHeight w:val="162" w:hRule="exact"/>
        </w:trPr>
        <w:tc>
          <w:tcPr>
            <w:tcW w:w="2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2" w:right="52"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7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07" w:type="dxa"/>
            <w:vMerge/>
            <w:tcBorders>
              <w:left w:val="single" w:sz="4" w:space="0" w:color="000000"/>
              <w:right w:val="single" w:sz="4" w:space="0" w:color="000000"/>
            </w:tcBorders>
            <w:shd w:val="clear" w:color="auto" w:fill="D2D2D2"/>
          </w:tcPr>
          <w:p>
            <w:pPr/>
          </w:p>
        </w:tc>
        <w:tc>
          <w:tcPr>
            <w:tcW w:w="18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161" w:hRule="exact"/>
        </w:trPr>
        <w:tc>
          <w:tcPr>
            <w:tcW w:w="2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7" w:type="dxa"/>
            <w:vMerge/>
            <w:tcBorders>
              <w:left w:val="single" w:sz="4" w:space="0" w:color="000000"/>
              <w:bottom w:val="single" w:sz="4" w:space="0" w:color="000000"/>
              <w:right w:val="single" w:sz="4" w:space="0" w:color="000000"/>
            </w:tcBorders>
            <w:shd w:val="clear" w:color="auto" w:fill="D2D2D2"/>
          </w:tcPr>
          <w:p>
            <w:pPr/>
          </w:p>
        </w:tc>
        <w:tc>
          <w:tcPr>
            <w:tcW w:w="187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0"/>
        <w:gridCol w:w="1946"/>
        <w:gridCol w:w="1947"/>
        <w:gridCol w:w="1922"/>
        <w:gridCol w:w="1832"/>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3654"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606"/>
        <w:gridCol w:w="1571"/>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1" w:right="59"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394"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71" w:type="dxa"/>
            <w:vMerge/>
            <w:tcBorders>
              <w:left w:val="single" w:sz="4" w:space="0" w:color="000000"/>
              <w:right w:val="single" w:sz="4" w:space="0" w:color="000000"/>
            </w:tcBorders>
            <w:shd w:val="clear" w:color="auto" w:fill="D2D2D2"/>
          </w:tcPr>
          <w:p>
            <w:pPr/>
          </w:p>
        </w:tc>
      </w:tr>
      <w:tr>
        <w:trPr>
          <w:trHeight w:val="156"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
              <w:jc w:val="center"/>
              <w:rPr>
                <w:rFonts w:ascii="Times New Roman" w:hAnsi="Times New Roman" w:cs="Times New Roman" w:eastAsia="Times New Roman" w:hint="default"/>
                <w:sz w:val="18"/>
                <w:szCs w:val="18"/>
              </w:rPr>
            </w:pPr>
            <w:r>
              <w:rPr>
                <w:rFonts w:ascii="Times New Roman"/>
                <w:sz w:val="18"/>
              </w:rPr>
              <w:t>--</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本报告期无实际核销的应收账款。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8"/>
        <w:gridCol w:w="1714"/>
        <w:gridCol w:w="1595"/>
        <w:gridCol w:w="1862"/>
        <w:gridCol w:w="1860"/>
      </w:tblGrid>
      <w:tr>
        <w:trPr>
          <w:trHeight w:val="206" w:hRule="exact"/>
        </w:trPr>
        <w:tc>
          <w:tcPr>
            <w:tcW w:w="2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0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5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09" w:type="dxa"/>
            <w:gridSpan w:val="2"/>
            <w:vMerge/>
            <w:tcBorders>
              <w:left w:val="single" w:sz="4" w:space="0" w:color="000000"/>
              <w:bottom w:val="single" w:sz="4" w:space="0" w:color="000000"/>
              <w:right w:val="single" w:sz="4" w:space="0" w:color="000000"/>
            </w:tcBorders>
            <w:shd w:val="clear" w:color="auto" w:fill="D2D2D2"/>
          </w:tcPr>
          <w:p>
            <w:pPr/>
          </w:p>
        </w:tc>
        <w:tc>
          <w:tcPr>
            <w:tcW w:w="3722"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528" w:type="dxa"/>
            <w:vMerge/>
            <w:tcBorders>
              <w:left w:val="single" w:sz="4" w:space="0" w:color="000000"/>
              <w:bottom w:val="nil" w:sz="6" w:space="0" w:color="auto"/>
              <w:right w:val="single" w:sz="4" w:space="0" w:color="000000"/>
            </w:tcBorders>
            <w:shd w:val="clear" w:color="auto" w:fill="D2D2D2"/>
          </w:tcPr>
          <w:p>
            <w:pPr/>
          </w:p>
        </w:tc>
        <w:tc>
          <w:tcPr>
            <w:tcW w:w="17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206" w:hRule="exact"/>
        </w:trPr>
        <w:tc>
          <w:tcPr>
            <w:tcW w:w="2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862" w:type="dxa"/>
            <w:vMerge/>
            <w:tcBorders>
              <w:left w:val="single" w:sz="4" w:space="0" w:color="000000"/>
              <w:bottom w:val="single" w:sz="4" w:space="0" w:color="000000"/>
              <w:right w:val="single" w:sz="4" w:space="0" w:color="000000"/>
            </w:tcBorders>
            <w:shd w:val="clear" w:color="auto" w:fill="D2D2D2"/>
          </w:tcPr>
          <w:p>
            <w:pPr/>
          </w:p>
        </w:tc>
        <w:tc>
          <w:tcPr>
            <w:tcW w:w="186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center"/>
              <w:rPr>
                <w:rFonts w:ascii="宋体" w:hAnsi="宋体" w:cs="宋体" w:eastAsia="宋体" w:hint="default"/>
                <w:sz w:val="18"/>
                <w:szCs w:val="18"/>
              </w:rPr>
            </w:pPr>
            <w:r>
              <w:rPr>
                <w:rFonts w:ascii="宋体" w:hAnsi="宋体" w:cs="宋体" w:eastAsia="宋体" w:hint="default"/>
                <w:sz w:val="18"/>
                <w:szCs w:val="18"/>
              </w:rPr>
              <w:t>合计</w:t>
            </w:r>
          </w:p>
        </w:tc>
        <w:tc>
          <w:tcPr>
            <w:tcW w:w="17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上海市卫生局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17,423,600.00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个月</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68" w:firstLine="91"/>
              <w:jc w:val="left"/>
              <w:rPr>
                <w:rFonts w:ascii="宋体" w:hAnsi="宋体" w:cs="宋体" w:eastAsia="宋体" w:hint="default"/>
                <w:sz w:val="18"/>
                <w:szCs w:val="18"/>
              </w:rPr>
            </w:pPr>
            <w:r>
              <w:rPr>
                <w:rFonts w:ascii="宋体" w:hAnsi="宋体" w:cs="宋体" w:eastAsia="宋体" w:hint="default"/>
                <w:sz w:val="18"/>
                <w:szCs w:val="18"/>
              </w:rPr>
              <w:t>江西省人力资源和社 会保障厅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8,872,600.00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个月内</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山东省环境保护信息中 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8,329,000.00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武汉市卫生局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6,828,000.00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崇明县卫生局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5,908,000.00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47,361,200.00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上海长安信息技术咨询开发 中心</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参股股东</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41,900.00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3"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27,821,870.79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2,534,422.67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9.11%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23,784,610.65</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1,786,842.21</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7.51%</w:t>
            </w: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720,870.40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1.64%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963,990.22</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2.77%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15,403,187.35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9,993,587.08</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43,945,928.54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2,534,422.67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5.77%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34,742,187.95</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1,786,842.21</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5.14%</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43,945,928.54</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2,534,422.67</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34,742,187.95</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1,786,842.21</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p>
    <w:p>
      <w:pPr>
        <w:pStyle w:val="BodyText"/>
        <w:spacing w:line="240" w:lineRule="auto" w:before="94"/>
        <w:ind w:right="0"/>
        <w:jc w:val="left"/>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6"/>
          <w:sz w:val="18"/>
          <w:szCs w:val="18"/>
        </w:rPr>
        <w:t> </w:t>
      </w:r>
      <w:r>
        <w:rPr/>
        <w:t>组合</w:t>
      </w:r>
      <w:r>
        <w:rPr>
          <w:rFonts w:ascii="Times New Roman" w:hAnsi="Times New Roman" w:cs="Times New Roman" w:eastAsia="Times New Roman" w:hint="default"/>
        </w:rPr>
        <w:t>1</w:t>
      </w:r>
      <w:r>
        <w:rPr/>
        <w:t>中，采用账龄分析法计提坏账准备的其他应收款</w:t>
      </w:r>
    </w:p>
    <w:p>
      <w:pPr>
        <w:pStyle w:val="BodyText"/>
        <w:spacing w:line="240" w:lineRule="auto" w:before="21"/>
        <w:ind w:right="0"/>
        <w:jc w:val="left"/>
      </w:pPr>
      <w:r>
        <w:rPr>
          <w:rFonts w:ascii="Times New Roman" w:hAnsi="Times New Roman" w:cs="Times New Roman" w:eastAsia="Times New Roman" w:hint="default"/>
        </w:rPr>
        <w:t>2.</w:t>
      </w:r>
      <w:r>
        <w:rPr/>
        <w:t>组合</w:t>
      </w:r>
      <w:r>
        <w:rPr>
          <w:rFonts w:ascii="Times New Roman" w:hAnsi="Times New Roman" w:cs="Times New Roman" w:eastAsia="Times New Roman" w:hint="default"/>
        </w:rPr>
        <w:t>2</w:t>
      </w:r>
      <w:r>
        <w:rPr/>
        <w:t>中，不计提坏账准备的其他应收款为银行保函押金</w:t>
      </w:r>
    </w:p>
    <w:p>
      <w:pPr>
        <w:pStyle w:val="BodyText"/>
        <w:spacing w:line="240" w:lineRule="auto" w:before="21"/>
        <w:ind w:right="0"/>
        <w:jc w:val="left"/>
      </w:pPr>
      <w:r>
        <w:rPr>
          <w:rFonts w:ascii="Times New Roman" w:hAnsi="Times New Roman" w:cs="Times New Roman" w:eastAsia="Times New Roman" w:hint="default"/>
          <w:spacing w:val="-2"/>
        </w:rPr>
        <w:t>3.</w:t>
      </w:r>
      <w:r>
        <w:rPr>
          <w:spacing w:val="-2"/>
        </w:rPr>
        <w:t>组合</w:t>
      </w:r>
      <w:r>
        <w:rPr>
          <w:rFonts w:ascii="Times New Roman" w:hAnsi="Times New Roman" w:cs="Times New Roman" w:eastAsia="Times New Roman" w:hint="default"/>
          <w:spacing w:val="-2"/>
        </w:rPr>
        <w:t>3</w:t>
      </w:r>
      <w:r>
        <w:rPr>
          <w:spacing w:val="-2"/>
        </w:rPr>
        <w:t>中，不计提坏账准备的其他应收款为子公司往来款。</w:t>
      </w:r>
    </w:p>
    <w:p>
      <w:pPr>
        <w:spacing w:before="82"/>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2" w:right="13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670" w:space="3159"/>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793"/>
        <w:gridCol w:w="662"/>
        <w:gridCol w:w="1594"/>
        <w:gridCol w:w="1862"/>
        <w:gridCol w:w="665"/>
        <w:gridCol w:w="1726"/>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68"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13,522,073.56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11,335,047.28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47.65%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4,609,377.94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138,281.34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5,995,213.67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25.21%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179,856.41</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18,131,451.50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138,281.34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17,330,260.95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72.86%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179,856.41</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4,845,144.59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242,257.23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1,199,385.00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5.04%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59,969.25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2"/>
        <w:gridCol w:w="1594"/>
        <w:gridCol w:w="1862"/>
        <w:gridCol w:w="665"/>
        <w:gridCol w:w="1726"/>
      </w:tblGrid>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827,610.00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82,761.00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1,823,402.00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182,340.20</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4,017,664.70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2,071,123.10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3,431,562.70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1,364,676.35</w:t>
            </w: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1,228,902.00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245,780.40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1,926,840.00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385,368.00</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1,926,840.00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963,420.00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1,050,828.70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525,414.35</w:t>
            </w: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861,922.70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861,922.70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453,894.00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453,894.00</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27,821,870.79</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2,534,422.67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23,784,610.65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1,786,842.21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1"/>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4"/>
        <w:gridCol w:w="1712"/>
        <w:gridCol w:w="1875"/>
        <w:gridCol w:w="1907"/>
        <w:gridCol w:w="1871"/>
      </w:tblGrid>
      <w:tr>
        <w:trPr>
          <w:trHeight w:val="162" w:hRule="exact"/>
        </w:trPr>
        <w:tc>
          <w:tcPr>
            <w:tcW w:w="2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2" w:right="52"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7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07" w:type="dxa"/>
            <w:vMerge/>
            <w:tcBorders>
              <w:left w:val="single" w:sz="4" w:space="0" w:color="000000"/>
              <w:right w:val="single" w:sz="4" w:space="0" w:color="000000"/>
            </w:tcBorders>
            <w:shd w:val="clear" w:color="auto" w:fill="D2D2D2"/>
          </w:tcPr>
          <w:p>
            <w:pPr/>
          </w:p>
        </w:tc>
        <w:tc>
          <w:tcPr>
            <w:tcW w:w="18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161" w:hRule="exact"/>
        </w:trPr>
        <w:tc>
          <w:tcPr>
            <w:tcW w:w="2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7" w:type="dxa"/>
            <w:vMerge/>
            <w:tcBorders>
              <w:left w:val="single" w:sz="4" w:space="0" w:color="000000"/>
              <w:bottom w:val="single" w:sz="4" w:space="0" w:color="000000"/>
              <w:right w:val="single" w:sz="4" w:space="0" w:color="000000"/>
            </w:tcBorders>
            <w:shd w:val="clear" w:color="auto" w:fill="D2D2D2"/>
          </w:tcPr>
          <w:p>
            <w:pPr/>
          </w:p>
        </w:tc>
        <w:tc>
          <w:tcPr>
            <w:tcW w:w="187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8"/>
        <w:gridCol w:w="1965"/>
        <w:gridCol w:w="1968"/>
        <w:gridCol w:w="1943"/>
        <w:gridCol w:w="1841"/>
      </w:tblGrid>
      <w:tr>
        <w:trPr>
          <w:trHeight w:val="401" w:hRule="exact"/>
        </w:trPr>
        <w:tc>
          <w:tcPr>
            <w:tcW w:w="1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6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3474"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6"/>
        <w:gridCol w:w="1595"/>
        <w:gridCol w:w="1580"/>
        <w:gridCol w:w="1487"/>
        <w:gridCol w:w="1508"/>
        <w:gridCol w:w="1789"/>
      </w:tblGrid>
      <w:tr>
        <w:trPr>
          <w:trHeight w:val="403"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1"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7"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pStyle w:val="BodyText"/>
        <w:spacing w:line="240" w:lineRule="auto" w:before="96"/>
        <w:ind w:right="0"/>
        <w:jc w:val="left"/>
      </w:pPr>
      <w:r>
        <w:rPr/>
        <w:t>本报告期无实际核销的其他应收款。</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3454"/>
        <w:gridCol w:w="3443"/>
      </w:tblGrid>
      <w:tr>
        <w:trPr>
          <w:trHeight w:val="402"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1"/>
        <w:gridCol w:w="1727"/>
        <w:gridCol w:w="1726"/>
        <w:gridCol w:w="1861"/>
        <w:gridCol w:w="1594"/>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杭州万达信息系统有限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7,342,479.50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16.71%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上海万达信息系统有限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6,316,373.90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14.37%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国家工商行政管理总局 经济信息中心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2,148,500.00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个月</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首都医科大学附属北京 妇产医院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2,055,900.00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上海市房屋状况信息中 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1,684,120.00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19,547,373.40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44.48%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杭州万达信息系统有限公司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7,342,479.50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16.71%</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上海万达信息系统有限公司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6,316,373.90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14.37%</w:t>
            </w:r>
          </w:p>
        </w:tc>
      </w:tr>
      <w:tr>
        <w:trPr>
          <w:trHeight w:val="71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深圳市万达计算机软件有限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610,744.18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宁波万达信息系统有限公司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427,554.37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上海爱递吉供应链管理服务 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366,627.00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0.83%</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天津万达信息技术有限责任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229,239.55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0.52%</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南京爱递吉供应链管理服务 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82,055.21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西藏万达华波美信息技术有 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16,863.64</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北京万达全城信息系统有限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11,250.00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15,403,187.35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35.05%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5"/>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上海浦江 科技投资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8,443,342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472,405.4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8,915,747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25.93%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上海华奕 医疗信息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423,136.4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423,136.4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杭州万达 信息系统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宁波万达 信息系统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美国万达 信息有限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4,611,115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4,611,115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4,611,115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39"/>
              <w:jc w:val="left"/>
              <w:rPr>
                <w:rFonts w:ascii="宋体" w:hAnsi="宋体" w:cs="宋体" w:eastAsia="宋体" w:hint="default"/>
                <w:sz w:val="18"/>
                <w:szCs w:val="18"/>
              </w:rPr>
            </w:pPr>
            <w:r>
              <w:rPr>
                <w:rFonts w:ascii="宋体" w:hAnsi="宋体" w:cs="宋体" w:eastAsia="宋体" w:hint="default"/>
                <w:sz w:val="18"/>
                <w:szCs w:val="18"/>
              </w:rPr>
              <w:t>上海万达 信息系统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36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深圳市万 达计算机 软件有限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上海爱递 吉供应链 管理服务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55%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上海万达 信息服务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51"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上海卫生 信息工程 技术研究 中心有限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57.14%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上海万达 全程健康 服务有限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9,057,000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9,057,000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9,057,000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55%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西藏万达 华波美信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38,112,70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38,112,70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38,112,70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51.22%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51.22%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天津万达 信息技术 有限责任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北京万达 全城信息 系统有限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上海格言 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上海申银 万国证券 研究所有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9"/>
              <w:jc w:val="right"/>
              <w:rPr>
                <w:rFonts w:ascii="宋体" w:hAnsi="宋体" w:cs="宋体" w:eastAsia="宋体" w:hint="default"/>
                <w:sz w:val="18"/>
                <w:szCs w:val="18"/>
              </w:rPr>
            </w:pPr>
            <w:r>
              <w:rPr>
                <w:rFonts w:ascii="宋体" w:hAnsi="宋体" w:cs="宋体" w:eastAsia="宋体" w:hint="default"/>
                <w:sz w:val="18"/>
                <w:szCs w:val="18"/>
              </w:rPr>
              <w:t>北京爱农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10,000,00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98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39"/>
              <w:jc w:val="both"/>
              <w:rPr>
                <w:rFonts w:ascii="宋体" w:hAnsi="宋体" w:cs="宋体" w:eastAsia="宋体" w:hint="default"/>
                <w:sz w:val="18"/>
                <w:szCs w:val="18"/>
              </w:rPr>
            </w:pPr>
            <w:r>
              <w:rPr>
                <w:rFonts w:ascii="宋体" w:hAnsi="宋体" w:cs="宋体" w:eastAsia="宋体" w:hint="default"/>
                <w:sz w:val="18"/>
                <w:szCs w:val="18"/>
              </w:rPr>
              <w:t>驿站科技 服务有限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218,180,8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15.10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81,484,45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138,565,2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41.89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220,049,6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99.01</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line="360" w:lineRule="auto" w:before="49"/>
        <w:ind w:left="152" w:right="8154" w:firstLine="0"/>
        <w:jc w:val="left"/>
        <w:rPr>
          <w:rFonts w:ascii="宋体" w:hAnsi="宋体" w:cs="宋体" w:eastAsia="宋体" w:hint="default"/>
          <w:sz w:val="18"/>
          <w:szCs w:val="18"/>
        </w:rPr>
      </w:pPr>
      <w:r>
        <w:rPr>
          <w:rFonts w:ascii="宋体" w:hAnsi="宋体" w:cs="宋体" w:eastAsia="宋体" w:hint="default"/>
          <w:sz w:val="18"/>
          <w:szCs w:val="18"/>
        </w:rPr>
        <w:t>长期股权投资的说明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727,874,259.14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625,769,260.32</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727,874,259.14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625,769,260.32</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498,785,386.86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444,166,326.46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727,874,259.14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498,785,386.86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625,769,260.32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444,166,326.46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727,874,259.14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498,785,386.86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625,769,260.32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444,166,326.46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330,848,077.76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173,978,446.37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249,930,251.93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128,996,656.85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运营服务收入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114,276,020.67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69,842,611.69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107,660,199.12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62,814,604.57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282,750,160.71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254,964,328.80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268,178,809.27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252,355,065.04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727,874,259.14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498,785,386.86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625,769,260.32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444,166,326.46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727,874,259.14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498,785,386.86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625,769,260.32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444,166,326.46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727,874,259.14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498,785,386.86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625,769,260.32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444,166,326.46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上海市卫生局（含区县局）</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89,673,078.11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上海市人力资源和社会保障局</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46,471,960.24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6.38%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上海住建工程有限公司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上海市税务局（含区县局）</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25,740,185.60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武汉市卫生局</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18,785,849.08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211,101,073.03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29%</w:t>
            </w:r>
          </w:p>
        </w:tc>
      </w:tr>
    </w:tbl>
    <w:p>
      <w:pPr>
        <w:spacing w:line="357" w:lineRule="auto" w:before="49"/>
        <w:ind w:left="152" w:right="8514" w:firstLine="0"/>
        <w:jc w:val="left"/>
        <w:rPr>
          <w:rFonts w:ascii="宋体" w:hAnsi="宋体" w:cs="宋体" w:eastAsia="宋体" w:hint="default"/>
          <w:sz w:val="18"/>
          <w:szCs w:val="18"/>
        </w:rPr>
      </w:pPr>
      <w:r>
        <w:rPr>
          <w:rFonts w:ascii="宋体" w:hAnsi="宋体" w:cs="宋体" w:eastAsia="宋体" w:hint="default"/>
          <w:sz w:val="18"/>
          <w:szCs w:val="18"/>
        </w:rPr>
        <w:t>营业收入的说明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-358,291.65</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258,225.38</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-58,291.65</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558,225.38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上海申银万国证券研究所有限公司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300,000.00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上海浦江科技投资有限公司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-311,428.11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258,225.38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净资产变化</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上海华奕医疗信息技术有限公司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-46,863.54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新增投资公司</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-358,291.65</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258,225.38</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8514" w:firstLine="0"/>
        <w:jc w:val="left"/>
        <w:rPr>
          <w:rFonts w:ascii="宋体" w:hAnsi="宋体" w:cs="宋体" w:eastAsia="宋体" w:hint="default"/>
          <w:sz w:val="18"/>
          <w:szCs w:val="18"/>
        </w:rPr>
      </w:pPr>
      <w:r>
        <w:rPr>
          <w:rFonts w:ascii="宋体" w:hAnsi="宋体" w:cs="宋体" w:eastAsia="宋体" w:hint="default"/>
          <w:sz w:val="18"/>
          <w:szCs w:val="18"/>
        </w:rPr>
        <w:t>投资收益的说明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111,155,359.16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77,298,300.01</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1,200,397.87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2,868,120.32</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12,287,866.77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12,323,779.75</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1,961,431.37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37,745.12</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528,534.78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270,972.26</w:t>
            </w:r>
          </w:p>
        </w:tc>
      </w:tr>
      <w:tr>
        <w:trPr>
          <w:trHeight w:val="715"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13"/>
                <w:sz w:val="18"/>
                <w:szCs w:val="18"/>
              </w:rPr>
              <w:t>、</w:t>
            </w:r>
            <w:r>
              <w:rPr>
                <w:rFonts w:ascii="宋体" w:hAnsi="宋体" w:cs="宋体" w:eastAsia="宋体" w:hint="default"/>
                <w:sz w:val="18"/>
                <w:szCs w:val="18"/>
              </w:rPr>
              <w:t>无形资产和其他长期资产的损</w:t>
            </w:r>
            <w:r>
              <w:rPr>
                <w:rFonts w:ascii="宋体" w:hAnsi="宋体" w:cs="宋体" w:eastAsia="宋体" w:hint="default"/>
                <w:spacing w:val="-13"/>
                <w:sz w:val="18"/>
                <w:szCs w:val="18"/>
              </w:rPr>
              <w:t>失</w:t>
            </w:r>
            <w:r>
              <w:rPr>
                <w:rFonts w:ascii="宋体" w:hAnsi="宋体" w:cs="宋体" w:eastAsia="宋体" w:hint="default"/>
                <w:sz w:val="18"/>
                <w:szCs w:val="18"/>
              </w:rPr>
              <w:t>（收益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 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22,878.17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-1,386.74</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9,490,963.40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6,691,130.16</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58,291.65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-558,225.38</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-20,003,404.10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-5,699,075.18</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-34,704,854.11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-106,055,250.18</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2,755,830.67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25,056,258.91</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8,400,700.00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93,153,995.63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12,232,369.05</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590,462,761.36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798,333,820.30</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798,333,820.30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115,909,065.99</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-207,871,058.94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682,424,754.31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反向购买下以公允价值入账的资产、负债情况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反向购买形成长期股权投资的情况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6"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0.4643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0.4643</w:t>
            </w:r>
          </w:p>
        </w:tc>
      </w:tr>
      <w:tr>
        <w:trPr>
          <w:trHeight w:val="713"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0.4341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0.4341</w:t>
            </w:r>
          </w:p>
        </w:tc>
      </w:tr>
    </w:tbl>
    <w:p>
      <w:pPr>
        <w:spacing w:line="240" w:lineRule="auto" w:before="3"/>
        <w:rPr>
          <w:rFonts w:ascii="宋体" w:hAnsi="宋体" w:cs="宋体" w:eastAsia="宋体" w:hint="default"/>
          <w:sz w:val="19"/>
          <w:szCs w:val="19"/>
        </w:rPr>
      </w:pPr>
    </w:p>
    <w:p>
      <w:pPr>
        <w:spacing w:line="506" w:lineRule="auto" w:before="36"/>
        <w:ind w:left="152" w:right="3294" w:firstLine="0"/>
        <w:jc w:val="left"/>
        <w:rPr>
          <w:rFonts w:ascii="宋体" w:hAnsi="宋体" w:cs="宋体" w:eastAsia="宋体" w:hint="default"/>
          <w:sz w:val="21"/>
          <w:szCs w:val="21"/>
        </w:rPr>
      </w:pPr>
      <w:r>
        <w:rPr/>
        <w:pict>
          <v:shape style="position:absolute;margin-left:91.704002pt;margin-top:48.743664pt;width:419.4pt;height:354.6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1"/>
                    <w:gridCol w:w="1534"/>
                    <w:gridCol w:w="1412"/>
                    <w:gridCol w:w="1320"/>
                    <w:gridCol w:w="2509"/>
                  </w:tblGrid>
                  <w:tr>
                    <w:trPr>
                      <w:trHeight w:val="658"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9"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92" w:right="38" w:hanging="452"/>
                          <w:jc w:val="left"/>
                          <w:rPr>
                            <w:rFonts w:ascii="宋体" w:hAnsi="宋体" w:cs="宋体" w:eastAsia="宋体" w:hint="default"/>
                            <w:sz w:val="18"/>
                            <w:szCs w:val="18"/>
                          </w:rPr>
                        </w:pPr>
                        <w:r>
                          <w:rPr>
                            <w:rFonts w:ascii="宋体" w:hAnsi="宋体" w:cs="宋体" w:eastAsia="宋体" w:hint="default"/>
                            <w:sz w:val="18"/>
                            <w:szCs w:val="18"/>
                          </w:rPr>
                          <w:t>期末余额（或本期 金额）</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49" w:right="0" w:hanging="245"/>
                          <w:jc w:val="left"/>
                          <w:rPr>
                            <w:rFonts w:ascii="宋体" w:hAnsi="宋体" w:cs="宋体" w:eastAsia="宋体" w:hint="default"/>
                            <w:sz w:val="18"/>
                            <w:szCs w:val="18"/>
                          </w:rPr>
                        </w:pPr>
                        <w:r>
                          <w:rPr>
                            <w:rFonts w:ascii="宋体" w:hAnsi="宋体" w:cs="宋体" w:eastAsia="宋体" w:hint="default"/>
                            <w:spacing w:val="-7"/>
                            <w:sz w:val="18"/>
                            <w:szCs w:val="18"/>
                          </w:rPr>
                          <w:t>期初余额（或上年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同期金额）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92"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8"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779,964,737.57</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865,821,868.42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-9.92%</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本期对外投资及采购增加所致</w:t>
                        </w:r>
                      </w:p>
                    </w:tc>
                  </w:tr>
                  <w:tr>
                    <w:trPr>
                      <w:trHeight w:val="660"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255,371,225.21</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195,690,724.35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30.50%</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pacing w:val="-3"/>
                            <w:sz w:val="18"/>
                            <w:szCs w:val="18"/>
                          </w:rPr>
                          <w:t>营业收入增长明显，尚未到收款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结算时点</w:t>
                        </w:r>
                      </w:p>
                    </w:tc>
                  </w:tr>
                  <w:tr>
                    <w:trPr>
                      <w:trHeight w:val="346"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12,039,258.88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960,914.06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1152.90%</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采购增加所致</w:t>
                        </w:r>
                      </w:p>
                    </w:tc>
                  </w:tr>
                  <w:tr>
                    <w:trPr>
                      <w:trHeight w:val="660"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48,245,401.36</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23,738,608.70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103.24%</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pacing w:val="-3"/>
                            <w:sz w:val="18"/>
                            <w:szCs w:val="18"/>
                          </w:rPr>
                          <w:t>系统集成业务量上升，外购软硬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件增加</w:t>
                        </w:r>
                      </w:p>
                    </w:tc>
                  </w:tr>
                  <w:tr>
                    <w:trPr>
                      <w:trHeight w:val="346"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51,657,071.84</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17,414,307.70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196.64%</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投资建设云计算基地所致</w:t>
                        </w:r>
                      </w:p>
                    </w:tc>
                  </w:tr>
                  <w:tr>
                    <w:trPr>
                      <w:trHeight w:val="660"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122,172,099.64</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4,106,579.50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2875.03%</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11"/>
                            <w:sz w:val="18"/>
                            <w:szCs w:val="18"/>
                          </w:rPr>
                          <w:t>募集资金投入项目完工结转所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致</w:t>
                        </w:r>
                      </w:p>
                    </w:tc>
                  </w:tr>
                  <w:tr>
                    <w:trPr>
                      <w:trHeight w:val="658"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9,681,830.25</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4" w:right="0"/>
                          <w:jc w:val="left"/>
                          <w:rPr>
                            <w:rFonts w:ascii="Times New Roman" w:hAnsi="Times New Roman" w:cs="Times New Roman" w:eastAsia="Times New Roman" w:hint="default"/>
                            <w:sz w:val="18"/>
                            <w:szCs w:val="18"/>
                          </w:rPr>
                        </w:pPr>
                        <w:r>
                          <w:rPr>
                            <w:rFonts w:ascii="Times New Roman"/>
                            <w:sz w:val="18"/>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100%</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11"/>
                            <w:sz w:val="18"/>
                            <w:szCs w:val="18"/>
                          </w:rPr>
                          <w:t>收购西藏万达华波美信息技术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有限公司所致</w:t>
                        </w:r>
                      </w:p>
                    </w:tc>
                  </w:tr>
                  <w:tr>
                    <w:trPr>
                      <w:trHeight w:val="349"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1,416,864.24</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1,068,227.98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32.64%</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装修支出增加所致</w:t>
                        </w:r>
                      </w:p>
                    </w:tc>
                  </w:tr>
                  <w:tr>
                    <w:trPr>
                      <w:trHeight w:val="348"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34"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7,631,240.00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承兑汇票兑付</w:t>
                        </w:r>
                      </w:p>
                    </w:tc>
                  </w:tr>
                  <w:tr>
                    <w:trPr>
                      <w:trHeight w:val="346"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17,379,024.68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27,228,212.58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-36.17%</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按账期约定支付采购款</w:t>
                        </w:r>
                      </w:p>
                    </w:tc>
                  </w:tr>
                  <w:tr>
                    <w:trPr>
                      <w:trHeight w:val="348"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10,835,836.27</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7,880,780.33</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37.50%</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本期业务上升所致</w:t>
                        </w:r>
                      </w:p>
                    </w:tc>
                  </w:tr>
                  <w:tr>
                    <w:trPr>
                      <w:trHeight w:val="346"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32,281,573.98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23,874,488.38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35.21%</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科研经费增加</w:t>
                        </w:r>
                      </w:p>
                    </w:tc>
                  </w:tr>
                  <w:tr>
                    <w:trPr>
                      <w:trHeight w:val="660"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29"/>
                          <w:jc w:val="left"/>
                          <w:rPr>
                            <w:rFonts w:ascii="宋体" w:hAnsi="宋体" w:cs="宋体" w:eastAsia="宋体" w:hint="default"/>
                            <w:sz w:val="18"/>
                            <w:szCs w:val="18"/>
                          </w:rPr>
                        </w:pPr>
                        <w:r>
                          <w:rPr>
                            <w:rFonts w:ascii="宋体" w:hAnsi="宋体" w:cs="宋体" w:eastAsia="宋体" w:hint="default"/>
                            <w:sz w:val="18"/>
                            <w:szCs w:val="18"/>
                          </w:rPr>
                          <w:t>一年内到期的非流 动负债</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2,619,525.80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借入资金</w:t>
                        </w:r>
                      </w:p>
                    </w:tc>
                  </w:tr>
                  <w:tr>
                    <w:trPr>
                      <w:trHeight w:val="348"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31,860,000.00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6,138,250.00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419.04%</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递延收益增加所致</w:t>
                        </w:r>
                      </w:p>
                    </w:tc>
                  </w:tr>
                </w:tbl>
                <w:p>
                  <w:pPr/>
                </w:p>
              </w:txbxContent>
            </v:textbox>
            <w10:wrap type="none"/>
          </v:shape>
        </w:pic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、公司主要会计报表项目的异常情况及原因的说明</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sz w:val="21"/>
          <w:szCs w:val="21"/>
        </w:rPr>
        <w:t>金额异常或比较期间变动异常的报表项目</w:t>
      </w:r>
    </w:p>
    <w:p>
      <w:pPr>
        <w:spacing w:after="0" w:line="506"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854" w:type="dxa"/>
        <w:tblLayout w:type="fixed"/>
        <w:tblCellMar>
          <w:top w:w="0" w:type="dxa"/>
          <w:left w:w="0" w:type="dxa"/>
          <w:bottom w:w="0" w:type="dxa"/>
          <w:right w:w="0" w:type="dxa"/>
        </w:tblCellMar>
        <w:tblLook w:val="01E0"/>
      </w:tblPr>
      <w:tblGrid>
        <w:gridCol w:w="1591"/>
        <w:gridCol w:w="1534"/>
        <w:gridCol w:w="1412"/>
        <w:gridCol w:w="1320"/>
        <w:gridCol w:w="2509"/>
      </w:tblGrid>
      <w:tr>
        <w:trPr>
          <w:trHeight w:val="348"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2,860,474.20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借入资金</w:t>
            </w:r>
          </w:p>
        </w:tc>
      </w:tr>
      <w:tr>
        <w:trPr>
          <w:trHeight w:val="346"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240,000,000.00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资本公积转增</w:t>
            </w:r>
          </w:p>
        </w:tc>
      </w:tr>
      <w:tr>
        <w:trPr>
          <w:trHeight w:val="660"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884,744,328.70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694,826,688.38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27.33%</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pacing w:val="-3"/>
                <w:sz w:val="18"/>
                <w:szCs w:val="18"/>
              </w:rPr>
              <w:t>本期业务开展良好，订单上升所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致</w:t>
            </w:r>
          </w:p>
        </w:tc>
      </w:tr>
      <w:tr>
        <w:trPr>
          <w:trHeight w:val="346"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611,776,875.41</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483,079,214.55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26.64%</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本期销售增加、相应成本增加</w:t>
            </w:r>
          </w:p>
        </w:tc>
      </w:tr>
      <w:tr>
        <w:trPr>
          <w:trHeight w:val="348"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4,030,741.33</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20,725,844.51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-80.55%</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营业税改征增值税影响所致</w:t>
            </w:r>
          </w:p>
        </w:tc>
      </w:tr>
      <w:tr>
        <w:trPr>
          <w:trHeight w:val="346"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37,089,621.25</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26,451,697.29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40.22%</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本期销售增加、相应费用增加</w:t>
            </w:r>
          </w:p>
        </w:tc>
      </w:tr>
      <w:tr>
        <w:trPr>
          <w:trHeight w:val="348"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118,103,479.03</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80,013,218.98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47.60%</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本期销售增加、相应费用增加</w:t>
            </w:r>
          </w:p>
        </w:tc>
      </w:tr>
      <w:tr>
        <w:trPr>
          <w:trHeight w:val="348"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1,760,979.36</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2,985,615.91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-41.02%</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受计提基数的变动影响所致</w:t>
            </w:r>
          </w:p>
        </w:tc>
      </w:tr>
      <w:tr>
        <w:trPr>
          <w:trHeight w:val="346"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8,718,629.22</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5,794,642.40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50.46%</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政府补助增加所致</w:t>
            </w:r>
          </w:p>
        </w:tc>
      </w:tr>
      <w:tr>
        <w:trPr>
          <w:trHeight w:val="348"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20,373,978.52</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13,095,822.74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55.58%</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利润总额增长</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right="3146"/>
        <w:jc w:val="center"/>
        <w:rPr>
          <w:b w:val="0"/>
          <w:bCs w:val="0"/>
        </w:rPr>
      </w:pPr>
      <w:bookmarkStart w:name="_TOC_250000" w:id="10"/>
      <w:r>
        <w:rPr/>
        <w:t>第十节</w:t>
      </w:r>
      <w:r>
        <w:rPr>
          <w:spacing w:val="-6"/>
        </w:rPr>
        <w:t> </w:t>
      </w:r>
      <w:r>
        <w:rPr/>
        <w:t>备查文件目录</w:t>
      </w:r>
      <w:bookmarkEnd w:id="10"/>
      <w:r>
        <w:rPr>
          <w:b w:val="0"/>
          <w:bCs w:val="0"/>
        </w:rPr>
      </w:r>
    </w:p>
    <w:p>
      <w:pPr>
        <w:spacing w:line="240" w:lineRule="auto" w:before="10"/>
        <w:rPr>
          <w:rFonts w:ascii="宋体" w:hAnsi="宋体" w:cs="宋体" w:eastAsia="宋体" w:hint="default"/>
          <w:b/>
          <w:bCs/>
          <w:sz w:val="46"/>
          <w:szCs w:val="46"/>
        </w:rPr>
      </w:pPr>
    </w:p>
    <w:p>
      <w:pPr>
        <w:pStyle w:val="BodyText"/>
        <w:spacing w:line="398" w:lineRule="auto"/>
        <w:ind w:right="0"/>
        <w:jc w:val="left"/>
      </w:pPr>
      <w:r>
        <w:rPr/>
        <w:t>一、经公司法定代表人签字和公司盖章的</w:t>
      </w:r>
      <w:r>
        <w:rPr>
          <w:rFonts w:ascii="Times New Roman" w:hAnsi="Times New Roman" w:cs="Times New Roman" w:eastAsia="Times New Roman" w:hint="default"/>
        </w:rPr>
        <w:t>2012</w:t>
      </w:r>
      <w:r>
        <w:rPr/>
        <w:t>年度报告文本原件。</w:t>
      </w:r>
      <w:r>
        <w:rPr>
          <w:w w:val="100"/>
        </w:rPr>
        <w:t> </w:t>
      </w:r>
      <w:r>
        <w:rPr>
          <w:spacing w:val="-2"/>
        </w:rPr>
        <w:t>二、载有公司法定代表人、主管会计工作的公司负责人、公司会计机构负责人（会计主管人员）签名并盖</w:t>
      </w:r>
      <w:r>
        <w:rPr>
          <w:spacing w:val="-43"/>
        </w:rPr>
        <w:t> </w:t>
      </w:r>
      <w:r>
        <w:rPr>
          <w:spacing w:val="-43"/>
        </w:rPr>
      </w:r>
      <w:r>
        <w:rPr/>
        <w:t>章的财务报表。</w:t>
      </w:r>
    </w:p>
    <w:p>
      <w:pPr>
        <w:pStyle w:val="BodyText"/>
        <w:spacing w:line="408" w:lineRule="auto" w:before="54"/>
        <w:ind w:right="0"/>
        <w:jc w:val="left"/>
      </w:pPr>
      <w:r>
        <w:rPr/>
        <w:t>三、载有会计师事务所盖章、注册会计师签名并盖章的审计报告原件。</w:t>
      </w:r>
      <w:r>
        <w:rPr>
          <w:w w:val="100"/>
        </w:rPr>
        <w:t> </w:t>
      </w:r>
      <w:r>
        <w:rPr>
          <w:spacing w:val="-2"/>
        </w:rPr>
        <w:t>四、报告期内在中国证监会指定网站上公开披露过的所有公司文件的正本及公告的原稿。</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10772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077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1077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077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076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162</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077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077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077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077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077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077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10771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10770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71.070007pt;margin-top:36.265610pt;width:168.6pt;height:11.5pt;mso-position-horizontal-relative:page;mso-position-vertical-relative:page;z-index:-1077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万达信息股份有限公司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152"/>
    </w:pPr>
    <w:rPr>
      <w:rFonts w:ascii="宋体" w:hAnsi="宋体" w:eastAsia="宋体"/>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3145"/>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spacing w:before="29"/>
      <w:ind w:left="870"/>
      <w:outlineLvl w:val="3"/>
    </w:pPr>
    <w:rPr>
      <w:rFonts w:ascii="宋体" w:hAnsi="宋体" w:eastAsia="宋体"/>
      <w:sz w:val="23"/>
      <w:szCs w:val="23"/>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wondersgroup.com/" TargetMode="External"/><Relationship Id="rId10" Type="http://schemas.openxmlformats.org/officeDocument/2006/relationships/hyperlink" Target="mailto:invest@wondersgroup.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hyperlink" Target="http://www.cninfo.com.cn/finalpage/2012-"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image" Target="media/image2.jpeg"/><Relationship Id="rId17" Type="http://schemas.openxmlformats.org/officeDocument/2006/relationships/footer" Target="footer6.xml"/><Relationship Id="rId18" Type="http://schemas.openxmlformats.org/officeDocument/2006/relationships/hyperlink" Target="http://www.cninfo.com.cn/final" TargetMode="Externa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2020-05-04T01:57:17Z</dcterms:created>
  <dcterms:modified xsi:type="dcterms:W3CDTF">2020-05-04T01:57:17Z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2013-04-19T00:00:00Z</vt:filetime>
  </property>
  <property fmtid="{D5CDD505-2E9C-101B-9397-08002B2CF9AE}" pid="3" name="Creator">
    <vt:lpwstr>Microsoft® Office Word 2007</vt:lpwstr>
  </property>
  <property fmtid="{D5CDD505-2E9C-101B-9397-08002B2CF9AE}" pid="4" name="LastSaved">
    <vt:filetime>2020-05-03T00:00:00Z</vt:filetime>
  </property>
</Properties>
</file>